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F83BBB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吉木萨尔县市场监督管理局2024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166A4DC">
      <w:r>
        <w:br w:type="page"/>
      </w:r>
    </w:p>
    <w:p w14:paraId="13144011">
      <w:pPr>
        <w:spacing w:line="640" w:lineRule="exact"/>
        <w:jc w:val="center"/>
        <w:outlineLvl w:val="1"/>
      </w:pPr>
      <w:r>
        <w:rPr>
          <w:rFonts w:ascii="黑体" w:hAnsi="黑体" w:eastAsia="黑体"/>
          <w:sz w:val="32"/>
        </w:rPr>
        <w:t>第一部分 单位概况</w:t>
      </w:r>
    </w:p>
    <w:p w14:paraId="54C13E8B">
      <w:pPr>
        <w:spacing w:line="640" w:lineRule="exact"/>
        <w:ind w:firstLine="640"/>
        <w:jc w:val="both"/>
        <w:outlineLvl w:val="2"/>
      </w:pPr>
      <w:r>
        <w:rPr>
          <w:rFonts w:ascii="黑体" w:hAnsi="黑体" w:eastAsia="黑体"/>
          <w:sz w:val="32"/>
        </w:rPr>
        <w:t>一、主要职能</w:t>
      </w:r>
    </w:p>
    <w:p w14:paraId="120A8C1B">
      <w:pPr>
        <w:spacing w:line="580" w:lineRule="exact"/>
        <w:ind w:firstLine="640"/>
        <w:jc w:val="both"/>
      </w:pPr>
      <w:r>
        <w:rPr>
          <w:rFonts w:ascii="仿宋_GB2312" w:hAnsi="仿宋_GB2312" w:eastAsia="仿宋_GB2312"/>
          <w:sz w:val="32"/>
        </w:rPr>
        <w:t>一是负责县市场综合监督管理和知识产权管理。二是负责县市场主体统一登记注册。三是负责县市场监督和知识产权综合执法工作。四是配合上级部门开展反垄断统一执法。五是负责县集贸市场和个体工商户安全生产管理。六是负责宏观质量管理。七是负责产品质量安全监督管理。八是负责特种设备安全监督管理。九是负责食品安全监督管理综合协调。十是负责食品安全监督管理。十一是负责统一管理计量工作。十二是负责统一管理标准化工作。十三</w:t>
      </w:r>
      <w:r>
        <w:rPr>
          <w:rFonts w:hint="eastAsia" w:ascii="仿宋_GB2312" w:hAnsi="仿宋_GB2312" w:eastAsia="仿宋_GB2312"/>
          <w:sz w:val="32"/>
          <w:lang w:val="en-US" w:eastAsia="zh-CN"/>
        </w:rPr>
        <w:t>是</w:t>
      </w:r>
      <w:r>
        <w:rPr>
          <w:rFonts w:ascii="仿宋_GB2312" w:hAnsi="仿宋_GB2312" w:eastAsia="仿宋_GB2312"/>
          <w:sz w:val="32"/>
        </w:rPr>
        <w:t>负责统一管理检验检测工作。十四</w:t>
      </w:r>
      <w:r>
        <w:rPr>
          <w:rFonts w:hint="eastAsia" w:ascii="仿宋_GB2312" w:hAnsi="仿宋_GB2312" w:eastAsia="仿宋_GB2312"/>
          <w:sz w:val="32"/>
          <w:lang w:val="en-US" w:eastAsia="zh-CN"/>
        </w:rPr>
        <w:t>是</w:t>
      </w:r>
      <w:r>
        <w:rPr>
          <w:rFonts w:ascii="仿宋_GB2312" w:hAnsi="仿宋_GB2312" w:eastAsia="仿宋_GB2312"/>
          <w:sz w:val="32"/>
        </w:rPr>
        <w:t>负责统一管理认证认可工作。十五</w:t>
      </w:r>
      <w:r>
        <w:rPr>
          <w:rFonts w:hint="eastAsia" w:ascii="仿宋_GB2312" w:hAnsi="仿宋_GB2312" w:eastAsia="仿宋_GB2312"/>
          <w:sz w:val="32"/>
          <w:lang w:val="en-US" w:eastAsia="zh-CN"/>
        </w:rPr>
        <w:t>是</w:t>
      </w:r>
      <w:r>
        <w:rPr>
          <w:rFonts w:ascii="仿宋_GB2312" w:hAnsi="仿宋_GB2312" w:eastAsia="仿宋_GB2312"/>
          <w:sz w:val="32"/>
        </w:rPr>
        <w:t>负责促进知识产权运用。十六</w:t>
      </w:r>
      <w:r>
        <w:rPr>
          <w:rFonts w:hint="eastAsia" w:ascii="仿宋_GB2312" w:hAnsi="仿宋_GB2312" w:eastAsia="仿宋_GB2312"/>
          <w:sz w:val="32"/>
          <w:lang w:val="en-US" w:eastAsia="zh-CN"/>
        </w:rPr>
        <w:t>是</w:t>
      </w:r>
      <w:r>
        <w:rPr>
          <w:rFonts w:ascii="仿宋_GB2312" w:hAnsi="仿宋_GB2312" w:eastAsia="仿宋_GB2312"/>
          <w:sz w:val="32"/>
        </w:rPr>
        <w:t>负责保护知识产权。十七</w:t>
      </w:r>
      <w:r>
        <w:rPr>
          <w:rFonts w:hint="eastAsia" w:ascii="仿宋_GB2312" w:hAnsi="仿宋_GB2312" w:eastAsia="仿宋_GB2312"/>
          <w:sz w:val="32"/>
          <w:lang w:val="en-US" w:eastAsia="zh-CN"/>
        </w:rPr>
        <w:t>是</w:t>
      </w:r>
      <w:r>
        <w:rPr>
          <w:rFonts w:ascii="仿宋_GB2312" w:hAnsi="仿宋_GB2312" w:eastAsia="仿宋_GB2312"/>
          <w:sz w:val="32"/>
        </w:rPr>
        <w:t>负责药品、医疗器械和化妆品安全监督管理。十八</w:t>
      </w:r>
      <w:r>
        <w:rPr>
          <w:rFonts w:hint="eastAsia" w:ascii="仿宋_GB2312" w:hAnsi="仿宋_GB2312" w:eastAsia="仿宋_GB2312"/>
          <w:sz w:val="32"/>
          <w:lang w:val="en-US" w:eastAsia="zh-CN"/>
        </w:rPr>
        <w:t>是</w:t>
      </w:r>
      <w:r>
        <w:rPr>
          <w:rFonts w:ascii="仿宋_GB2312" w:hAnsi="仿宋_GB2312" w:eastAsia="仿宋_GB2312"/>
          <w:sz w:val="32"/>
        </w:rPr>
        <w:t>负责药品、化妆品不良反应和医疗器械不良事件监测工作。十九</w:t>
      </w:r>
      <w:r>
        <w:rPr>
          <w:rFonts w:hint="eastAsia" w:ascii="仿宋_GB2312" w:hAnsi="仿宋_GB2312" w:eastAsia="仿宋_GB2312"/>
          <w:sz w:val="32"/>
          <w:lang w:val="en-US" w:eastAsia="zh-CN"/>
        </w:rPr>
        <w:t>是</w:t>
      </w:r>
      <w:r>
        <w:rPr>
          <w:rFonts w:ascii="仿宋_GB2312" w:hAnsi="仿宋_GB2312" w:eastAsia="仿宋_GB2312"/>
          <w:sz w:val="32"/>
        </w:rPr>
        <w:t>负责本部门科技与信息化建设、新闻宣传。二十</w:t>
      </w:r>
      <w:r>
        <w:rPr>
          <w:rFonts w:hint="eastAsia" w:ascii="仿宋_GB2312" w:hAnsi="仿宋_GB2312" w:eastAsia="仿宋_GB2312"/>
          <w:sz w:val="32"/>
          <w:lang w:val="en-US" w:eastAsia="zh-CN"/>
        </w:rPr>
        <w:t>是</w:t>
      </w:r>
      <w:r>
        <w:rPr>
          <w:rFonts w:ascii="仿宋_GB2312" w:hAnsi="仿宋_GB2312" w:eastAsia="仿宋_GB2312"/>
          <w:sz w:val="32"/>
        </w:rPr>
        <w:t>承担县食品安全委员会的具体工作。</w:t>
      </w:r>
    </w:p>
    <w:p w14:paraId="79B2D8E6">
      <w:pPr>
        <w:spacing w:line="640" w:lineRule="exact"/>
        <w:ind w:firstLine="640"/>
        <w:jc w:val="both"/>
        <w:outlineLvl w:val="2"/>
      </w:pPr>
      <w:r>
        <w:rPr>
          <w:rFonts w:ascii="黑体" w:hAnsi="黑体" w:eastAsia="黑体"/>
          <w:sz w:val="32"/>
        </w:rPr>
        <w:t>二、机构设置及人员情况</w:t>
      </w:r>
    </w:p>
    <w:p w14:paraId="0D06376F">
      <w:pPr>
        <w:spacing w:line="580" w:lineRule="exact"/>
        <w:ind w:firstLine="640"/>
        <w:jc w:val="both"/>
      </w:pPr>
      <w:r>
        <w:rPr>
          <w:rFonts w:ascii="仿宋_GB2312" w:hAnsi="仿宋_GB2312" w:eastAsia="仿宋_GB2312"/>
          <w:sz w:val="32"/>
        </w:rPr>
        <w:t>吉木萨尔县市场监督管理局2024年度，实有人数133人，其中：在职人员70人，减少2人；离休人员0人，增加0人；退休人员63人,增加6人。</w:t>
      </w:r>
    </w:p>
    <w:p w14:paraId="7DCF6168">
      <w:pPr>
        <w:spacing w:line="580" w:lineRule="exact"/>
        <w:ind w:firstLine="640"/>
        <w:jc w:val="both"/>
      </w:pPr>
      <w:r>
        <w:rPr>
          <w:rFonts w:ascii="仿宋_GB2312" w:hAnsi="仿宋_GB2312" w:eastAsia="仿宋_GB2312"/>
          <w:sz w:val="32"/>
        </w:rPr>
        <w:t>吉木萨尔县市场监督管理局无下属预算单位，下设12个科室，分别是：办公室、法规科、行政审批（登记注册）科、信用监督管理与消费者权益保护科、食品安全监督管理科、药械化妆品安全监督管理科、特种设备安全监察科、质量计量标准化监督管理科、安全监察应急监督管理科、城镇片区市场监督管理所、三台片区市场监督管理所、大有片区市场监督管理所。</w:t>
      </w:r>
    </w:p>
    <w:p w14:paraId="4A5D5025">
      <w:r>
        <w:br w:type="page"/>
      </w:r>
    </w:p>
    <w:p w14:paraId="5396A6FA">
      <w:pPr>
        <w:spacing w:line="240" w:lineRule="auto"/>
        <w:jc w:val="center"/>
        <w:outlineLvl w:val="1"/>
      </w:pPr>
      <w:r>
        <w:rPr>
          <w:rFonts w:ascii="黑体" w:hAnsi="黑体" w:eastAsia="黑体"/>
          <w:sz w:val="32"/>
        </w:rPr>
        <w:t>第二部分 部门决算情况说明</w:t>
      </w:r>
    </w:p>
    <w:p w14:paraId="0AAC2B80">
      <w:pPr>
        <w:spacing w:line="640" w:lineRule="exact"/>
        <w:ind w:firstLine="640"/>
        <w:jc w:val="both"/>
        <w:outlineLvl w:val="2"/>
      </w:pPr>
      <w:r>
        <w:rPr>
          <w:rFonts w:ascii="黑体" w:hAnsi="黑体" w:eastAsia="黑体"/>
          <w:sz w:val="32"/>
        </w:rPr>
        <w:t>一、收入支出决算总体情况说明</w:t>
      </w:r>
    </w:p>
    <w:p w14:paraId="4AD8711C">
      <w:pPr>
        <w:spacing w:line="580" w:lineRule="exact"/>
        <w:ind w:firstLine="640"/>
        <w:jc w:val="both"/>
      </w:pPr>
      <w:r>
        <w:rPr>
          <w:rFonts w:ascii="仿宋_GB2312" w:hAnsi="仿宋_GB2312" w:eastAsia="仿宋_GB2312"/>
          <w:b/>
          <w:sz w:val="32"/>
        </w:rPr>
        <w:t>2024年度收入总计1,619.82万元，</w:t>
      </w:r>
      <w:r>
        <w:rPr>
          <w:rFonts w:ascii="仿宋_GB2312" w:hAnsi="仿宋_GB2312" w:eastAsia="仿宋_GB2312"/>
          <w:b w:val="0"/>
          <w:sz w:val="32"/>
        </w:rPr>
        <w:t>其中：本年收入合计1,584.42万元，使用非财政拨款结余（含专用结余）0.00万元，年初结转和结余35.39万元。</w:t>
      </w:r>
    </w:p>
    <w:p w14:paraId="0FE11460">
      <w:pPr>
        <w:spacing w:line="580" w:lineRule="exact"/>
        <w:ind w:firstLine="640"/>
        <w:jc w:val="both"/>
      </w:pPr>
      <w:r>
        <w:rPr>
          <w:rFonts w:ascii="仿宋_GB2312" w:hAnsi="仿宋_GB2312" w:eastAsia="仿宋_GB2312"/>
          <w:b/>
          <w:sz w:val="32"/>
        </w:rPr>
        <w:t>2024年度支出总计1,619.82万元，</w:t>
      </w:r>
      <w:r>
        <w:rPr>
          <w:rFonts w:ascii="仿宋_GB2312" w:hAnsi="仿宋_GB2312" w:eastAsia="仿宋_GB2312"/>
          <w:b w:val="0"/>
          <w:sz w:val="32"/>
        </w:rPr>
        <w:t>其中：本年支出合计1,585.56万元，结余分配0.00万元，年末结转和结余34.26万元。</w:t>
      </w:r>
    </w:p>
    <w:p w14:paraId="0BAF5864">
      <w:pPr>
        <w:spacing w:line="580" w:lineRule="exact"/>
        <w:ind w:firstLine="640"/>
        <w:jc w:val="both"/>
      </w:pPr>
      <w:r>
        <w:rPr>
          <w:rFonts w:ascii="仿宋_GB2312" w:hAnsi="仿宋_GB2312" w:eastAsia="仿宋_GB2312"/>
          <w:b w:val="0"/>
          <w:sz w:val="32"/>
        </w:rPr>
        <w:t>收入支出总体与上年相比，减少208.77万元，下降11.42%，主要原因是：本年丧葬费、抚恤金支出较上年有所减少；电力安装工程、隔断打造等工程较上年减少，导致经费较上年减少。</w:t>
      </w:r>
    </w:p>
    <w:p w14:paraId="359E0F61">
      <w:pPr>
        <w:spacing w:line="640" w:lineRule="exact"/>
        <w:ind w:firstLine="640"/>
        <w:jc w:val="both"/>
        <w:outlineLvl w:val="2"/>
      </w:pPr>
      <w:r>
        <w:rPr>
          <w:rFonts w:ascii="黑体" w:hAnsi="黑体" w:eastAsia="黑体"/>
          <w:sz w:val="32"/>
        </w:rPr>
        <w:t>二、收入决算情况说明</w:t>
      </w:r>
    </w:p>
    <w:p w14:paraId="21146EA8">
      <w:pPr>
        <w:spacing w:line="580" w:lineRule="exact"/>
        <w:ind w:firstLine="640"/>
        <w:jc w:val="both"/>
      </w:pPr>
      <w:r>
        <w:rPr>
          <w:rFonts w:ascii="仿宋_GB2312" w:hAnsi="仿宋_GB2312" w:eastAsia="仿宋_GB2312"/>
          <w:b/>
          <w:sz w:val="32"/>
        </w:rPr>
        <w:t>本年收入1,584.42万元，</w:t>
      </w:r>
      <w:r>
        <w:rPr>
          <w:rFonts w:ascii="仿宋_GB2312" w:hAnsi="仿宋_GB2312" w:eastAsia="仿宋_GB2312"/>
          <w:b w:val="0"/>
          <w:sz w:val="32"/>
        </w:rPr>
        <w:t>其中：财政拨款收入1,582.70万元，占99.89%；上级补助收入0.00万元，占0.00%；事业收入0.00万元，占0.00%；经营收入0.00万元，占0.00%；附属单位上缴收入0.00万元，占0.00%；其他收入1.73万元，占0.11%。</w:t>
      </w:r>
    </w:p>
    <w:p w14:paraId="287AF127">
      <w:pPr>
        <w:spacing w:line="640" w:lineRule="exact"/>
        <w:ind w:firstLine="640"/>
        <w:jc w:val="both"/>
        <w:outlineLvl w:val="2"/>
      </w:pPr>
      <w:r>
        <w:rPr>
          <w:rFonts w:ascii="黑体" w:hAnsi="黑体" w:eastAsia="黑体"/>
          <w:sz w:val="32"/>
        </w:rPr>
        <w:t>三、支出决算情况说明</w:t>
      </w:r>
    </w:p>
    <w:p w14:paraId="0FE55B4A">
      <w:pPr>
        <w:spacing w:line="580" w:lineRule="exact"/>
        <w:ind w:firstLine="640"/>
        <w:jc w:val="both"/>
      </w:pPr>
      <w:r>
        <w:rPr>
          <w:rFonts w:ascii="仿宋_GB2312" w:hAnsi="仿宋_GB2312" w:eastAsia="仿宋_GB2312"/>
          <w:b/>
          <w:sz w:val="32"/>
        </w:rPr>
        <w:t>本年支出1,585.56万元，</w:t>
      </w:r>
      <w:r>
        <w:rPr>
          <w:rFonts w:ascii="仿宋_GB2312" w:hAnsi="仿宋_GB2312" w:eastAsia="仿宋_GB2312"/>
          <w:b w:val="0"/>
          <w:sz w:val="32"/>
        </w:rPr>
        <w:t>其中：基本支出1,529.76万元，占96.48%；项目支出55.80万元，占3.52%；上缴上级支出0.00万元，占0.00%；经营支出0.00万元，占0.00%；对附属单位补助支出0.00万元，占0.00%。</w:t>
      </w:r>
    </w:p>
    <w:p w14:paraId="747C74D2">
      <w:pPr>
        <w:spacing w:line="640" w:lineRule="exact"/>
        <w:ind w:firstLine="640"/>
        <w:jc w:val="both"/>
        <w:outlineLvl w:val="2"/>
      </w:pPr>
      <w:r>
        <w:rPr>
          <w:rFonts w:ascii="黑体" w:hAnsi="黑体" w:eastAsia="黑体"/>
          <w:sz w:val="32"/>
        </w:rPr>
        <w:t>四、财政拨款收入支出决算总体情况说明</w:t>
      </w:r>
    </w:p>
    <w:p w14:paraId="21490CD8">
      <w:pPr>
        <w:spacing w:line="580" w:lineRule="exact"/>
        <w:ind w:firstLine="640"/>
        <w:jc w:val="both"/>
      </w:pPr>
      <w:r>
        <w:rPr>
          <w:rFonts w:ascii="仿宋_GB2312" w:hAnsi="仿宋_GB2312" w:eastAsia="仿宋_GB2312"/>
          <w:b/>
          <w:sz w:val="32"/>
        </w:rPr>
        <w:t>2024年度财政拨款收入总计1,582.70万元，</w:t>
      </w:r>
      <w:r>
        <w:rPr>
          <w:rFonts w:ascii="仿宋_GB2312" w:hAnsi="仿宋_GB2312" w:eastAsia="仿宋_GB2312"/>
          <w:b w:val="0"/>
          <w:sz w:val="32"/>
        </w:rPr>
        <w:t>其中：年初财政拨款结转和结余0.00万元，本年财政拨款收入1,582.70万元。</w:t>
      </w:r>
      <w:r>
        <w:rPr>
          <w:rFonts w:ascii="仿宋_GB2312" w:hAnsi="仿宋_GB2312" w:eastAsia="仿宋_GB2312"/>
          <w:b/>
          <w:sz w:val="32"/>
        </w:rPr>
        <w:t>财政拨款支出总计1,582.70万元，</w:t>
      </w:r>
      <w:r>
        <w:rPr>
          <w:rFonts w:ascii="仿宋_GB2312" w:hAnsi="仿宋_GB2312" w:eastAsia="仿宋_GB2312"/>
          <w:b w:val="0"/>
          <w:sz w:val="32"/>
        </w:rPr>
        <w:t>其中：年末财政拨款结转和结余0.00万元，本年财政拨款支出1,582.70万元。</w:t>
      </w:r>
    </w:p>
    <w:p w14:paraId="7C64C40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减少178.64万元，下降10.14%，主要原因是：本年丧葬费、抚恤金支出较上年有所减少；电力安装工程、隔断打造等工程较上年减少，导致经费较上年减少。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年初预算数1,519.84万元，决算数1,582.70万元，预决算差异率4.14%，主要原因是：年中追加食品药品监管补助资金、乡镇市监所标准化建设项目资金、出租车计价器检验设备及场地租用费等，导致预决算存在差异。</w:t>
      </w:r>
    </w:p>
    <w:p w14:paraId="292035E6">
      <w:pPr>
        <w:spacing w:line="640" w:lineRule="exact"/>
        <w:ind w:firstLine="640"/>
        <w:jc w:val="both"/>
        <w:outlineLvl w:val="2"/>
      </w:pPr>
      <w:r>
        <w:rPr>
          <w:rFonts w:ascii="黑体" w:hAnsi="黑体" w:eastAsia="黑体"/>
          <w:sz w:val="32"/>
        </w:rPr>
        <w:t>五、一般公共预算财政拨款支出决算情况说明</w:t>
      </w:r>
    </w:p>
    <w:p w14:paraId="789EADE3">
      <w:pPr>
        <w:spacing w:line="640" w:lineRule="exact"/>
        <w:ind w:firstLine="640"/>
        <w:jc w:val="both"/>
        <w:outlineLvl w:val="3"/>
      </w:pPr>
      <w:r>
        <w:rPr>
          <w:rFonts w:ascii="楷体_GB2312" w:hAnsi="楷体_GB2312" w:eastAsia="楷体_GB2312"/>
          <w:b/>
          <w:sz w:val="32"/>
        </w:rPr>
        <w:t>（一）一般公共预算财政拨款支出决算总体情况</w:t>
      </w:r>
    </w:p>
    <w:p w14:paraId="07C6D097">
      <w:pPr>
        <w:spacing w:line="580" w:lineRule="exact"/>
        <w:ind w:firstLine="640"/>
        <w:jc w:val="both"/>
      </w:pPr>
      <w:r>
        <w:rPr>
          <w:rFonts w:ascii="仿宋_GB2312" w:hAnsi="仿宋_GB2312" w:eastAsia="仿宋_GB2312"/>
          <w:b/>
          <w:sz w:val="32"/>
        </w:rPr>
        <w:t>2024年度一般公共预算财政拨款支出1,582.70万元，</w:t>
      </w:r>
      <w:r>
        <w:rPr>
          <w:rFonts w:ascii="仿宋_GB2312" w:hAnsi="仿宋_GB2312" w:eastAsia="仿宋_GB2312"/>
          <w:b w:val="0"/>
          <w:sz w:val="32"/>
        </w:rPr>
        <w:t>占本年支出合计的99.82%。</w:t>
      </w:r>
      <w:r>
        <w:rPr>
          <w:rFonts w:ascii="仿宋_GB2312" w:hAnsi="仿宋_GB2312" w:eastAsia="仿宋_GB2312"/>
          <w:b/>
          <w:sz w:val="32"/>
        </w:rPr>
        <w:t>与上年相比，</w:t>
      </w:r>
      <w:r>
        <w:rPr>
          <w:rFonts w:ascii="仿宋_GB2312" w:hAnsi="仿宋_GB2312" w:eastAsia="仿宋_GB2312"/>
          <w:b w:val="0"/>
          <w:sz w:val="32"/>
        </w:rPr>
        <w:t>减少178.64万元，下降10.14%，主要原因是：本年丧葬费、抚恤金支出较上年有所减少；电力安装工程、隔断打造等工程较上年减少，导致经费较上年减少。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年初预算数1,519.84万元，决算数1,582.70万元，预决算差异率4.14%，主要原因是：年中追加食品药品监管补助资金、乡镇市监所标准化建设项目资金、出租车计价器检验设备及场地租用费等，导致预决算存在差异。</w:t>
      </w:r>
    </w:p>
    <w:p w14:paraId="2C92342A">
      <w:pPr>
        <w:spacing w:line="640" w:lineRule="exact"/>
        <w:ind w:firstLine="640"/>
        <w:jc w:val="both"/>
        <w:outlineLvl w:val="3"/>
      </w:pPr>
      <w:r>
        <w:rPr>
          <w:rFonts w:ascii="楷体_GB2312" w:hAnsi="楷体_GB2312" w:eastAsia="楷体_GB2312"/>
          <w:b/>
          <w:sz w:val="32"/>
        </w:rPr>
        <w:t>（二）一般公共预算财政拨款支出决算结构情况</w:t>
      </w:r>
    </w:p>
    <w:p w14:paraId="4196459F">
      <w:pPr>
        <w:spacing w:line="580" w:lineRule="exact"/>
        <w:ind w:firstLine="640"/>
        <w:jc w:val="both"/>
      </w:pPr>
      <w:r>
        <w:rPr>
          <w:rFonts w:ascii="仿宋_GB2312" w:hAnsi="仿宋_GB2312" w:eastAsia="仿宋_GB2312"/>
          <w:b w:val="0"/>
          <w:sz w:val="32"/>
        </w:rPr>
        <w:t>1.一般公共服务支出(类)1,177.52万元,占74.40%。</w:t>
      </w:r>
    </w:p>
    <w:p w14:paraId="25660536">
      <w:pPr>
        <w:spacing w:line="580" w:lineRule="exact"/>
        <w:ind w:firstLine="640"/>
        <w:jc w:val="both"/>
      </w:pPr>
      <w:r>
        <w:rPr>
          <w:rFonts w:ascii="仿宋_GB2312" w:hAnsi="仿宋_GB2312" w:eastAsia="仿宋_GB2312"/>
          <w:b w:val="0"/>
          <w:sz w:val="32"/>
        </w:rPr>
        <w:t>2.科学技术支出(类)10.76万元,占0.68%。</w:t>
      </w:r>
    </w:p>
    <w:p w14:paraId="1F4441D0">
      <w:pPr>
        <w:spacing w:line="580" w:lineRule="exact"/>
        <w:ind w:firstLine="640"/>
        <w:jc w:val="both"/>
      </w:pPr>
      <w:r>
        <w:rPr>
          <w:rFonts w:ascii="仿宋_GB2312" w:hAnsi="仿宋_GB2312" w:eastAsia="仿宋_GB2312"/>
          <w:b w:val="0"/>
          <w:sz w:val="32"/>
        </w:rPr>
        <w:t>3.社会保障和就业支出(类)237.30万元,占14.99%。</w:t>
      </w:r>
    </w:p>
    <w:p w14:paraId="3C209F7A">
      <w:pPr>
        <w:spacing w:line="580" w:lineRule="exact"/>
        <w:ind w:firstLine="640"/>
        <w:jc w:val="both"/>
      </w:pPr>
      <w:r>
        <w:rPr>
          <w:rFonts w:ascii="仿宋_GB2312" w:hAnsi="仿宋_GB2312" w:eastAsia="仿宋_GB2312"/>
          <w:b w:val="0"/>
          <w:sz w:val="32"/>
        </w:rPr>
        <w:t>4.卫生健康支出(类)63.32万元,占4.00%。</w:t>
      </w:r>
    </w:p>
    <w:p w14:paraId="7589B267">
      <w:pPr>
        <w:spacing w:line="580" w:lineRule="exact"/>
        <w:ind w:firstLine="640"/>
        <w:jc w:val="both"/>
      </w:pPr>
      <w:r>
        <w:rPr>
          <w:rFonts w:ascii="仿宋_GB2312" w:hAnsi="仿宋_GB2312" w:eastAsia="仿宋_GB2312"/>
          <w:b w:val="0"/>
          <w:sz w:val="32"/>
        </w:rPr>
        <w:t>5.住房保障支出(类)93.80万元,占5.93%。</w:t>
      </w:r>
    </w:p>
    <w:p w14:paraId="104ADAB1">
      <w:pPr>
        <w:spacing w:line="640" w:lineRule="exact"/>
        <w:ind w:firstLine="640"/>
        <w:jc w:val="both"/>
        <w:outlineLvl w:val="3"/>
      </w:pPr>
      <w:r>
        <w:rPr>
          <w:rFonts w:ascii="楷体_GB2312" w:hAnsi="楷体_GB2312" w:eastAsia="楷体_GB2312"/>
          <w:b/>
          <w:sz w:val="32"/>
        </w:rPr>
        <w:t>（三）一般公共预算财政拨款支出决算具体情况</w:t>
      </w:r>
    </w:p>
    <w:p w14:paraId="680EA0D1">
      <w:pPr>
        <w:spacing w:line="580" w:lineRule="exact"/>
        <w:ind w:firstLine="640"/>
        <w:jc w:val="both"/>
      </w:pPr>
      <w:r>
        <w:rPr>
          <w:rFonts w:ascii="仿宋_GB2312" w:hAnsi="仿宋_GB2312" w:eastAsia="仿宋_GB2312"/>
          <w:b w:val="0"/>
          <w:sz w:val="32"/>
        </w:rPr>
        <w:t>1.一般公共服务支出(类)市场监督管理事务(款)行政运行(项):支出决算数为772.12万元，比上年决算减少125.17万元，下降13.95%,主要原因是：本年在职人员调出、转退休人员增加，人员经费支出减少，丧葬费、抚恤金较上年有所减少，相应支出减少。</w:t>
      </w:r>
    </w:p>
    <w:p w14:paraId="1DBBC348">
      <w:pPr>
        <w:spacing w:line="580" w:lineRule="exact"/>
        <w:ind w:firstLine="640"/>
        <w:jc w:val="both"/>
      </w:pPr>
      <w:r>
        <w:rPr>
          <w:rFonts w:ascii="仿宋_GB2312" w:hAnsi="仿宋_GB2312" w:eastAsia="仿宋_GB2312"/>
          <w:b w:val="0"/>
          <w:sz w:val="32"/>
        </w:rPr>
        <w:t>2.一般公共服务支出(类)市场监督管理事务(款)药品事务(项):支出决算数为7.40万元，比上年决算增加1.51万元，增长25.64%,主要原因是：2023年、2024年药品抽检经费均在2024年列支，相应支出增加。</w:t>
      </w:r>
    </w:p>
    <w:p w14:paraId="3F802DC4">
      <w:pPr>
        <w:spacing w:line="580" w:lineRule="exact"/>
        <w:ind w:firstLine="640"/>
        <w:jc w:val="both"/>
      </w:pPr>
      <w:r>
        <w:rPr>
          <w:rFonts w:ascii="仿宋_GB2312" w:hAnsi="仿宋_GB2312" w:eastAsia="仿宋_GB2312"/>
          <w:b w:val="0"/>
          <w:sz w:val="32"/>
        </w:rPr>
        <w:t>3.一般公共服务支出(类)市场监督管理事务(款)事业运行(项):支出决算数为349.60万元，比上年决算增加27.27万元，增长8.46%,主要原因是：本年新增事业编制人员，相应人员支出增加。</w:t>
      </w:r>
    </w:p>
    <w:p w14:paraId="424FD13E">
      <w:pPr>
        <w:spacing w:line="580" w:lineRule="exact"/>
        <w:ind w:firstLine="640"/>
        <w:jc w:val="both"/>
      </w:pPr>
      <w:r>
        <w:rPr>
          <w:rFonts w:ascii="仿宋_GB2312" w:hAnsi="仿宋_GB2312" w:eastAsia="仿宋_GB2312"/>
          <w:b w:val="0"/>
          <w:sz w:val="32"/>
        </w:rPr>
        <w:t>4.一般公共服务支出(类)市场监督管理事务(款)其他市场监督管理事务(项):支出决算数为48.40万元，比上年决算增加18.40万元，增长61.33%,主要原因是：本年增加乡镇市场监管所标准化建设项目资金、三台片区市场监管所新建水冲式厕所和维修部分食堂设施项目资金、食品药品监管补助资金、出租车计价器检验设备及场地租用费等，相应支出增加。</w:t>
      </w:r>
    </w:p>
    <w:p w14:paraId="3A336AEA">
      <w:pPr>
        <w:spacing w:line="580" w:lineRule="exact"/>
        <w:ind w:firstLine="640"/>
        <w:jc w:val="both"/>
      </w:pPr>
      <w:r>
        <w:rPr>
          <w:rFonts w:ascii="仿宋_GB2312" w:hAnsi="仿宋_GB2312" w:eastAsia="仿宋_GB2312"/>
          <w:b w:val="0"/>
          <w:sz w:val="32"/>
        </w:rPr>
        <w:t>5.科学技术支出(类)科技条件与服务(款)其他科技条件与服务支出(项):支出决算数为10.76万元，比上年决算增加10.76万元，增长100.00%,主要原因是：本年增加安排</w:t>
      </w:r>
      <w:r>
        <w:rPr>
          <w:rFonts w:hint="eastAsia" w:ascii="仿宋_GB2312" w:hAnsi="仿宋_GB2312" w:eastAsia="仿宋_GB2312"/>
          <w:b w:val="0"/>
          <w:sz w:val="32"/>
          <w:lang w:eastAsia="zh-CN"/>
        </w:rPr>
        <w:t>专项业务</w:t>
      </w:r>
      <w:r>
        <w:rPr>
          <w:rFonts w:ascii="仿宋_GB2312" w:hAnsi="仿宋_GB2312" w:eastAsia="仿宋_GB2312"/>
          <w:b w:val="0"/>
          <w:sz w:val="32"/>
        </w:rPr>
        <w:t>工作经费，相应支出增加。</w:t>
      </w:r>
    </w:p>
    <w:p w14:paraId="65A829D3">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43.92万元，比上年决算增加25.01万元，增长132.26%,主要原因是：本年退休人员增加，增加退休人员基础绩效奖，退休费支出增加。</w:t>
      </w:r>
    </w:p>
    <w:p w14:paraId="77F042EB">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117.67万元，比上年决算增加9.49万元，增长8.77%,主要原因是：本年在职人员工资基数调增，养老缴费基数上涨，相应支出增加。</w:t>
      </w:r>
    </w:p>
    <w:p w14:paraId="2CC2293E">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75.70万元，比上年决算减少0.74万元，下降0.97%,主要原因是：本年在职人员工资基数调增，职业年金缴费基数调整，相应支出增加。</w:t>
      </w:r>
    </w:p>
    <w:p w14:paraId="5758E847">
      <w:pPr>
        <w:spacing w:line="580" w:lineRule="exact"/>
        <w:ind w:firstLine="640"/>
        <w:jc w:val="both"/>
      </w:pPr>
      <w:r>
        <w:rPr>
          <w:rFonts w:ascii="仿宋_GB2312" w:hAnsi="仿宋_GB2312" w:eastAsia="仿宋_GB2312"/>
          <w:b w:val="0"/>
          <w:sz w:val="32"/>
        </w:rPr>
        <w:t>9.卫生健康支出(类)公共卫生(款)突发公共卫生事件应急处理(项):支出决算数为0.00万元，比上年决算减少123.77万元，下降100.00%,主要原因是：本年电力安装工程、隔断打造等工程较上年减少，相应支出。</w:t>
      </w:r>
    </w:p>
    <w:p w14:paraId="09CD2CA8">
      <w:pPr>
        <w:spacing w:line="580" w:lineRule="exact"/>
        <w:ind w:firstLine="640"/>
        <w:jc w:val="both"/>
      </w:pPr>
      <w:r>
        <w:rPr>
          <w:rFonts w:ascii="仿宋_GB2312" w:hAnsi="仿宋_GB2312" w:eastAsia="仿宋_GB2312"/>
          <w:b w:val="0"/>
          <w:sz w:val="32"/>
        </w:rPr>
        <w:t>10.卫生健康支出(类)行政事业单位医疗(款)行政单位医疗(项):支出决算数为30.89万元，比上年决算减少32.05万元，下降50.92%,主要原因是：本年公务员调出、退休人数较多，相应行政单位医疗支出减少。</w:t>
      </w:r>
    </w:p>
    <w:p w14:paraId="75489642">
      <w:pPr>
        <w:spacing w:line="580" w:lineRule="exact"/>
        <w:ind w:firstLine="640"/>
        <w:jc w:val="both"/>
      </w:pPr>
      <w:r>
        <w:rPr>
          <w:rFonts w:ascii="仿宋_GB2312" w:hAnsi="仿宋_GB2312" w:eastAsia="仿宋_GB2312"/>
          <w:b w:val="0"/>
          <w:sz w:val="32"/>
        </w:rPr>
        <w:t>11.卫生健康支出(类)行政事业单位医疗(款)事业单位医疗(项):支出决算数为28.34万元，比上年决算增加4.02万元，增长16.53%,主要原因是：本年事业人员增加，人员工资基数调增，医疗缴费基数上涨，相应支出增加。</w:t>
      </w:r>
    </w:p>
    <w:p w14:paraId="00C2667C">
      <w:pPr>
        <w:spacing w:line="580" w:lineRule="exact"/>
        <w:ind w:firstLine="640"/>
        <w:jc w:val="both"/>
      </w:pPr>
      <w:r>
        <w:rPr>
          <w:rFonts w:ascii="仿宋_GB2312" w:hAnsi="仿宋_GB2312" w:eastAsia="仿宋_GB2312"/>
          <w:b w:val="0"/>
          <w:sz w:val="32"/>
        </w:rPr>
        <w:t>12.卫生健康支出(类)行政事业单位医疗(款)公务员医疗补助(项):支出决算数为4.08万元，比上年决算减少1.48万元，下降26.62%,主要原因是：本年公务员调出、退休人数较多，相应公务员医疗补助支出减少。</w:t>
      </w:r>
    </w:p>
    <w:p w14:paraId="43C1503D">
      <w:pPr>
        <w:spacing w:line="580" w:lineRule="exact"/>
        <w:ind w:firstLine="640"/>
        <w:jc w:val="both"/>
      </w:pPr>
      <w:r>
        <w:rPr>
          <w:rFonts w:ascii="仿宋_GB2312" w:hAnsi="仿宋_GB2312" w:eastAsia="仿宋_GB2312"/>
          <w:b w:val="0"/>
          <w:sz w:val="32"/>
        </w:rPr>
        <w:t>13.住房保障支出(类)住房改革支出(款)住房公积金(项):支出决算数为93.80万元，比上年决算增加8.08万元，增长9.43%,主要原因是：本年在职人员工资基数调增，公积金缴费基数上涨，相应支出增加。</w:t>
      </w:r>
    </w:p>
    <w:p w14:paraId="34C098F8">
      <w:pPr>
        <w:spacing w:line="640" w:lineRule="exact"/>
        <w:ind w:firstLine="640"/>
        <w:jc w:val="both"/>
        <w:outlineLvl w:val="2"/>
      </w:pPr>
      <w:r>
        <w:rPr>
          <w:rFonts w:ascii="黑体" w:hAnsi="黑体" w:eastAsia="黑体"/>
          <w:sz w:val="32"/>
        </w:rPr>
        <w:t>六、一般公共预算财政拨款基本支出决算情况说明</w:t>
      </w:r>
    </w:p>
    <w:p w14:paraId="1F227413">
      <w:pPr>
        <w:spacing w:line="580" w:lineRule="exact"/>
        <w:ind w:firstLine="640"/>
        <w:jc w:val="both"/>
      </w:pPr>
      <w:r>
        <w:rPr>
          <w:rFonts w:ascii="仿宋_GB2312" w:hAnsi="仿宋_GB2312" w:eastAsia="仿宋_GB2312"/>
          <w:b w:val="0"/>
          <w:sz w:val="32"/>
        </w:rPr>
        <w:t>2024年度一般公共预算财政拨款基本支出1,526.90万元，其中：</w:t>
      </w:r>
      <w:r>
        <w:rPr>
          <w:rFonts w:ascii="仿宋_GB2312" w:hAnsi="仿宋_GB2312" w:eastAsia="仿宋_GB2312"/>
          <w:b/>
          <w:sz w:val="32"/>
        </w:rPr>
        <w:t>人员经费1,329.13万元，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其他对个人和家庭的补助。</w:t>
      </w:r>
    </w:p>
    <w:p w14:paraId="28137948">
      <w:pPr>
        <w:spacing w:line="580" w:lineRule="exact"/>
        <w:ind w:firstLine="640"/>
        <w:jc w:val="both"/>
      </w:pPr>
      <w:r>
        <w:rPr>
          <w:rFonts w:ascii="仿宋_GB2312" w:hAnsi="仿宋_GB2312" w:eastAsia="仿宋_GB2312"/>
          <w:b/>
          <w:sz w:val="32"/>
        </w:rPr>
        <w:t>公用经费197.77万元，</w:t>
      </w:r>
      <w:r>
        <w:rPr>
          <w:rFonts w:ascii="仿宋_GB2312" w:hAnsi="仿宋_GB2312" w:eastAsia="仿宋_GB2312"/>
          <w:b w:val="0"/>
          <w:sz w:val="32"/>
        </w:rPr>
        <w:t>包括：办公费、印刷费、水费、电费、邮电费、取暖费、差旅费、维修（护）费、租赁费、培训费、劳务费、委托业务费、工会经费、公务用车运行维护费、其他商品和服务支出、办公设备购置、专用设备购置。</w:t>
      </w:r>
    </w:p>
    <w:p w14:paraId="1A24E137">
      <w:pPr>
        <w:spacing w:line="640" w:lineRule="exact"/>
        <w:ind w:firstLine="640"/>
        <w:jc w:val="both"/>
        <w:outlineLvl w:val="2"/>
      </w:pPr>
      <w:r>
        <w:rPr>
          <w:rFonts w:ascii="黑体" w:hAnsi="黑体" w:eastAsia="黑体"/>
          <w:sz w:val="32"/>
        </w:rPr>
        <w:t>七、政府性基金预算财政拨款收入支出决算情况说明</w:t>
      </w:r>
    </w:p>
    <w:p w14:paraId="301F29EE">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B2EC53D">
      <w:pPr>
        <w:spacing w:line="640" w:lineRule="exact"/>
        <w:ind w:firstLine="640"/>
        <w:jc w:val="both"/>
        <w:outlineLvl w:val="2"/>
      </w:pPr>
      <w:r>
        <w:rPr>
          <w:rFonts w:ascii="黑体" w:hAnsi="黑体" w:eastAsia="黑体"/>
          <w:sz w:val="32"/>
        </w:rPr>
        <w:t>八、国有资本经营预算财政拨款收入支出决算情况说明</w:t>
      </w:r>
    </w:p>
    <w:p w14:paraId="4219AAD3">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5B43E6E">
      <w:pPr>
        <w:spacing w:line="640" w:lineRule="exact"/>
        <w:ind w:firstLine="640"/>
        <w:jc w:val="both"/>
        <w:outlineLvl w:val="2"/>
      </w:pPr>
      <w:r>
        <w:rPr>
          <w:rFonts w:ascii="黑体" w:hAnsi="黑体" w:eastAsia="黑体"/>
          <w:sz w:val="32"/>
        </w:rPr>
        <w:t>九、财政拨款“三公”经费支出决算情况说明</w:t>
      </w:r>
    </w:p>
    <w:p w14:paraId="3314C91B">
      <w:pPr>
        <w:spacing w:line="580" w:lineRule="exact"/>
        <w:ind w:firstLine="640"/>
        <w:jc w:val="both"/>
      </w:pPr>
      <w:r>
        <w:rPr>
          <w:rFonts w:ascii="仿宋_GB2312" w:hAnsi="仿宋_GB2312" w:eastAsia="仿宋_GB2312"/>
          <w:b/>
          <w:sz w:val="32"/>
        </w:rPr>
        <w:t>2024年度财政拨款“三公”经费支出22.70万元，</w:t>
      </w:r>
      <w:r>
        <w:rPr>
          <w:rFonts w:ascii="仿宋_GB2312" w:hAnsi="仿宋_GB2312" w:eastAsia="仿宋_GB2312"/>
          <w:b w:val="0"/>
          <w:sz w:val="32"/>
        </w:rPr>
        <w:t>比上年减少0.36万元，下降1.56%，主要原因是：严格落实中央八项规定精神，厉行节约，减少公务用车运行维护费</w:t>
      </w:r>
      <w:r>
        <w:rPr>
          <w:rFonts w:hint="eastAsia" w:ascii="仿宋_GB2312" w:hAnsi="仿宋_GB2312" w:eastAsia="仿宋_GB2312"/>
          <w:b w:val="0"/>
          <w:sz w:val="32"/>
          <w:lang w:val="en-US" w:eastAsia="zh-CN"/>
        </w:rPr>
        <w:t>及公务接待费</w:t>
      </w:r>
      <w:r>
        <w:rPr>
          <w:rFonts w:ascii="仿宋_GB2312" w:hAnsi="仿宋_GB2312" w:eastAsia="仿宋_GB2312"/>
          <w:b w:val="0"/>
          <w:sz w:val="32"/>
        </w:rPr>
        <w:t>。其中：因公出国（境）费支出0.00万元，占0.00%，比上年增加0.00万元，增长0.00%，主要原因是：2023年与2024年均未安排因公出国（境）费支出。公务用车购置及运行维护费支出22.70万元，占100.00%，比上年减少0.01万元，下降0.04%，主要原因是：严格落实中央八项规定精神，厉行节约，减少公务用车运行维护费。公务接待费支出0.00万元，占0.00%，比上年减少0.35万元，下降100.00%，主要原因是：本年无公务接待费支出。</w:t>
      </w:r>
    </w:p>
    <w:p w14:paraId="5C599CEB">
      <w:pPr>
        <w:spacing w:line="580" w:lineRule="exact"/>
        <w:ind w:firstLine="640"/>
        <w:jc w:val="both"/>
      </w:pPr>
      <w:r>
        <w:rPr>
          <w:rFonts w:ascii="仿宋_GB2312" w:hAnsi="仿宋_GB2312" w:eastAsia="仿宋_GB2312"/>
          <w:b/>
          <w:sz w:val="32"/>
        </w:rPr>
        <w:t>具体情况如下：</w:t>
      </w:r>
    </w:p>
    <w:p w14:paraId="4F0EF1F4">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3B92AC2">
      <w:pPr>
        <w:spacing w:line="580" w:lineRule="exact"/>
        <w:ind w:firstLine="640"/>
        <w:jc w:val="both"/>
      </w:pPr>
      <w:r>
        <w:rPr>
          <w:rFonts w:ascii="仿宋_GB2312" w:hAnsi="仿宋_GB2312" w:eastAsia="仿宋_GB2312"/>
          <w:b w:val="0"/>
          <w:sz w:val="32"/>
        </w:rPr>
        <w:t>公务用车购置及运行维护费22.70万元，其中：公务用车购置费0.00万元，公务用车运行维护费22.70万元。公务用车运行维护费开支内容包括燃油费、车辆保险费、车辆维修费等。公务用车购置数0辆，公务用车保有量8辆。国有资产占用情况中固定资产车辆8辆，与公务用车保有量差异原因是：本单位固定资产车辆与公务用车保有量一致无差异。</w:t>
      </w:r>
    </w:p>
    <w:p w14:paraId="56B3A294">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849697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24.00万元，决算数22.70万元，预决算差异率-5.42%，主要原因是：严格落实中央八项规定精神，厉行节约，减少公务用车使用频次，燃油费减少。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24.00万元，决算数22.70万元，预决算差异率-5.42%，主要原因是：严格落实中央八项规定精神，厉行节约，减少公务用车使用频次，燃油费减少。公务接待费全年预算数0.00万元，决算数0.00万元，预决算差异率0.00%，主要原因是：本单位无公务接待费。</w:t>
      </w:r>
    </w:p>
    <w:p w14:paraId="04BDF4AE">
      <w:pPr>
        <w:spacing w:line="640" w:lineRule="exact"/>
        <w:ind w:firstLine="640"/>
        <w:jc w:val="both"/>
        <w:outlineLvl w:val="2"/>
      </w:pPr>
      <w:r>
        <w:rPr>
          <w:rFonts w:ascii="黑体" w:hAnsi="黑体" w:eastAsia="黑体"/>
          <w:sz w:val="32"/>
        </w:rPr>
        <w:t>十、其他重要事项的情况说明</w:t>
      </w:r>
    </w:p>
    <w:p w14:paraId="0897E831">
      <w:pPr>
        <w:spacing w:line="640" w:lineRule="exact"/>
        <w:ind w:firstLine="640"/>
        <w:jc w:val="both"/>
        <w:outlineLvl w:val="3"/>
      </w:pPr>
      <w:r>
        <w:rPr>
          <w:rFonts w:ascii="楷体_GB2312" w:hAnsi="楷体_GB2312" w:eastAsia="楷体_GB2312"/>
          <w:b/>
          <w:sz w:val="32"/>
        </w:rPr>
        <w:t>（一）机关运行经费及公用经费支出情况</w:t>
      </w:r>
    </w:p>
    <w:p w14:paraId="59C23B53">
      <w:pPr>
        <w:spacing w:line="580" w:lineRule="exact"/>
        <w:ind w:firstLine="640"/>
        <w:jc w:val="both"/>
      </w:pPr>
      <w:r>
        <w:rPr>
          <w:rFonts w:ascii="仿宋_GB2312" w:hAnsi="仿宋_GB2312" w:eastAsia="仿宋_GB2312"/>
          <w:b w:val="0"/>
          <w:sz w:val="32"/>
        </w:rPr>
        <w:t>2024年度吉木萨尔县市场监督管理局（行政单位和参照公务员法管理事业单位）机关运行经费支出197.77万元，比上年增加4.49万元，增长2.32%，主要原因是：本年增加</w:t>
      </w:r>
      <w:bookmarkStart w:id="0" w:name="_GoBack"/>
      <w:bookmarkEnd w:id="0"/>
      <w:r>
        <w:rPr>
          <w:rFonts w:hint="eastAsia" w:ascii="仿宋_GB2312" w:hAnsi="仿宋_GB2312" w:eastAsia="仿宋_GB2312"/>
          <w:b w:val="0"/>
          <w:sz w:val="32"/>
          <w:lang w:eastAsia="zh-CN"/>
        </w:rPr>
        <w:t>专项业务</w:t>
      </w:r>
      <w:r>
        <w:rPr>
          <w:rFonts w:ascii="仿宋_GB2312" w:hAnsi="仿宋_GB2312" w:eastAsia="仿宋_GB2312"/>
          <w:b w:val="0"/>
          <w:sz w:val="32"/>
        </w:rPr>
        <w:t>工作经费，相应支出增加。</w:t>
      </w:r>
    </w:p>
    <w:p w14:paraId="6587FF19">
      <w:pPr>
        <w:spacing w:line="640" w:lineRule="exact"/>
        <w:ind w:firstLine="640"/>
        <w:jc w:val="both"/>
        <w:outlineLvl w:val="3"/>
      </w:pPr>
      <w:r>
        <w:rPr>
          <w:rFonts w:ascii="楷体_GB2312" w:hAnsi="楷体_GB2312" w:eastAsia="楷体_GB2312"/>
          <w:b/>
          <w:sz w:val="32"/>
        </w:rPr>
        <w:t>（二）政府采购情况</w:t>
      </w:r>
    </w:p>
    <w:p w14:paraId="42D9F86E">
      <w:pPr>
        <w:spacing w:line="580" w:lineRule="exact"/>
        <w:ind w:firstLine="640"/>
        <w:jc w:val="both"/>
      </w:pPr>
      <w:r>
        <w:rPr>
          <w:rFonts w:ascii="仿宋_GB2312" w:hAnsi="仿宋_GB2312" w:eastAsia="仿宋_GB2312"/>
          <w:b w:val="0"/>
          <w:sz w:val="32"/>
        </w:rPr>
        <w:t>2024年度政府采购支出总额103.99万元，其中：政府采购货物支出25.40万元、政府采购工程支出53.80万元、政府采购服务支出24.79万元。</w:t>
      </w:r>
    </w:p>
    <w:p w14:paraId="3998888C">
      <w:pPr>
        <w:spacing w:line="580" w:lineRule="exact"/>
        <w:ind w:firstLine="640"/>
        <w:jc w:val="both"/>
      </w:pPr>
      <w:r>
        <w:rPr>
          <w:rFonts w:ascii="仿宋_GB2312" w:hAnsi="仿宋_GB2312" w:eastAsia="仿宋_GB2312"/>
          <w:b w:val="0"/>
          <w:sz w:val="32"/>
        </w:rPr>
        <w:t>授予中小企业合同金额98.40万元，占政府采购支出总额的94.62%，其中：授予小微企业合同金额53.56万元，占政府采购支出总额的51.50%。</w:t>
      </w:r>
    </w:p>
    <w:p w14:paraId="1DDC39EC">
      <w:pPr>
        <w:spacing w:line="640" w:lineRule="exact"/>
        <w:ind w:firstLine="640"/>
        <w:jc w:val="both"/>
        <w:outlineLvl w:val="3"/>
      </w:pPr>
      <w:r>
        <w:rPr>
          <w:rFonts w:ascii="楷体_GB2312" w:hAnsi="楷体_GB2312" w:eastAsia="楷体_GB2312"/>
          <w:b/>
          <w:sz w:val="32"/>
        </w:rPr>
        <w:t>（三）国有资产占用情况说明</w:t>
      </w:r>
    </w:p>
    <w:p w14:paraId="1FF1A8D6">
      <w:pPr>
        <w:spacing w:line="580" w:lineRule="exact"/>
        <w:ind w:firstLine="640"/>
        <w:jc w:val="both"/>
      </w:pPr>
      <w:r>
        <w:rPr>
          <w:rFonts w:ascii="仿宋_GB2312" w:hAnsi="仿宋_GB2312" w:eastAsia="仿宋_GB2312"/>
          <w:b w:val="0"/>
          <w:sz w:val="32"/>
        </w:rPr>
        <w:t>截至2024年12月31日，房屋12,205.00平方米，价值1,697.03万元。车辆8辆，价值112.16万元，其中：副部（省）级及以上领导用车0辆、主要负责人用车0辆、机要通信用车0辆、应急保障用车0辆、执法执勤用车6辆、特种专业技术用车1辆、离退休干部服务用车0辆、其他用车1辆，其他用车主要是：一般公务用车。单价100万元（含）以上设备（不含车辆）0台（套）。</w:t>
      </w:r>
    </w:p>
    <w:p w14:paraId="2A82E53B">
      <w:pPr>
        <w:spacing w:line="640" w:lineRule="exact"/>
        <w:ind w:firstLine="640"/>
        <w:jc w:val="both"/>
        <w:outlineLvl w:val="2"/>
      </w:pPr>
      <w:r>
        <w:rPr>
          <w:rFonts w:ascii="黑体" w:hAnsi="黑体" w:eastAsia="黑体"/>
          <w:sz w:val="32"/>
        </w:rPr>
        <w:t>十一、预算绩效的情况说明</w:t>
      </w:r>
    </w:p>
    <w:p w14:paraId="2A3A595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1,619.82万元，实际执行总额1,585.56万元；预算绩效评价项目5个，全年预算数50.43万元，全年执行数50.43万元。预算绩效管理取得的成效：一是执法效能提升。进一步</w:t>
      </w:r>
      <w:r>
        <w:rPr>
          <w:rFonts w:hint="eastAsia" w:ascii="仿宋_GB2312" w:hAnsi="仿宋_GB2312" w:eastAsia="仿宋_GB2312"/>
          <w:b w:val="0"/>
          <w:sz w:val="32"/>
          <w:lang w:eastAsia="zh-CN"/>
        </w:rPr>
        <w:t>提</w:t>
      </w:r>
      <w:r>
        <w:rPr>
          <w:rFonts w:ascii="仿宋_GB2312" w:hAnsi="仿宋_GB2312" w:eastAsia="仿宋_GB2312"/>
          <w:b w:val="0"/>
          <w:sz w:val="32"/>
        </w:rPr>
        <w:t>高了市场监管能力和水平；二是绩效理念深化。通过预算绩效管理，对“花钱必问效、无效必问责”的理念认识</w:t>
      </w:r>
      <w:r>
        <w:rPr>
          <w:rFonts w:hint="eastAsia" w:ascii="仿宋_GB2312" w:hAnsi="仿宋_GB2312" w:eastAsia="仿宋_GB2312"/>
          <w:b w:val="0"/>
          <w:sz w:val="32"/>
          <w:lang w:eastAsia="zh-CN"/>
        </w:rPr>
        <w:t>更加</w:t>
      </w:r>
      <w:r>
        <w:rPr>
          <w:rFonts w:ascii="仿宋_GB2312" w:hAnsi="仿宋_GB2312" w:eastAsia="仿宋_GB2312"/>
          <w:b w:val="0"/>
          <w:sz w:val="32"/>
        </w:rPr>
        <w:t>深刻，绩效目标设定与实际工作的契合度显著提升；三是公众监督强化。决算公开中同步披露的绩效指标，让社会公众更清晰了解财政资金使用效果，形成外部监督压力，推动单位改进工作。发现的问题及原因：一是思想认识不到位。存在“重预算、轻绩效”的倾向，认为绩效评价是“额外工作”，对决算公开中绩效信息的重要性重视不足；二是专业能力不足。单位缺乏专业的绩效管理人员，对绩效指标设计、评价方法运用不熟练，导致绩效信息质量不高。下一步改进措施：一是强化绩效目标管理。在年初设定绩效目标时，必须与决算公开的指标对应，明确量化标准，确保目标可衡量、可追溯；二是加强绩效业务学习及培训。通过专业培训、学习考察、业务交流等措施，帮助和促进本单位现有人员提高绩效管理业务水平、实际工作能力。具体附整体支出绩效自评表，项目支出绩效自评表。</w:t>
      </w:r>
    </w:p>
    <w:p w14:paraId="2230A99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B255E92">
        <w:tblPrEx>
          <w:tblCellMar>
            <w:top w:w="0" w:type="dxa"/>
            <w:left w:w="108" w:type="dxa"/>
            <w:bottom w:w="0" w:type="dxa"/>
            <w:right w:w="108" w:type="dxa"/>
          </w:tblCellMar>
        </w:tblPrEx>
        <w:tc>
          <w:tcPr>
            <w:tcW w:w="8847" w:type="dxa"/>
            <w:gridSpan w:val="9"/>
            <w:vAlign w:val="center"/>
          </w:tcPr>
          <w:p w14:paraId="53DF5107">
            <w:pPr>
              <w:jc w:val="center"/>
            </w:pPr>
            <w:r>
              <w:rPr>
                <w:rFonts w:ascii="宋体" w:hAnsi="宋体" w:eastAsia="宋体"/>
                <w:sz w:val="24"/>
              </w:rPr>
              <w:t>单位整体支出绩效自评表</w:t>
            </w:r>
          </w:p>
        </w:tc>
      </w:tr>
      <w:tr w14:paraId="7625B82E">
        <w:tblPrEx>
          <w:tblCellMar>
            <w:top w:w="0" w:type="dxa"/>
            <w:left w:w="108" w:type="dxa"/>
            <w:bottom w:w="0" w:type="dxa"/>
            <w:right w:w="108" w:type="dxa"/>
          </w:tblCellMar>
        </w:tblPrEx>
        <w:tc>
          <w:tcPr>
            <w:tcW w:w="8847" w:type="dxa"/>
            <w:gridSpan w:val="9"/>
            <w:vAlign w:val="center"/>
          </w:tcPr>
          <w:p w14:paraId="381E29AB">
            <w:pPr>
              <w:jc w:val="center"/>
            </w:pPr>
            <w:r>
              <w:rPr>
                <w:rFonts w:ascii="宋体" w:hAnsi="宋体" w:eastAsia="宋体"/>
                <w:sz w:val="24"/>
              </w:rPr>
              <w:t>（2024年度）</w:t>
            </w:r>
          </w:p>
        </w:tc>
      </w:tr>
      <w:tr w14:paraId="49D87B0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F25D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2A0D035">
            <w:pPr>
              <w:jc w:val="center"/>
            </w:pPr>
            <w:r>
              <w:rPr>
                <w:rFonts w:ascii="宋体" w:hAnsi="宋体" w:eastAsia="宋体"/>
                <w:sz w:val="16"/>
              </w:rPr>
              <w:t>吉木萨尔县市场监督管理局</w:t>
            </w:r>
          </w:p>
        </w:tc>
      </w:tr>
      <w:tr w14:paraId="0F7DE3F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2BEE2B">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BFA53">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E036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84CA4">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4F89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B1118">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46A0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88B18">
            <w:pPr>
              <w:jc w:val="center"/>
            </w:pPr>
            <w:r>
              <w:rPr>
                <w:rFonts w:ascii="宋体" w:hAnsi="宋体" w:eastAsia="宋体"/>
                <w:sz w:val="16"/>
              </w:rPr>
              <w:t>得分</w:t>
            </w:r>
          </w:p>
        </w:tc>
      </w:tr>
      <w:tr w14:paraId="140F1E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E495B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A04C9">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F2BA0">
            <w:pPr>
              <w:jc w:val="center"/>
            </w:pPr>
            <w:r>
              <w:rPr>
                <w:rFonts w:ascii="宋体" w:hAnsi="宋体" w:eastAsia="宋体"/>
                <w:sz w:val="16"/>
              </w:rPr>
              <w:t>5.70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6578C">
            <w:pPr>
              <w:jc w:val="center"/>
            </w:pPr>
            <w:r>
              <w:rPr>
                <w:rFonts w:ascii="宋体" w:hAnsi="宋体" w:eastAsia="宋体"/>
                <w:sz w:val="16"/>
              </w:rPr>
              <w:t>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BB21E">
            <w:pPr>
              <w:jc w:val="center"/>
            </w:pPr>
            <w:r>
              <w:rPr>
                <w:rFonts w:ascii="宋体" w:hAnsi="宋体" w:eastAsia="宋体"/>
                <w:sz w:val="16"/>
              </w:rPr>
              <w:t>8.61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61E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7F0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A6001">
            <w:pPr>
              <w:jc w:val="center"/>
            </w:pPr>
            <w:r>
              <w:rPr>
                <w:rFonts w:ascii="宋体" w:hAnsi="宋体" w:eastAsia="宋体"/>
                <w:sz w:val="16"/>
              </w:rPr>
              <w:t>-</w:t>
            </w:r>
          </w:p>
        </w:tc>
      </w:tr>
      <w:tr w14:paraId="3E7566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C23F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89BFCC">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D1F83">
            <w:pPr>
              <w:jc w:val="center"/>
            </w:pPr>
            <w:r>
              <w:rPr>
                <w:rFonts w:ascii="宋体" w:hAnsi="宋体" w:eastAsia="宋体"/>
                <w:sz w:val="16"/>
              </w:rPr>
              <w:t>1,514.14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F5DC6">
            <w:pPr>
              <w:jc w:val="center"/>
            </w:pPr>
            <w:r>
              <w:rPr>
                <w:rFonts w:ascii="宋体" w:hAnsi="宋体" w:eastAsia="宋体"/>
                <w:sz w:val="16"/>
              </w:rPr>
              <w:t>1,611.21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07321">
            <w:pPr>
              <w:jc w:val="center"/>
            </w:pPr>
            <w:r>
              <w:rPr>
                <w:rFonts w:ascii="宋体" w:hAnsi="宋体" w:eastAsia="宋体"/>
                <w:sz w:val="16"/>
              </w:rPr>
              <w:t>1,576.95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9BE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58B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04A34">
            <w:pPr>
              <w:jc w:val="center"/>
            </w:pPr>
            <w:r>
              <w:rPr>
                <w:rFonts w:ascii="宋体" w:hAnsi="宋体" w:eastAsia="宋体"/>
                <w:sz w:val="16"/>
              </w:rPr>
              <w:t>-</w:t>
            </w:r>
          </w:p>
        </w:tc>
      </w:tr>
      <w:tr w14:paraId="739C6D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06BC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560FD">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9AD4F">
            <w:pPr>
              <w:jc w:val="center"/>
            </w:pPr>
            <w:r>
              <w:rPr>
                <w:rFonts w:ascii="宋体" w:hAnsi="宋体" w:eastAsia="宋体"/>
                <w:sz w:val="16"/>
              </w:rPr>
              <w:t>19.78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2E0E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9209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E23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535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00617">
            <w:pPr>
              <w:jc w:val="center"/>
            </w:pPr>
            <w:r>
              <w:rPr>
                <w:rFonts w:ascii="宋体" w:hAnsi="宋体" w:eastAsia="宋体"/>
                <w:sz w:val="16"/>
              </w:rPr>
              <w:t>-</w:t>
            </w:r>
          </w:p>
        </w:tc>
      </w:tr>
      <w:tr w14:paraId="763A63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428DE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A05F6">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300B8">
            <w:pPr>
              <w:jc w:val="center"/>
            </w:pPr>
            <w:r>
              <w:rPr>
                <w:rFonts w:ascii="宋体" w:hAnsi="宋体" w:eastAsia="宋体"/>
                <w:sz w:val="16"/>
              </w:rPr>
              <w:t>1,539.62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BCF191">
            <w:pPr>
              <w:jc w:val="center"/>
            </w:pPr>
            <w:r>
              <w:rPr>
                <w:rFonts w:ascii="宋体" w:hAnsi="宋体" w:eastAsia="宋体"/>
                <w:sz w:val="16"/>
              </w:rPr>
              <w:t>1,619.82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50121">
            <w:pPr>
              <w:jc w:val="center"/>
            </w:pPr>
            <w:r>
              <w:rPr>
                <w:rFonts w:ascii="宋体" w:hAnsi="宋体" w:eastAsia="宋体"/>
                <w:sz w:val="16"/>
              </w:rPr>
              <w:t>1,585.56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249B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F65A50">
            <w:pPr>
              <w:jc w:val="center"/>
            </w:pPr>
            <w:r>
              <w:rPr>
                <w:rFonts w:ascii="宋体" w:hAnsi="宋体" w:eastAsia="宋体"/>
                <w:sz w:val="16"/>
              </w:rPr>
              <w:t>97.88%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4353D">
            <w:pPr>
              <w:jc w:val="center"/>
            </w:pPr>
            <w:r>
              <w:rPr>
                <w:rFonts w:ascii="宋体" w:hAnsi="宋体" w:eastAsia="宋体"/>
                <w:sz w:val="16"/>
              </w:rPr>
              <w:t>9.79</w:t>
            </w:r>
          </w:p>
        </w:tc>
      </w:tr>
      <w:tr w14:paraId="02081AE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02FF5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DE443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39F11B">
            <w:pPr>
              <w:jc w:val="center"/>
            </w:pPr>
            <w:r>
              <w:rPr>
                <w:rFonts w:ascii="宋体" w:hAnsi="宋体" w:eastAsia="宋体"/>
                <w:sz w:val="16"/>
              </w:rPr>
              <w:t>实际完成情况</w:t>
            </w:r>
          </w:p>
        </w:tc>
      </w:tr>
      <w:tr w14:paraId="7CF9BA6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8E019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D5389DC">
            <w:pPr>
              <w:jc w:val="both"/>
            </w:pPr>
            <w:r>
              <w:rPr>
                <w:rFonts w:ascii="宋体" w:hAnsi="宋体" w:eastAsia="宋体"/>
                <w:sz w:val="16"/>
              </w:rPr>
              <w:t>1.通过发放在职职工、退休、政府购买</w:t>
            </w:r>
            <w:r>
              <w:rPr>
                <w:rFonts w:hint="eastAsia" w:ascii="宋体" w:hAnsi="宋体"/>
                <w:sz w:val="16"/>
                <w:lang w:eastAsia="zh-CN"/>
              </w:rPr>
              <w:t>岗位</w:t>
            </w:r>
            <w:r>
              <w:rPr>
                <w:rFonts w:ascii="宋体" w:hAnsi="宋体" w:eastAsia="宋体"/>
                <w:sz w:val="16"/>
              </w:rPr>
              <w:t>、遗属</w:t>
            </w:r>
            <w:r>
              <w:rPr>
                <w:rFonts w:hint="eastAsia" w:ascii="宋体" w:hAnsi="宋体"/>
                <w:sz w:val="16"/>
                <w:lang w:val="en-US" w:eastAsia="zh-CN"/>
              </w:rPr>
              <w:t>人员</w:t>
            </w:r>
            <w:r>
              <w:rPr>
                <w:rFonts w:ascii="宋体" w:hAnsi="宋体" w:eastAsia="宋体"/>
                <w:sz w:val="16"/>
              </w:rPr>
              <w:t>的工资、社保、住房公积金、生活补助等经费保障人员经费支出。</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2.通过及时支付各项办公经费、暖气费、公务用车运行维护费等，保障机关工作正常运行。</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3.通过市场监督检查，食品药品抽检、特种设备定期检验、12315投诉及时办结率、农资市场专项检查等，有效提升监管治理能力和治理水平和“两品一械”监管服务水平。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F7C7A9">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1619.82万元，全年执行数为1585.56万元，主要完成任务内容如下：1.实际完成在职职工71名、退休63名、政府购买岗6名、遗属1名的工资、社保、住房公积金、生活补助等的发放工作，保障了人员经费支出；2.实际完成各项办公经费、暖气费、公务用车运行维护费等的支付工作，确保机关工作正常运行；3.实际完成市场监督检查，食品安全监督抽样检查、“两品一械”等抽检、特种设备定期检验、12315投诉及时办结、农资市场常态化检查等，进一步提高了市场监管治理能力和治理水平。</w:t>
            </w:r>
          </w:p>
        </w:tc>
      </w:tr>
      <w:tr w14:paraId="567256F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098D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FF09B">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545DF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DBDF8">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1B20B">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41B5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041F3">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17F92">
            <w:pPr>
              <w:jc w:val="center"/>
            </w:pPr>
            <w:r>
              <w:rPr>
                <w:rFonts w:ascii="宋体" w:hAnsi="宋体" w:eastAsia="宋体"/>
                <w:sz w:val="16"/>
              </w:rPr>
              <w:t>得分</w:t>
            </w:r>
          </w:p>
        </w:tc>
      </w:tr>
      <w:tr w14:paraId="00279E1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687854">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753178">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09E3F2">
            <w:pPr>
              <w:jc w:val="center"/>
            </w:pPr>
            <w:r>
              <w:rPr>
                <w:rFonts w:ascii="宋体" w:hAnsi="宋体" w:eastAsia="宋体"/>
                <w:sz w:val="16"/>
              </w:rPr>
              <w:t>特种设备定期检验率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1B46E">
            <w:pPr>
              <w:jc w:val="center"/>
            </w:pPr>
            <w:r>
              <w:rPr>
                <w:rFonts w:ascii="宋体" w:hAnsi="宋体" w:eastAsia="宋体"/>
                <w:sz w:val="16"/>
              </w:rPr>
              <w:t>&gt;=98%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5139A">
            <w:pPr>
              <w:jc w:val="center"/>
            </w:pPr>
            <w:r>
              <w:rPr>
                <w:rFonts w:ascii="宋体" w:hAnsi="宋体" w:eastAsia="宋体"/>
                <w:sz w:val="16"/>
              </w:rPr>
              <w:t>吉木萨尔县市场监督管理局2023年工作总结及2024年工作计划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511B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C2015">
            <w:pPr>
              <w:jc w:val="center"/>
            </w:pPr>
            <w:r>
              <w:rPr>
                <w:rFonts w:ascii="宋体" w:hAnsi="宋体" w:eastAsia="宋体"/>
                <w:sz w:val="16"/>
              </w:rPr>
              <w:t>=99.2%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90AF5">
            <w:pPr>
              <w:jc w:val="center"/>
            </w:pPr>
            <w:r>
              <w:rPr>
                <w:rFonts w:ascii="宋体" w:hAnsi="宋体" w:eastAsia="宋体"/>
                <w:sz w:val="16"/>
              </w:rPr>
              <w:t>15</w:t>
            </w:r>
          </w:p>
        </w:tc>
      </w:tr>
      <w:tr w14:paraId="6A7616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72F5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A87A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CE9F0">
            <w:pPr>
              <w:jc w:val="center"/>
            </w:pPr>
            <w:r>
              <w:rPr>
                <w:rFonts w:ascii="宋体" w:hAnsi="宋体" w:eastAsia="宋体"/>
                <w:sz w:val="16"/>
              </w:rPr>
              <w:t>食品抽检核查处置率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CB24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142A8">
            <w:pPr>
              <w:jc w:val="center"/>
            </w:pPr>
            <w:r>
              <w:rPr>
                <w:rFonts w:ascii="宋体" w:hAnsi="宋体" w:eastAsia="宋体"/>
                <w:sz w:val="16"/>
              </w:rPr>
              <w:t>吉木萨尔县市场监督管理局2023年工作总结及2024年工作计划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C28C0">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EEA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96805">
            <w:pPr>
              <w:jc w:val="center"/>
            </w:pPr>
            <w:r>
              <w:rPr>
                <w:rFonts w:ascii="宋体" w:hAnsi="宋体" w:eastAsia="宋体"/>
                <w:sz w:val="16"/>
              </w:rPr>
              <w:t>16</w:t>
            </w:r>
          </w:p>
        </w:tc>
      </w:tr>
      <w:tr w14:paraId="3A8C37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D76FC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AF743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22654">
            <w:pPr>
              <w:jc w:val="center"/>
            </w:pPr>
            <w:r>
              <w:rPr>
                <w:rFonts w:ascii="宋体" w:hAnsi="宋体" w:eastAsia="宋体"/>
                <w:sz w:val="16"/>
              </w:rPr>
              <w:t>监督检查覆盖率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E40DA">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BFCBF">
            <w:pPr>
              <w:jc w:val="center"/>
            </w:pPr>
            <w:r>
              <w:rPr>
                <w:rFonts w:ascii="宋体" w:hAnsi="宋体" w:eastAsia="宋体"/>
                <w:sz w:val="16"/>
              </w:rPr>
              <w:t>吉木萨尔县市场监督管理局2023年工作总结及2024年工作计划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83B2D">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5ABB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7EED9">
            <w:pPr>
              <w:jc w:val="center"/>
            </w:pPr>
            <w:r>
              <w:rPr>
                <w:rFonts w:ascii="宋体" w:hAnsi="宋体" w:eastAsia="宋体"/>
                <w:sz w:val="16"/>
              </w:rPr>
              <w:t>12</w:t>
            </w:r>
          </w:p>
        </w:tc>
      </w:tr>
      <w:tr w14:paraId="541735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14BE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020E1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B04F0">
            <w:pPr>
              <w:jc w:val="center"/>
            </w:pPr>
            <w:r>
              <w:rPr>
                <w:rFonts w:ascii="宋体" w:hAnsi="宋体" w:eastAsia="宋体"/>
                <w:sz w:val="16"/>
              </w:rPr>
              <w:t>12315投诉办结率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21E7D">
            <w:pPr>
              <w:jc w:val="center"/>
            </w:pPr>
            <w:r>
              <w:rPr>
                <w:rFonts w:ascii="宋体" w:hAnsi="宋体" w:eastAsia="宋体"/>
                <w:sz w:val="16"/>
              </w:rPr>
              <w:t>&gt;=95%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679D3">
            <w:pPr>
              <w:jc w:val="center"/>
            </w:pPr>
            <w:r>
              <w:rPr>
                <w:rFonts w:ascii="宋体" w:hAnsi="宋体" w:eastAsia="宋体"/>
                <w:sz w:val="16"/>
              </w:rPr>
              <w:t>吉木萨尔县市场监督管理局2023年工作总结及2024年工作计划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149CE">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1BC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B2F7C">
            <w:pPr>
              <w:jc w:val="center"/>
            </w:pPr>
            <w:r>
              <w:rPr>
                <w:rFonts w:ascii="宋体" w:hAnsi="宋体" w:eastAsia="宋体"/>
                <w:sz w:val="16"/>
              </w:rPr>
              <w:t>13</w:t>
            </w:r>
          </w:p>
        </w:tc>
      </w:tr>
      <w:tr w14:paraId="1FAD8D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01D85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15791B">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0E02C">
            <w:pPr>
              <w:jc w:val="center"/>
            </w:pPr>
            <w:r>
              <w:rPr>
                <w:rFonts w:ascii="宋体" w:hAnsi="宋体" w:eastAsia="宋体"/>
                <w:sz w:val="16"/>
              </w:rPr>
              <w:t>食品安全监督抽检批次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4E233">
            <w:pPr>
              <w:jc w:val="center"/>
            </w:pPr>
            <w:r>
              <w:rPr>
                <w:rFonts w:ascii="宋体" w:hAnsi="宋体" w:eastAsia="宋体"/>
                <w:sz w:val="16"/>
              </w:rPr>
              <w:t>&gt;=190批次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1F12F">
            <w:pPr>
              <w:jc w:val="center"/>
            </w:pPr>
            <w:r>
              <w:rPr>
                <w:rFonts w:ascii="宋体" w:hAnsi="宋体" w:eastAsia="宋体"/>
                <w:sz w:val="16"/>
              </w:rPr>
              <w:t>吉木萨尔县市场监督管理局2023年工作总结及2024年工作计划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D60BD">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7F4C4">
            <w:pPr>
              <w:jc w:val="center"/>
            </w:pPr>
            <w:r>
              <w:rPr>
                <w:rFonts w:ascii="宋体" w:hAnsi="宋体" w:eastAsia="宋体"/>
                <w:sz w:val="16"/>
              </w:rPr>
              <w:t>=210批次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DC647">
            <w:pPr>
              <w:jc w:val="center"/>
            </w:pPr>
            <w:r>
              <w:rPr>
                <w:rFonts w:ascii="宋体" w:hAnsi="宋体" w:eastAsia="宋体"/>
                <w:sz w:val="16"/>
              </w:rPr>
              <w:t>11</w:t>
            </w:r>
          </w:p>
        </w:tc>
      </w:tr>
      <w:tr w14:paraId="36C089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AC91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6836F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51BEA">
            <w:pPr>
              <w:jc w:val="center"/>
            </w:pPr>
            <w:r>
              <w:rPr>
                <w:rFonts w:ascii="宋体" w:hAnsi="宋体" w:eastAsia="宋体"/>
                <w:sz w:val="16"/>
              </w:rPr>
              <w:t>农资市场专项检查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A2159">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208C7">
            <w:pPr>
              <w:jc w:val="center"/>
            </w:pPr>
            <w:r>
              <w:rPr>
                <w:rFonts w:ascii="宋体" w:hAnsi="宋体" w:eastAsia="宋体"/>
                <w:sz w:val="16"/>
              </w:rPr>
              <w:t>吉木萨尔县市场监督管理局2023年工作总结及2024年工作计划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63696">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3EEFB">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211DE">
            <w:pPr>
              <w:jc w:val="center"/>
            </w:pPr>
            <w:r>
              <w:rPr>
                <w:rFonts w:ascii="宋体" w:hAnsi="宋体" w:eastAsia="宋体"/>
                <w:sz w:val="16"/>
              </w:rPr>
              <w:t>13</w:t>
            </w:r>
          </w:p>
        </w:tc>
      </w:tr>
      <w:tr w14:paraId="1225BF6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E149D">
            <w:pPr>
              <w:jc w:val="center"/>
            </w:pPr>
            <w:r>
              <w:rPr>
                <w:rFonts w:ascii="宋体" w:hAnsi="宋体" w:eastAsia="宋体"/>
                <w:sz w:val="16"/>
              </w:rPr>
              <w:t>可持续发展能力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320DC">
            <w:pPr>
              <w:jc w:val="center"/>
            </w:pPr>
            <w:r>
              <w:rPr>
                <w:rFonts w:ascii="宋体" w:hAnsi="宋体" w:eastAsia="宋体"/>
                <w:sz w:val="16"/>
              </w:rPr>
              <w:t>可持续影响指标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55641">
            <w:pPr>
              <w:jc w:val="center"/>
            </w:pPr>
            <w:r>
              <w:rPr>
                <w:rFonts w:ascii="宋体" w:hAnsi="宋体" w:eastAsia="宋体"/>
                <w:sz w:val="16"/>
              </w:rPr>
              <w:t>检查问题整改落实率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24AC7">
            <w:pPr>
              <w:jc w:val="center"/>
            </w:pPr>
            <w:r>
              <w:rPr>
                <w:rFonts w:ascii="宋体" w:hAnsi="宋体" w:eastAsia="宋体"/>
                <w:sz w:val="16"/>
              </w:rPr>
              <w:t>&gt;=90%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CB2E9">
            <w:pPr>
              <w:jc w:val="center"/>
            </w:pPr>
            <w:r>
              <w:rPr>
                <w:rFonts w:ascii="宋体" w:hAnsi="宋体" w:eastAsia="宋体"/>
                <w:sz w:val="16"/>
              </w:rPr>
              <w:t>吉木萨尔县市场监督管理局2023年工作总结及2024年工作计划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AEF0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BD9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88792">
            <w:pPr>
              <w:jc w:val="center"/>
            </w:pPr>
            <w:r>
              <w:rPr>
                <w:rFonts w:ascii="宋体" w:hAnsi="宋体" w:eastAsia="宋体"/>
                <w:sz w:val="16"/>
              </w:rPr>
              <w:t>10</w:t>
            </w:r>
          </w:p>
        </w:tc>
      </w:tr>
    </w:tbl>
    <w:p w14:paraId="5FD1BC3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96"/>
      </w:tblGrid>
      <w:tr w14:paraId="615E5A69">
        <w:tblPrEx>
          <w:tblCellMar>
            <w:top w:w="0" w:type="dxa"/>
            <w:left w:w="108" w:type="dxa"/>
            <w:bottom w:w="0" w:type="dxa"/>
            <w:right w:w="108" w:type="dxa"/>
          </w:tblCellMar>
        </w:tblPrEx>
        <w:tc>
          <w:tcPr>
            <w:tcW w:w="8848" w:type="dxa"/>
            <w:gridSpan w:val="14"/>
            <w:vAlign w:val="center"/>
          </w:tcPr>
          <w:p w14:paraId="181542EC">
            <w:pPr>
              <w:jc w:val="center"/>
            </w:pPr>
            <w:r>
              <w:rPr>
                <w:rFonts w:ascii="宋体" w:hAnsi="宋体" w:eastAsia="宋体"/>
                <w:sz w:val="24"/>
              </w:rPr>
              <w:t>项目支出绩效自评表</w:t>
            </w:r>
          </w:p>
        </w:tc>
      </w:tr>
      <w:tr w14:paraId="2850F5F1">
        <w:tblPrEx>
          <w:tblCellMar>
            <w:top w:w="0" w:type="dxa"/>
            <w:left w:w="108" w:type="dxa"/>
            <w:bottom w:w="0" w:type="dxa"/>
            <w:right w:w="108" w:type="dxa"/>
          </w:tblCellMar>
        </w:tblPrEx>
        <w:tc>
          <w:tcPr>
            <w:tcW w:w="8848" w:type="dxa"/>
            <w:gridSpan w:val="14"/>
            <w:vAlign w:val="center"/>
          </w:tcPr>
          <w:p w14:paraId="5EA9DC56">
            <w:pPr>
              <w:jc w:val="center"/>
            </w:pPr>
            <w:r>
              <w:rPr>
                <w:rFonts w:ascii="宋体" w:hAnsi="宋体" w:eastAsia="宋体"/>
                <w:sz w:val="24"/>
              </w:rPr>
              <w:t>(2024年度)</w:t>
            </w:r>
          </w:p>
        </w:tc>
      </w:tr>
      <w:tr w14:paraId="4131BE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BF6D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D54BEE">
            <w:pPr>
              <w:jc w:val="center"/>
            </w:pPr>
            <w:r>
              <w:rPr>
                <w:rFonts w:ascii="宋体" w:hAnsi="宋体" w:eastAsia="宋体"/>
                <w:sz w:val="16"/>
              </w:rPr>
              <w:t>2024年中央食品药品监管补助资金</w:t>
            </w:r>
          </w:p>
        </w:tc>
      </w:tr>
      <w:tr w14:paraId="568FB9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A863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DDB16D">
            <w:pPr>
              <w:jc w:val="center"/>
            </w:pPr>
            <w:r>
              <w:rPr>
                <w:rFonts w:ascii="宋体" w:hAnsi="宋体" w:eastAsia="宋体"/>
                <w:sz w:val="16"/>
              </w:rPr>
              <w:t>吉木萨尔县市场监督管理局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607C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BD0E71">
            <w:pPr>
              <w:jc w:val="center"/>
            </w:pPr>
            <w:r>
              <w:rPr>
                <w:rFonts w:ascii="宋体" w:hAnsi="宋体" w:eastAsia="宋体"/>
                <w:sz w:val="16"/>
              </w:rPr>
              <w:t>吉木萨尔县市场监督管理局</w:t>
            </w:r>
          </w:p>
        </w:tc>
      </w:tr>
      <w:tr w14:paraId="518096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065A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17C9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9C03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B1FC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3AAB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5E48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5CB9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9AC5C">
            <w:pPr>
              <w:jc w:val="center"/>
            </w:pPr>
            <w:r>
              <w:rPr>
                <w:rFonts w:ascii="宋体" w:hAnsi="宋体" w:eastAsia="宋体"/>
                <w:sz w:val="16"/>
              </w:rPr>
              <w:t>得分</w:t>
            </w:r>
          </w:p>
        </w:tc>
      </w:tr>
      <w:tr w14:paraId="0E7732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8CF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DE03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E7A11">
            <w:pPr>
              <w:jc w:val="center"/>
            </w:pPr>
            <w:r>
              <w:rPr>
                <w:rFonts w:ascii="宋体" w:hAnsi="宋体" w:eastAsia="宋体"/>
                <w:sz w:val="16"/>
              </w:rPr>
              <w:t>1.21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FE6B8">
            <w:pPr>
              <w:jc w:val="center"/>
            </w:pPr>
            <w:r>
              <w:rPr>
                <w:rFonts w:ascii="宋体" w:hAnsi="宋体" w:eastAsia="宋体"/>
                <w:sz w:val="16"/>
              </w:rPr>
              <w:t>1.21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3FF76">
            <w:pPr>
              <w:jc w:val="center"/>
            </w:pPr>
            <w:r>
              <w:rPr>
                <w:rFonts w:ascii="宋体" w:hAnsi="宋体" w:eastAsia="宋体"/>
                <w:sz w:val="16"/>
              </w:rPr>
              <w:t>1.21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4E12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6028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97E23">
            <w:pPr>
              <w:jc w:val="center"/>
            </w:pPr>
            <w:r>
              <w:rPr>
                <w:rFonts w:ascii="宋体" w:hAnsi="宋体" w:eastAsia="宋体"/>
                <w:sz w:val="16"/>
              </w:rPr>
              <w:t>10.00</w:t>
            </w:r>
          </w:p>
        </w:tc>
      </w:tr>
      <w:tr w14:paraId="06622B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257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9206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9455B">
            <w:pPr>
              <w:jc w:val="center"/>
            </w:pPr>
            <w:r>
              <w:rPr>
                <w:rFonts w:ascii="宋体" w:hAnsi="宋体" w:eastAsia="宋体"/>
                <w:sz w:val="16"/>
              </w:rPr>
              <w:t>1.21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BFD41">
            <w:pPr>
              <w:jc w:val="center"/>
            </w:pPr>
            <w:r>
              <w:rPr>
                <w:rFonts w:ascii="宋体" w:hAnsi="宋体" w:eastAsia="宋体"/>
                <w:sz w:val="16"/>
              </w:rPr>
              <w:t>1.21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75EE3">
            <w:pPr>
              <w:jc w:val="center"/>
            </w:pPr>
            <w:r>
              <w:rPr>
                <w:rFonts w:ascii="宋体" w:hAnsi="宋体" w:eastAsia="宋体"/>
                <w:sz w:val="16"/>
              </w:rPr>
              <w:t>1.21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EAC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24F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7C57">
            <w:pPr>
              <w:jc w:val="center"/>
            </w:pPr>
            <w:r>
              <w:rPr>
                <w:rFonts w:ascii="宋体" w:hAnsi="宋体" w:eastAsia="宋体"/>
                <w:sz w:val="16"/>
              </w:rPr>
              <w:t>—</w:t>
            </w:r>
          </w:p>
        </w:tc>
      </w:tr>
      <w:tr w14:paraId="5155CA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CFC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E346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833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D7D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B6BD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C322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AAA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7DDFB">
            <w:pPr>
              <w:jc w:val="center"/>
            </w:pPr>
            <w:r>
              <w:rPr>
                <w:rFonts w:ascii="宋体" w:hAnsi="宋体" w:eastAsia="宋体"/>
                <w:sz w:val="16"/>
              </w:rPr>
              <w:t>—</w:t>
            </w:r>
          </w:p>
        </w:tc>
      </w:tr>
      <w:tr w14:paraId="157959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8B9CB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62F11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9806DD">
            <w:pPr>
              <w:jc w:val="center"/>
            </w:pPr>
            <w:r>
              <w:rPr>
                <w:rFonts w:ascii="宋体" w:hAnsi="宋体" w:eastAsia="宋体"/>
                <w:sz w:val="16"/>
              </w:rPr>
              <w:t>实际完成情况</w:t>
            </w:r>
          </w:p>
        </w:tc>
      </w:tr>
      <w:tr w14:paraId="4F42B8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41B6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A546B1">
            <w:pPr>
              <w:jc w:val="both"/>
            </w:pPr>
            <w:r>
              <w:rPr>
                <w:rFonts w:ascii="宋体" w:hAnsi="宋体" w:eastAsia="宋体"/>
                <w:sz w:val="16"/>
              </w:rPr>
              <w:t>本项目主要实施内容为：紧紧围绕社会稳定和长治久安总目标，认真贯彻全国药品监督管理工作会议部署和自治区药监局2024年药品监督重点工作安排，以提高药品安全水平为核心，进一步做好医疗器械、化妆品抽检和药品评价性抽检工作，项目总投资为1.21万元，完成药品评价性抽样1批次，药品领域工作人员培训1人次，努力提高监管能力和监管水平，以“四个最严”的要求保障药品安全，待项目实施完成，争取使公众对药品安全的满意度不低于85%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E2899E">
            <w:pPr>
              <w:jc w:val="both"/>
            </w:pPr>
            <w:r>
              <w:rPr>
                <w:rFonts w:hint="eastAsia" w:ascii="宋体" w:hAnsi="宋体"/>
                <w:sz w:val="16"/>
                <w:lang w:eastAsia="zh-CN"/>
              </w:rPr>
              <w:t>截至</w:t>
            </w:r>
            <w:r>
              <w:rPr>
                <w:rFonts w:ascii="宋体" w:hAnsi="宋体" w:eastAsia="宋体"/>
                <w:sz w:val="16"/>
              </w:rPr>
              <w:t>2024年12月31日，项目实际支出1.21万元，预算执行率为100%。通过项目的实施，实际完成药品评价性抽样1批次，药品领域工作人员培训1人次，提高了监管能力和监管水平，保障了药品安全，公众对药品安全的满意度达100%。进一步做好医疗器械、化妆品抽检和药品评价性抽检工作</w:t>
            </w:r>
          </w:p>
        </w:tc>
      </w:tr>
      <w:tr w14:paraId="13F609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41FA6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38DE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B58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5C9B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7D9E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22C8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497F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9757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6F1D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C4B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BD4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E7C5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ABAA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BBBE3">
            <w:pPr>
              <w:jc w:val="center"/>
            </w:pPr>
            <w:r>
              <w:rPr>
                <w:rFonts w:ascii="宋体" w:hAnsi="宋体" w:eastAsia="宋体"/>
                <w:sz w:val="16"/>
              </w:rPr>
              <w:t>偏差原因分析及改进措施</w:t>
            </w:r>
          </w:p>
        </w:tc>
      </w:tr>
      <w:tr w14:paraId="6DDB2C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4D30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9FE4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E87E6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D8176">
            <w:pPr>
              <w:jc w:val="center"/>
            </w:pPr>
            <w:r>
              <w:rPr>
                <w:rFonts w:ascii="宋体" w:hAnsi="宋体" w:eastAsia="宋体"/>
                <w:sz w:val="16"/>
              </w:rPr>
              <w:t>药品评价性抽样次数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FCDA">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C1A8">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00A9">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FAD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1915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C5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B10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D4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419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02B44">
            <w:pPr>
              <w:jc w:val="center"/>
            </w:pPr>
          </w:p>
        </w:tc>
      </w:tr>
      <w:tr w14:paraId="1D15FB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996C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67D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B204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FFE59">
            <w:pPr>
              <w:jc w:val="center"/>
            </w:pPr>
            <w:r>
              <w:rPr>
                <w:rFonts w:ascii="宋体" w:hAnsi="宋体" w:eastAsia="宋体"/>
                <w:sz w:val="16"/>
              </w:rPr>
              <w:t>药品领域工作人员培训人次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A0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31AB4">
            <w:pPr>
              <w:jc w:val="center"/>
            </w:pPr>
            <w:r>
              <w:rPr>
                <w:rFonts w:ascii="宋体" w:hAnsi="宋体" w:eastAsia="宋体"/>
                <w:sz w:val="16"/>
              </w:rPr>
              <w:t>&gt;=1人次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61719">
            <w:pPr>
              <w:jc w:val="center"/>
            </w:pPr>
            <w:r>
              <w:rPr>
                <w:rFonts w:ascii="宋体" w:hAnsi="宋体" w:eastAsia="宋体"/>
                <w:sz w:val="16"/>
              </w:rPr>
              <w:t>=1人次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515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53A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675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C55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0F1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F28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DA5C6">
            <w:pPr>
              <w:jc w:val="center"/>
            </w:pPr>
          </w:p>
        </w:tc>
      </w:tr>
      <w:tr w14:paraId="6001F7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3859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59B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3B27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DFFF4">
            <w:pPr>
              <w:jc w:val="center"/>
            </w:pPr>
            <w:r>
              <w:rPr>
                <w:rFonts w:ascii="宋体" w:hAnsi="宋体" w:eastAsia="宋体"/>
                <w:sz w:val="16"/>
              </w:rPr>
              <w:t>“两品一械”监督检查覆盖率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1D37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9CF3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231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23212">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FCCD1">
            <w:pPr>
              <w:jc w:val="center"/>
            </w:pPr>
            <w:r>
              <w:rPr>
                <w:rFonts w:ascii="宋体" w:hAnsi="宋体" w:eastAsia="宋体"/>
                <w:sz w:val="16"/>
              </w:rPr>
              <w:t>8.01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E3C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FEE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5AC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026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F00FF">
            <w:pPr>
              <w:jc w:val="center"/>
            </w:pPr>
            <w:r>
              <w:rPr>
                <w:rFonts w:ascii="宋体" w:hAnsi="宋体" w:eastAsia="宋体"/>
                <w:sz w:val="16"/>
              </w:rPr>
              <w:t>指标预期值设置比较保守，</w:t>
            </w:r>
            <w:r>
              <w:rPr>
                <w:rFonts w:hint="eastAsia" w:ascii="宋体" w:hAnsi="宋体"/>
                <w:sz w:val="16"/>
                <w:lang w:eastAsia="zh-CN"/>
              </w:rPr>
              <w:t>项目</w:t>
            </w:r>
            <w:r>
              <w:rPr>
                <w:rFonts w:ascii="宋体" w:hAnsi="宋体" w:eastAsia="宋体"/>
                <w:sz w:val="16"/>
              </w:rPr>
              <w:t>实际按照任务已全部完成</w:t>
            </w:r>
          </w:p>
        </w:tc>
      </w:tr>
      <w:tr w14:paraId="3DA529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5C33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5A5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DDF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89B57">
            <w:pPr>
              <w:jc w:val="center"/>
            </w:pPr>
            <w:r>
              <w:rPr>
                <w:rFonts w:ascii="宋体" w:hAnsi="宋体" w:eastAsia="宋体"/>
                <w:sz w:val="16"/>
              </w:rPr>
              <w:t>抽检活动及时完成率</w:t>
            </w:r>
            <w:r>
              <w:rPr>
                <w:rFonts w:ascii="宋体" w:hAnsi="宋体" w:eastAsia="宋体"/>
                <w:sz w:val="16"/>
              </w:rPr>
              <w:br w:type="textWrapping"/>
            </w: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56A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5D80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AD2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BC364">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7132">
            <w:pPr>
              <w:jc w:val="center"/>
            </w:pPr>
            <w:r>
              <w:rPr>
                <w:rFonts w:ascii="宋体" w:hAnsi="宋体" w:eastAsia="宋体"/>
                <w:sz w:val="16"/>
              </w:rPr>
              <w:t>8.9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DDF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426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4E2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FDD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E12C0">
            <w:pPr>
              <w:jc w:val="center"/>
            </w:pPr>
            <w:r>
              <w:rPr>
                <w:rFonts w:ascii="宋体" w:hAnsi="宋体" w:eastAsia="宋体"/>
                <w:sz w:val="16"/>
              </w:rPr>
              <w:t>指标预期值设置比较保守，</w:t>
            </w:r>
            <w:r>
              <w:rPr>
                <w:rFonts w:hint="eastAsia" w:ascii="宋体" w:hAnsi="宋体"/>
                <w:sz w:val="16"/>
                <w:lang w:eastAsia="zh-CN"/>
              </w:rPr>
              <w:t>项目</w:t>
            </w:r>
            <w:r>
              <w:rPr>
                <w:rFonts w:ascii="宋体" w:hAnsi="宋体" w:eastAsia="宋体"/>
                <w:sz w:val="16"/>
              </w:rPr>
              <w:t>实际按照任务已全部完成</w:t>
            </w:r>
          </w:p>
        </w:tc>
      </w:tr>
      <w:tr w14:paraId="5C4EF2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0A90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78F9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7FB4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44103">
            <w:pPr>
              <w:jc w:val="center"/>
            </w:pPr>
            <w:r>
              <w:rPr>
                <w:rFonts w:ascii="宋体" w:hAnsi="宋体" w:eastAsia="宋体"/>
                <w:sz w:val="16"/>
              </w:rPr>
              <w:t>食品药品监管补助资金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705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123AC">
            <w:pPr>
              <w:jc w:val="center"/>
            </w:pPr>
            <w:r>
              <w:rPr>
                <w:rFonts w:ascii="宋体" w:hAnsi="宋体" w:eastAsia="宋体"/>
                <w:sz w:val="16"/>
              </w:rPr>
              <w:t>&lt;=1.21万元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F5F4B">
            <w:pPr>
              <w:jc w:val="center"/>
            </w:pPr>
            <w:r>
              <w:rPr>
                <w:rFonts w:ascii="宋体" w:hAnsi="宋体" w:eastAsia="宋体"/>
                <w:sz w:val="16"/>
              </w:rPr>
              <w:t>=1.21万元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6BA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156A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E85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21D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861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0F79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1409D">
            <w:pPr>
              <w:jc w:val="center"/>
            </w:pPr>
          </w:p>
        </w:tc>
      </w:tr>
      <w:tr w14:paraId="17AA65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718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3107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78E8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3A1B0">
            <w:pPr>
              <w:jc w:val="center"/>
            </w:pPr>
            <w:r>
              <w:rPr>
                <w:rFonts w:ascii="宋体" w:hAnsi="宋体" w:eastAsia="宋体"/>
                <w:sz w:val="16"/>
              </w:rPr>
              <w:t>提升“两品一械”监管服务水平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1AC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957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B2477">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7C0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9D9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C41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478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88D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92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4F98C">
            <w:pPr>
              <w:jc w:val="center"/>
            </w:pPr>
          </w:p>
        </w:tc>
      </w:tr>
      <w:tr w14:paraId="500FD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F9A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48A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1ED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C7667">
            <w:pPr>
              <w:jc w:val="center"/>
            </w:pPr>
            <w:r>
              <w:rPr>
                <w:rFonts w:ascii="宋体" w:hAnsi="宋体" w:eastAsia="宋体"/>
                <w:sz w:val="16"/>
              </w:rPr>
              <w:t>减少假冒伪劣“两品一械”制售行为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89E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B523E">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DAE36">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97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005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80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3E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0808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3F9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F9B6B">
            <w:pPr>
              <w:jc w:val="center"/>
            </w:pPr>
          </w:p>
        </w:tc>
      </w:tr>
      <w:tr w14:paraId="4E1DF5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419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CF0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361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DC47">
            <w:pPr>
              <w:jc w:val="center"/>
            </w:pPr>
            <w:r>
              <w:rPr>
                <w:rFonts w:ascii="宋体" w:hAnsi="宋体" w:eastAsia="宋体"/>
                <w:sz w:val="16"/>
              </w:rPr>
              <w:t>公众对药品安全的满意度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46D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31B10">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7C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E66CA">
            <w:pPr>
              <w:jc w:val="center"/>
            </w:pPr>
            <w:r>
              <w:rPr>
                <w:rFonts w:ascii="宋体" w:hAnsi="宋体" w:eastAsia="宋体"/>
                <w:sz w:val="16"/>
              </w:rPr>
              <w:t>117%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D86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B93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50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B76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AEF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D7E92">
            <w:pPr>
              <w:jc w:val="center"/>
            </w:pPr>
            <w:r>
              <w:rPr>
                <w:rFonts w:ascii="宋体" w:hAnsi="宋体" w:eastAsia="宋体"/>
                <w:sz w:val="16"/>
              </w:rPr>
              <w:t>公众对药品安全的满</w:t>
            </w:r>
            <w:r>
              <w:rPr>
                <w:rFonts w:hint="eastAsia" w:ascii="宋体" w:hAnsi="宋体"/>
                <w:sz w:val="16"/>
                <w:lang w:eastAsia="zh-CN"/>
              </w:rPr>
              <w:t>意度</w:t>
            </w:r>
            <w:r>
              <w:rPr>
                <w:rFonts w:ascii="宋体" w:hAnsi="宋体" w:eastAsia="宋体"/>
                <w:sz w:val="16"/>
              </w:rPr>
              <w:t>达到100%。</w:t>
            </w:r>
          </w:p>
        </w:tc>
      </w:tr>
      <w:tr w14:paraId="13569C7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2204A0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84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B4F8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3C07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1B80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1355C">
            <w:pPr>
              <w:jc w:val="center"/>
            </w:pPr>
            <w:r>
              <w:rPr>
                <w:rFonts w:ascii="宋体" w:hAnsi="宋体" w:eastAsia="宋体"/>
                <w:sz w:val="16"/>
              </w:rPr>
              <w:t>97.91分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F999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BF19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A881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0989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8DE877"/>
        </w:tc>
      </w:tr>
    </w:tbl>
    <w:p w14:paraId="605A2B4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96"/>
        <w:gridCol w:w="632"/>
        <w:gridCol w:w="632"/>
        <w:gridCol w:w="632"/>
        <w:gridCol w:w="632"/>
        <w:gridCol w:w="632"/>
        <w:gridCol w:w="632"/>
        <w:gridCol w:w="632"/>
        <w:gridCol w:w="696"/>
      </w:tblGrid>
      <w:tr w14:paraId="69B262F6">
        <w:tblPrEx>
          <w:tblCellMar>
            <w:top w:w="0" w:type="dxa"/>
            <w:left w:w="108" w:type="dxa"/>
            <w:bottom w:w="0" w:type="dxa"/>
            <w:right w:w="108" w:type="dxa"/>
          </w:tblCellMar>
        </w:tblPrEx>
        <w:tc>
          <w:tcPr>
            <w:tcW w:w="8848" w:type="dxa"/>
            <w:gridSpan w:val="14"/>
            <w:vAlign w:val="center"/>
          </w:tcPr>
          <w:p w14:paraId="1B72BE03">
            <w:pPr>
              <w:jc w:val="center"/>
            </w:pPr>
            <w:r>
              <w:rPr>
                <w:rFonts w:ascii="宋体" w:hAnsi="宋体" w:eastAsia="宋体"/>
                <w:sz w:val="24"/>
              </w:rPr>
              <w:t>项目支出绩效自评表</w:t>
            </w:r>
          </w:p>
        </w:tc>
      </w:tr>
      <w:tr w14:paraId="46A9F2D6">
        <w:tblPrEx>
          <w:tblCellMar>
            <w:top w:w="0" w:type="dxa"/>
            <w:left w:w="108" w:type="dxa"/>
            <w:bottom w:w="0" w:type="dxa"/>
            <w:right w:w="108" w:type="dxa"/>
          </w:tblCellMar>
        </w:tblPrEx>
        <w:tc>
          <w:tcPr>
            <w:tcW w:w="8848" w:type="dxa"/>
            <w:gridSpan w:val="14"/>
            <w:vAlign w:val="center"/>
          </w:tcPr>
          <w:p w14:paraId="0E4763B8">
            <w:pPr>
              <w:jc w:val="center"/>
            </w:pPr>
            <w:r>
              <w:rPr>
                <w:rFonts w:ascii="宋体" w:hAnsi="宋体" w:eastAsia="宋体"/>
                <w:sz w:val="24"/>
              </w:rPr>
              <w:t>(2024年度)</w:t>
            </w:r>
          </w:p>
        </w:tc>
      </w:tr>
      <w:tr w14:paraId="27A221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70E8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A0F3427">
            <w:pPr>
              <w:jc w:val="center"/>
            </w:pPr>
            <w:r>
              <w:rPr>
                <w:rFonts w:ascii="宋体" w:hAnsi="宋体" w:eastAsia="宋体"/>
                <w:sz w:val="16"/>
              </w:rPr>
              <w:t>2024年度自治区药品抽检经费的通知</w:t>
            </w:r>
          </w:p>
        </w:tc>
      </w:tr>
      <w:tr w14:paraId="6E401EA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CCF0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01AC1D">
            <w:pPr>
              <w:jc w:val="center"/>
            </w:pPr>
            <w:r>
              <w:rPr>
                <w:rFonts w:ascii="宋体" w:hAnsi="宋体" w:eastAsia="宋体"/>
                <w:sz w:val="16"/>
              </w:rPr>
              <w:t>吉木萨尔县市场监督管理局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2DD8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B72A1E">
            <w:pPr>
              <w:jc w:val="center"/>
            </w:pPr>
            <w:r>
              <w:rPr>
                <w:rFonts w:ascii="宋体" w:hAnsi="宋体" w:eastAsia="宋体"/>
                <w:sz w:val="16"/>
              </w:rPr>
              <w:t>吉木萨尔县市场监督管理局</w:t>
            </w:r>
          </w:p>
        </w:tc>
      </w:tr>
      <w:tr w14:paraId="333747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A6A8E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B683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3CDA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4026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DEB1A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72F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2D98D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13BC7">
            <w:pPr>
              <w:jc w:val="center"/>
            </w:pPr>
            <w:r>
              <w:rPr>
                <w:rFonts w:ascii="宋体" w:hAnsi="宋体" w:eastAsia="宋体"/>
                <w:sz w:val="16"/>
              </w:rPr>
              <w:t>得分</w:t>
            </w:r>
          </w:p>
        </w:tc>
      </w:tr>
      <w:tr w14:paraId="3B9C8D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B98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A9F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0EE7B">
            <w:pPr>
              <w:jc w:val="center"/>
            </w:pPr>
            <w:r>
              <w:rPr>
                <w:rFonts w:ascii="宋体" w:hAnsi="宋体" w:eastAsia="宋体"/>
                <w:sz w:val="16"/>
              </w:rPr>
              <w:t>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9940D">
            <w:pPr>
              <w:jc w:val="center"/>
            </w:pPr>
            <w:r>
              <w:rPr>
                <w:rFonts w:ascii="宋体" w:hAnsi="宋体" w:eastAsia="宋体"/>
                <w:sz w:val="16"/>
              </w:rPr>
              <w:t>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3EE35">
            <w:pPr>
              <w:jc w:val="center"/>
            </w:pPr>
            <w:r>
              <w:rPr>
                <w:rFonts w:ascii="宋体" w:hAnsi="宋体" w:eastAsia="宋体"/>
                <w:sz w:val="16"/>
              </w:rPr>
              <w:t>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DAF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FB52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27BCD">
            <w:pPr>
              <w:jc w:val="center"/>
            </w:pPr>
            <w:r>
              <w:rPr>
                <w:rFonts w:ascii="宋体" w:hAnsi="宋体" w:eastAsia="宋体"/>
                <w:sz w:val="16"/>
              </w:rPr>
              <w:t>10.00</w:t>
            </w:r>
          </w:p>
        </w:tc>
      </w:tr>
      <w:tr w14:paraId="1C6F6D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176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47CF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AE2FD4">
            <w:pPr>
              <w:jc w:val="center"/>
            </w:pPr>
            <w:r>
              <w:rPr>
                <w:rFonts w:ascii="宋体" w:hAnsi="宋体" w:eastAsia="宋体"/>
                <w:sz w:val="16"/>
              </w:rPr>
              <w:t>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BA354">
            <w:pPr>
              <w:jc w:val="center"/>
            </w:pPr>
            <w:r>
              <w:rPr>
                <w:rFonts w:ascii="宋体" w:hAnsi="宋体" w:eastAsia="宋体"/>
                <w:sz w:val="16"/>
              </w:rPr>
              <w:t>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9F1D8">
            <w:pPr>
              <w:jc w:val="center"/>
            </w:pPr>
            <w:r>
              <w:rPr>
                <w:rFonts w:ascii="宋体" w:hAnsi="宋体" w:eastAsia="宋体"/>
                <w:sz w:val="16"/>
              </w:rPr>
              <w:t>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449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92D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5CB39">
            <w:pPr>
              <w:jc w:val="center"/>
            </w:pPr>
            <w:r>
              <w:rPr>
                <w:rFonts w:ascii="宋体" w:hAnsi="宋体" w:eastAsia="宋体"/>
                <w:sz w:val="16"/>
              </w:rPr>
              <w:t>—</w:t>
            </w:r>
          </w:p>
        </w:tc>
      </w:tr>
      <w:tr w14:paraId="17B7FE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7D7E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C061E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7698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7A1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8D0B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E2D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F59D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B6904">
            <w:pPr>
              <w:jc w:val="center"/>
            </w:pPr>
            <w:r>
              <w:rPr>
                <w:rFonts w:ascii="宋体" w:hAnsi="宋体" w:eastAsia="宋体"/>
                <w:sz w:val="16"/>
              </w:rPr>
              <w:t>—</w:t>
            </w:r>
          </w:p>
        </w:tc>
      </w:tr>
      <w:tr w14:paraId="0E2FFE6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C0A8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A3273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9D2A52">
            <w:pPr>
              <w:jc w:val="center"/>
            </w:pPr>
            <w:r>
              <w:rPr>
                <w:rFonts w:ascii="宋体" w:hAnsi="宋体" w:eastAsia="宋体"/>
                <w:sz w:val="16"/>
              </w:rPr>
              <w:t>实际完成情况</w:t>
            </w:r>
          </w:p>
        </w:tc>
      </w:tr>
      <w:tr w14:paraId="3036DA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CE51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B077B6">
            <w:pPr>
              <w:jc w:val="both"/>
            </w:pPr>
            <w:r>
              <w:rPr>
                <w:rFonts w:ascii="宋体" w:hAnsi="宋体" w:eastAsia="宋体"/>
                <w:sz w:val="16"/>
              </w:rPr>
              <w:t>紧紧围绕社会稳定和长治久安总目标，认真贯彻全国药品监督管理工作会议部署和自治区药监局2024年药品监督重点工作安排，以提高药品安全水平为核心，坚持问题导向、重点突出、监检结合和三级联动原则，进一步做好医疗器械、化妆品抽检和药品评价性抽检工作，完成药品评价性抽样1批次，购买监督检查所需办公设备，努力提高监管能力和监管水平，以“四个最严”的要求保障药品安全，坚决守住县内不发生重大药品安全事故底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B02CC3">
            <w:pPr>
              <w:jc w:val="both"/>
            </w:pPr>
            <w:r>
              <w:rPr>
                <w:rFonts w:hint="eastAsia" w:ascii="宋体" w:hAnsi="宋体"/>
                <w:sz w:val="16"/>
                <w:lang w:eastAsia="zh-CN"/>
              </w:rPr>
              <w:t>截至</w:t>
            </w:r>
            <w:r>
              <w:rPr>
                <w:rFonts w:ascii="宋体" w:hAnsi="宋体" w:eastAsia="宋体"/>
                <w:sz w:val="16"/>
              </w:rPr>
              <w:t>2024年12月31日，项目实际支出1.7万元，预算执行率为100%。通过项目的实施，完成药品评价性抽样1批次，购买监督检查所需办公设备1台，努力提高监管能力和监管水平，以“四个最严”的要求保障药品安全，坚决守住县内不发生重大药品安全事故底线要求。</w:t>
            </w:r>
          </w:p>
        </w:tc>
      </w:tr>
      <w:tr w14:paraId="67C2B9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711BA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A006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DEA8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CE8B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A54D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6274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64FB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9C26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5BA6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5F19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01C6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06D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5DE0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6071">
            <w:pPr>
              <w:jc w:val="center"/>
            </w:pPr>
            <w:r>
              <w:rPr>
                <w:rFonts w:ascii="宋体" w:hAnsi="宋体" w:eastAsia="宋体"/>
                <w:sz w:val="16"/>
              </w:rPr>
              <w:t>偏差原因分析及改进措施</w:t>
            </w:r>
          </w:p>
        </w:tc>
      </w:tr>
      <w:tr w14:paraId="07FB19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61888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F5E8D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CA05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89FC">
            <w:pPr>
              <w:jc w:val="center"/>
            </w:pPr>
            <w:r>
              <w:rPr>
                <w:rFonts w:ascii="宋体" w:hAnsi="宋体" w:eastAsia="宋体"/>
                <w:sz w:val="16"/>
              </w:rPr>
              <w:t>药品评价性抽样批次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285C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D87F">
            <w:pPr>
              <w:jc w:val="center"/>
            </w:pPr>
            <w:r>
              <w:rPr>
                <w:rFonts w:ascii="宋体" w:hAnsi="宋体" w:eastAsia="宋体"/>
                <w:sz w:val="16"/>
              </w:rPr>
              <w:t>&gt;=1批次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C36B3">
            <w:pPr>
              <w:jc w:val="center"/>
            </w:pPr>
            <w:r>
              <w:rPr>
                <w:rFonts w:ascii="宋体" w:hAnsi="宋体" w:eastAsia="宋体"/>
                <w:sz w:val="16"/>
              </w:rPr>
              <w:t>=1批次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9A8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D7CE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577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6B5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33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B53F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11FE4">
            <w:pPr>
              <w:jc w:val="center"/>
            </w:pPr>
          </w:p>
        </w:tc>
      </w:tr>
      <w:tr w14:paraId="19D1D8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7BE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233E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BC8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76666">
            <w:pPr>
              <w:jc w:val="center"/>
            </w:pPr>
            <w:r>
              <w:rPr>
                <w:rFonts w:ascii="宋体" w:hAnsi="宋体" w:eastAsia="宋体"/>
                <w:sz w:val="16"/>
              </w:rPr>
              <w:t>设备购置数量（个）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1AE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28AC9">
            <w:pPr>
              <w:jc w:val="center"/>
            </w:pPr>
            <w:r>
              <w:rPr>
                <w:rFonts w:ascii="宋体" w:hAnsi="宋体" w:eastAsia="宋体"/>
                <w:sz w:val="16"/>
              </w:rPr>
              <w:t>&gt;=1台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326B8">
            <w:pPr>
              <w:jc w:val="center"/>
            </w:pPr>
            <w:r>
              <w:rPr>
                <w:rFonts w:ascii="宋体" w:hAnsi="宋体" w:eastAsia="宋体"/>
                <w:sz w:val="16"/>
              </w:rPr>
              <w:t>=1台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B65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FD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36B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7B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E92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0F43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F19EE">
            <w:pPr>
              <w:jc w:val="center"/>
            </w:pPr>
          </w:p>
        </w:tc>
      </w:tr>
      <w:tr w14:paraId="17D140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C9A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4F2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8F51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D86EC">
            <w:pPr>
              <w:jc w:val="center"/>
            </w:pPr>
            <w:r>
              <w:rPr>
                <w:rFonts w:ascii="宋体" w:hAnsi="宋体" w:eastAsia="宋体"/>
                <w:sz w:val="16"/>
              </w:rPr>
              <w:t>“两品一械”监督检查覆盖率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548B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7FAD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CFC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93A67">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7D6AC">
            <w:pPr>
              <w:jc w:val="center"/>
            </w:pPr>
            <w:r>
              <w:rPr>
                <w:rFonts w:ascii="宋体" w:hAnsi="宋体" w:eastAsia="宋体"/>
                <w:sz w:val="16"/>
              </w:rPr>
              <w:t>6.23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B80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6A8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10A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66EC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613ED">
            <w:pPr>
              <w:jc w:val="center"/>
            </w:pPr>
            <w:r>
              <w:rPr>
                <w:rFonts w:ascii="宋体" w:hAnsi="宋体" w:eastAsia="宋体"/>
                <w:sz w:val="16"/>
              </w:rPr>
              <w:t>“两品一械”监督检查覆盖实际达到100%，按照要求已全部完成</w:t>
            </w:r>
          </w:p>
        </w:tc>
      </w:tr>
      <w:tr w14:paraId="31EA57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101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058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3939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F963">
            <w:pPr>
              <w:jc w:val="center"/>
            </w:pPr>
            <w:r>
              <w:rPr>
                <w:rFonts w:ascii="宋体" w:hAnsi="宋体" w:eastAsia="宋体"/>
                <w:sz w:val="16"/>
              </w:rPr>
              <w:t>抽样检验任务按期完成率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5AA7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C7CB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F64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63704">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E67E9">
            <w:pPr>
              <w:jc w:val="center"/>
            </w:pPr>
            <w:r>
              <w:rPr>
                <w:rFonts w:ascii="宋体" w:hAnsi="宋体" w:eastAsia="宋体"/>
                <w:sz w:val="16"/>
              </w:rPr>
              <w:t>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1B8E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EFB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E3A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088F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E64F">
            <w:pPr>
              <w:jc w:val="center"/>
            </w:pPr>
            <w:r>
              <w:rPr>
                <w:rFonts w:ascii="宋体" w:hAnsi="宋体" w:eastAsia="宋体"/>
                <w:sz w:val="16"/>
              </w:rPr>
              <w:t>抽样检验任务均按照上级要求按时按点完成。</w:t>
            </w:r>
          </w:p>
        </w:tc>
      </w:tr>
      <w:tr w14:paraId="1FB52B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B6E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23F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6EA5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321C">
            <w:pPr>
              <w:jc w:val="center"/>
            </w:pPr>
            <w:r>
              <w:rPr>
                <w:rFonts w:ascii="宋体" w:hAnsi="宋体" w:eastAsia="宋体"/>
                <w:sz w:val="16"/>
              </w:rPr>
              <w:t>药品抽检经费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D68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13A8">
            <w:pPr>
              <w:jc w:val="center"/>
            </w:pPr>
            <w:r>
              <w:rPr>
                <w:rFonts w:ascii="宋体" w:hAnsi="宋体" w:eastAsia="宋体"/>
                <w:sz w:val="16"/>
              </w:rPr>
              <w:t>&lt;=1.70万元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D35E">
            <w:pPr>
              <w:jc w:val="center"/>
            </w:pPr>
            <w:r>
              <w:rPr>
                <w:rFonts w:ascii="宋体" w:hAnsi="宋体" w:eastAsia="宋体"/>
                <w:sz w:val="16"/>
              </w:rPr>
              <w:t>=1.7万元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DE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D6B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6D5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106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668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CCDAB">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22DF1">
            <w:pPr>
              <w:jc w:val="center"/>
            </w:pPr>
          </w:p>
        </w:tc>
      </w:tr>
      <w:tr w14:paraId="1E6125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FE0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E73A0">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3EC92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4A56C">
            <w:pPr>
              <w:jc w:val="center"/>
            </w:pPr>
            <w:r>
              <w:rPr>
                <w:rFonts w:ascii="宋体" w:hAnsi="宋体" w:eastAsia="宋体"/>
                <w:sz w:val="16"/>
              </w:rPr>
              <w:t>提升“两品一械”监管服务水平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53D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97DD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281B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66A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7A2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CCBD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13E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271C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200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21074">
            <w:pPr>
              <w:jc w:val="center"/>
            </w:pPr>
          </w:p>
        </w:tc>
      </w:tr>
      <w:tr w14:paraId="6A69A3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0D2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AE9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01D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F8EA">
            <w:pPr>
              <w:jc w:val="center"/>
            </w:pPr>
            <w:r>
              <w:rPr>
                <w:rFonts w:ascii="宋体" w:hAnsi="宋体" w:eastAsia="宋体"/>
                <w:sz w:val="16"/>
              </w:rPr>
              <w:t>减少假冒伪劣“两品一械”销售行为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423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87A79">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BACB4">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0B4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B79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2184E">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177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9D53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EFA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1E04E">
            <w:pPr>
              <w:jc w:val="center"/>
            </w:pPr>
          </w:p>
        </w:tc>
      </w:tr>
      <w:tr w14:paraId="32AFC6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05B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C81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C36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31F28">
            <w:pPr>
              <w:jc w:val="center"/>
            </w:pPr>
            <w:r>
              <w:rPr>
                <w:rFonts w:ascii="宋体" w:hAnsi="宋体" w:eastAsia="宋体"/>
                <w:sz w:val="16"/>
              </w:rPr>
              <w:t>公众对药品安全的满意度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913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7DB1D">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F0B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4424">
            <w:pPr>
              <w:jc w:val="center"/>
            </w:pPr>
            <w:r>
              <w:rPr>
                <w:rFonts w:ascii="宋体" w:hAnsi="宋体" w:eastAsia="宋体"/>
                <w:sz w:val="16"/>
              </w:rPr>
              <w:t>117%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063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B97C6">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A9A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A5E0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B8B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C8F16">
            <w:pPr>
              <w:jc w:val="center"/>
            </w:pPr>
            <w:r>
              <w:rPr>
                <w:rFonts w:ascii="宋体" w:hAnsi="宋体" w:eastAsia="宋体"/>
                <w:sz w:val="16"/>
              </w:rPr>
              <w:t>通过调研，公众对药品安全的满</w:t>
            </w:r>
            <w:r>
              <w:rPr>
                <w:rFonts w:hint="eastAsia" w:ascii="宋体" w:hAnsi="宋体"/>
                <w:sz w:val="16"/>
                <w:lang w:eastAsia="zh-CN"/>
              </w:rPr>
              <w:t>意度</w:t>
            </w:r>
            <w:r>
              <w:rPr>
                <w:rFonts w:ascii="宋体" w:hAnsi="宋体" w:eastAsia="宋体"/>
                <w:sz w:val="16"/>
              </w:rPr>
              <w:t>达到100%。</w:t>
            </w:r>
          </w:p>
        </w:tc>
      </w:tr>
      <w:tr w14:paraId="57A7EED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35B52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6C7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02078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A673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8ECE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FF5E7">
            <w:pPr>
              <w:jc w:val="center"/>
            </w:pPr>
            <w:r>
              <w:rPr>
                <w:rFonts w:ascii="宋体" w:hAnsi="宋体" w:eastAsia="宋体"/>
                <w:sz w:val="16"/>
              </w:rPr>
              <w:t>98.83分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8E60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11B7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F006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3C62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26527C"/>
        </w:tc>
      </w:tr>
    </w:tbl>
    <w:p w14:paraId="5BE95EB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2F3F8F5A">
        <w:tblPrEx>
          <w:tblCellMar>
            <w:top w:w="0" w:type="dxa"/>
            <w:left w:w="108" w:type="dxa"/>
            <w:bottom w:w="0" w:type="dxa"/>
            <w:right w:w="108" w:type="dxa"/>
          </w:tblCellMar>
        </w:tblPrEx>
        <w:tc>
          <w:tcPr>
            <w:tcW w:w="8848" w:type="dxa"/>
            <w:gridSpan w:val="14"/>
            <w:vAlign w:val="center"/>
          </w:tcPr>
          <w:p w14:paraId="6E8E4783">
            <w:pPr>
              <w:jc w:val="center"/>
            </w:pPr>
            <w:r>
              <w:rPr>
                <w:rFonts w:ascii="宋体" w:hAnsi="宋体" w:eastAsia="宋体"/>
                <w:sz w:val="24"/>
              </w:rPr>
              <w:t>项目支出绩效自评表</w:t>
            </w:r>
          </w:p>
        </w:tc>
      </w:tr>
      <w:tr w14:paraId="20F28694">
        <w:tblPrEx>
          <w:tblCellMar>
            <w:top w:w="0" w:type="dxa"/>
            <w:left w:w="108" w:type="dxa"/>
            <w:bottom w:w="0" w:type="dxa"/>
            <w:right w:w="108" w:type="dxa"/>
          </w:tblCellMar>
        </w:tblPrEx>
        <w:tc>
          <w:tcPr>
            <w:tcW w:w="8848" w:type="dxa"/>
            <w:gridSpan w:val="14"/>
            <w:vAlign w:val="center"/>
          </w:tcPr>
          <w:p w14:paraId="03681999">
            <w:pPr>
              <w:jc w:val="center"/>
            </w:pPr>
            <w:r>
              <w:rPr>
                <w:rFonts w:ascii="宋体" w:hAnsi="宋体" w:eastAsia="宋体"/>
                <w:sz w:val="24"/>
              </w:rPr>
              <w:t>(2024年度)</w:t>
            </w:r>
          </w:p>
        </w:tc>
      </w:tr>
      <w:tr w14:paraId="4A87AB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850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5D9138">
            <w:pPr>
              <w:jc w:val="center"/>
            </w:pPr>
            <w:r>
              <w:rPr>
                <w:rFonts w:ascii="宋体" w:hAnsi="宋体" w:eastAsia="宋体"/>
                <w:sz w:val="16"/>
              </w:rPr>
              <w:t>县市监局吉县党财办</w:t>
            </w:r>
            <w:r>
              <w:rPr>
                <w:rFonts w:hint="eastAsia" w:ascii="宋体" w:hAnsi="宋体"/>
                <w:sz w:val="16"/>
                <w:lang w:eastAsia="zh-CN"/>
              </w:rPr>
              <w:t>〔2024〕4号－</w:t>
            </w:r>
            <w:r>
              <w:rPr>
                <w:rFonts w:ascii="宋体" w:hAnsi="宋体" w:eastAsia="宋体"/>
                <w:sz w:val="16"/>
              </w:rPr>
              <w:t>关于拨付检定出租车计价器场地和设备使用费用的申请</w:t>
            </w:r>
          </w:p>
        </w:tc>
      </w:tr>
      <w:tr w14:paraId="7E46DA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930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8CA0A9">
            <w:pPr>
              <w:jc w:val="center"/>
            </w:pPr>
            <w:r>
              <w:rPr>
                <w:rFonts w:ascii="宋体" w:hAnsi="宋体" w:eastAsia="宋体"/>
                <w:sz w:val="16"/>
              </w:rPr>
              <w:t>吉木萨尔县市场监督管理局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C53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6428C6">
            <w:pPr>
              <w:jc w:val="center"/>
            </w:pPr>
            <w:r>
              <w:rPr>
                <w:rFonts w:ascii="宋体" w:hAnsi="宋体" w:eastAsia="宋体"/>
                <w:sz w:val="16"/>
              </w:rPr>
              <w:t>吉木萨尔县市场监督管理局</w:t>
            </w:r>
          </w:p>
        </w:tc>
      </w:tr>
      <w:tr w14:paraId="14811D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CF98F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4801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4EC6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5030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D43F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0143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8FB5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1EB84">
            <w:pPr>
              <w:jc w:val="center"/>
            </w:pPr>
            <w:r>
              <w:rPr>
                <w:rFonts w:ascii="宋体" w:hAnsi="宋体" w:eastAsia="宋体"/>
                <w:sz w:val="16"/>
              </w:rPr>
              <w:t>得分</w:t>
            </w:r>
          </w:p>
        </w:tc>
      </w:tr>
      <w:tr w14:paraId="6D3D14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754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A878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4AFB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886E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6016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43D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FD8A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09137">
            <w:pPr>
              <w:jc w:val="center"/>
            </w:pPr>
            <w:r>
              <w:rPr>
                <w:rFonts w:ascii="宋体" w:hAnsi="宋体" w:eastAsia="宋体"/>
                <w:sz w:val="16"/>
              </w:rPr>
              <w:t>10.00</w:t>
            </w:r>
          </w:p>
        </w:tc>
      </w:tr>
      <w:tr w14:paraId="018CCD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E74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C0C5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BB348">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C337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6850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B855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4C9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402E7">
            <w:pPr>
              <w:jc w:val="center"/>
            </w:pPr>
            <w:r>
              <w:rPr>
                <w:rFonts w:ascii="宋体" w:hAnsi="宋体" w:eastAsia="宋体"/>
                <w:sz w:val="16"/>
              </w:rPr>
              <w:t>—</w:t>
            </w:r>
          </w:p>
        </w:tc>
      </w:tr>
      <w:tr w14:paraId="72962A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CBE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BE91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036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E32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7BA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D680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6BF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A38DF">
            <w:pPr>
              <w:jc w:val="center"/>
            </w:pPr>
            <w:r>
              <w:rPr>
                <w:rFonts w:ascii="宋体" w:hAnsi="宋体" w:eastAsia="宋体"/>
                <w:sz w:val="16"/>
              </w:rPr>
              <w:t>—</w:t>
            </w:r>
          </w:p>
        </w:tc>
      </w:tr>
      <w:tr w14:paraId="68794A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752A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BC89B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2CE4E1">
            <w:pPr>
              <w:jc w:val="center"/>
            </w:pPr>
            <w:r>
              <w:rPr>
                <w:rFonts w:ascii="宋体" w:hAnsi="宋体" w:eastAsia="宋体"/>
                <w:sz w:val="16"/>
              </w:rPr>
              <w:t>实际完成情况</w:t>
            </w:r>
          </w:p>
        </w:tc>
      </w:tr>
      <w:tr w14:paraId="26EC52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57985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1D5F69">
            <w:pPr>
              <w:jc w:val="both"/>
            </w:pPr>
            <w:r>
              <w:rPr>
                <w:rFonts w:ascii="宋体" w:hAnsi="宋体" w:eastAsia="宋体"/>
                <w:sz w:val="16"/>
              </w:rPr>
              <w:t>本项目主要实施内容为：通过租用场地和设备，2024年完成吉木萨尔县出租车计价器检定共309台件，项目总投资为5万元。通过本项目实施，出租车计价器检定合格率不低于95%；检定工作完成及时率不低于95%；有效降低安全隐患、出租车司机检定成本。待项目实施完成，争取使受益群众满意度不低于85%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78A497">
            <w:pPr>
              <w:jc w:val="both"/>
            </w:pPr>
            <w:r>
              <w:rPr>
                <w:rFonts w:hint="eastAsia" w:ascii="宋体" w:hAnsi="宋体"/>
                <w:sz w:val="16"/>
                <w:lang w:eastAsia="zh-CN"/>
              </w:rPr>
              <w:t>截至</w:t>
            </w:r>
            <w:r>
              <w:rPr>
                <w:rFonts w:ascii="宋体" w:hAnsi="宋体" w:eastAsia="宋体"/>
                <w:sz w:val="16"/>
              </w:rPr>
              <w:t>2024年12月31日，项目实际支出5万元，预算执行率为100%。2024年已完成吉木萨尔县出租车计价器检定共309台件，通过本项目实施，出租车计价器检定合格率达100%；检定工作完成及时率达100%。通过项目实施，有效降低安全隐患、出租车司机检定成本，受益群众满意度达100%。</w:t>
            </w:r>
          </w:p>
        </w:tc>
      </w:tr>
      <w:tr w14:paraId="53D8DFA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1D27E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E0B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FE2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3FAA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BAF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647C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036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25BA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039A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2DA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C942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ED9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747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DE8FC">
            <w:pPr>
              <w:jc w:val="center"/>
            </w:pPr>
            <w:r>
              <w:rPr>
                <w:rFonts w:ascii="宋体" w:hAnsi="宋体" w:eastAsia="宋体"/>
                <w:sz w:val="16"/>
              </w:rPr>
              <w:t>偏差原因分析及改进措施</w:t>
            </w:r>
          </w:p>
        </w:tc>
      </w:tr>
      <w:tr w14:paraId="7DEB05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535CA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373BD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C969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841C1">
            <w:pPr>
              <w:jc w:val="center"/>
            </w:pPr>
            <w:r>
              <w:rPr>
                <w:rFonts w:ascii="宋体" w:hAnsi="宋体" w:eastAsia="宋体"/>
                <w:sz w:val="16"/>
              </w:rPr>
              <w:t>出租车计价器数量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3D75B">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CB9A">
            <w:pPr>
              <w:jc w:val="center"/>
            </w:pPr>
            <w:r>
              <w:rPr>
                <w:rFonts w:ascii="宋体" w:hAnsi="宋体" w:eastAsia="宋体"/>
                <w:sz w:val="16"/>
              </w:rPr>
              <w:t>&gt;=309台件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6026F">
            <w:pPr>
              <w:jc w:val="center"/>
            </w:pPr>
            <w:r>
              <w:rPr>
                <w:rFonts w:ascii="宋体" w:hAnsi="宋体" w:eastAsia="宋体"/>
                <w:sz w:val="16"/>
              </w:rPr>
              <w:t>=309台件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0FE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E3312">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895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9B3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BE4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FE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BB27">
            <w:pPr>
              <w:jc w:val="center"/>
            </w:pPr>
          </w:p>
        </w:tc>
      </w:tr>
      <w:tr w14:paraId="00644D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91DA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665C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B23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51CB6">
            <w:pPr>
              <w:jc w:val="center"/>
            </w:pPr>
            <w:r>
              <w:rPr>
                <w:rFonts w:ascii="宋体" w:hAnsi="宋体" w:eastAsia="宋体"/>
                <w:sz w:val="16"/>
              </w:rPr>
              <w:t>出租车计价器检定合格率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6BA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7B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9CD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58CB3">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3DA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F52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8FC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894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02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10E5A">
            <w:pPr>
              <w:jc w:val="center"/>
            </w:pPr>
            <w:r>
              <w:rPr>
                <w:rFonts w:ascii="宋体" w:hAnsi="宋体" w:eastAsia="宋体"/>
                <w:sz w:val="16"/>
              </w:rPr>
              <w:t>偏离绩效目标原因为指标预期值设置比较保守，实际任务已按照要求全部完成。</w:t>
            </w:r>
          </w:p>
        </w:tc>
      </w:tr>
      <w:tr w14:paraId="342AF7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5B82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E1C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4968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A16CB">
            <w:pPr>
              <w:jc w:val="center"/>
            </w:pPr>
            <w:r>
              <w:rPr>
                <w:rFonts w:ascii="宋体" w:hAnsi="宋体" w:eastAsia="宋体"/>
                <w:sz w:val="16"/>
              </w:rPr>
              <w:t>检定工作完成及时率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5258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E693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3F1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AFC62">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31247">
            <w:pPr>
              <w:jc w:val="center"/>
            </w:pPr>
            <w:r>
              <w:rPr>
                <w:rFonts w:ascii="宋体" w:hAnsi="宋体" w:eastAsia="宋体"/>
                <w:sz w:val="16"/>
              </w:rPr>
              <w:t>8.55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61E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714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C4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55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6C41">
            <w:pPr>
              <w:jc w:val="center"/>
            </w:pPr>
            <w:r>
              <w:rPr>
                <w:rFonts w:ascii="宋体" w:hAnsi="宋体" w:eastAsia="宋体"/>
                <w:sz w:val="16"/>
              </w:rPr>
              <w:t>偏离绩效目标原因为指标预期值设置比较保守，实际任务已按照要求全部完成。</w:t>
            </w:r>
          </w:p>
        </w:tc>
      </w:tr>
      <w:tr w14:paraId="1E6DF5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202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EF99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87CD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736F2">
            <w:pPr>
              <w:jc w:val="center"/>
            </w:pPr>
            <w:r>
              <w:rPr>
                <w:rFonts w:ascii="宋体" w:hAnsi="宋体" w:eastAsia="宋体"/>
                <w:sz w:val="16"/>
              </w:rPr>
              <w:t>场地及设备租赁费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067F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9B021">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F3C27">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716E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4F3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25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929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287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68D3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2CB76">
            <w:pPr>
              <w:jc w:val="center"/>
            </w:pPr>
          </w:p>
        </w:tc>
      </w:tr>
      <w:tr w14:paraId="3E8109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DBCA0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F7F47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871C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568D">
            <w:pPr>
              <w:jc w:val="center"/>
            </w:pPr>
            <w:r>
              <w:rPr>
                <w:rFonts w:ascii="宋体" w:hAnsi="宋体" w:eastAsia="宋体"/>
                <w:sz w:val="16"/>
              </w:rPr>
              <w:t>安全隐患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8E6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54613">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E23C">
            <w:pPr>
              <w:jc w:val="center"/>
            </w:pPr>
            <w:r>
              <w:rPr>
                <w:rFonts w:ascii="宋体" w:hAnsi="宋体" w:eastAsia="宋体"/>
                <w:sz w:val="16"/>
              </w:rPr>
              <w:t>有效降低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340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CAF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E13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C1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3E2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E220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F93C8">
            <w:pPr>
              <w:jc w:val="center"/>
            </w:pPr>
          </w:p>
        </w:tc>
      </w:tr>
      <w:tr w14:paraId="49FFE28E">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F2C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C2B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943B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CA176">
            <w:pPr>
              <w:jc w:val="center"/>
            </w:pPr>
            <w:r>
              <w:rPr>
                <w:rFonts w:ascii="宋体" w:hAnsi="宋体" w:eastAsia="宋体"/>
                <w:sz w:val="16"/>
              </w:rPr>
              <w:t>出租车司机检定成本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235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7A0D0">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956DA">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11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FC1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5B5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5C8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C5D1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94D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52353">
            <w:pPr>
              <w:jc w:val="center"/>
            </w:pPr>
          </w:p>
        </w:tc>
      </w:tr>
      <w:tr w14:paraId="74667D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F44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5E9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7A1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2B719">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E69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1E915">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D9FAC">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634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F9D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160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7E71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7DE0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039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86115">
            <w:pPr>
              <w:jc w:val="center"/>
            </w:pPr>
          </w:p>
        </w:tc>
      </w:tr>
      <w:tr w14:paraId="35FB5F2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CD1E29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AA2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21FC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17F6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C1CC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EB5CA">
            <w:pPr>
              <w:jc w:val="center"/>
            </w:pPr>
            <w:r>
              <w:rPr>
                <w:rFonts w:ascii="宋体" w:hAnsi="宋体" w:eastAsia="宋体"/>
                <w:sz w:val="16"/>
              </w:rPr>
              <w:t>99.05分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7C7C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017A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673B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15C41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61D44D"/>
        </w:tc>
      </w:tr>
    </w:tbl>
    <w:p w14:paraId="03203C4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632"/>
        <w:gridCol w:w="632"/>
        <w:gridCol w:w="632"/>
        <w:gridCol w:w="632"/>
        <w:gridCol w:w="632"/>
        <w:gridCol w:w="632"/>
        <w:gridCol w:w="696"/>
      </w:tblGrid>
      <w:tr w14:paraId="30ED41B5">
        <w:tblPrEx>
          <w:tblCellMar>
            <w:top w:w="0" w:type="dxa"/>
            <w:left w:w="108" w:type="dxa"/>
            <w:bottom w:w="0" w:type="dxa"/>
            <w:right w:w="108" w:type="dxa"/>
          </w:tblCellMar>
        </w:tblPrEx>
        <w:tc>
          <w:tcPr>
            <w:tcW w:w="8848" w:type="dxa"/>
            <w:gridSpan w:val="14"/>
            <w:vAlign w:val="center"/>
          </w:tcPr>
          <w:p w14:paraId="5FBEF524">
            <w:pPr>
              <w:jc w:val="center"/>
            </w:pPr>
            <w:r>
              <w:rPr>
                <w:rFonts w:ascii="宋体" w:hAnsi="宋体" w:eastAsia="宋体"/>
                <w:sz w:val="24"/>
              </w:rPr>
              <w:t>项目支出绩效自评表</w:t>
            </w:r>
          </w:p>
        </w:tc>
      </w:tr>
      <w:tr w14:paraId="7D92CBD5">
        <w:tblPrEx>
          <w:tblCellMar>
            <w:top w:w="0" w:type="dxa"/>
            <w:left w:w="108" w:type="dxa"/>
            <w:bottom w:w="0" w:type="dxa"/>
            <w:right w:w="108" w:type="dxa"/>
          </w:tblCellMar>
        </w:tblPrEx>
        <w:tc>
          <w:tcPr>
            <w:tcW w:w="8848" w:type="dxa"/>
            <w:gridSpan w:val="14"/>
            <w:vAlign w:val="center"/>
          </w:tcPr>
          <w:p w14:paraId="3A025B91">
            <w:pPr>
              <w:jc w:val="center"/>
            </w:pPr>
            <w:r>
              <w:rPr>
                <w:rFonts w:ascii="宋体" w:hAnsi="宋体" w:eastAsia="宋体"/>
                <w:sz w:val="24"/>
              </w:rPr>
              <w:t>(2024年度)</w:t>
            </w:r>
          </w:p>
        </w:tc>
      </w:tr>
      <w:tr w14:paraId="1D7013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6BC8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41208D">
            <w:pPr>
              <w:jc w:val="center"/>
            </w:pPr>
            <w:r>
              <w:rPr>
                <w:rFonts w:ascii="宋体" w:hAnsi="宋体" w:eastAsia="宋体"/>
                <w:sz w:val="16"/>
              </w:rPr>
              <w:t>吉木萨尔县市场监督管理局乡镇市场监督管理所标准化建设项目资金</w:t>
            </w:r>
          </w:p>
        </w:tc>
      </w:tr>
      <w:tr w14:paraId="234731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D355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834ED9">
            <w:pPr>
              <w:jc w:val="center"/>
            </w:pPr>
            <w:r>
              <w:rPr>
                <w:rFonts w:ascii="宋体" w:hAnsi="宋体" w:eastAsia="宋体"/>
                <w:sz w:val="16"/>
              </w:rPr>
              <w:t>吉木萨尔县市场监督管理局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39CD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376DCF">
            <w:pPr>
              <w:jc w:val="center"/>
            </w:pPr>
            <w:r>
              <w:rPr>
                <w:rFonts w:ascii="宋体" w:hAnsi="宋体" w:eastAsia="宋体"/>
                <w:sz w:val="16"/>
              </w:rPr>
              <w:t>吉木萨尔县市场监督管理局</w:t>
            </w:r>
          </w:p>
        </w:tc>
      </w:tr>
      <w:tr w14:paraId="73D4945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3613B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9F84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86F3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F62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B51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489A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6CF1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88DE8">
            <w:pPr>
              <w:jc w:val="center"/>
            </w:pPr>
            <w:r>
              <w:rPr>
                <w:rFonts w:ascii="宋体" w:hAnsi="宋体" w:eastAsia="宋体"/>
                <w:sz w:val="16"/>
              </w:rPr>
              <w:t>得分</w:t>
            </w:r>
          </w:p>
        </w:tc>
      </w:tr>
      <w:tr w14:paraId="4163B7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C0E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EEF8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F4D15">
            <w:pPr>
              <w:jc w:val="center"/>
            </w:pPr>
            <w:r>
              <w:rPr>
                <w:rFonts w:ascii="宋体" w:hAnsi="宋体" w:eastAsia="宋体"/>
                <w:sz w:val="16"/>
              </w:rPr>
              <w:t>36.82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A6972">
            <w:pPr>
              <w:jc w:val="center"/>
            </w:pPr>
            <w:r>
              <w:rPr>
                <w:rFonts w:ascii="宋体" w:hAnsi="宋体" w:eastAsia="宋体"/>
                <w:sz w:val="16"/>
              </w:rPr>
              <w:t>36.82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4EE3B">
            <w:pPr>
              <w:jc w:val="center"/>
            </w:pPr>
            <w:r>
              <w:rPr>
                <w:rFonts w:ascii="宋体" w:hAnsi="宋体" w:eastAsia="宋体"/>
                <w:sz w:val="16"/>
              </w:rPr>
              <w:t>36.82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E68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E1B4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E8256">
            <w:pPr>
              <w:jc w:val="center"/>
            </w:pPr>
            <w:r>
              <w:rPr>
                <w:rFonts w:ascii="宋体" w:hAnsi="宋体" w:eastAsia="宋体"/>
                <w:sz w:val="16"/>
              </w:rPr>
              <w:t>10.00</w:t>
            </w:r>
          </w:p>
        </w:tc>
      </w:tr>
      <w:tr w14:paraId="19D8CF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677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EB71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789CF">
            <w:pPr>
              <w:jc w:val="center"/>
            </w:pPr>
            <w:r>
              <w:rPr>
                <w:rFonts w:ascii="宋体" w:hAnsi="宋体" w:eastAsia="宋体"/>
                <w:sz w:val="16"/>
              </w:rPr>
              <w:t>36.82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04DEF">
            <w:pPr>
              <w:jc w:val="center"/>
            </w:pPr>
            <w:r>
              <w:rPr>
                <w:rFonts w:ascii="宋体" w:hAnsi="宋体" w:eastAsia="宋体"/>
                <w:sz w:val="16"/>
              </w:rPr>
              <w:t>36.82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8A45E">
            <w:pPr>
              <w:jc w:val="center"/>
            </w:pPr>
            <w:r>
              <w:rPr>
                <w:rFonts w:ascii="宋体" w:hAnsi="宋体" w:eastAsia="宋体"/>
                <w:sz w:val="16"/>
              </w:rPr>
              <w:t>36.82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CE5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C6F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8E0C9">
            <w:pPr>
              <w:jc w:val="center"/>
            </w:pPr>
            <w:r>
              <w:rPr>
                <w:rFonts w:ascii="宋体" w:hAnsi="宋体" w:eastAsia="宋体"/>
                <w:sz w:val="16"/>
              </w:rPr>
              <w:t>—</w:t>
            </w:r>
          </w:p>
        </w:tc>
      </w:tr>
      <w:tr w14:paraId="14FD2D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693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F03C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8B1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A55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FD7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872B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C72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422B1">
            <w:pPr>
              <w:jc w:val="center"/>
            </w:pPr>
            <w:r>
              <w:rPr>
                <w:rFonts w:ascii="宋体" w:hAnsi="宋体" w:eastAsia="宋体"/>
                <w:sz w:val="16"/>
              </w:rPr>
              <w:t>—</w:t>
            </w:r>
          </w:p>
        </w:tc>
      </w:tr>
      <w:tr w14:paraId="769135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DCEE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A753D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FF25B1">
            <w:pPr>
              <w:jc w:val="center"/>
            </w:pPr>
            <w:r>
              <w:rPr>
                <w:rFonts w:ascii="宋体" w:hAnsi="宋体" w:eastAsia="宋体"/>
                <w:sz w:val="16"/>
              </w:rPr>
              <w:t>实际完成情况</w:t>
            </w:r>
          </w:p>
        </w:tc>
      </w:tr>
      <w:tr w14:paraId="022225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E462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25C237">
            <w:pPr>
              <w:jc w:val="both"/>
            </w:pPr>
            <w:r>
              <w:rPr>
                <w:rFonts w:ascii="宋体" w:hAnsi="宋体" w:eastAsia="宋体"/>
                <w:sz w:val="16"/>
              </w:rPr>
              <w:t>本项目主要实施内容为：进一步做好市监所标准化规范化建设工作，确保完成昌吉州市场监督管理局三星级市场监督管理所等级评定验收，结合我县市监所现状，力争打造出一个“三星所”，项目总投资为36.82万元。通过本项目实施，涉及乡镇市监所维修打造个数3个；工程验收合格率不低于95%；政府采购监督监管及时性不低于95%；有效提升监管人员监管能力。待项目完成后，争取使受益群众满意度不低于85%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57097C">
            <w:pPr>
              <w:jc w:val="both"/>
            </w:pPr>
            <w:r>
              <w:rPr>
                <w:rFonts w:hint="eastAsia" w:ascii="宋体" w:hAnsi="宋体"/>
                <w:sz w:val="16"/>
                <w:lang w:eastAsia="zh-CN"/>
              </w:rPr>
              <w:t>截至</w:t>
            </w:r>
            <w:r>
              <w:rPr>
                <w:rFonts w:ascii="宋体" w:hAnsi="宋体" w:eastAsia="宋体"/>
                <w:sz w:val="16"/>
              </w:rPr>
              <w:t>2024年12月31日，项目实际支出36.82万元，预算执行率为100%。通过乡镇市监所标准化建设项目的实施，完成三台片区、大有片区、城镇片区等三个乡镇市场监督所的维修打造，其中被评为“三星级”市场监督所1个。工程验收合格率达到100%；政府采购监督监管进行及时；有效提升了监管人员监管能力，改善了办事大厅环境，受益群众满意度达到了100%。</w:t>
            </w:r>
          </w:p>
        </w:tc>
      </w:tr>
      <w:tr w14:paraId="402AD0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E726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5087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76EF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1C7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8FAA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FB37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707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85F1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9739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E776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981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4F33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2C47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9C3D3">
            <w:pPr>
              <w:jc w:val="center"/>
            </w:pPr>
            <w:r>
              <w:rPr>
                <w:rFonts w:ascii="宋体" w:hAnsi="宋体" w:eastAsia="宋体"/>
                <w:sz w:val="16"/>
              </w:rPr>
              <w:t>偏差原因分析及改进措施</w:t>
            </w:r>
          </w:p>
        </w:tc>
      </w:tr>
      <w:tr w14:paraId="423D52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E626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EA52E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38E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64BD">
            <w:pPr>
              <w:jc w:val="center"/>
            </w:pPr>
            <w:r>
              <w:rPr>
                <w:rFonts w:ascii="宋体" w:hAnsi="宋体" w:eastAsia="宋体"/>
                <w:sz w:val="16"/>
              </w:rPr>
              <w:t>乡镇市监所维修打造个数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5EB58">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934F">
            <w:pPr>
              <w:jc w:val="center"/>
            </w:pPr>
            <w:r>
              <w:rPr>
                <w:rFonts w:ascii="宋体" w:hAnsi="宋体" w:eastAsia="宋体"/>
                <w:sz w:val="16"/>
              </w:rPr>
              <w:t>&lt;=3个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93F4">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277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95673">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46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8C9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D35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4F7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4B5E3">
            <w:pPr>
              <w:jc w:val="center"/>
            </w:pPr>
          </w:p>
        </w:tc>
      </w:tr>
      <w:tr w14:paraId="5A316E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B2D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22D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CDC6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D6E7">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A9E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332E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916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8CFFE">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817D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33A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763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FBA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8A9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A5CC">
            <w:pPr>
              <w:jc w:val="center"/>
            </w:pPr>
            <w:r>
              <w:rPr>
                <w:rFonts w:ascii="宋体" w:hAnsi="宋体" w:eastAsia="宋体"/>
                <w:sz w:val="16"/>
              </w:rPr>
              <w:t>项目已按照施工标准完成，并达到合格的标准。</w:t>
            </w:r>
          </w:p>
        </w:tc>
      </w:tr>
      <w:tr w14:paraId="7A398E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3C3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C964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F015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8290D">
            <w:pPr>
              <w:jc w:val="center"/>
            </w:pPr>
            <w:r>
              <w:rPr>
                <w:rFonts w:ascii="宋体" w:hAnsi="宋体" w:eastAsia="宋体"/>
                <w:sz w:val="16"/>
              </w:rPr>
              <w:t>政府采购监督监管及时性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14CCF">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A349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DA9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4674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FED5">
            <w:pPr>
              <w:jc w:val="center"/>
            </w:pPr>
            <w:r>
              <w:rPr>
                <w:rFonts w:ascii="宋体" w:hAnsi="宋体" w:eastAsia="宋体"/>
                <w:sz w:val="16"/>
              </w:rPr>
              <w:t>8.55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242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C7E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9C9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6B2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FD351">
            <w:pPr>
              <w:jc w:val="center"/>
            </w:pPr>
            <w:r>
              <w:rPr>
                <w:rFonts w:ascii="宋体" w:hAnsi="宋体" w:eastAsia="宋体"/>
                <w:sz w:val="16"/>
              </w:rPr>
              <w:t>项目已按照政府采购程序及时完成采购任务。</w:t>
            </w:r>
          </w:p>
        </w:tc>
      </w:tr>
      <w:tr w14:paraId="5FFA75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4A60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0D333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3FCA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B1167">
            <w:pPr>
              <w:jc w:val="center"/>
            </w:pPr>
            <w:r>
              <w:rPr>
                <w:rFonts w:ascii="宋体" w:hAnsi="宋体" w:eastAsia="宋体"/>
                <w:sz w:val="16"/>
              </w:rPr>
              <w:t>大有片区市监所星级化打造创建成本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443A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8A519">
            <w:pPr>
              <w:jc w:val="center"/>
            </w:pPr>
            <w:r>
              <w:rPr>
                <w:rFonts w:ascii="宋体" w:hAnsi="宋体" w:eastAsia="宋体"/>
                <w:sz w:val="16"/>
              </w:rPr>
              <w:t>&lt;=18万元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3B8D3">
            <w:pPr>
              <w:jc w:val="center"/>
            </w:pPr>
            <w:r>
              <w:rPr>
                <w:rFonts w:ascii="宋体" w:hAnsi="宋体" w:eastAsia="宋体"/>
                <w:sz w:val="16"/>
              </w:rPr>
              <w:t>=15.65万元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5502D">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64484">
            <w:pPr>
              <w:jc w:val="center"/>
            </w:pPr>
            <w:r>
              <w:rPr>
                <w:rFonts w:ascii="宋体" w:hAnsi="宋体" w:eastAsia="宋体"/>
                <w:sz w:val="16"/>
              </w:rPr>
              <w:t>6.48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259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704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2E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97A8A">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5C7D7">
            <w:pPr>
              <w:jc w:val="center"/>
            </w:pPr>
            <w:r>
              <w:rPr>
                <w:rFonts w:ascii="宋体" w:hAnsi="宋体" w:eastAsia="宋体"/>
                <w:sz w:val="16"/>
              </w:rPr>
              <w:t>剩余资金</w:t>
            </w:r>
            <w:r>
              <w:rPr>
                <w:rFonts w:hint="eastAsia" w:ascii="宋体" w:hAnsi="宋体"/>
                <w:sz w:val="16"/>
                <w:lang w:eastAsia="zh-CN"/>
              </w:rPr>
              <w:t>为</w:t>
            </w:r>
            <w:r>
              <w:rPr>
                <w:rFonts w:ascii="宋体" w:hAnsi="宋体" w:eastAsia="宋体"/>
                <w:sz w:val="16"/>
              </w:rPr>
              <w:t>审计结束后支付。</w:t>
            </w:r>
          </w:p>
        </w:tc>
      </w:tr>
      <w:tr w14:paraId="29583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7B6B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949D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389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31F8A">
            <w:pPr>
              <w:jc w:val="center"/>
            </w:pPr>
            <w:r>
              <w:rPr>
                <w:rFonts w:ascii="宋体" w:hAnsi="宋体" w:eastAsia="宋体"/>
                <w:sz w:val="16"/>
              </w:rPr>
              <w:t>三台片区市监所星级化打造创建成本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E399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BA7D1">
            <w:pPr>
              <w:jc w:val="center"/>
            </w:pPr>
            <w:r>
              <w:rPr>
                <w:rFonts w:ascii="宋体" w:hAnsi="宋体" w:eastAsia="宋体"/>
                <w:sz w:val="16"/>
              </w:rPr>
              <w:t>&lt;=31万元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A5B2F">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5B7D3">
            <w:pPr>
              <w:jc w:val="center"/>
            </w:pPr>
            <w:r>
              <w:rPr>
                <w:rFonts w:ascii="宋体" w:hAnsi="宋体" w:eastAsia="宋体"/>
                <w:sz w:val="16"/>
              </w:rPr>
              <w:t>97%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0095D">
            <w:pPr>
              <w:jc w:val="center"/>
            </w:pPr>
            <w:r>
              <w:rPr>
                <w:rFonts w:ascii="宋体" w:hAnsi="宋体" w:eastAsia="宋体"/>
                <w:sz w:val="16"/>
              </w:rPr>
              <w:t>6.48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B51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E46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F12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535DD">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5259E">
            <w:pPr>
              <w:jc w:val="center"/>
            </w:pPr>
            <w:r>
              <w:rPr>
                <w:rFonts w:ascii="宋体" w:hAnsi="宋体" w:eastAsia="宋体"/>
                <w:sz w:val="16"/>
              </w:rPr>
              <w:t>剩余1万元为审计结束后支付。</w:t>
            </w:r>
          </w:p>
        </w:tc>
      </w:tr>
      <w:tr w14:paraId="66286A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653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797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BFE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70D6B">
            <w:pPr>
              <w:jc w:val="center"/>
            </w:pPr>
            <w:r>
              <w:rPr>
                <w:rFonts w:ascii="宋体" w:hAnsi="宋体" w:eastAsia="宋体"/>
                <w:sz w:val="16"/>
              </w:rPr>
              <w:t>城镇片区市监所星级化打造创建成本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6FA0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4D4D8">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A6018">
            <w:pPr>
              <w:jc w:val="center"/>
            </w:pPr>
            <w:r>
              <w:rPr>
                <w:rFonts w:ascii="宋体" w:hAnsi="宋体" w:eastAsia="宋体"/>
                <w:sz w:val="16"/>
              </w:rPr>
              <w:t>=0.38万元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EA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BC6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2D0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45A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D8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9A7F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5568B">
            <w:pPr>
              <w:jc w:val="center"/>
            </w:pPr>
          </w:p>
        </w:tc>
      </w:tr>
      <w:tr w14:paraId="364ADC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3D76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5C1F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B60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03BF8">
            <w:pPr>
              <w:jc w:val="center"/>
            </w:pPr>
            <w:r>
              <w:rPr>
                <w:rFonts w:ascii="宋体" w:hAnsi="宋体" w:eastAsia="宋体"/>
                <w:sz w:val="16"/>
              </w:rPr>
              <w:t>监管人员监管能力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822C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D059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B34B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4BE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4AA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A76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B17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E816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1F4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68719">
            <w:pPr>
              <w:jc w:val="center"/>
            </w:pPr>
          </w:p>
        </w:tc>
      </w:tr>
      <w:tr w14:paraId="4DD903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D1E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4A77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3B1F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D920E">
            <w:pPr>
              <w:jc w:val="center"/>
            </w:pPr>
            <w:r>
              <w:rPr>
                <w:rFonts w:ascii="宋体" w:hAnsi="宋体" w:eastAsia="宋体"/>
                <w:sz w:val="16"/>
              </w:rPr>
              <w:t>为民办事大厅环境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D10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FE9A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D9C47">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B41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3DF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568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D0D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56AA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B06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79811">
            <w:pPr>
              <w:jc w:val="center"/>
            </w:pPr>
          </w:p>
        </w:tc>
      </w:tr>
      <w:tr w14:paraId="62D70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A1E3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5568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0D7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174C4">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8CA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542BD">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B84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784E1">
            <w:pPr>
              <w:jc w:val="center"/>
            </w:pPr>
            <w:r>
              <w:rPr>
                <w:rFonts w:ascii="宋体" w:hAnsi="宋体" w:eastAsia="宋体"/>
                <w:sz w:val="16"/>
              </w:rPr>
              <w:t>117%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382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C0C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038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2FC8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338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D648B">
            <w:pPr>
              <w:jc w:val="center"/>
            </w:pPr>
            <w:r>
              <w:rPr>
                <w:rFonts w:ascii="宋体" w:hAnsi="宋体" w:eastAsia="宋体"/>
                <w:sz w:val="16"/>
              </w:rPr>
              <w:t>通过问卷，改造后去办理业务的群众满意度达到100%。</w:t>
            </w:r>
          </w:p>
        </w:tc>
      </w:tr>
      <w:tr w14:paraId="7245C90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20B04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D77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EAA4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C515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D106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399A7">
            <w:pPr>
              <w:jc w:val="center"/>
            </w:pPr>
            <w:r>
              <w:rPr>
                <w:rFonts w:ascii="宋体" w:hAnsi="宋体" w:eastAsia="宋体"/>
                <w:sz w:val="16"/>
              </w:rPr>
              <w:t>98.01分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F8A9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BE39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036A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D922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2EDD40"/>
        </w:tc>
      </w:tr>
    </w:tbl>
    <w:p w14:paraId="5E6C8B2E">
      <w:r>
        <w:br w:type="page"/>
      </w:r>
    </w:p>
    <w:tbl>
      <w:tblPr>
        <w:tblStyle w:val="9"/>
        <w:tblW w:w="0" w:type="auto"/>
        <w:tblInd w:w="0" w:type="dxa"/>
        <w:tblLayout w:type="fixed"/>
        <w:tblCellMar>
          <w:top w:w="0" w:type="dxa"/>
          <w:left w:w="108" w:type="dxa"/>
          <w:bottom w:w="0" w:type="dxa"/>
          <w:right w:w="108" w:type="dxa"/>
        </w:tblCellMar>
      </w:tblPr>
      <w:tblGrid>
        <w:gridCol w:w="632"/>
        <w:gridCol w:w="632"/>
        <w:gridCol w:w="632"/>
        <w:gridCol w:w="632"/>
        <w:gridCol w:w="536"/>
        <w:gridCol w:w="733"/>
        <w:gridCol w:w="691"/>
        <w:gridCol w:w="632"/>
        <w:gridCol w:w="597"/>
        <w:gridCol w:w="667"/>
        <w:gridCol w:w="466"/>
        <w:gridCol w:w="534"/>
        <w:gridCol w:w="613"/>
        <w:gridCol w:w="979"/>
      </w:tblGrid>
      <w:tr w14:paraId="36DE7698">
        <w:tblPrEx>
          <w:tblCellMar>
            <w:top w:w="0" w:type="dxa"/>
            <w:left w:w="108" w:type="dxa"/>
            <w:bottom w:w="0" w:type="dxa"/>
            <w:right w:w="108" w:type="dxa"/>
          </w:tblCellMar>
        </w:tblPrEx>
        <w:tc>
          <w:tcPr>
            <w:tcW w:w="8976" w:type="dxa"/>
            <w:gridSpan w:val="14"/>
            <w:vAlign w:val="center"/>
          </w:tcPr>
          <w:p w14:paraId="3143A4A2">
            <w:pPr>
              <w:jc w:val="center"/>
            </w:pPr>
            <w:r>
              <w:rPr>
                <w:rFonts w:ascii="宋体" w:hAnsi="宋体" w:eastAsia="宋体"/>
                <w:sz w:val="24"/>
              </w:rPr>
              <w:t>项目支出绩效自评表</w:t>
            </w:r>
          </w:p>
        </w:tc>
      </w:tr>
      <w:tr w14:paraId="05677C24">
        <w:tblPrEx>
          <w:tblCellMar>
            <w:top w:w="0" w:type="dxa"/>
            <w:left w:w="108" w:type="dxa"/>
            <w:bottom w:w="0" w:type="dxa"/>
            <w:right w:w="108" w:type="dxa"/>
          </w:tblCellMar>
        </w:tblPrEx>
        <w:tc>
          <w:tcPr>
            <w:tcW w:w="8976" w:type="dxa"/>
            <w:gridSpan w:val="14"/>
            <w:vAlign w:val="center"/>
          </w:tcPr>
          <w:p w14:paraId="19BF8CE0">
            <w:pPr>
              <w:jc w:val="center"/>
            </w:pPr>
            <w:r>
              <w:rPr>
                <w:rFonts w:ascii="宋体" w:hAnsi="宋体" w:eastAsia="宋体"/>
                <w:sz w:val="24"/>
              </w:rPr>
              <w:t>(2024年度)</w:t>
            </w:r>
          </w:p>
        </w:tc>
      </w:tr>
      <w:tr w14:paraId="33ED6C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0E57B">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F800C9">
            <w:pPr>
              <w:jc w:val="center"/>
            </w:pPr>
            <w:r>
              <w:rPr>
                <w:rFonts w:ascii="宋体" w:hAnsi="宋体" w:eastAsia="宋体"/>
                <w:sz w:val="16"/>
              </w:rPr>
              <w:t>市监局昌州财行</w:t>
            </w:r>
            <w:r>
              <w:rPr>
                <w:rFonts w:hint="eastAsia" w:ascii="宋体" w:hAnsi="宋体"/>
                <w:sz w:val="16"/>
                <w:lang w:eastAsia="zh-CN"/>
              </w:rPr>
              <w:t>〔2023〕48号</w:t>
            </w:r>
            <w:r>
              <w:rPr>
                <w:rFonts w:ascii="宋体" w:hAnsi="宋体" w:eastAsia="宋体"/>
                <w:sz w:val="16"/>
              </w:rPr>
              <w:t>自治区药品抽检经费的通知</w:t>
            </w:r>
          </w:p>
        </w:tc>
      </w:tr>
      <w:tr w14:paraId="080724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8961A">
            <w:pPr>
              <w:jc w:val="center"/>
            </w:pPr>
            <w:r>
              <w:rPr>
                <w:rFonts w:ascii="宋体" w:hAnsi="宋体" w:eastAsia="宋体"/>
                <w:sz w:val="16"/>
              </w:rPr>
              <w:t>主管部门</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932F92">
            <w:pPr>
              <w:jc w:val="center"/>
            </w:pPr>
            <w:r>
              <w:rPr>
                <w:rFonts w:ascii="宋体" w:hAnsi="宋体" w:eastAsia="宋体"/>
                <w:sz w:val="16"/>
              </w:rPr>
              <w:t>吉木萨尔县市场监督管理局</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205BB3D7">
            <w:pPr>
              <w:jc w:val="center"/>
            </w:pPr>
            <w:r>
              <w:rPr>
                <w:rFonts w:ascii="宋体" w:hAnsi="宋体" w:eastAsia="宋体"/>
                <w:sz w:val="16"/>
              </w:rPr>
              <w:t>实施单位</w:t>
            </w:r>
          </w:p>
        </w:tc>
        <w:tc>
          <w:tcPr>
            <w:tcW w:w="325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F34AC8">
            <w:pPr>
              <w:jc w:val="center"/>
            </w:pPr>
            <w:r>
              <w:rPr>
                <w:rFonts w:ascii="宋体" w:hAnsi="宋体" w:eastAsia="宋体"/>
                <w:sz w:val="16"/>
              </w:rPr>
              <w:t>吉木萨尔县市场监督管理局</w:t>
            </w:r>
          </w:p>
        </w:tc>
      </w:tr>
      <w:tr w14:paraId="11171E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CEF8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06819">
            <w:pPr>
              <w:jc w:val="center"/>
            </w:pPr>
          </w:p>
        </w:tc>
        <w:tc>
          <w:tcPr>
            <w:tcW w:w="11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5B880">
            <w:pPr>
              <w:jc w:val="center"/>
            </w:pPr>
            <w:r>
              <w:rPr>
                <w:rFonts w:ascii="宋体" w:hAnsi="宋体" w:eastAsia="宋体"/>
                <w:sz w:val="16"/>
              </w:rPr>
              <w:t>年初预算数</w:t>
            </w:r>
          </w:p>
        </w:tc>
        <w:tc>
          <w:tcPr>
            <w:tcW w:w="14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D9FDB">
            <w:pPr>
              <w:jc w:val="center"/>
            </w:pPr>
            <w:r>
              <w:rPr>
                <w:rFonts w:ascii="宋体" w:hAnsi="宋体" w:eastAsia="宋体"/>
                <w:sz w:val="16"/>
              </w:rPr>
              <w:t>全年预算数</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1674D">
            <w:pPr>
              <w:jc w:val="center"/>
            </w:pPr>
            <w:r>
              <w:rPr>
                <w:rFonts w:ascii="宋体" w:hAnsi="宋体" w:eastAsia="宋体"/>
                <w:sz w:val="16"/>
              </w:rPr>
              <w:t>全年执行数</w:t>
            </w:r>
          </w:p>
        </w:tc>
        <w:tc>
          <w:tcPr>
            <w:tcW w:w="11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D4881">
            <w:pPr>
              <w:jc w:val="center"/>
            </w:pPr>
            <w:r>
              <w:rPr>
                <w:rFonts w:ascii="宋体" w:hAnsi="宋体" w:eastAsia="宋体"/>
                <w:sz w:val="16"/>
              </w:rPr>
              <w:t>分值</w:t>
            </w:r>
          </w:p>
        </w:tc>
        <w:tc>
          <w:tcPr>
            <w:tcW w:w="11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6724F">
            <w:pPr>
              <w:jc w:val="center"/>
            </w:pPr>
            <w:r>
              <w:rPr>
                <w:rFonts w:ascii="宋体" w:hAnsi="宋体" w:eastAsia="宋体"/>
                <w:sz w:val="16"/>
              </w:rPr>
              <w:t>执行率</w:t>
            </w:r>
          </w:p>
        </w:tc>
        <w:tc>
          <w:tcPr>
            <w:tcW w:w="979" w:type="dxa"/>
            <w:tcBorders>
              <w:top w:val="single" w:color="auto" w:sz="10" w:space="0"/>
              <w:left w:val="single" w:color="auto" w:sz="10" w:space="0"/>
              <w:bottom w:val="single" w:color="auto" w:sz="10" w:space="0"/>
              <w:right w:val="single" w:color="auto" w:sz="10" w:space="0"/>
              <w:insideV w:val="single" w:sz="10" w:space="0"/>
            </w:tcBorders>
            <w:vAlign w:val="center"/>
          </w:tcPr>
          <w:p w14:paraId="142A8C67">
            <w:pPr>
              <w:jc w:val="center"/>
            </w:pPr>
            <w:r>
              <w:rPr>
                <w:rFonts w:ascii="宋体" w:hAnsi="宋体" w:eastAsia="宋体"/>
                <w:sz w:val="16"/>
              </w:rPr>
              <w:t>得分</w:t>
            </w:r>
          </w:p>
        </w:tc>
      </w:tr>
      <w:tr w14:paraId="741FFB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E2B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792B5">
            <w:pPr>
              <w:jc w:val="center"/>
            </w:pPr>
            <w:r>
              <w:rPr>
                <w:rFonts w:ascii="宋体" w:hAnsi="宋体" w:eastAsia="宋体"/>
                <w:sz w:val="16"/>
              </w:rPr>
              <w:t>年度资金总额</w:t>
            </w:r>
          </w:p>
        </w:tc>
        <w:tc>
          <w:tcPr>
            <w:tcW w:w="11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4D024">
            <w:pPr>
              <w:jc w:val="center"/>
            </w:pPr>
            <w:r>
              <w:rPr>
                <w:rFonts w:ascii="宋体" w:hAnsi="宋体" w:eastAsia="宋体"/>
                <w:sz w:val="16"/>
              </w:rPr>
              <w:t>5.70</w:t>
            </w:r>
          </w:p>
        </w:tc>
        <w:tc>
          <w:tcPr>
            <w:tcW w:w="14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FAA11">
            <w:pPr>
              <w:jc w:val="center"/>
            </w:pPr>
            <w:r>
              <w:rPr>
                <w:rFonts w:ascii="宋体" w:hAnsi="宋体" w:eastAsia="宋体"/>
                <w:sz w:val="16"/>
              </w:rPr>
              <w:t>5.70</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03E42">
            <w:pPr>
              <w:jc w:val="center"/>
            </w:pPr>
            <w:r>
              <w:rPr>
                <w:rFonts w:ascii="宋体" w:hAnsi="宋体" w:eastAsia="宋体"/>
                <w:sz w:val="16"/>
              </w:rPr>
              <w:t>5.70</w:t>
            </w:r>
          </w:p>
        </w:tc>
        <w:tc>
          <w:tcPr>
            <w:tcW w:w="11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CEA0C">
            <w:pPr>
              <w:jc w:val="center"/>
            </w:pPr>
            <w:r>
              <w:rPr>
                <w:rFonts w:ascii="宋体" w:hAnsi="宋体" w:eastAsia="宋体"/>
                <w:sz w:val="16"/>
              </w:rPr>
              <w:t>10</w:t>
            </w:r>
          </w:p>
        </w:tc>
        <w:tc>
          <w:tcPr>
            <w:tcW w:w="11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617C49">
            <w:pPr>
              <w:jc w:val="center"/>
            </w:pPr>
            <w:r>
              <w:rPr>
                <w:rFonts w:ascii="宋体" w:hAnsi="宋体" w:eastAsia="宋体"/>
                <w:sz w:val="16"/>
              </w:rPr>
              <w:t>100.00%</w:t>
            </w:r>
          </w:p>
        </w:tc>
        <w:tc>
          <w:tcPr>
            <w:tcW w:w="979" w:type="dxa"/>
            <w:tcBorders>
              <w:top w:val="single" w:color="auto" w:sz="10" w:space="0"/>
              <w:left w:val="single" w:color="auto" w:sz="10" w:space="0"/>
              <w:bottom w:val="single" w:color="auto" w:sz="10" w:space="0"/>
              <w:right w:val="single" w:color="auto" w:sz="10" w:space="0"/>
              <w:insideV w:val="single" w:sz="10" w:space="0"/>
            </w:tcBorders>
            <w:vAlign w:val="center"/>
          </w:tcPr>
          <w:p w14:paraId="66FA0762">
            <w:pPr>
              <w:jc w:val="center"/>
            </w:pPr>
            <w:r>
              <w:rPr>
                <w:rFonts w:ascii="宋体" w:hAnsi="宋体" w:eastAsia="宋体"/>
                <w:sz w:val="16"/>
              </w:rPr>
              <w:t>10.00</w:t>
            </w:r>
          </w:p>
        </w:tc>
      </w:tr>
      <w:tr w14:paraId="008AF4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0FF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7889D">
            <w:pPr>
              <w:jc w:val="center"/>
            </w:pPr>
            <w:r>
              <w:rPr>
                <w:rFonts w:ascii="宋体" w:hAnsi="宋体" w:eastAsia="宋体"/>
                <w:sz w:val="16"/>
              </w:rPr>
              <w:t>其中：当年财政拨款</w:t>
            </w:r>
          </w:p>
        </w:tc>
        <w:tc>
          <w:tcPr>
            <w:tcW w:w="11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9CEDD">
            <w:pPr>
              <w:jc w:val="center"/>
            </w:pPr>
            <w:r>
              <w:rPr>
                <w:rFonts w:ascii="宋体" w:hAnsi="宋体" w:eastAsia="宋体"/>
                <w:sz w:val="16"/>
              </w:rPr>
              <w:t>5.70</w:t>
            </w:r>
          </w:p>
        </w:tc>
        <w:tc>
          <w:tcPr>
            <w:tcW w:w="14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3E069E">
            <w:pPr>
              <w:jc w:val="center"/>
            </w:pPr>
            <w:r>
              <w:rPr>
                <w:rFonts w:ascii="宋体" w:hAnsi="宋体" w:eastAsia="宋体"/>
                <w:sz w:val="16"/>
              </w:rPr>
              <w:t>5.70</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2AE52">
            <w:pPr>
              <w:jc w:val="center"/>
            </w:pPr>
            <w:r>
              <w:rPr>
                <w:rFonts w:ascii="宋体" w:hAnsi="宋体" w:eastAsia="宋体"/>
                <w:sz w:val="16"/>
              </w:rPr>
              <w:t>5.70</w:t>
            </w:r>
          </w:p>
        </w:tc>
        <w:tc>
          <w:tcPr>
            <w:tcW w:w="11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13D5C">
            <w:pPr>
              <w:jc w:val="center"/>
            </w:pPr>
            <w:r>
              <w:rPr>
                <w:rFonts w:ascii="宋体" w:hAnsi="宋体" w:eastAsia="宋体"/>
                <w:sz w:val="16"/>
              </w:rPr>
              <w:t>—</w:t>
            </w:r>
          </w:p>
        </w:tc>
        <w:tc>
          <w:tcPr>
            <w:tcW w:w="11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8F63A">
            <w:pPr>
              <w:jc w:val="center"/>
            </w:pPr>
            <w:r>
              <w:rPr>
                <w:rFonts w:ascii="宋体" w:hAnsi="宋体" w:eastAsia="宋体"/>
                <w:sz w:val="16"/>
              </w:rPr>
              <w:t>—</w:t>
            </w:r>
          </w:p>
        </w:tc>
        <w:tc>
          <w:tcPr>
            <w:tcW w:w="979" w:type="dxa"/>
            <w:tcBorders>
              <w:top w:val="single" w:color="auto" w:sz="10" w:space="0"/>
              <w:left w:val="single" w:color="auto" w:sz="10" w:space="0"/>
              <w:bottom w:val="single" w:color="auto" w:sz="10" w:space="0"/>
              <w:right w:val="single" w:color="auto" w:sz="10" w:space="0"/>
              <w:insideV w:val="single" w:sz="10" w:space="0"/>
            </w:tcBorders>
            <w:vAlign w:val="center"/>
          </w:tcPr>
          <w:p w14:paraId="19D6C970">
            <w:pPr>
              <w:jc w:val="center"/>
            </w:pPr>
            <w:r>
              <w:rPr>
                <w:rFonts w:ascii="宋体" w:hAnsi="宋体" w:eastAsia="宋体"/>
                <w:sz w:val="16"/>
              </w:rPr>
              <w:t>—</w:t>
            </w:r>
          </w:p>
        </w:tc>
      </w:tr>
      <w:tr w14:paraId="6A48C4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09F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02EEB">
            <w:pPr>
              <w:jc w:val="center"/>
            </w:pPr>
            <w:r>
              <w:rPr>
                <w:rFonts w:ascii="宋体" w:hAnsi="宋体" w:eastAsia="宋体"/>
                <w:sz w:val="16"/>
              </w:rPr>
              <w:t xml:space="preserve">  其他资金</w:t>
            </w:r>
          </w:p>
        </w:tc>
        <w:tc>
          <w:tcPr>
            <w:tcW w:w="116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F36F4">
            <w:pPr>
              <w:jc w:val="center"/>
            </w:pPr>
            <w:r>
              <w:rPr>
                <w:rFonts w:ascii="宋体" w:hAnsi="宋体" w:eastAsia="宋体"/>
                <w:sz w:val="16"/>
              </w:rPr>
              <w:t>0.00</w:t>
            </w:r>
          </w:p>
        </w:tc>
        <w:tc>
          <w:tcPr>
            <w:tcW w:w="142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3598A">
            <w:pPr>
              <w:jc w:val="center"/>
            </w:pPr>
            <w:r>
              <w:rPr>
                <w:rFonts w:ascii="宋体" w:hAnsi="宋体" w:eastAsia="宋体"/>
                <w:sz w:val="16"/>
              </w:rPr>
              <w:t>0.00</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AF5A3">
            <w:pPr>
              <w:jc w:val="center"/>
            </w:pPr>
            <w:r>
              <w:rPr>
                <w:rFonts w:ascii="宋体" w:hAnsi="宋体" w:eastAsia="宋体"/>
                <w:sz w:val="16"/>
              </w:rPr>
              <w:t>0.00</w:t>
            </w:r>
          </w:p>
        </w:tc>
        <w:tc>
          <w:tcPr>
            <w:tcW w:w="113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74CA5">
            <w:pPr>
              <w:jc w:val="center"/>
            </w:pPr>
            <w:r>
              <w:rPr>
                <w:rFonts w:ascii="宋体" w:hAnsi="宋体" w:eastAsia="宋体"/>
                <w:sz w:val="16"/>
              </w:rPr>
              <w:t>—</w:t>
            </w:r>
          </w:p>
        </w:tc>
        <w:tc>
          <w:tcPr>
            <w:tcW w:w="11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C415A">
            <w:pPr>
              <w:jc w:val="center"/>
            </w:pPr>
            <w:r>
              <w:rPr>
                <w:rFonts w:ascii="宋体" w:hAnsi="宋体" w:eastAsia="宋体"/>
                <w:sz w:val="16"/>
              </w:rPr>
              <w:t>—</w:t>
            </w:r>
          </w:p>
        </w:tc>
        <w:tc>
          <w:tcPr>
            <w:tcW w:w="979" w:type="dxa"/>
            <w:tcBorders>
              <w:top w:val="single" w:color="auto" w:sz="10" w:space="0"/>
              <w:left w:val="single" w:color="auto" w:sz="10" w:space="0"/>
              <w:bottom w:val="single" w:color="auto" w:sz="10" w:space="0"/>
              <w:right w:val="single" w:color="auto" w:sz="10" w:space="0"/>
              <w:insideV w:val="single" w:sz="10" w:space="0"/>
            </w:tcBorders>
            <w:vAlign w:val="center"/>
          </w:tcPr>
          <w:p w14:paraId="2986EE23">
            <w:pPr>
              <w:jc w:val="center"/>
            </w:pPr>
            <w:r>
              <w:rPr>
                <w:rFonts w:ascii="宋体" w:hAnsi="宋体" w:eastAsia="宋体"/>
                <w:sz w:val="16"/>
              </w:rPr>
              <w:t>—</w:t>
            </w:r>
          </w:p>
        </w:tc>
      </w:tr>
      <w:tr w14:paraId="6B3AF9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D39628">
            <w:pPr>
              <w:jc w:val="center"/>
            </w:pPr>
            <w:r>
              <w:rPr>
                <w:rFonts w:ascii="宋体" w:hAnsi="宋体" w:eastAsia="宋体"/>
                <w:sz w:val="16"/>
              </w:rPr>
              <w:t>年度总体目标</w:t>
            </w:r>
          </w:p>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7BB3A2">
            <w:pPr>
              <w:jc w:val="center"/>
            </w:pPr>
            <w:r>
              <w:rPr>
                <w:rFonts w:ascii="宋体" w:hAnsi="宋体" w:eastAsia="宋体"/>
                <w:sz w:val="16"/>
              </w:rPr>
              <w:t>预期目标</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5EEF15">
            <w:pPr>
              <w:jc w:val="center"/>
            </w:pPr>
            <w:r>
              <w:rPr>
                <w:rFonts w:ascii="宋体" w:hAnsi="宋体" w:eastAsia="宋体"/>
                <w:sz w:val="16"/>
              </w:rPr>
              <w:t>实际完成情况</w:t>
            </w:r>
          </w:p>
        </w:tc>
      </w:tr>
      <w:tr w14:paraId="086287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4C2D4"/>
        </w:tc>
        <w:tc>
          <w:tcPr>
            <w:tcW w:w="4488"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80187D">
            <w:pPr>
              <w:jc w:val="both"/>
            </w:pPr>
            <w:r>
              <w:rPr>
                <w:rFonts w:ascii="宋体" w:hAnsi="宋体" w:eastAsia="宋体"/>
                <w:sz w:val="16"/>
              </w:rPr>
              <w:t>紧紧围绕社会稳定和长治久安总目标，认真贯彻全国药品监督管理工作会议部署和自治区药监局2023年药品监督重点工作安排，以提高药品安全水平为核心，坚持问题导向、重点突出、监检结合和三级联动原则，进一步做好医疗器械、化妆品抽检和药品评价性抽检工作，完成医疗器械监督抽样任务3批次、化妆品监督抽样3批次、药品评价性抽样29批次，努力提高监管能力和监管水平，以“四个最严”的要求保障药品安全，坚决守住县内不发生重大药品安全事故底线。</w:t>
            </w:r>
          </w:p>
        </w:tc>
        <w:tc>
          <w:tcPr>
            <w:tcW w:w="385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7FA40B">
            <w:pPr>
              <w:jc w:val="both"/>
            </w:pPr>
            <w:r>
              <w:rPr>
                <w:rFonts w:hint="eastAsia" w:ascii="宋体" w:hAnsi="宋体"/>
                <w:sz w:val="16"/>
                <w:lang w:eastAsia="zh-CN"/>
              </w:rPr>
              <w:t>截至</w:t>
            </w:r>
            <w:r>
              <w:rPr>
                <w:rFonts w:ascii="宋体" w:hAnsi="宋体" w:eastAsia="宋体"/>
                <w:sz w:val="16"/>
              </w:rPr>
              <w:t>2024年12月31日，项目实际支出5.7万元，预算执行率为100%。通过项目实施，完成医疗器械监督抽样任务3批次、化妆品监督抽样2批次、药品抽样28批次，提高了监管能力和监管水平，以“四个最严”的要求保障药品安全，县内未发生重大药品安全事故。</w:t>
            </w:r>
          </w:p>
        </w:tc>
      </w:tr>
      <w:tr w14:paraId="54C494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DF222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B85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D3A1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E2E3B">
            <w:pPr>
              <w:jc w:val="center"/>
            </w:pPr>
            <w:r>
              <w:rPr>
                <w:rFonts w:ascii="宋体" w:hAnsi="宋体" w:eastAsia="宋体"/>
                <w:sz w:val="16"/>
              </w:rPr>
              <w:t>三级指标</w:t>
            </w:r>
          </w:p>
        </w:tc>
        <w:tc>
          <w:tcPr>
            <w:tcW w:w="536" w:type="dxa"/>
            <w:tcBorders>
              <w:top w:val="single" w:color="auto" w:sz="10" w:space="0"/>
              <w:left w:val="single" w:color="auto" w:sz="10" w:space="0"/>
              <w:bottom w:val="single" w:color="auto" w:sz="10" w:space="0"/>
              <w:right w:val="single" w:color="auto" w:sz="10" w:space="0"/>
              <w:insideV w:val="single" w:sz="10" w:space="0"/>
            </w:tcBorders>
            <w:vAlign w:val="center"/>
          </w:tcPr>
          <w:p w14:paraId="6EE14478">
            <w:pPr>
              <w:jc w:val="center"/>
            </w:pPr>
            <w:r>
              <w:rPr>
                <w:rFonts w:ascii="宋体" w:hAnsi="宋体" w:eastAsia="宋体"/>
                <w:sz w:val="16"/>
              </w:rPr>
              <w:t>权重</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642033B1">
            <w:pPr>
              <w:jc w:val="center"/>
            </w:pPr>
            <w:r>
              <w:rPr>
                <w:rFonts w:ascii="宋体" w:hAnsi="宋体" w:eastAsia="宋体"/>
                <w:sz w:val="16"/>
              </w:rPr>
              <w:t>目标值</w:t>
            </w:r>
          </w:p>
        </w:tc>
        <w:tc>
          <w:tcPr>
            <w:tcW w:w="691" w:type="dxa"/>
            <w:tcBorders>
              <w:top w:val="single" w:color="auto" w:sz="10" w:space="0"/>
              <w:left w:val="single" w:color="auto" w:sz="10" w:space="0"/>
              <w:bottom w:val="single" w:color="auto" w:sz="10" w:space="0"/>
              <w:right w:val="single" w:color="auto" w:sz="10" w:space="0"/>
              <w:insideV w:val="single" w:sz="10" w:space="0"/>
            </w:tcBorders>
            <w:vAlign w:val="center"/>
          </w:tcPr>
          <w:p w14:paraId="684C92B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1248">
            <w:pPr>
              <w:jc w:val="center"/>
            </w:pPr>
            <w:r>
              <w:rPr>
                <w:rFonts w:ascii="宋体" w:hAnsi="宋体" w:eastAsia="宋体"/>
                <w:sz w:val="16"/>
              </w:rPr>
              <w:t>完成率</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2A679204">
            <w:pPr>
              <w:jc w:val="center"/>
            </w:pPr>
            <w:r>
              <w:rPr>
                <w:rFonts w:ascii="宋体" w:hAnsi="宋体" w:eastAsia="宋体"/>
                <w:sz w:val="16"/>
              </w:rPr>
              <w:t>得分</w:t>
            </w:r>
          </w:p>
        </w:tc>
        <w:tc>
          <w:tcPr>
            <w:tcW w:w="667" w:type="dxa"/>
            <w:tcBorders>
              <w:top w:val="single" w:color="auto" w:sz="10" w:space="0"/>
              <w:left w:val="single" w:color="auto" w:sz="10" w:space="0"/>
              <w:bottom w:val="single" w:color="auto" w:sz="10" w:space="0"/>
              <w:right w:val="single" w:color="auto" w:sz="10" w:space="0"/>
              <w:insideV w:val="single" w:sz="10" w:space="0"/>
            </w:tcBorders>
            <w:vAlign w:val="center"/>
          </w:tcPr>
          <w:p w14:paraId="75F43165">
            <w:pPr>
              <w:jc w:val="center"/>
            </w:pPr>
            <w:r>
              <w:rPr>
                <w:rFonts w:ascii="宋体" w:hAnsi="宋体" w:eastAsia="宋体"/>
                <w:sz w:val="16"/>
              </w:rPr>
              <w:t>指标值设定依据</w:t>
            </w:r>
          </w:p>
        </w:tc>
        <w:tc>
          <w:tcPr>
            <w:tcW w:w="466" w:type="dxa"/>
            <w:tcBorders>
              <w:top w:val="single" w:color="auto" w:sz="10" w:space="0"/>
              <w:left w:val="single" w:color="auto" w:sz="10" w:space="0"/>
              <w:bottom w:val="single" w:color="auto" w:sz="10" w:space="0"/>
              <w:right w:val="single" w:color="auto" w:sz="10" w:space="0"/>
              <w:insideV w:val="single" w:sz="10" w:space="0"/>
            </w:tcBorders>
            <w:vAlign w:val="center"/>
          </w:tcPr>
          <w:p w14:paraId="7E1583FA">
            <w:pPr>
              <w:jc w:val="center"/>
            </w:pPr>
            <w:r>
              <w:rPr>
                <w:rFonts w:ascii="宋体" w:hAnsi="宋体" w:eastAsia="宋体"/>
                <w:sz w:val="16"/>
              </w:rPr>
              <w:t>上年完成情况</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33459A67">
            <w:pPr>
              <w:jc w:val="center"/>
            </w:pPr>
            <w:r>
              <w:rPr>
                <w:rFonts w:ascii="宋体" w:hAnsi="宋体" w:eastAsia="宋体"/>
                <w:sz w:val="16"/>
              </w:rPr>
              <w:t>赋分规则</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0B6E13C">
            <w:pPr>
              <w:jc w:val="center"/>
            </w:pPr>
            <w:r>
              <w:rPr>
                <w:rFonts w:ascii="宋体" w:hAnsi="宋体" w:eastAsia="宋体"/>
                <w:sz w:val="16"/>
              </w:rPr>
              <w:t>佐证资料</w:t>
            </w:r>
          </w:p>
        </w:tc>
        <w:tc>
          <w:tcPr>
            <w:tcW w:w="979" w:type="dxa"/>
            <w:tcBorders>
              <w:top w:val="single" w:color="auto" w:sz="10" w:space="0"/>
              <w:left w:val="single" w:color="auto" w:sz="10" w:space="0"/>
              <w:bottom w:val="single" w:color="auto" w:sz="10" w:space="0"/>
              <w:right w:val="single" w:color="auto" w:sz="10" w:space="0"/>
              <w:insideV w:val="single" w:sz="10" w:space="0"/>
            </w:tcBorders>
            <w:vAlign w:val="center"/>
          </w:tcPr>
          <w:p w14:paraId="29B0A061">
            <w:pPr>
              <w:jc w:val="center"/>
            </w:pPr>
            <w:r>
              <w:rPr>
                <w:rFonts w:ascii="宋体" w:hAnsi="宋体" w:eastAsia="宋体"/>
                <w:sz w:val="16"/>
              </w:rPr>
              <w:t>偏差原因分析及改进措施</w:t>
            </w:r>
          </w:p>
        </w:tc>
      </w:tr>
      <w:tr w14:paraId="0A5B758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4B20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350D5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F2CD6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0B4A5">
            <w:pPr>
              <w:jc w:val="center"/>
            </w:pPr>
            <w:r>
              <w:rPr>
                <w:rFonts w:ascii="宋体" w:hAnsi="宋体" w:eastAsia="宋体"/>
                <w:sz w:val="16"/>
              </w:rPr>
              <w:t>医疗器械监督抽样批次</w:t>
            </w:r>
          </w:p>
        </w:tc>
        <w:tc>
          <w:tcPr>
            <w:tcW w:w="536" w:type="dxa"/>
            <w:tcBorders>
              <w:top w:val="single" w:color="auto" w:sz="10" w:space="0"/>
              <w:left w:val="single" w:color="auto" w:sz="10" w:space="0"/>
              <w:bottom w:val="single" w:color="auto" w:sz="10" w:space="0"/>
              <w:right w:val="single" w:color="auto" w:sz="10" w:space="0"/>
              <w:insideV w:val="single" w:sz="10" w:space="0"/>
            </w:tcBorders>
            <w:vAlign w:val="center"/>
          </w:tcPr>
          <w:p w14:paraId="44F611E0">
            <w:pPr>
              <w:jc w:val="center"/>
            </w:pPr>
            <w:r>
              <w:rPr>
                <w:rFonts w:ascii="宋体" w:hAnsi="宋体" w:eastAsia="宋体"/>
                <w:sz w:val="16"/>
              </w:rPr>
              <w:t>9</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1E9E83AF">
            <w:pPr>
              <w:jc w:val="center"/>
            </w:pPr>
            <w:r>
              <w:rPr>
                <w:rFonts w:ascii="宋体" w:hAnsi="宋体" w:eastAsia="宋体"/>
                <w:sz w:val="16"/>
              </w:rPr>
              <w:t>&gt;=3批次</w:t>
            </w:r>
          </w:p>
        </w:tc>
        <w:tc>
          <w:tcPr>
            <w:tcW w:w="691" w:type="dxa"/>
            <w:tcBorders>
              <w:top w:val="single" w:color="auto" w:sz="10" w:space="0"/>
              <w:left w:val="single" w:color="auto" w:sz="10" w:space="0"/>
              <w:bottom w:val="single" w:color="auto" w:sz="10" w:space="0"/>
              <w:right w:val="single" w:color="auto" w:sz="10" w:space="0"/>
              <w:insideV w:val="single" w:sz="10" w:space="0"/>
            </w:tcBorders>
            <w:vAlign w:val="center"/>
          </w:tcPr>
          <w:p w14:paraId="644AD2BE">
            <w:pPr>
              <w:jc w:val="center"/>
            </w:pPr>
            <w:r>
              <w:rPr>
                <w:rFonts w:ascii="宋体" w:hAnsi="宋体" w:eastAsia="宋体"/>
                <w:sz w:val="16"/>
              </w:rPr>
              <w:t>=3批次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5417">
            <w:pPr>
              <w:jc w:val="center"/>
            </w:pPr>
            <w:r>
              <w:rPr>
                <w:rFonts w:ascii="宋体" w:hAnsi="宋体" w:eastAsia="宋体"/>
                <w:sz w:val="16"/>
              </w:rPr>
              <w:t>100%</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797090F9">
            <w:pPr>
              <w:jc w:val="center"/>
            </w:pPr>
            <w:r>
              <w:rPr>
                <w:rFonts w:ascii="宋体" w:hAnsi="宋体" w:eastAsia="宋体"/>
                <w:sz w:val="16"/>
              </w:rPr>
              <w:t>9</w:t>
            </w:r>
          </w:p>
        </w:tc>
        <w:tc>
          <w:tcPr>
            <w:tcW w:w="667" w:type="dxa"/>
            <w:tcBorders>
              <w:top w:val="single" w:color="auto" w:sz="10" w:space="0"/>
              <w:left w:val="single" w:color="auto" w:sz="10" w:space="0"/>
              <w:bottom w:val="single" w:color="auto" w:sz="10" w:space="0"/>
              <w:right w:val="single" w:color="auto" w:sz="10" w:space="0"/>
              <w:insideV w:val="single" w:sz="10" w:space="0"/>
            </w:tcBorders>
            <w:vAlign w:val="center"/>
          </w:tcPr>
          <w:p w14:paraId="775C1833">
            <w:pPr>
              <w:jc w:val="center"/>
            </w:pPr>
            <w:r>
              <w:rPr>
                <w:rFonts w:ascii="宋体" w:hAnsi="宋体" w:eastAsia="宋体"/>
                <w:sz w:val="16"/>
              </w:rPr>
              <w:t>计划标准</w:t>
            </w:r>
          </w:p>
        </w:tc>
        <w:tc>
          <w:tcPr>
            <w:tcW w:w="466" w:type="dxa"/>
            <w:tcBorders>
              <w:top w:val="single" w:color="auto" w:sz="10" w:space="0"/>
              <w:left w:val="single" w:color="auto" w:sz="10" w:space="0"/>
              <w:bottom w:val="single" w:color="auto" w:sz="10" w:space="0"/>
              <w:right w:val="single" w:color="auto" w:sz="10" w:space="0"/>
              <w:insideV w:val="single" w:sz="10" w:space="0"/>
            </w:tcBorders>
            <w:vAlign w:val="center"/>
          </w:tcPr>
          <w:p w14:paraId="35732CC1">
            <w:pPr>
              <w:jc w:val="center"/>
            </w:pPr>
            <w:r>
              <w:rPr>
                <w:rFonts w:ascii="宋体" w:hAnsi="宋体" w:eastAsia="宋体"/>
                <w:sz w:val="16"/>
              </w:rPr>
              <w:t>-</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55AC9112">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2B3A111">
            <w:pPr>
              <w:jc w:val="center"/>
            </w:pPr>
            <w:r>
              <w:rPr>
                <w:rFonts w:ascii="宋体" w:hAnsi="宋体" w:eastAsia="宋体"/>
                <w:sz w:val="16"/>
              </w:rPr>
              <w:t>工作资料</w:t>
            </w:r>
          </w:p>
        </w:tc>
        <w:tc>
          <w:tcPr>
            <w:tcW w:w="979" w:type="dxa"/>
            <w:tcBorders>
              <w:top w:val="single" w:color="auto" w:sz="10" w:space="0"/>
              <w:left w:val="single" w:color="auto" w:sz="10" w:space="0"/>
              <w:bottom w:val="single" w:color="auto" w:sz="10" w:space="0"/>
              <w:right w:val="single" w:color="auto" w:sz="10" w:space="0"/>
              <w:insideV w:val="single" w:sz="10" w:space="0"/>
            </w:tcBorders>
            <w:vAlign w:val="center"/>
          </w:tcPr>
          <w:p w14:paraId="2851F0AA">
            <w:pPr>
              <w:jc w:val="center"/>
            </w:pPr>
          </w:p>
        </w:tc>
      </w:tr>
      <w:tr w14:paraId="76E379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546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C4C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D44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16C28">
            <w:pPr>
              <w:jc w:val="center"/>
            </w:pPr>
            <w:r>
              <w:rPr>
                <w:rFonts w:ascii="宋体" w:hAnsi="宋体" w:eastAsia="宋体"/>
                <w:sz w:val="16"/>
              </w:rPr>
              <w:t>化妆品监督抽样批次</w:t>
            </w:r>
          </w:p>
        </w:tc>
        <w:tc>
          <w:tcPr>
            <w:tcW w:w="536" w:type="dxa"/>
            <w:tcBorders>
              <w:top w:val="single" w:color="auto" w:sz="10" w:space="0"/>
              <w:left w:val="single" w:color="auto" w:sz="10" w:space="0"/>
              <w:bottom w:val="single" w:color="auto" w:sz="10" w:space="0"/>
              <w:right w:val="single" w:color="auto" w:sz="10" w:space="0"/>
              <w:insideV w:val="single" w:sz="10" w:space="0"/>
            </w:tcBorders>
            <w:vAlign w:val="center"/>
          </w:tcPr>
          <w:p w14:paraId="046A6F06">
            <w:pPr>
              <w:jc w:val="center"/>
            </w:pPr>
            <w:r>
              <w:rPr>
                <w:rFonts w:ascii="宋体" w:hAnsi="宋体" w:eastAsia="宋体"/>
                <w:sz w:val="16"/>
              </w:rPr>
              <w:t>9</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037E2525">
            <w:pPr>
              <w:jc w:val="center"/>
            </w:pPr>
            <w:r>
              <w:rPr>
                <w:rFonts w:ascii="宋体" w:hAnsi="宋体" w:eastAsia="宋体"/>
                <w:sz w:val="16"/>
              </w:rPr>
              <w:t>&gt;=3批次</w:t>
            </w:r>
          </w:p>
        </w:tc>
        <w:tc>
          <w:tcPr>
            <w:tcW w:w="691" w:type="dxa"/>
            <w:tcBorders>
              <w:top w:val="single" w:color="auto" w:sz="10" w:space="0"/>
              <w:left w:val="single" w:color="auto" w:sz="10" w:space="0"/>
              <w:bottom w:val="single" w:color="auto" w:sz="10" w:space="0"/>
              <w:right w:val="single" w:color="auto" w:sz="10" w:space="0"/>
              <w:insideV w:val="single" w:sz="10" w:space="0"/>
            </w:tcBorders>
            <w:vAlign w:val="center"/>
          </w:tcPr>
          <w:p w14:paraId="4651550F">
            <w:pPr>
              <w:jc w:val="center"/>
            </w:pPr>
            <w:r>
              <w:rPr>
                <w:rFonts w:ascii="宋体" w:hAnsi="宋体" w:eastAsia="宋体"/>
                <w:sz w:val="16"/>
              </w:rPr>
              <w:t>=7批次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AB02">
            <w:pPr>
              <w:jc w:val="center"/>
            </w:pPr>
            <w:r>
              <w:rPr>
                <w:rFonts w:ascii="宋体" w:hAnsi="宋体" w:eastAsia="宋体"/>
                <w:sz w:val="16"/>
              </w:rPr>
              <w:t>100%</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0C63029C">
            <w:pPr>
              <w:jc w:val="center"/>
            </w:pPr>
            <w:r>
              <w:rPr>
                <w:rFonts w:ascii="宋体" w:hAnsi="宋体" w:eastAsia="宋体"/>
                <w:sz w:val="16"/>
              </w:rPr>
              <w:t>9</w:t>
            </w:r>
          </w:p>
        </w:tc>
        <w:tc>
          <w:tcPr>
            <w:tcW w:w="667" w:type="dxa"/>
            <w:tcBorders>
              <w:top w:val="single" w:color="auto" w:sz="10" w:space="0"/>
              <w:left w:val="single" w:color="auto" w:sz="10" w:space="0"/>
              <w:bottom w:val="single" w:color="auto" w:sz="10" w:space="0"/>
              <w:right w:val="single" w:color="auto" w:sz="10" w:space="0"/>
              <w:insideV w:val="single" w:sz="10" w:space="0"/>
            </w:tcBorders>
            <w:vAlign w:val="center"/>
          </w:tcPr>
          <w:p w14:paraId="12A83EEE">
            <w:pPr>
              <w:jc w:val="center"/>
            </w:pPr>
            <w:r>
              <w:rPr>
                <w:rFonts w:ascii="宋体" w:hAnsi="宋体" w:eastAsia="宋体"/>
                <w:sz w:val="16"/>
              </w:rPr>
              <w:t>计划标准</w:t>
            </w:r>
          </w:p>
        </w:tc>
        <w:tc>
          <w:tcPr>
            <w:tcW w:w="466" w:type="dxa"/>
            <w:tcBorders>
              <w:top w:val="single" w:color="auto" w:sz="10" w:space="0"/>
              <w:left w:val="single" w:color="auto" w:sz="10" w:space="0"/>
              <w:bottom w:val="single" w:color="auto" w:sz="10" w:space="0"/>
              <w:right w:val="single" w:color="auto" w:sz="10" w:space="0"/>
              <w:insideV w:val="single" w:sz="10" w:space="0"/>
            </w:tcBorders>
            <w:vAlign w:val="center"/>
          </w:tcPr>
          <w:p w14:paraId="706B53A2">
            <w:pPr>
              <w:jc w:val="center"/>
            </w:pPr>
            <w:r>
              <w:rPr>
                <w:rFonts w:ascii="宋体" w:hAnsi="宋体" w:eastAsia="宋体"/>
                <w:sz w:val="16"/>
              </w:rPr>
              <w:t>-</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7AE3F8C9">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FEE39FC">
            <w:pPr>
              <w:jc w:val="center"/>
            </w:pPr>
            <w:r>
              <w:rPr>
                <w:rFonts w:ascii="宋体" w:hAnsi="宋体" w:eastAsia="宋体"/>
                <w:sz w:val="16"/>
              </w:rPr>
              <w:t>工作资料</w:t>
            </w:r>
          </w:p>
        </w:tc>
        <w:tc>
          <w:tcPr>
            <w:tcW w:w="979" w:type="dxa"/>
            <w:tcBorders>
              <w:top w:val="single" w:color="auto" w:sz="10" w:space="0"/>
              <w:left w:val="single" w:color="auto" w:sz="10" w:space="0"/>
              <w:bottom w:val="single" w:color="auto" w:sz="10" w:space="0"/>
              <w:right w:val="single" w:color="auto" w:sz="10" w:space="0"/>
              <w:insideV w:val="single" w:sz="10" w:space="0"/>
            </w:tcBorders>
            <w:vAlign w:val="center"/>
          </w:tcPr>
          <w:p w14:paraId="584D6AEE">
            <w:pPr>
              <w:jc w:val="center"/>
            </w:pPr>
          </w:p>
        </w:tc>
      </w:tr>
      <w:tr w14:paraId="29BE68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2FE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EB9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5A3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CBD7">
            <w:pPr>
              <w:jc w:val="center"/>
            </w:pPr>
            <w:r>
              <w:rPr>
                <w:rFonts w:ascii="宋体" w:hAnsi="宋体" w:eastAsia="宋体"/>
                <w:sz w:val="16"/>
              </w:rPr>
              <w:t>药品评价性抽样批次</w:t>
            </w:r>
          </w:p>
        </w:tc>
        <w:tc>
          <w:tcPr>
            <w:tcW w:w="536" w:type="dxa"/>
            <w:tcBorders>
              <w:top w:val="single" w:color="auto" w:sz="10" w:space="0"/>
              <w:left w:val="single" w:color="auto" w:sz="10" w:space="0"/>
              <w:bottom w:val="single" w:color="auto" w:sz="10" w:space="0"/>
              <w:right w:val="single" w:color="auto" w:sz="10" w:space="0"/>
              <w:insideV w:val="single" w:sz="10" w:space="0"/>
            </w:tcBorders>
            <w:vAlign w:val="center"/>
          </w:tcPr>
          <w:p w14:paraId="538E71EF">
            <w:pPr>
              <w:jc w:val="center"/>
            </w:pPr>
            <w:r>
              <w:rPr>
                <w:rFonts w:ascii="宋体" w:hAnsi="宋体" w:eastAsia="宋体"/>
                <w:sz w:val="16"/>
              </w:rPr>
              <w:t>10</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155D6E90">
            <w:pPr>
              <w:jc w:val="center"/>
            </w:pPr>
            <w:r>
              <w:rPr>
                <w:rFonts w:ascii="宋体" w:hAnsi="宋体" w:eastAsia="宋体"/>
                <w:sz w:val="16"/>
              </w:rPr>
              <w:t>&gt;=29批次</w:t>
            </w:r>
          </w:p>
        </w:tc>
        <w:tc>
          <w:tcPr>
            <w:tcW w:w="691" w:type="dxa"/>
            <w:tcBorders>
              <w:top w:val="single" w:color="auto" w:sz="10" w:space="0"/>
              <w:left w:val="single" w:color="auto" w:sz="10" w:space="0"/>
              <w:bottom w:val="single" w:color="auto" w:sz="10" w:space="0"/>
              <w:right w:val="single" w:color="auto" w:sz="10" w:space="0"/>
              <w:insideV w:val="single" w:sz="10" w:space="0"/>
            </w:tcBorders>
            <w:vAlign w:val="center"/>
          </w:tcPr>
          <w:p w14:paraId="4D9A814C">
            <w:pPr>
              <w:jc w:val="center"/>
            </w:pPr>
            <w:r>
              <w:rPr>
                <w:rFonts w:ascii="宋体" w:hAnsi="宋体" w:eastAsia="宋体"/>
                <w:sz w:val="16"/>
              </w:rPr>
              <w:t>=30批次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648BA">
            <w:pPr>
              <w:jc w:val="center"/>
            </w:pPr>
            <w:r>
              <w:rPr>
                <w:rFonts w:ascii="宋体" w:hAnsi="宋体" w:eastAsia="宋体"/>
                <w:sz w:val="16"/>
              </w:rPr>
              <w:t>100%</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57E504CE">
            <w:pPr>
              <w:jc w:val="center"/>
            </w:pPr>
            <w:r>
              <w:rPr>
                <w:rFonts w:ascii="宋体" w:hAnsi="宋体" w:eastAsia="宋体"/>
                <w:sz w:val="16"/>
              </w:rPr>
              <w:t>10</w:t>
            </w:r>
          </w:p>
        </w:tc>
        <w:tc>
          <w:tcPr>
            <w:tcW w:w="667" w:type="dxa"/>
            <w:tcBorders>
              <w:top w:val="single" w:color="auto" w:sz="10" w:space="0"/>
              <w:left w:val="single" w:color="auto" w:sz="10" w:space="0"/>
              <w:bottom w:val="single" w:color="auto" w:sz="10" w:space="0"/>
              <w:right w:val="single" w:color="auto" w:sz="10" w:space="0"/>
              <w:insideV w:val="single" w:sz="10" w:space="0"/>
            </w:tcBorders>
            <w:vAlign w:val="center"/>
          </w:tcPr>
          <w:p w14:paraId="3CC21DCE">
            <w:pPr>
              <w:jc w:val="center"/>
            </w:pPr>
            <w:r>
              <w:rPr>
                <w:rFonts w:ascii="宋体" w:hAnsi="宋体" w:eastAsia="宋体"/>
                <w:sz w:val="16"/>
              </w:rPr>
              <w:t>计划标准</w:t>
            </w:r>
          </w:p>
        </w:tc>
        <w:tc>
          <w:tcPr>
            <w:tcW w:w="466" w:type="dxa"/>
            <w:tcBorders>
              <w:top w:val="single" w:color="auto" w:sz="10" w:space="0"/>
              <w:left w:val="single" w:color="auto" w:sz="10" w:space="0"/>
              <w:bottom w:val="single" w:color="auto" w:sz="10" w:space="0"/>
              <w:right w:val="single" w:color="auto" w:sz="10" w:space="0"/>
              <w:insideV w:val="single" w:sz="10" w:space="0"/>
            </w:tcBorders>
            <w:vAlign w:val="center"/>
          </w:tcPr>
          <w:p w14:paraId="2CBE5E4F">
            <w:pPr>
              <w:jc w:val="center"/>
            </w:pPr>
            <w:r>
              <w:rPr>
                <w:rFonts w:ascii="宋体" w:hAnsi="宋体" w:eastAsia="宋体"/>
                <w:sz w:val="16"/>
              </w:rPr>
              <w:t>-</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51173BB8">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53110E5">
            <w:pPr>
              <w:jc w:val="center"/>
            </w:pPr>
            <w:r>
              <w:rPr>
                <w:rFonts w:ascii="宋体" w:hAnsi="宋体" w:eastAsia="宋体"/>
                <w:sz w:val="16"/>
              </w:rPr>
              <w:t>工作资料</w:t>
            </w:r>
          </w:p>
        </w:tc>
        <w:tc>
          <w:tcPr>
            <w:tcW w:w="979" w:type="dxa"/>
            <w:tcBorders>
              <w:top w:val="single" w:color="auto" w:sz="10" w:space="0"/>
              <w:left w:val="single" w:color="auto" w:sz="10" w:space="0"/>
              <w:bottom w:val="single" w:color="auto" w:sz="10" w:space="0"/>
              <w:right w:val="single" w:color="auto" w:sz="10" w:space="0"/>
              <w:insideV w:val="single" w:sz="10" w:space="0"/>
            </w:tcBorders>
            <w:vAlign w:val="center"/>
          </w:tcPr>
          <w:p w14:paraId="7A1DC743">
            <w:pPr>
              <w:jc w:val="center"/>
            </w:pPr>
          </w:p>
        </w:tc>
      </w:tr>
      <w:tr w14:paraId="41D817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C05F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6A7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3719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87C76">
            <w:pPr>
              <w:jc w:val="center"/>
            </w:pPr>
            <w:r>
              <w:rPr>
                <w:rFonts w:ascii="宋体" w:hAnsi="宋体" w:eastAsia="宋体"/>
                <w:sz w:val="16"/>
              </w:rPr>
              <w:t>“两品一械”抽检覆盖率</w:t>
            </w:r>
          </w:p>
        </w:tc>
        <w:tc>
          <w:tcPr>
            <w:tcW w:w="536" w:type="dxa"/>
            <w:tcBorders>
              <w:top w:val="single" w:color="auto" w:sz="10" w:space="0"/>
              <w:left w:val="single" w:color="auto" w:sz="10" w:space="0"/>
              <w:bottom w:val="single" w:color="auto" w:sz="10" w:space="0"/>
              <w:right w:val="single" w:color="auto" w:sz="10" w:space="0"/>
              <w:insideV w:val="single" w:sz="10" w:space="0"/>
            </w:tcBorders>
            <w:vAlign w:val="center"/>
          </w:tcPr>
          <w:p w14:paraId="0A535069">
            <w:pPr>
              <w:jc w:val="center"/>
            </w:pPr>
            <w:r>
              <w:rPr>
                <w:rFonts w:ascii="宋体" w:hAnsi="宋体" w:eastAsia="宋体"/>
                <w:sz w:val="16"/>
              </w:rPr>
              <w:t>7</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1EF0B459">
            <w:pPr>
              <w:jc w:val="center"/>
            </w:pPr>
            <w:r>
              <w:rPr>
                <w:rFonts w:ascii="宋体" w:hAnsi="宋体" w:eastAsia="宋体"/>
                <w:sz w:val="16"/>
              </w:rPr>
              <w:t>&gt;=90%</w:t>
            </w:r>
          </w:p>
        </w:tc>
        <w:tc>
          <w:tcPr>
            <w:tcW w:w="691" w:type="dxa"/>
            <w:tcBorders>
              <w:top w:val="single" w:color="auto" w:sz="10" w:space="0"/>
              <w:left w:val="single" w:color="auto" w:sz="10" w:space="0"/>
              <w:bottom w:val="single" w:color="auto" w:sz="10" w:space="0"/>
              <w:right w:val="single" w:color="auto" w:sz="10" w:space="0"/>
              <w:insideV w:val="single" w:sz="10" w:space="0"/>
            </w:tcBorders>
            <w:vAlign w:val="center"/>
          </w:tcPr>
          <w:p w14:paraId="43DFE3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26EB8">
            <w:pPr>
              <w:jc w:val="center"/>
            </w:pPr>
            <w:r>
              <w:rPr>
                <w:rFonts w:ascii="宋体" w:hAnsi="宋体" w:eastAsia="宋体"/>
                <w:sz w:val="16"/>
              </w:rPr>
              <w:t>111%</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17516B1F">
            <w:pPr>
              <w:jc w:val="center"/>
            </w:pPr>
            <w:r>
              <w:rPr>
                <w:rFonts w:ascii="宋体" w:hAnsi="宋体" w:eastAsia="宋体"/>
                <w:sz w:val="16"/>
              </w:rPr>
              <w:t>6.23</w:t>
            </w:r>
          </w:p>
        </w:tc>
        <w:tc>
          <w:tcPr>
            <w:tcW w:w="667" w:type="dxa"/>
            <w:tcBorders>
              <w:top w:val="single" w:color="auto" w:sz="10" w:space="0"/>
              <w:left w:val="single" w:color="auto" w:sz="10" w:space="0"/>
              <w:bottom w:val="single" w:color="auto" w:sz="10" w:space="0"/>
              <w:right w:val="single" w:color="auto" w:sz="10" w:space="0"/>
              <w:insideV w:val="single" w:sz="10" w:space="0"/>
            </w:tcBorders>
            <w:vAlign w:val="center"/>
          </w:tcPr>
          <w:p w14:paraId="73E95AAB">
            <w:pPr>
              <w:jc w:val="center"/>
            </w:pPr>
            <w:r>
              <w:rPr>
                <w:rFonts w:ascii="宋体" w:hAnsi="宋体" w:eastAsia="宋体"/>
                <w:sz w:val="16"/>
              </w:rPr>
              <w:t>历史标准</w:t>
            </w:r>
          </w:p>
        </w:tc>
        <w:tc>
          <w:tcPr>
            <w:tcW w:w="466" w:type="dxa"/>
            <w:tcBorders>
              <w:top w:val="single" w:color="auto" w:sz="10" w:space="0"/>
              <w:left w:val="single" w:color="auto" w:sz="10" w:space="0"/>
              <w:bottom w:val="single" w:color="auto" w:sz="10" w:space="0"/>
              <w:right w:val="single" w:color="auto" w:sz="10" w:space="0"/>
              <w:insideV w:val="single" w:sz="10" w:space="0"/>
            </w:tcBorders>
            <w:vAlign w:val="center"/>
          </w:tcPr>
          <w:p w14:paraId="76A095B6">
            <w:pPr>
              <w:jc w:val="center"/>
            </w:pPr>
            <w:r>
              <w:rPr>
                <w:rFonts w:ascii="宋体" w:hAnsi="宋体" w:eastAsia="宋体"/>
                <w:sz w:val="16"/>
              </w:rPr>
              <w:t>-</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1AB8B310">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16AABD7A">
            <w:pPr>
              <w:jc w:val="center"/>
            </w:pPr>
            <w:r>
              <w:rPr>
                <w:rFonts w:ascii="宋体" w:hAnsi="宋体" w:eastAsia="宋体"/>
                <w:sz w:val="16"/>
              </w:rPr>
              <w:t>工作资料</w:t>
            </w:r>
          </w:p>
        </w:tc>
        <w:tc>
          <w:tcPr>
            <w:tcW w:w="979" w:type="dxa"/>
            <w:tcBorders>
              <w:top w:val="single" w:color="auto" w:sz="10" w:space="0"/>
              <w:left w:val="single" w:color="auto" w:sz="10" w:space="0"/>
              <w:bottom w:val="single" w:color="auto" w:sz="10" w:space="0"/>
              <w:right w:val="single" w:color="auto" w:sz="10" w:space="0"/>
              <w:insideV w:val="single" w:sz="10" w:space="0"/>
            </w:tcBorders>
            <w:vAlign w:val="center"/>
          </w:tcPr>
          <w:p w14:paraId="6FDDC977">
            <w:pPr>
              <w:jc w:val="center"/>
            </w:pPr>
            <w:r>
              <w:rPr>
                <w:rFonts w:ascii="宋体" w:hAnsi="宋体" w:eastAsia="宋体"/>
                <w:sz w:val="16"/>
              </w:rPr>
              <w:t>项目已按照下达任务数全部完成。</w:t>
            </w:r>
          </w:p>
        </w:tc>
      </w:tr>
      <w:tr w14:paraId="214E15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316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2D6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0A87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02E7">
            <w:pPr>
              <w:jc w:val="center"/>
            </w:pPr>
            <w:r>
              <w:rPr>
                <w:rFonts w:ascii="宋体" w:hAnsi="宋体" w:eastAsia="宋体"/>
                <w:sz w:val="16"/>
              </w:rPr>
              <w:t>抽样任务按期完成率</w:t>
            </w:r>
          </w:p>
        </w:tc>
        <w:tc>
          <w:tcPr>
            <w:tcW w:w="536" w:type="dxa"/>
            <w:tcBorders>
              <w:top w:val="single" w:color="auto" w:sz="10" w:space="0"/>
              <w:left w:val="single" w:color="auto" w:sz="10" w:space="0"/>
              <w:bottom w:val="single" w:color="auto" w:sz="10" w:space="0"/>
              <w:right w:val="single" w:color="auto" w:sz="10" w:space="0"/>
              <w:insideV w:val="single" w:sz="10" w:space="0"/>
            </w:tcBorders>
            <w:vAlign w:val="center"/>
          </w:tcPr>
          <w:p w14:paraId="4C4C0543">
            <w:pPr>
              <w:jc w:val="center"/>
            </w:pPr>
            <w:r>
              <w:rPr>
                <w:rFonts w:ascii="宋体" w:hAnsi="宋体" w:eastAsia="宋体"/>
                <w:sz w:val="16"/>
              </w:rPr>
              <w:t>5</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25FE9FBC">
            <w:pPr>
              <w:jc w:val="center"/>
            </w:pPr>
            <w:r>
              <w:rPr>
                <w:rFonts w:ascii="宋体" w:hAnsi="宋体" w:eastAsia="宋体"/>
                <w:sz w:val="16"/>
              </w:rPr>
              <w:t>&gt;=95%</w:t>
            </w:r>
          </w:p>
        </w:tc>
        <w:tc>
          <w:tcPr>
            <w:tcW w:w="691" w:type="dxa"/>
            <w:tcBorders>
              <w:top w:val="single" w:color="auto" w:sz="10" w:space="0"/>
              <w:left w:val="single" w:color="auto" w:sz="10" w:space="0"/>
              <w:bottom w:val="single" w:color="auto" w:sz="10" w:space="0"/>
              <w:right w:val="single" w:color="auto" w:sz="10" w:space="0"/>
              <w:insideV w:val="single" w:sz="10" w:space="0"/>
            </w:tcBorders>
            <w:vAlign w:val="center"/>
          </w:tcPr>
          <w:p w14:paraId="151D62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C0B1A">
            <w:pPr>
              <w:jc w:val="center"/>
            </w:pPr>
            <w:r>
              <w:rPr>
                <w:rFonts w:ascii="宋体" w:hAnsi="宋体" w:eastAsia="宋体"/>
                <w:sz w:val="16"/>
              </w:rPr>
              <w:t>105%</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3074556F">
            <w:pPr>
              <w:jc w:val="center"/>
            </w:pPr>
            <w:r>
              <w:rPr>
                <w:rFonts w:ascii="宋体" w:hAnsi="宋体" w:eastAsia="宋体"/>
                <w:sz w:val="16"/>
              </w:rPr>
              <w:t>4.75</w:t>
            </w:r>
          </w:p>
        </w:tc>
        <w:tc>
          <w:tcPr>
            <w:tcW w:w="667" w:type="dxa"/>
            <w:tcBorders>
              <w:top w:val="single" w:color="auto" w:sz="10" w:space="0"/>
              <w:left w:val="single" w:color="auto" w:sz="10" w:space="0"/>
              <w:bottom w:val="single" w:color="auto" w:sz="10" w:space="0"/>
              <w:right w:val="single" w:color="auto" w:sz="10" w:space="0"/>
              <w:insideV w:val="single" w:sz="10" w:space="0"/>
            </w:tcBorders>
            <w:vAlign w:val="center"/>
          </w:tcPr>
          <w:p w14:paraId="7A4B9CB6">
            <w:pPr>
              <w:jc w:val="center"/>
            </w:pPr>
            <w:r>
              <w:rPr>
                <w:rFonts w:ascii="宋体" w:hAnsi="宋体" w:eastAsia="宋体"/>
                <w:sz w:val="16"/>
              </w:rPr>
              <w:t>历史标准</w:t>
            </w:r>
          </w:p>
        </w:tc>
        <w:tc>
          <w:tcPr>
            <w:tcW w:w="466" w:type="dxa"/>
            <w:tcBorders>
              <w:top w:val="single" w:color="auto" w:sz="10" w:space="0"/>
              <w:left w:val="single" w:color="auto" w:sz="10" w:space="0"/>
              <w:bottom w:val="single" w:color="auto" w:sz="10" w:space="0"/>
              <w:right w:val="single" w:color="auto" w:sz="10" w:space="0"/>
              <w:insideV w:val="single" w:sz="10" w:space="0"/>
            </w:tcBorders>
            <w:vAlign w:val="center"/>
          </w:tcPr>
          <w:p w14:paraId="5ECBE3F7">
            <w:pPr>
              <w:jc w:val="center"/>
            </w:pPr>
            <w:r>
              <w:rPr>
                <w:rFonts w:ascii="宋体" w:hAnsi="宋体" w:eastAsia="宋体"/>
                <w:sz w:val="16"/>
              </w:rPr>
              <w:t>-</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08C69A7B">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5282F84">
            <w:pPr>
              <w:jc w:val="center"/>
            </w:pPr>
            <w:r>
              <w:rPr>
                <w:rFonts w:ascii="宋体" w:hAnsi="宋体" w:eastAsia="宋体"/>
                <w:sz w:val="16"/>
              </w:rPr>
              <w:t>工作资料</w:t>
            </w:r>
          </w:p>
        </w:tc>
        <w:tc>
          <w:tcPr>
            <w:tcW w:w="979" w:type="dxa"/>
            <w:tcBorders>
              <w:top w:val="single" w:color="auto" w:sz="10" w:space="0"/>
              <w:left w:val="single" w:color="auto" w:sz="10" w:space="0"/>
              <w:bottom w:val="single" w:color="auto" w:sz="10" w:space="0"/>
              <w:right w:val="single" w:color="auto" w:sz="10" w:space="0"/>
              <w:insideV w:val="single" w:sz="10" w:space="0"/>
            </w:tcBorders>
            <w:vAlign w:val="center"/>
          </w:tcPr>
          <w:p w14:paraId="1964BA34">
            <w:pPr>
              <w:jc w:val="center"/>
            </w:pPr>
            <w:r>
              <w:rPr>
                <w:rFonts w:ascii="宋体" w:hAnsi="宋体" w:eastAsia="宋体"/>
                <w:sz w:val="16"/>
              </w:rPr>
              <w:t>项目已按照下达任务数按时按期完成。</w:t>
            </w:r>
          </w:p>
        </w:tc>
      </w:tr>
      <w:tr w14:paraId="08CF1A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5A1F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6933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9C84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595DE">
            <w:pPr>
              <w:jc w:val="center"/>
            </w:pPr>
            <w:r>
              <w:rPr>
                <w:rFonts w:ascii="宋体" w:hAnsi="宋体" w:eastAsia="宋体"/>
                <w:sz w:val="16"/>
              </w:rPr>
              <w:t>药品抽检经费</w:t>
            </w:r>
          </w:p>
        </w:tc>
        <w:tc>
          <w:tcPr>
            <w:tcW w:w="536" w:type="dxa"/>
            <w:tcBorders>
              <w:top w:val="single" w:color="auto" w:sz="10" w:space="0"/>
              <w:left w:val="single" w:color="auto" w:sz="10" w:space="0"/>
              <w:bottom w:val="single" w:color="auto" w:sz="10" w:space="0"/>
              <w:right w:val="single" w:color="auto" w:sz="10" w:space="0"/>
              <w:insideV w:val="single" w:sz="10" w:space="0"/>
            </w:tcBorders>
            <w:vAlign w:val="center"/>
          </w:tcPr>
          <w:p w14:paraId="61F60AA3">
            <w:pPr>
              <w:jc w:val="center"/>
            </w:pPr>
            <w:r>
              <w:rPr>
                <w:rFonts w:ascii="宋体" w:hAnsi="宋体" w:eastAsia="宋体"/>
                <w:sz w:val="16"/>
              </w:rPr>
              <w:t>20</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6C87DF7F">
            <w:pPr>
              <w:jc w:val="center"/>
            </w:pPr>
            <w:r>
              <w:rPr>
                <w:rFonts w:ascii="宋体" w:hAnsi="宋体" w:eastAsia="宋体"/>
                <w:sz w:val="16"/>
              </w:rPr>
              <w:t>&lt;=5.70万元</w:t>
            </w:r>
          </w:p>
        </w:tc>
        <w:tc>
          <w:tcPr>
            <w:tcW w:w="691" w:type="dxa"/>
            <w:tcBorders>
              <w:top w:val="single" w:color="auto" w:sz="10" w:space="0"/>
              <w:left w:val="single" w:color="auto" w:sz="10" w:space="0"/>
              <w:bottom w:val="single" w:color="auto" w:sz="10" w:space="0"/>
              <w:right w:val="single" w:color="auto" w:sz="10" w:space="0"/>
              <w:insideV w:val="single" w:sz="10" w:space="0"/>
            </w:tcBorders>
            <w:vAlign w:val="center"/>
          </w:tcPr>
          <w:p w14:paraId="2D3C0812">
            <w:pPr>
              <w:jc w:val="center"/>
            </w:pPr>
            <w:r>
              <w:rPr>
                <w:rFonts w:ascii="宋体" w:hAnsi="宋体" w:eastAsia="宋体"/>
                <w:sz w:val="16"/>
              </w:rPr>
              <w:t>=5.7万元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615F8">
            <w:pPr>
              <w:jc w:val="center"/>
            </w:pPr>
            <w:r>
              <w:rPr>
                <w:rFonts w:ascii="宋体" w:hAnsi="宋体" w:eastAsia="宋体"/>
                <w:sz w:val="16"/>
              </w:rPr>
              <w:t>100%</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36B08356">
            <w:pPr>
              <w:jc w:val="center"/>
            </w:pPr>
            <w:r>
              <w:rPr>
                <w:rFonts w:ascii="宋体" w:hAnsi="宋体" w:eastAsia="宋体"/>
                <w:sz w:val="16"/>
              </w:rPr>
              <w:t>20</w:t>
            </w:r>
          </w:p>
        </w:tc>
        <w:tc>
          <w:tcPr>
            <w:tcW w:w="667" w:type="dxa"/>
            <w:tcBorders>
              <w:top w:val="single" w:color="auto" w:sz="10" w:space="0"/>
              <w:left w:val="single" w:color="auto" w:sz="10" w:space="0"/>
              <w:bottom w:val="single" w:color="auto" w:sz="10" w:space="0"/>
              <w:right w:val="single" w:color="auto" w:sz="10" w:space="0"/>
              <w:insideV w:val="single" w:sz="10" w:space="0"/>
            </w:tcBorders>
            <w:vAlign w:val="center"/>
          </w:tcPr>
          <w:p w14:paraId="145F8BD1">
            <w:pPr>
              <w:jc w:val="center"/>
            </w:pPr>
            <w:r>
              <w:rPr>
                <w:rFonts w:ascii="宋体" w:hAnsi="宋体" w:eastAsia="宋体"/>
                <w:sz w:val="16"/>
              </w:rPr>
              <w:t>计划标准</w:t>
            </w:r>
          </w:p>
        </w:tc>
        <w:tc>
          <w:tcPr>
            <w:tcW w:w="466" w:type="dxa"/>
            <w:tcBorders>
              <w:top w:val="single" w:color="auto" w:sz="10" w:space="0"/>
              <w:left w:val="single" w:color="auto" w:sz="10" w:space="0"/>
              <w:bottom w:val="single" w:color="auto" w:sz="10" w:space="0"/>
              <w:right w:val="single" w:color="auto" w:sz="10" w:space="0"/>
              <w:insideV w:val="single" w:sz="10" w:space="0"/>
            </w:tcBorders>
            <w:vAlign w:val="center"/>
          </w:tcPr>
          <w:p w14:paraId="446E3E24">
            <w:pPr>
              <w:jc w:val="center"/>
            </w:pPr>
            <w:r>
              <w:rPr>
                <w:rFonts w:ascii="宋体" w:hAnsi="宋体" w:eastAsia="宋体"/>
                <w:sz w:val="16"/>
              </w:rPr>
              <w:t>-</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3B4ADA53">
            <w:pPr>
              <w:jc w:val="center"/>
            </w:pPr>
            <w:r>
              <w:rPr>
                <w:rFonts w:ascii="宋体" w:hAnsi="宋体" w:eastAsia="宋体"/>
                <w:sz w:val="16"/>
              </w:rPr>
              <w:t>按照完成比例赋分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F700668">
            <w:pPr>
              <w:jc w:val="center"/>
            </w:pPr>
            <w:r>
              <w:rPr>
                <w:rFonts w:ascii="宋体" w:hAnsi="宋体" w:eastAsia="宋体"/>
                <w:sz w:val="16"/>
              </w:rPr>
              <w:t>原始凭证,工作资料</w:t>
            </w:r>
          </w:p>
        </w:tc>
        <w:tc>
          <w:tcPr>
            <w:tcW w:w="979" w:type="dxa"/>
            <w:tcBorders>
              <w:top w:val="single" w:color="auto" w:sz="10" w:space="0"/>
              <w:left w:val="single" w:color="auto" w:sz="10" w:space="0"/>
              <w:bottom w:val="single" w:color="auto" w:sz="10" w:space="0"/>
              <w:right w:val="single" w:color="auto" w:sz="10" w:space="0"/>
              <w:insideV w:val="single" w:sz="10" w:space="0"/>
            </w:tcBorders>
            <w:vAlign w:val="center"/>
          </w:tcPr>
          <w:p w14:paraId="0FD70153">
            <w:pPr>
              <w:jc w:val="center"/>
            </w:pPr>
          </w:p>
        </w:tc>
      </w:tr>
      <w:tr w14:paraId="430D69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022B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8BBC77">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2C109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0A008">
            <w:pPr>
              <w:jc w:val="center"/>
            </w:pPr>
            <w:r>
              <w:rPr>
                <w:rFonts w:ascii="宋体" w:hAnsi="宋体" w:eastAsia="宋体"/>
                <w:sz w:val="16"/>
              </w:rPr>
              <w:t>提升“两品一械”监管服务水平</w:t>
            </w:r>
          </w:p>
        </w:tc>
        <w:tc>
          <w:tcPr>
            <w:tcW w:w="536" w:type="dxa"/>
            <w:tcBorders>
              <w:top w:val="single" w:color="auto" w:sz="10" w:space="0"/>
              <w:left w:val="single" w:color="auto" w:sz="10" w:space="0"/>
              <w:bottom w:val="single" w:color="auto" w:sz="10" w:space="0"/>
              <w:right w:val="single" w:color="auto" w:sz="10" w:space="0"/>
              <w:insideV w:val="single" w:sz="10" w:space="0"/>
            </w:tcBorders>
            <w:vAlign w:val="center"/>
          </w:tcPr>
          <w:p w14:paraId="658CD2B8">
            <w:pPr>
              <w:jc w:val="center"/>
            </w:pPr>
            <w:r>
              <w:rPr>
                <w:rFonts w:ascii="宋体" w:hAnsi="宋体" w:eastAsia="宋体"/>
                <w:sz w:val="16"/>
              </w:rPr>
              <w:t>10</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1E6A8766">
            <w:pPr>
              <w:jc w:val="center"/>
            </w:pPr>
            <w:r>
              <w:rPr>
                <w:rFonts w:ascii="宋体" w:hAnsi="宋体" w:eastAsia="宋体"/>
                <w:sz w:val="16"/>
              </w:rPr>
              <w:t>有效提升</w:t>
            </w:r>
          </w:p>
        </w:tc>
        <w:tc>
          <w:tcPr>
            <w:tcW w:w="691" w:type="dxa"/>
            <w:tcBorders>
              <w:top w:val="single" w:color="auto" w:sz="10" w:space="0"/>
              <w:left w:val="single" w:color="auto" w:sz="10" w:space="0"/>
              <w:bottom w:val="single" w:color="auto" w:sz="10" w:space="0"/>
              <w:right w:val="single" w:color="auto" w:sz="10" w:space="0"/>
              <w:insideV w:val="single" w:sz="10" w:space="0"/>
            </w:tcBorders>
            <w:vAlign w:val="center"/>
          </w:tcPr>
          <w:p w14:paraId="573D51E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D5EB0">
            <w:pPr>
              <w:jc w:val="center"/>
            </w:pPr>
            <w:r>
              <w:rPr>
                <w:rFonts w:ascii="宋体" w:hAnsi="宋体" w:eastAsia="宋体"/>
                <w:sz w:val="16"/>
              </w:rPr>
              <w:t>100%</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5ECF891E">
            <w:pPr>
              <w:jc w:val="center"/>
            </w:pPr>
            <w:r>
              <w:rPr>
                <w:rFonts w:ascii="宋体" w:hAnsi="宋体" w:eastAsia="宋体"/>
                <w:sz w:val="16"/>
              </w:rPr>
              <w:t>10</w:t>
            </w:r>
          </w:p>
        </w:tc>
        <w:tc>
          <w:tcPr>
            <w:tcW w:w="667" w:type="dxa"/>
            <w:tcBorders>
              <w:top w:val="single" w:color="auto" w:sz="10" w:space="0"/>
              <w:left w:val="single" w:color="auto" w:sz="10" w:space="0"/>
              <w:bottom w:val="single" w:color="auto" w:sz="10" w:space="0"/>
              <w:right w:val="single" w:color="auto" w:sz="10" w:space="0"/>
              <w:insideV w:val="single" w:sz="10" w:space="0"/>
            </w:tcBorders>
            <w:vAlign w:val="center"/>
          </w:tcPr>
          <w:p w14:paraId="3A3F679E">
            <w:pPr>
              <w:jc w:val="center"/>
            </w:pPr>
            <w:r>
              <w:rPr>
                <w:rFonts w:ascii="宋体" w:hAnsi="宋体" w:eastAsia="宋体"/>
                <w:sz w:val="16"/>
              </w:rPr>
              <w:t>历史标准</w:t>
            </w:r>
          </w:p>
        </w:tc>
        <w:tc>
          <w:tcPr>
            <w:tcW w:w="466" w:type="dxa"/>
            <w:tcBorders>
              <w:top w:val="single" w:color="auto" w:sz="10" w:space="0"/>
              <w:left w:val="single" w:color="auto" w:sz="10" w:space="0"/>
              <w:bottom w:val="single" w:color="auto" w:sz="10" w:space="0"/>
              <w:right w:val="single" w:color="auto" w:sz="10" w:space="0"/>
              <w:insideV w:val="single" w:sz="10" w:space="0"/>
            </w:tcBorders>
            <w:vAlign w:val="center"/>
          </w:tcPr>
          <w:p w14:paraId="524D71E0">
            <w:pPr>
              <w:jc w:val="center"/>
            </w:pPr>
            <w:r>
              <w:rPr>
                <w:rFonts w:ascii="宋体" w:hAnsi="宋体" w:eastAsia="宋体"/>
                <w:sz w:val="16"/>
              </w:rPr>
              <w:t>-</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5700AD35">
            <w:pPr>
              <w:jc w:val="center"/>
            </w:pPr>
            <w:r>
              <w:rPr>
                <w:rFonts w:ascii="宋体" w:hAnsi="宋体" w:eastAsia="宋体"/>
                <w:sz w:val="16"/>
              </w:rPr>
              <w:t>按评判等级赋分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55A1358">
            <w:pPr>
              <w:jc w:val="center"/>
            </w:pPr>
            <w:r>
              <w:rPr>
                <w:rFonts w:ascii="宋体" w:hAnsi="宋体" w:eastAsia="宋体"/>
                <w:sz w:val="16"/>
              </w:rPr>
              <w:t>工作资料</w:t>
            </w:r>
          </w:p>
        </w:tc>
        <w:tc>
          <w:tcPr>
            <w:tcW w:w="979" w:type="dxa"/>
            <w:tcBorders>
              <w:top w:val="single" w:color="auto" w:sz="10" w:space="0"/>
              <w:left w:val="single" w:color="auto" w:sz="10" w:space="0"/>
              <w:bottom w:val="single" w:color="auto" w:sz="10" w:space="0"/>
              <w:right w:val="single" w:color="auto" w:sz="10" w:space="0"/>
              <w:insideV w:val="single" w:sz="10" w:space="0"/>
            </w:tcBorders>
            <w:vAlign w:val="center"/>
          </w:tcPr>
          <w:p w14:paraId="06EC611D">
            <w:pPr>
              <w:jc w:val="center"/>
            </w:pPr>
          </w:p>
        </w:tc>
      </w:tr>
      <w:tr w14:paraId="393804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07A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245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5B7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8FACF">
            <w:pPr>
              <w:jc w:val="center"/>
            </w:pPr>
            <w:r>
              <w:rPr>
                <w:rFonts w:ascii="宋体" w:hAnsi="宋体" w:eastAsia="宋体"/>
                <w:sz w:val="16"/>
              </w:rPr>
              <w:t>减少假冒伪劣“两品一械”制售行为</w:t>
            </w:r>
          </w:p>
        </w:tc>
        <w:tc>
          <w:tcPr>
            <w:tcW w:w="536" w:type="dxa"/>
            <w:tcBorders>
              <w:top w:val="single" w:color="auto" w:sz="10" w:space="0"/>
              <w:left w:val="single" w:color="auto" w:sz="10" w:space="0"/>
              <w:bottom w:val="single" w:color="auto" w:sz="10" w:space="0"/>
              <w:right w:val="single" w:color="auto" w:sz="10" w:space="0"/>
              <w:insideV w:val="single" w:sz="10" w:space="0"/>
            </w:tcBorders>
            <w:vAlign w:val="center"/>
          </w:tcPr>
          <w:p w14:paraId="75447C5A">
            <w:pPr>
              <w:jc w:val="center"/>
            </w:pPr>
            <w:r>
              <w:rPr>
                <w:rFonts w:ascii="宋体" w:hAnsi="宋体" w:eastAsia="宋体"/>
                <w:sz w:val="16"/>
              </w:rPr>
              <w:t>10</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2C01C459">
            <w:pPr>
              <w:jc w:val="center"/>
            </w:pPr>
            <w:r>
              <w:rPr>
                <w:rFonts w:ascii="宋体" w:hAnsi="宋体" w:eastAsia="宋体"/>
                <w:sz w:val="16"/>
              </w:rPr>
              <w:t>有效减少</w:t>
            </w:r>
          </w:p>
        </w:tc>
        <w:tc>
          <w:tcPr>
            <w:tcW w:w="691" w:type="dxa"/>
            <w:tcBorders>
              <w:top w:val="single" w:color="auto" w:sz="10" w:space="0"/>
              <w:left w:val="single" w:color="auto" w:sz="10" w:space="0"/>
              <w:bottom w:val="single" w:color="auto" w:sz="10" w:space="0"/>
              <w:right w:val="single" w:color="auto" w:sz="10" w:space="0"/>
              <w:insideV w:val="single" w:sz="10" w:space="0"/>
            </w:tcBorders>
            <w:vAlign w:val="center"/>
          </w:tcPr>
          <w:p w14:paraId="5C50A8D6">
            <w:pPr>
              <w:jc w:val="center"/>
            </w:pPr>
            <w:r>
              <w:rPr>
                <w:rFonts w:ascii="宋体" w:hAnsi="宋体" w:eastAsia="宋体"/>
                <w:sz w:val="16"/>
              </w:rPr>
              <w:t>有效减少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C8D30">
            <w:pPr>
              <w:jc w:val="center"/>
            </w:pPr>
            <w:r>
              <w:rPr>
                <w:rFonts w:ascii="宋体" w:hAnsi="宋体" w:eastAsia="宋体"/>
                <w:sz w:val="16"/>
              </w:rPr>
              <w:t>100%</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0D49428C">
            <w:pPr>
              <w:jc w:val="center"/>
            </w:pPr>
            <w:r>
              <w:rPr>
                <w:rFonts w:ascii="宋体" w:hAnsi="宋体" w:eastAsia="宋体"/>
                <w:sz w:val="16"/>
              </w:rPr>
              <w:t>10</w:t>
            </w:r>
          </w:p>
        </w:tc>
        <w:tc>
          <w:tcPr>
            <w:tcW w:w="667" w:type="dxa"/>
            <w:tcBorders>
              <w:top w:val="single" w:color="auto" w:sz="10" w:space="0"/>
              <w:left w:val="single" w:color="auto" w:sz="10" w:space="0"/>
              <w:bottom w:val="single" w:color="auto" w:sz="10" w:space="0"/>
              <w:right w:val="single" w:color="auto" w:sz="10" w:space="0"/>
              <w:insideV w:val="single" w:sz="10" w:space="0"/>
            </w:tcBorders>
            <w:vAlign w:val="center"/>
          </w:tcPr>
          <w:p w14:paraId="536C9D0A">
            <w:pPr>
              <w:jc w:val="center"/>
            </w:pPr>
            <w:r>
              <w:rPr>
                <w:rFonts w:ascii="宋体" w:hAnsi="宋体" w:eastAsia="宋体"/>
                <w:sz w:val="16"/>
              </w:rPr>
              <w:t>历史标准</w:t>
            </w:r>
          </w:p>
        </w:tc>
        <w:tc>
          <w:tcPr>
            <w:tcW w:w="466" w:type="dxa"/>
            <w:tcBorders>
              <w:top w:val="single" w:color="auto" w:sz="10" w:space="0"/>
              <w:left w:val="single" w:color="auto" w:sz="10" w:space="0"/>
              <w:bottom w:val="single" w:color="auto" w:sz="10" w:space="0"/>
              <w:right w:val="single" w:color="auto" w:sz="10" w:space="0"/>
              <w:insideV w:val="single" w:sz="10" w:space="0"/>
            </w:tcBorders>
            <w:vAlign w:val="center"/>
          </w:tcPr>
          <w:p w14:paraId="404A7B44">
            <w:pPr>
              <w:jc w:val="center"/>
            </w:pPr>
            <w:r>
              <w:rPr>
                <w:rFonts w:ascii="宋体" w:hAnsi="宋体" w:eastAsia="宋体"/>
                <w:sz w:val="16"/>
              </w:rPr>
              <w:t>-</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6EA0F9BA">
            <w:pPr>
              <w:jc w:val="center"/>
            </w:pPr>
            <w:r>
              <w:rPr>
                <w:rFonts w:ascii="宋体" w:hAnsi="宋体" w:eastAsia="宋体"/>
                <w:sz w:val="16"/>
              </w:rPr>
              <w:t>按评判等级赋分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78E5DF02">
            <w:pPr>
              <w:jc w:val="center"/>
            </w:pPr>
            <w:r>
              <w:rPr>
                <w:rFonts w:ascii="宋体" w:hAnsi="宋体" w:eastAsia="宋体"/>
                <w:sz w:val="16"/>
              </w:rPr>
              <w:t>工作资料</w:t>
            </w:r>
          </w:p>
        </w:tc>
        <w:tc>
          <w:tcPr>
            <w:tcW w:w="979" w:type="dxa"/>
            <w:tcBorders>
              <w:top w:val="single" w:color="auto" w:sz="10" w:space="0"/>
              <w:left w:val="single" w:color="auto" w:sz="10" w:space="0"/>
              <w:bottom w:val="single" w:color="auto" w:sz="10" w:space="0"/>
              <w:right w:val="single" w:color="auto" w:sz="10" w:space="0"/>
              <w:insideV w:val="single" w:sz="10" w:space="0"/>
            </w:tcBorders>
            <w:vAlign w:val="center"/>
          </w:tcPr>
          <w:p w14:paraId="7483BE73">
            <w:pPr>
              <w:jc w:val="center"/>
            </w:pPr>
          </w:p>
        </w:tc>
      </w:tr>
      <w:tr w14:paraId="282BDE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890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581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8BA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AC54F">
            <w:pPr>
              <w:jc w:val="center"/>
            </w:pPr>
            <w:r>
              <w:rPr>
                <w:rFonts w:ascii="宋体" w:hAnsi="宋体" w:eastAsia="宋体"/>
                <w:sz w:val="16"/>
              </w:rPr>
              <w:t>公众对药品安全的满意度</w:t>
            </w:r>
          </w:p>
        </w:tc>
        <w:tc>
          <w:tcPr>
            <w:tcW w:w="536" w:type="dxa"/>
            <w:tcBorders>
              <w:top w:val="single" w:color="auto" w:sz="10" w:space="0"/>
              <w:left w:val="single" w:color="auto" w:sz="10" w:space="0"/>
              <w:bottom w:val="single" w:color="auto" w:sz="10" w:space="0"/>
              <w:right w:val="single" w:color="auto" w:sz="10" w:space="0"/>
              <w:insideV w:val="single" w:sz="10" w:space="0"/>
            </w:tcBorders>
            <w:vAlign w:val="center"/>
          </w:tcPr>
          <w:p w14:paraId="5D6E1D2B">
            <w:pPr>
              <w:jc w:val="center"/>
            </w:pPr>
            <w:r>
              <w:rPr>
                <w:rFonts w:ascii="宋体" w:hAnsi="宋体" w:eastAsia="宋体"/>
                <w:sz w:val="16"/>
              </w:rPr>
              <w:t>10</w:t>
            </w:r>
          </w:p>
        </w:tc>
        <w:tc>
          <w:tcPr>
            <w:tcW w:w="733" w:type="dxa"/>
            <w:tcBorders>
              <w:top w:val="single" w:color="auto" w:sz="10" w:space="0"/>
              <w:left w:val="single" w:color="auto" w:sz="10" w:space="0"/>
              <w:bottom w:val="single" w:color="auto" w:sz="10" w:space="0"/>
              <w:right w:val="single" w:color="auto" w:sz="10" w:space="0"/>
              <w:insideV w:val="single" w:sz="10" w:space="0"/>
            </w:tcBorders>
            <w:vAlign w:val="center"/>
          </w:tcPr>
          <w:p w14:paraId="2E8D8CD6">
            <w:pPr>
              <w:jc w:val="center"/>
            </w:pPr>
            <w:r>
              <w:rPr>
                <w:rFonts w:ascii="宋体" w:hAnsi="宋体" w:eastAsia="宋体"/>
                <w:sz w:val="16"/>
              </w:rPr>
              <w:t>&gt;=85%</w:t>
            </w:r>
          </w:p>
        </w:tc>
        <w:tc>
          <w:tcPr>
            <w:tcW w:w="691" w:type="dxa"/>
            <w:tcBorders>
              <w:top w:val="single" w:color="auto" w:sz="10" w:space="0"/>
              <w:left w:val="single" w:color="auto" w:sz="10" w:space="0"/>
              <w:bottom w:val="single" w:color="auto" w:sz="10" w:space="0"/>
              <w:right w:val="single" w:color="auto" w:sz="10" w:space="0"/>
              <w:insideV w:val="single" w:sz="10" w:space="0"/>
            </w:tcBorders>
            <w:vAlign w:val="center"/>
          </w:tcPr>
          <w:p w14:paraId="2449EE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59E2A">
            <w:pPr>
              <w:jc w:val="center"/>
            </w:pPr>
            <w:r>
              <w:rPr>
                <w:rFonts w:ascii="宋体" w:hAnsi="宋体" w:eastAsia="宋体"/>
                <w:sz w:val="16"/>
              </w:rPr>
              <w:t>117%</w:t>
            </w:r>
          </w:p>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0F1FADE3">
            <w:pPr>
              <w:jc w:val="center"/>
            </w:pPr>
            <w:r>
              <w:rPr>
                <w:rFonts w:ascii="宋体" w:hAnsi="宋体" w:eastAsia="宋体"/>
                <w:sz w:val="16"/>
              </w:rPr>
              <w:t>10</w:t>
            </w:r>
          </w:p>
        </w:tc>
        <w:tc>
          <w:tcPr>
            <w:tcW w:w="667" w:type="dxa"/>
            <w:tcBorders>
              <w:top w:val="single" w:color="auto" w:sz="10" w:space="0"/>
              <w:left w:val="single" w:color="auto" w:sz="10" w:space="0"/>
              <w:bottom w:val="single" w:color="auto" w:sz="10" w:space="0"/>
              <w:right w:val="single" w:color="auto" w:sz="10" w:space="0"/>
              <w:insideV w:val="single" w:sz="10" w:space="0"/>
            </w:tcBorders>
            <w:vAlign w:val="center"/>
          </w:tcPr>
          <w:p w14:paraId="67BA0ABD">
            <w:pPr>
              <w:jc w:val="center"/>
            </w:pPr>
            <w:r>
              <w:rPr>
                <w:rFonts w:ascii="宋体" w:hAnsi="宋体" w:eastAsia="宋体"/>
                <w:sz w:val="16"/>
              </w:rPr>
              <w:t>历史标准</w:t>
            </w:r>
          </w:p>
        </w:tc>
        <w:tc>
          <w:tcPr>
            <w:tcW w:w="466" w:type="dxa"/>
            <w:tcBorders>
              <w:top w:val="single" w:color="auto" w:sz="10" w:space="0"/>
              <w:left w:val="single" w:color="auto" w:sz="10" w:space="0"/>
              <w:bottom w:val="single" w:color="auto" w:sz="10" w:space="0"/>
              <w:right w:val="single" w:color="auto" w:sz="10" w:space="0"/>
              <w:insideV w:val="single" w:sz="10" w:space="0"/>
            </w:tcBorders>
            <w:vAlign w:val="center"/>
          </w:tcPr>
          <w:p w14:paraId="1C89BE6F">
            <w:pPr>
              <w:jc w:val="center"/>
            </w:pPr>
            <w:r>
              <w:rPr>
                <w:rFonts w:ascii="宋体" w:hAnsi="宋体" w:eastAsia="宋体"/>
                <w:sz w:val="16"/>
              </w:rPr>
              <w:t>-</w:t>
            </w:r>
          </w:p>
        </w:tc>
        <w:tc>
          <w:tcPr>
            <w:tcW w:w="534" w:type="dxa"/>
            <w:tcBorders>
              <w:top w:val="single" w:color="auto" w:sz="10" w:space="0"/>
              <w:left w:val="single" w:color="auto" w:sz="10" w:space="0"/>
              <w:bottom w:val="single" w:color="auto" w:sz="10" w:space="0"/>
              <w:right w:val="single" w:color="auto" w:sz="10" w:space="0"/>
              <w:insideV w:val="single" w:sz="10" w:space="0"/>
            </w:tcBorders>
            <w:vAlign w:val="center"/>
          </w:tcPr>
          <w:p w14:paraId="54E0EDED">
            <w:pPr>
              <w:jc w:val="center"/>
            </w:pPr>
            <w:r>
              <w:rPr>
                <w:rFonts w:ascii="宋体" w:hAnsi="宋体" w:eastAsia="宋体"/>
                <w:sz w:val="16"/>
              </w:rPr>
              <w:t>满意度赋分</w:t>
            </w:r>
          </w:p>
        </w:tc>
        <w:tc>
          <w:tcPr>
            <w:tcW w:w="613" w:type="dxa"/>
            <w:tcBorders>
              <w:top w:val="single" w:color="auto" w:sz="10" w:space="0"/>
              <w:left w:val="single" w:color="auto" w:sz="10" w:space="0"/>
              <w:bottom w:val="single" w:color="auto" w:sz="10" w:space="0"/>
              <w:right w:val="single" w:color="auto" w:sz="10" w:space="0"/>
              <w:insideV w:val="single" w:sz="10" w:space="0"/>
            </w:tcBorders>
            <w:vAlign w:val="center"/>
          </w:tcPr>
          <w:p w14:paraId="5843C599">
            <w:pPr>
              <w:jc w:val="center"/>
            </w:pPr>
            <w:r>
              <w:rPr>
                <w:rFonts w:ascii="宋体" w:hAnsi="宋体" w:eastAsia="宋体"/>
                <w:sz w:val="16"/>
              </w:rPr>
              <w:t>工作资料</w:t>
            </w:r>
          </w:p>
        </w:tc>
        <w:tc>
          <w:tcPr>
            <w:tcW w:w="979" w:type="dxa"/>
            <w:tcBorders>
              <w:top w:val="single" w:color="auto" w:sz="10" w:space="0"/>
              <w:left w:val="single" w:color="auto" w:sz="10" w:space="0"/>
              <w:bottom w:val="single" w:color="auto" w:sz="10" w:space="0"/>
              <w:right w:val="single" w:color="auto" w:sz="10" w:space="0"/>
              <w:insideV w:val="single" w:sz="10" w:space="0"/>
            </w:tcBorders>
            <w:vAlign w:val="center"/>
          </w:tcPr>
          <w:p w14:paraId="25A25FBD">
            <w:pPr>
              <w:jc w:val="center"/>
            </w:pPr>
            <w:r>
              <w:rPr>
                <w:rFonts w:ascii="宋体" w:hAnsi="宋体" w:eastAsia="宋体"/>
                <w:sz w:val="16"/>
              </w:rPr>
              <w:t>通过调研，公众对药品安全满意度达到100%。</w:t>
            </w:r>
          </w:p>
        </w:tc>
      </w:tr>
      <w:tr w14:paraId="7130253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239AD6">
            <w:pPr>
              <w:jc w:val="center"/>
            </w:pPr>
            <w:r>
              <w:rPr>
                <w:rFonts w:ascii="宋体" w:hAnsi="宋体" w:eastAsia="宋体"/>
                <w:sz w:val="16"/>
              </w:rPr>
              <w:t>总分</w:t>
            </w:r>
          </w:p>
        </w:tc>
        <w:tc>
          <w:tcPr>
            <w:tcW w:w="536" w:type="dxa"/>
            <w:tcBorders>
              <w:top w:val="single" w:color="auto" w:sz="10" w:space="0"/>
              <w:left w:val="single" w:color="auto" w:sz="10" w:space="0"/>
              <w:bottom w:val="single" w:color="auto" w:sz="10" w:space="0"/>
              <w:right w:val="single" w:color="auto" w:sz="10" w:space="0"/>
              <w:insideV w:val="single" w:sz="10" w:space="0"/>
            </w:tcBorders>
            <w:vAlign w:val="center"/>
          </w:tcPr>
          <w:p w14:paraId="7AE3E31E">
            <w:pPr>
              <w:jc w:val="center"/>
            </w:pPr>
            <w:r>
              <w:rPr>
                <w:rFonts w:ascii="宋体" w:hAnsi="宋体" w:eastAsia="宋体"/>
                <w:sz w:val="16"/>
              </w:rPr>
              <w:t>100</w:t>
            </w:r>
          </w:p>
        </w:tc>
        <w:tc>
          <w:tcPr>
            <w:tcW w:w="733" w:type="dxa"/>
            <w:tcBorders>
              <w:top w:val="single" w:color="auto" w:sz="10" w:space="0"/>
              <w:left w:val="single" w:color="auto" w:sz="10" w:space="0"/>
              <w:bottom w:val="single" w:color="auto" w:sz="10" w:space="0"/>
              <w:right w:val="single" w:color="auto" w:sz="10" w:space="0"/>
              <w:insideV w:val="single" w:sz="10" w:space="0"/>
            </w:tcBorders>
          </w:tcPr>
          <w:p w14:paraId="73DF68F3"/>
        </w:tc>
        <w:tc>
          <w:tcPr>
            <w:tcW w:w="691" w:type="dxa"/>
            <w:tcBorders>
              <w:top w:val="single" w:color="auto" w:sz="10" w:space="0"/>
              <w:left w:val="single" w:color="auto" w:sz="10" w:space="0"/>
              <w:bottom w:val="single" w:color="auto" w:sz="10" w:space="0"/>
              <w:right w:val="single" w:color="auto" w:sz="10" w:space="0"/>
              <w:insideV w:val="single" w:sz="10" w:space="0"/>
            </w:tcBorders>
          </w:tcPr>
          <w:p w14:paraId="579216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5BB55E"/>
        </w:tc>
        <w:tc>
          <w:tcPr>
            <w:tcW w:w="597" w:type="dxa"/>
            <w:tcBorders>
              <w:top w:val="single" w:color="auto" w:sz="10" w:space="0"/>
              <w:left w:val="single" w:color="auto" w:sz="10" w:space="0"/>
              <w:bottom w:val="single" w:color="auto" w:sz="10" w:space="0"/>
              <w:right w:val="single" w:color="auto" w:sz="10" w:space="0"/>
              <w:insideV w:val="single" w:sz="10" w:space="0"/>
            </w:tcBorders>
            <w:vAlign w:val="center"/>
          </w:tcPr>
          <w:p w14:paraId="4EF5BC8E">
            <w:pPr>
              <w:jc w:val="center"/>
            </w:pPr>
            <w:r>
              <w:rPr>
                <w:rFonts w:ascii="宋体" w:hAnsi="宋体" w:eastAsia="宋体"/>
                <w:sz w:val="16"/>
              </w:rPr>
              <w:t>98.98分</w:t>
            </w:r>
          </w:p>
        </w:tc>
        <w:tc>
          <w:tcPr>
            <w:tcW w:w="667" w:type="dxa"/>
            <w:tcBorders>
              <w:top w:val="single" w:color="auto" w:sz="10" w:space="0"/>
              <w:left w:val="single" w:color="auto" w:sz="10" w:space="0"/>
              <w:bottom w:val="single" w:color="auto" w:sz="10" w:space="0"/>
              <w:right w:val="single" w:color="auto" w:sz="10" w:space="0"/>
              <w:insideV w:val="single" w:sz="10" w:space="0"/>
            </w:tcBorders>
          </w:tcPr>
          <w:p w14:paraId="64E40171"/>
        </w:tc>
        <w:tc>
          <w:tcPr>
            <w:tcW w:w="466" w:type="dxa"/>
            <w:tcBorders>
              <w:top w:val="single" w:color="auto" w:sz="10" w:space="0"/>
              <w:left w:val="single" w:color="auto" w:sz="10" w:space="0"/>
              <w:bottom w:val="single" w:color="auto" w:sz="10" w:space="0"/>
              <w:right w:val="single" w:color="auto" w:sz="10" w:space="0"/>
              <w:insideV w:val="single" w:sz="10" w:space="0"/>
            </w:tcBorders>
          </w:tcPr>
          <w:p w14:paraId="634D7B77"/>
        </w:tc>
        <w:tc>
          <w:tcPr>
            <w:tcW w:w="534" w:type="dxa"/>
            <w:tcBorders>
              <w:top w:val="single" w:color="auto" w:sz="10" w:space="0"/>
              <w:left w:val="single" w:color="auto" w:sz="10" w:space="0"/>
              <w:bottom w:val="single" w:color="auto" w:sz="10" w:space="0"/>
              <w:right w:val="single" w:color="auto" w:sz="10" w:space="0"/>
              <w:insideV w:val="single" w:sz="10" w:space="0"/>
            </w:tcBorders>
          </w:tcPr>
          <w:p w14:paraId="50456C02"/>
        </w:tc>
        <w:tc>
          <w:tcPr>
            <w:tcW w:w="613" w:type="dxa"/>
            <w:tcBorders>
              <w:top w:val="single" w:color="auto" w:sz="10" w:space="0"/>
              <w:left w:val="single" w:color="auto" w:sz="10" w:space="0"/>
              <w:bottom w:val="single" w:color="auto" w:sz="10" w:space="0"/>
              <w:right w:val="single" w:color="auto" w:sz="10" w:space="0"/>
              <w:insideV w:val="single" w:sz="10" w:space="0"/>
            </w:tcBorders>
          </w:tcPr>
          <w:p w14:paraId="5F47A872"/>
        </w:tc>
        <w:tc>
          <w:tcPr>
            <w:tcW w:w="979" w:type="dxa"/>
            <w:tcBorders>
              <w:top w:val="single" w:color="auto" w:sz="10" w:space="0"/>
              <w:left w:val="single" w:color="auto" w:sz="10" w:space="0"/>
              <w:bottom w:val="single" w:color="auto" w:sz="10" w:space="0"/>
              <w:right w:val="single" w:color="auto" w:sz="10" w:space="0"/>
              <w:insideV w:val="single" w:sz="10" w:space="0"/>
            </w:tcBorders>
          </w:tcPr>
          <w:p w14:paraId="3861E213"/>
        </w:tc>
      </w:tr>
    </w:tbl>
    <w:p w14:paraId="1AE7AE3F">
      <w:r>
        <w:br w:type="page"/>
      </w:r>
    </w:p>
    <w:p w14:paraId="189DD764">
      <w:pPr>
        <w:spacing w:line="640" w:lineRule="exact"/>
        <w:ind w:firstLine="640"/>
        <w:jc w:val="both"/>
        <w:outlineLvl w:val="2"/>
      </w:pPr>
      <w:r>
        <w:rPr>
          <w:rFonts w:ascii="黑体" w:hAnsi="黑体" w:eastAsia="黑体"/>
          <w:sz w:val="32"/>
        </w:rPr>
        <w:t>十二、其他需说明的事项</w:t>
      </w:r>
    </w:p>
    <w:p w14:paraId="11CDFE4F">
      <w:pPr>
        <w:spacing w:line="580" w:lineRule="exact"/>
        <w:ind w:firstLine="640"/>
        <w:jc w:val="both"/>
      </w:pPr>
      <w:r>
        <w:rPr>
          <w:rFonts w:ascii="仿宋_GB2312" w:hAnsi="仿宋_GB2312" w:eastAsia="仿宋_GB2312"/>
          <w:b w:val="0"/>
          <w:sz w:val="32"/>
        </w:rPr>
        <w:t>本单位无其他需说明的事项。</w:t>
      </w:r>
    </w:p>
    <w:p w14:paraId="37A1B880">
      <w:r>
        <w:br w:type="page"/>
      </w:r>
    </w:p>
    <w:p w14:paraId="2103C5F6">
      <w:pPr>
        <w:spacing w:line="240" w:lineRule="auto"/>
        <w:jc w:val="center"/>
        <w:outlineLvl w:val="1"/>
      </w:pPr>
      <w:r>
        <w:rPr>
          <w:rFonts w:ascii="黑体" w:hAnsi="黑体" w:eastAsia="黑体"/>
          <w:sz w:val="32"/>
        </w:rPr>
        <w:t>第三部分 专业名词解释</w:t>
      </w:r>
    </w:p>
    <w:p w14:paraId="23569DC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C38918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64E515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544A9E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B727BF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B26AED2">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394913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C9A2A0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BC33D9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045759F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90C528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C3F5CE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5776BC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C002CBD">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22D1453">
      <w:r>
        <w:br w:type="page"/>
      </w:r>
    </w:p>
    <w:p w14:paraId="5FD1E9B7">
      <w:pPr>
        <w:spacing w:line="240" w:lineRule="auto"/>
        <w:jc w:val="center"/>
        <w:outlineLvl w:val="1"/>
      </w:pPr>
      <w:r>
        <w:rPr>
          <w:rFonts w:ascii="黑体" w:hAnsi="黑体" w:eastAsia="黑体"/>
          <w:sz w:val="32"/>
        </w:rPr>
        <w:t>第四部分 部门决算报表（见附表）</w:t>
      </w:r>
    </w:p>
    <w:p w14:paraId="1722E3BE">
      <w:pPr>
        <w:spacing w:line="240" w:lineRule="auto"/>
        <w:ind w:firstLine="640"/>
        <w:jc w:val="both"/>
      </w:pPr>
      <w:r>
        <w:rPr>
          <w:rFonts w:ascii="仿宋_GB2312" w:hAnsi="仿宋_GB2312" w:eastAsia="仿宋_GB2312"/>
          <w:b w:val="0"/>
          <w:sz w:val="32"/>
        </w:rPr>
        <w:t>一、《收入支出决算总表》</w:t>
      </w:r>
    </w:p>
    <w:p w14:paraId="4C58EA92">
      <w:pPr>
        <w:spacing w:line="240" w:lineRule="auto"/>
        <w:ind w:firstLine="640"/>
        <w:jc w:val="both"/>
      </w:pPr>
      <w:r>
        <w:rPr>
          <w:rFonts w:ascii="仿宋_GB2312" w:hAnsi="仿宋_GB2312" w:eastAsia="仿宋_GB2312"/>
          <w:b w:val="0"/>
          <w:sz w:val="32"/>
        </w:rPr>
        <w:t>二、《收入决算表》</w:t>
      </w:r>
    </w:p>
    <w:p w14:paraId="167D185C">
      <w:pPr>
        <w:spacing w:line="240" w:lineRule="auto"/>
        <w:ind w:firstLine="640"/>
        <w:jc w:val="both"/>
      </w:pPr>
      <w:r>
        <w:rPr>
          <w:rFonts w:ascii="仿宋_GB2312" w:hAnsi="仿宋_GB2312" w:eastAsia="仿宋_GB2312"/>
          <w:b w:val="0"/>
          <w:sz w:val="32"/>
        </w:rPr>
        <w:t>三、《支出决算表》</w:t>
      </w:r>
    </w:p>
    <w:p w14:paraId="4B4798BA">
      <w:pPr>
        <w:spacing w:line="240" w:lineRule="auto"/>
        <w:ind w:firstLine="640"/>
        <w:jc w:val="both"/>
      </w:pPr>
      <w:r>
        <w:rPr>
          <w:rFonts w:ascii="仿宋_GB2312" w:hAnsi="仿宋_GB2312" w:eastAsia="仿宋_GB2312"/>
          <w:b w:val="0"/>
          <w:sz w:val="32"/>
        </w:rPr>
        <w:t>四、《财政拨款收入支出决算总表》</w:t>
      </w:r>
    </w:p>
    <w:p w14:paraId="7A6019A9">
      <w:pPr>
        <w:spacing w:line="240" w:lineRule="auto"/>
        <w:ind w:firstLine="640"/>
        <w:jc w:val="both"/>
      </w:pPr>
      <w:r>
        <w:rPr>
          <w:rFonts w:ascii="仿宋_GB2312" w:hAnsi="仿宋_GB2312" w:eastAsia="仿宋_GB2312"/>
          <w:b w:val="0"/>
          <w:sz w:val="32"/>
        </w:rPr>
        <w:t>五、《一般公共预算财政拨款支出决算表》</w:t>
      </w:r>
    </w:p>
    <w:p w14:paraId="4A639922">
      <w:pPr>
        <w:spacing w:line="240" w:lineRule="auto"/>
        <w:ind w:firstLine="640"/>
        <w:jc w:val="both"/>
      </w:pPr>
      <w:r>
        <w:rPr>
          <w:rFonts w:ascii="仿宋_GB2312" w:hAnsi="仿宋_GB2312" w:eastAsia="仿宋_GB2312"/>
          <w:b w:val="0"/>
          <w:sz w:val="32"/>
        </w:rPr>
        <w:t>六、《一般公共预算财政拨款基本支出决算表》</w:t>
      </w:r>
    </w:p>
    <w:p w14:paraId="05490E67">
      <w:pPr>
        <w:spacing w:line="240" w:lineRule="auto"/>
        <w:ind w:firstLine="640"/>
        <w:jc w:val="both"/>
      </w:pPr>
      <w:r>
        <w:rPr>
          <w:rFonts w:ascii="仿宋_GB2312" w:hAnsi="仿宋_GB2312" w:eastAsia="仿宋_GB2312"/>
          <w:b w:val="0"/>
          <w:sz w:val="32"/>
        </w:rPr>
        <w:t>七、《政府性基金预算财政拨款收入支出决算表》</w:t>
      </w:r>
    </w:p>
    <w:p w14:paraId="14732F27">
      <w:pPr>
        <w:spacing w:line="240" w:lineRule="auto"/>
        <w:ind w:firstLine="640"/>
        <w:jc w:val="both"/>
      </w:pPr>
      <w:r>
        <w:rPr>
          <w:rFonts w:ascii="仿宋_GB2312" w:hAnsi="仿宋_GB2312" w:eastAsia="仿宋_GB2312"/>
          <w:b w:val="0"/>
          <w:sz w:val="32"/>
        </w:rPr>
        <w:t>八、《国有资本经营预算财政拨款收入支出决算表》</w:t>
      </w:r>
    </w:p>
    <w:p w14:paraId="221A9A40">
      <w:pPr>
        <w:spacing w:line="240" w:lineRule="auto"/>
        <w:ind w:firstLine="640"/>
        <w:jc w:val="both"/>
      </w:pPr>
      <w:r>
        <w:rPr>
          <w:rFonts w:ascii="仿宋_GB2312" w:hAnsi="仿宋_GB2312" w:eastAsia="仿宋_GB2312"/>
          <w:b w:val="0"/>
          <w:sz w:val="32"/>
        </w:rPr>
        <w:t>九、《财政拨款“三公”经费支出决算表》</w:t>
      </w:r>
    </w:p>
    <w:p w14:paraId="295F50FF">
      <w:pPr>
        <w:spacing w:line="240" w:lineRule="auto"/>
        <w:ind w:firstLine="640"/>
        <w:jc w:val="both"/>
      </w:pPr>
    </w:p>
    <w:p w14:paraId="21A333A0">
      <w:pPr>
        <w:spacing w:line="240" w:lineRule="auto"/>
        <w:ind w:firstLine="640"/>
        <w:jc w:val="both"/>
      </w:pPr>
    </w:p>
    <w:p w14:paraId="28B14302">
      <w:pPr>
        <w:spacing w:line="240" w:lineRule="auto"/>
        <w:ind w:firstLine="640"/>
        <w:jc w:val="both"/>
      </w:pPr>
    </w:p>
    <w:p w14:paraId="2A9463AE">
      <w:pPr>
        <w:spacing w:line="240" w:lineRule="auto"/>
        <w:ind w:firstLine="640"/>
        <w:jc w:val="both"/>
      </w:pPr>
    </w:p>
    <w:p w14:paraId="40C61295">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86F0A6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D75219A"/>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A76673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6474</Words>
  <Characters>7515</Characters>
  <Lines>0</Lines>
  <Paragraphs>0</Paragraphs>
  <TotalTime>8</TotalTime>
  <ScaleCrop>false</ScaleCrop>
  <LinksUpToDate>false</LinksUpToDate>
  <CharactersWithSpaces>7523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2025-10-15T02:32:47Z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eyJoZGlkIjoiOGQ0ZWIyZDA4MGU4OTg1MzhmNDY5YTA0MWQ2OWM3ZjEiLCJ1c2VySWQiOiIyMDM3MTI1NTkifQ==</vt:lpwstr>
  </property>
</Properties>
</file>