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吉木萨尔县审计局2024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B52C2F8">
      <w:r>
        <w:br w:type="page"/>
      </w:r>
    </w:p>
    <w:p w14:paraId="142E7115">
      <w:pPr>
        <w:spacing w:line="640" w:lineRule="exact"/>
        <w:jc w:val="center"/>
        <w:outlineLvl w:val="1"/>
      </w:pPr>
      <w:r>
        <w:rPr>
          <w:rFonts w:ascii="黑体" w:hAnsi="黑体" w:eastAsia="黑体"/>
          <w:sz w:val="32"/>
        </w:rPr>
        <w:t>第一部分 单位概况</w:t>
      </w:r>
    </w:p>
    <w:p w14:paraId="03C77515">
      <w:pPr>
        <w:spacing w:line="640" w:lineRule="exact"/>
        <w:ind w:firstLine="640"/>
        <w:jc w:val="both"/>
        <w:outlineLvl w:val="2"/>
      </w:pPr>
      <w:r>
        <w:rPr>
          <w:rFonts w:ascii="黑体" w:hAnsi="黑体" w:eastAsia="黑体"/>
          <w:sz w:val="32"/>
        </w:rPr>
        <w:t>一、主要职能</w:t>
      </w:r>
    </w:p>
    <w:p w14:paraId="22BD0C87">
      <w:pPr>
        <w:spacing w:line="580" w:lineRule="exact"/>
        <w:ind w:firstLine="640"/>
        <w:jc w:val="both"/>
      </w:pPr>
      <w:r>
        <w:rPr>
          <w:rFonts w:ascii="仿宋_GB2312" w:hAnsi="仿宋_GB2312" w:eastAsia="仿宋_GB2312"/>
          <w:sz w:val="32"/>
        </w:rPr>
        <w:t>（一）贯彻执行国家、自治区、自治州审计工作方针、政策和法律。研究制定本县审计工作发展规划及年度审计计划。</w:t>
      </w:r>
    </w:p>
    <w:p w14:paraId="4F98ADF7">
      <w:pPr>
        <w:spacing w:line="580" w:lineRule="exact"/>
        <w:ind w:firstLine="640"/>
        <w:jc w:val="both"/>
      </w:pPr>
      <w:r>
        <w:rPr>
          <w:rFonts w:ascii="仿宋_GB2312" w:hAnsi="仿宋_GB2312" w:eastAsia="仿宋_GB2312"/>
          <w:sz w:val="32"/>
        </w:rPr>
        <w:t>（二）负责对全县财政收支和法律法规规定属于审计监督范围的财务收支的真实、合法和效益进行审计监督；对审计、专项审计调查和核查社会审计机构相关审计报告的结果承担责任，并负有督促被审计单位整改的责任。对直接审计、调查和核查的事项依法进行审计评价，做出审计决定或提出审计建议。</w:t>
      </w:r>
    </w:p>
    <w:p w14:paraId="58E82995">
      <w:pPr>
        <w:spacing w:line="580" w:lineRule="exact"/>
        <w:ind w:firstLine="640"/>
        <w:jc w:val="both"/>
      </w:pPr>
      <w:r>
        <w:rPr>
          <w:rFonts w:ascii="仿宋_GB2312" w:hAnsi="仿宋_GB2312" w:eastAsia="仿宋_GB2312"/>
          <w:sz w:val="32"/>
        </w:rPr>
        <w:t>（三）向县人民政府提出县本级预算执行和其他财政收支的审计结果报告；受县人民政府委托，向县人大常委会提出本级预算执行和其他财政收支情况的审计工作报告、审计发现问题的纠正和处理结果报告；向县人民政府报告对其他事项的审计和专项审计调查情况及结果；依法向社会公布审计结果；向县人民政府报告和向县有关部门通报审计情况和审计结果。</w:t>
      </w:r>
    </w:p>
    <w:p w14:paraId="15120019">
      <w:pPr>
        <w:spacing w:line="580" w:lineRule="exact"/>
        <w:ind w:firstLine="640"/>
        <w:jc w:val="both"/>
      </w:pPr>
      <w:r>
        <w:rPr>
          <w:rFonts w:ascii="仿宋_GB2312" w:hAnsi="仿宋_GB2312" w:eastAsia="仿宋_GB2312"/>
          <w:sz w:val="32"/>
        </w:rPr>
        <w:t>（四）直接审计下列事项，出具审计报告。在法定职权范围内做出审计决定或向有关主管机关提出处理处罚的建议。</w:t>
      </w:r>
    </w:p>
    <w:p w14:paraId="3545542F">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县本级预算执行情况、决算和其他财政收支；县直各部门预算执行情况、决算和其他财政财务收支。</w:t>
      </w:r>
    </w:p>
    <w:p w14:paraId="077919C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使用县本级财政资金的事业单位和社会团体的财务收支。</w:t>
      </w:r>
    </w:p>
    <w:p w14:paraId="2C78D4F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国有企业及国有资本控股或占主导地位企业的资金负债和损益。</w:t>
      </w:r>
    </w:p>
    <w:p w14:paraId="620EDA28">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县本级政府投资和以县本级政府投资为主的建设项目的预算执行情况和决算。</w:t>
      </w:r>
    </w:p>
    <w:p w14:paraId="40E5850A">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县人民政府部门管理的和其他单位受县人民政府及其部门委托管理的社会保障资金、社会捐赠资金及其他有关基金、资金的财务收支。</w:t>
      </w:r>
    </w:p>
    <w:p w14:paraId="41C418A0">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国际组织和外国政府援助、贷款项目的财务收支。</w:t>
      </w:r>
    </w:p>
    <w:p w14:paraId="4A4BCA8E">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法律法规规定应由县审计局审计的其他事项。</w:t>
      </w:r>
    </w:p>
    <w:p w14:paraId="0E6E08A4">
      <w:pPr>
        <w:spacing w:line="580" w:lineRule="exact"/>
        <w:ind w:firstLine="640"/>
        <w:jc w:val="both"/>
      </w:pPr>
      <w:r>
        <w:rPr>
          <w:rFonts w:ascii="仿宋_GB2312" w:hAnsi="仿宋_GB2312" w:eastAsia="仿宋_GB2312"/>
          <w:sz w:val="32"/>
        </w:rPr>
        <w:t>（五）组织实施对国家财经</w:t>
      </w:r>
      <w:r>
        <w:rPr>
          <w:rFonts w:hint="eastAsia" w:ascii="仿宋_GB2312" w:hAnsi="仿宋_GB2312" w:eastAsia="仿宋_GB2312"/>
          <w:sz w:val="32"/>
          <w:lang w:eastAsia="zh-CN"/>
        </w:rPr>
        <w:t>法律法规</w:t>
      </w:r>
      <w:r>
        <w:rPr>
          <w:rFonts w:ascii="仿宋_GB2312" w:hAnsi="仿宋_GB2312" w:eastAsia="仿宋_GB2312"/>
          <w:sz w:val="32"/>
        </w:rPr>
        <w:t>、规章、政策和区域宏观经济调控措施执行情况、财政预算管理或国有资产管理使用等与县财政收支有关的特定事项进行专项审计调查。</w:t>
      </w:r>
    </w:p>
    <w:p w14:paraId="5D7FC9B6">
      <w:pPr>
        <w:spacing w:line="580" w:lineRule="exact"/>
        <w:ind w:firstLine="640"/>
        <w:jc w:val="both"/>
      </w:pPr>
      <w:r>
        <w:rPr>
          <w:rFonts w:ascii="仿宋_GB2312" w:hAnsi="仿宋_GB2312" w:eastAsia="仿宋_GB2312"/>
          <w:sz w:val="32"/>
        </w:rPr>
        <w:t>（六）依法检查审计决定执行情况，督促纠正和处理审计发现的问题，依法办理被审计单位对审计决定提请行政复议、行政诉讼或县人民政府裁决中的有关事项；协助配合有关部门查处相关重大案件。</w:t>
      </w:r>
    </w:p>
    <w:p w14:paraId="0A9B6D0F">
      <w:pPr>
        <w:spacing w:line="580" w:lineRule="exact"/>
        <w:ind w:firstLine="640"/>
        <w:jc w:val="both"/>
      </w:pPr>
      <w:r>
        <w:rPr>
          <w:rFonts w:ascii="仿宋_GB2312" w:hAnsi="仿宋_GB2312" w:eastAsia="仿宋_GB2312"/>
          <w:sz w:val="32"/>
        </w:rPr>
        <w:t>（七）按照有关规定，对本县国家机关和依法属于审计机关审计监督对象的其他单位主要负责人，在任职期间对本地区、本部门或本单位的财政收支、财务收支以及有关经济活动应负经济责任的履行情况，进行审计监督。</w:t>
      </w:r>
    </w:p>
    <w:p w14:paraId="439EBD60">
      <w:pPr>
        <w:spacing w:line="580" w:lineRule="exact"/>
        <w:ind w:firstLine="640"/>
        <w:jc w:val="both"/>
      </w:pPr>
      <w:r>
        <w:rPr>
          <w:rFonts w:ascii="仿宋_GB2312" w:hAnsi="仿宋_GB2312" w:eastAsia="仿宋_GB2312"/>
          <w:sz w:val="32"/>
        </w:rPr>
        <w:t>（八）指导和监督内部审计工作,核查社会审计机构对依法属于审计监督对象的单位出具的相关审计报告。承担上级审计机关授权的审计事项。</w:t>
      </w:r>
    </w:p>
    <w:p w14:paraId="3E605971">
      <w:pPr>
        <w:spacing w:line="580" w:lineRule="exact"/>
        <w:ind w:firstLine="640"/>
        <w:jc w:val="both"/>
      </w:pPr>
      <w:r>
        <w:rPr>
          <w:rFonts w:ascii="仿宋_GB2312" w:hAnsi="仿宋_GB2312" w:eastAsia="仿宋_GB2312"/>
          <w:sz w:val="32"/>
        </w:rPr>
        <w:t>（九）承办县人民政府交办的其他事项。</w:t>
      </w:r>
    </w:p>
    <w:p w14:paraId="58CF5304">
      <w:pPr>
        <w:spacing w:line="640" w:lineRule="exact"/>
        <w:ind w:firstLine="640"/>
        <w:jc w:val="both"/>
        <w:outlineLvl w:val="2"/>
      </w:pPr>
      <w:r>
        <w:rPr>
          <w:rFonts w:ascii="黑体" w:hAnsi="黑体" w:eastAsia="黑体"/>
          <w:sz w:val="32"/>
        </w:rPr>
        <w:t>二、机构设置及人员情况</w:t>
      </w:r>
    </w:p>
    <w:p w14:paraId="675820E4">
      <w:pPr>
        <w:spacing w:line="580" w:lineRule="exact"/>
        <w:ind w:firstLine="640"/>
        <w:jc w:val="both"/>
      </w:pPr>
      <w:r>
        <w:rPr>
          <w:rFonts w:ascii="仿宋_GB2312" w:hAnsi="仿宋_GB2312" w:eastAsia="仿宋_GB2312"/>
          <w:sz w:val="32"/>
        </w:rPr>
        <w:t>吉木萨尔县审计局2024年度，实有人数38人，其中：在职人员26人，减少1人；离休人员0人，增加0人；退休人员12人,增加1人。</w:t>
      </w:r>
    </w:p>
    <w:p w14:paraId="27D40992">
      <w:pPr>
        <w:spacing w:line="580" w:lineRule="exact"/>
        <w:ind w:firstLine="640"/>
        <w:jc w:val="both"/>
      </w:pPr>
      <w:r>
        <w:rPr>
          <w:rFonts w:ascii="仿宋_GB2312" w:hAnsi="仿宋_GB2312" w:eastAsia="仿宋_GB2312"/>
          <w:sz w:val="32"/>
        </w:rPr>
        <w:t>吉木萨尔县审计局无下属预算单位，下设5个科室，分别是：行政办公室（组织人事科）、经济责任审计科、综合科（县委审计委员会办公室）、行政审计事业科、法规审理科。</w:t>
      </w:r>
    </w:p>
    <w:p w14:paraId="50543417">
      <w:r>
        <w:br w:type="page"/>
      </w:r>
    </w:p>
    <w:p w14:paraId="018D85D9">
      <w:pPr>
        <w:spacing w:line="240" w:lineRule="auto"/>
        <w:jc w:val="center"/>
        <w:outlineLvl w:val="1"/>
      </w:pPr>
      <w:r>
        <w:rPr>
          <w:rFonts w:ascii="黑体" w:hAnsi="黑体" w:eastAsia="黑体"/>
          <w:sz w:val="32"/>
        </w:rPr>
        <w:t>第二部分 部门决算情况说明</w:t>
      </w:r>
    </w:p>
    <w:p w14:paraId="12913667">
      <w:pPr>
        <w:spacing w:line="640" w:lineRule="exact"/>
        <w:ind w:firstLine="640"/>
        <w:jc w:val="both"/>
        <w:outlineLvl w:val="2"/>
      </w:pPr>
      <w:r>
        <w:rPr>
          <w:rFonts w:ascii="黑体" w:hAnsi="黑体" w:eastAsia="黑体"/>
          <w:sz w:val="32"/>
        </w:rPr>
        <w:t>一、收入支出决算总体情况说明</w:t>
      </w:r>
    </w:p>
    <w:p w14:paraId="6EEE85CF">
      <w:pPr>
        <w:spacing w:line="580" w:lineRule="exact"/>
        <w:ind w:firstLine="640"/>
        <w:jc w:val="both"/>
      </w:pPr>
      <w:r>
        <w:rPr>
          <w:rFonts w:ascii="仿宋_GB2312" w:hAnsi="仿宋_GB2312" w:eastAsia="仿宋_GB2312"/>
          <w:b/>
          <w:sz w:val="32"/>
        </w:rPr>
        <w:t>2024年度收入总计601.39万元，</w:t>
      </w:r>
      <w:r>
        <w:rPr>
          <w:rFonts w:ascii="仿宋_GB2312" w:hAnsi="仿宋_GB2312" w:eastAsia="仿宋_GB2312"/>
          <w:b w:val="0"/>
          <w:sz w:val="32"/>
        </w:rPr>
        <w:t>其中：本年收入合计573.96万元，使用非财政拨款结余（含专用结余）0.00万元，年初结转和结余27.43万元。</w:t>
      </w:r>
    </w:p>
    <w:p w14:paraId="58DF0D85">
      <w:pPr>
        <w:spacing w:line="580" w:lineRule="exact"/>
        <w:ind w:firstLine="640"/>
        <w:jc w:val="both"/>
      </w:pPr>
      <w:r>
        <w:rPr>
          <w:rFonts w:ascii="仿宋_GB2312" w:hAnsi="仿宋_GB2312" w:eastAsia="仿宋_GB2312"/>
          <w:b/>
          <w:sz w:val="32"/>
        </w:rPr>
        <w:t>2024年度支出总计601.39万元，</w:t>
      </w:r>
      <w:r>
        <w:rPr>
          <w:rFonts w:ascii="仿宋_GB2312" w:hAnsi="仿宋_GB2312" w:eastAsia="仿宋_GB2312"/>
          <w:b w:val="0"/>
          <w:sz w:val="32"/>
        </w:rPr>
        <w:t>其中：本年支出合计575.84万元，结余分配0.00万元，年末结转和结余25.55万元。</w:t>
      </w:r>
    </w:p>
    <w:p w14:paraId="740320D5">
      <w:pPr>
        <w:spacing w:line="580" w:lineRule="exact"/>
        <w:ind w:firstLine="640"/>
        <w:jc w:val="both"/>
      </w:pPr>
      <w:r>
        <w:rPr>
          <w:rFonts w:ascii="仿宋_GB2312" w:hAnsi="仿宋_GB2312" w:eastAsia="仿宋_GB2312"/>
          <w:b w:val="0"/>
          <w:sz w:val="32"/>
        </w:rPr>
        <w:t>收入支出总体与上年相比，减少25.52万元，下降4.07%，主要原因是：本年在职人员减少，本年无新增死亡人员，死亡抚恤支出较上年减少，相关人员经费较上年减少。</w:t>
      </w:r>
    </w:p>
    <w:p w14:paraId="6E47E4D1">
      <w:pPr>
        <w:spacing w:line="640" w:lineRule="exact"/>
        <w:ind w:firstLine="640"/>
        <w:jc w:val="both"/>
        <w:outlineLvl w:val="2"/>
      </w:pPr>
      <w:r>
        <w:rPr>
          <w:rFonts w:ascii="黑体" w:hAnsi="黑体" w:eastAsia="黑体"/>
          <w:sz w:val="32"/>
        </w:rPr>
        <w:t>二、收入决算情况说明</w:t>
      </w:r>
    </w:p>
    <w:p w14:paraId="1E144631">
      <w:pPr>
        <w:spacing w:line="580" w:lineRule="exact"/>
        <w:ind w:firstLine="640"/>
        <w:jc w:val="both"/>
      </w:pPr>
      <w:r>
        <w:rPr>
          <w:rFonts w:ascii="仿宋_GB2312" w:hAnsi="仿宋_GB2312" w:eastAsia="仿宋_GB2312"/>
          <w:b/>
          <w:sz w:val="32"/>
        </w:rPr>
        <w:t>本年收入573.96万元，</w:t>
      </w:r>
      <w:r>
        <w:rPr>
          <w:rFonts w:ascii="仿宋_GB2312" w:hAnsi="仿宋_GB2312" w:eastAsia="仿宋_GB2312"/>
          <w:b w:val="0"/>
          <w:sz w:val="32"/>
        </w:rPr>
        <w:t>其中：财政拨款收入571.91万元，占99.64%；上级补助收入0.00万元，占0.00%；事业收入0.00万元，占0.00%；经营收入0.00万元，占0.00%；附属单位上缴收入0.00万元，占0.00%；其他收入2.05万元，占0.36%。</w:t>
      </w:r>
    </w:p>
    <w:p w14:paraId="418BF1BE">
      <w:pPr>
        <w:spacing w:line="640" w:lineRule="exact"/>
        <w:ind w:firstLine="640"/>
        <w:jc w:val="both"/>
        <w:outlineLvl w:val="2"/>
      </w:pPr>
      <w:r>
        <w:rPr>
          <w:rFonts w:ascii="黑体" w:hAnsi="黑体" w:eastAsia="黑体"/>
          <w:sz w:val="32"/>
        </w:rPr>
        <w:t>三、支出决算情况说明</w:t>
      </w:r>
    </w:p>
    <w:p w14:paraId="3A653D7C">
      <w:pPr>
        <w:spacing w:line="580" w:lineRule="exact"/>
        <w:ind w:firstLine="640"/>
        <w:jc w:val="both"/>
      </w:pPr>
      <w:r>
        <w:rPr>
          <w:rFonts w:ascii="仿宋_GB2312" w:hAnsi="仿宋_GB2312" w:eastAsia="仿宋_GB2312"/>
          <w:b/>
          <w:sz w:val="32"/>
        </w:rPr>
        <w:t>本年支出575.84万元，</w:t>
      </w:r>
      <w:r>
        <w:rPr>
          <w:rFonts w:ascii="仿宋_GB2312" w:hAnsi="仿宋_GB2312" w:eastAsia="仿宋_GB2312"/>
          <w:b w:val="0"/>
          <w:sz w:val="32"/>
        </w:rPr>
        <w:t>其中：基本支出567.84万元，占98.61%；项目支出8.00万元，占1.39%；上缴上级支出0.00万元，占0.00%；经营支出0.00万元，占0.00%；对附属单位补助支出0.00万元，占0.00%。</w:t>
      </w:r>
    </w:p>
    <w:p w14:paraId="14345138">
      <w:pPr>
        <w:spacing w:line="640" w:lineRule="exact"/>
        <w:ind w:firstLine="640"/>
        <w:jc w:val="both"/>
        <w:outlineLvl w:val="2"/>
      </w:pPr>
      <w:r>
        <w:rPr>
          <w:rFonts w:ascii="黑体" w:hAnsi="黑体" w:eastAsia="黑体"/>
          <w:sz w:val="32"/>
        </w:rPr>
        <w:t>四、财政拨款收入支出决算总体情况说明</w:t>
      </w:r>
    </w:p>
    <w:p w14:paraId="144212A0">
      <w:pPr>
        <w:spacing w:line="580" w:lineRule="exact"/>
        <w:ind w:firstLine="640"/>
        <w:jc w:val="both"/>
      </w:pPr>
      <w:r>
        <w:rPr>
          <w:rFonts w:ascii="仿宋_GB2312" w:hAnsi="仿宋_GB2312" w:eastAsia="仿宋_GB2312"/>
          <w:b/>
          <w:sz w:val="32"/>
        </w:rPr>
        <w:t>2024年度财政拨款收入总计571.91万元，</w:t>
      </w:r>
      <w:r>
        <w:rPr>
          <w:rFonts w:ascii="仿宋_GB2312" w:hAnsi="仿宋_GB2312" w:eastAsia="仿宋_GB2312"/>
          <w:b w:val="0"/>
          <w:sz w:val="32"/>
        </w:rPr>
        <w:t>其中：年初财政拨款结转和结余0.00万元，本年财政拨款收入571.91万元。</w:t>
      </w:r>
      <w:r>
        <w:rPr>
          <w:rFonts w:ascii="仿宋_GB2312" w:hAnsi="仿宋_GB2312" w:eastAsia="仿宋_GB2312"/>
          <w:b/>
          <w:sz w:val="32"/>
        </w:rPr>
        <w:t>财政拨款支出总计571.91万元，</w:t>
      </w:r>
      <w:r>
        <w:rPr>
          <w:rFonts w:ascii="仿宋_GB2312" w:hAnsi="仿宋_GB2312" w:eastAsia="仿宋_GB2312"/>
          <w:b w:val="0"/>
          <w:sz w:val="32"/>
        </w:rPr>
        <w:t>其中：年末财政拨款结转和结余0.00万元，本年财政拨款支出571.91万元。</w:t>
      </w:r>
    </w:p>
    <w:p w14:paraId="5A2CA2F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减少13.78万元，下降2.35%，主要原因是：本年在职人员减少，本年无新增死亡人员，死亡抚恤支出较上年减少，相关人员经费较上年减少。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年初预算数571.25万元，决算数571.91万元，预决算差异率0.12%，主要原因是：年中追加共用取暖费、追加考核优秀奖，导致预算决算存在差异。</w:t>
      </w:r>
    </w:p>
    <w:p w14:paraId="49DBB32A">
      <w:pPr>
        <w:spacing w:line="640" w:lineRule="exact"/>
        <w:ind w:firstLine="640"/>
        <w:jc w:val="both"/>
        <w:outlineLvl w:val="2"/>
      </w:pPr>
      <w:r>
        <w:rPr>
          <w:rFonts w:ascii="黑体" w:hAnsi="黑体" w:eastAsia="黑体"/>
          <w:sz w:val="32"/>
        </w:rPr>
        <w:t>五、一般公共预算财政拨款支出决算情况说明</w:t>
      </w:r>
    </w:p>
    <w:p w14:paraId="1DA0E114">
      <w:pPr>
        <w:spacing w:line="640" w:lineRule="exact"/>
        <w:ind w:firstLine="640"/>
        <w:jc w:val="both"/>
        <w:outlineLvl w:val="3"/>
      </w:pPr>
      <w:r>
        <w:rPr>
          <w:rFonts w:ascii="楷体_GB2312" w:hAnsi="楷体_GB2312" w:eastAsia="楷体_GB2312"/>
          <w:b/>
          <w:sz w:val="32"/>
        </w:rPr>
        <w:t>（一）一般公共预算财政拨款支出决算总体情况</w:t>
      </w:r>
    </w:p>
    <w:p w14:paraId="1091DEBE">
      <w:pPr>
        <w:spacing w:line="580" w:lineRule="exact"/>
        <w:ind w:firstLine="640"/>
        <w:jc w:val="both"/>
      </w:pPr>
      <w:r>
        <w:rPr>
          <w:rFonts w:ascii="仿宋_GB2312" w:hAnsi="仿宋_GB2312" w:eastAsia="仿宋_GB2312"/>
          <w:b/>
          <w:sz w:val="32"/>
        </w:rPr>
        <w:t>2024年度一般公共预算财政拨款支出571.91万元，</w:t>
      </w:r>
      <w:r>
        <w:rPr>
          <w:rFonts w:ascii="仿宋_GB2312" w:hAnsi="仿宋_GB2312" w:eastAsia="仿宋_GB2312"/>
          <w:b w:val="0"/>
          <w:sz w:val="32"/>
        </w:rPr>
        <w:t>占本年支出合计的99.32%。</w:t>
      </w:r>
      <w:r>
        <w:rPr>
          <w:rFonts w:ascii="仿宋_GB2312" w:hAnsi="仿宋_GB2312" w:eastAsia="仿宋_GB2312"/>
          <w:b/>
          <w:sz w:val="32"/>
        </w:rPr>
        <w:t>与上年相比，</w:t>
      </w:r>
      <w:r>
        <w:rPr>
          <w:rFonts w:ascii="仿宋_GB2312" w:hAnsi="仿宋_GB2312" w:eastAsia="仿宋_GB2312"/>
          <w:b w:val="0"/>
          <w:sz w:val="32"/>
        </w:rPr>
        <w:t>减少13.78万元，下降2.35%，主要原因是：本年在职人员减少，本年无新增死亡人员，死亡抚恤支出较上年减少，相关人员经费较上年减少。</w:t>
      </w:r>
      <w:r>
        <w:rPr>
          <w:rFonts w:ascii="仿宋_GB2312" w:hAnsi="仿宋_GB2312" w:eastAsia="仿宋_GB2312"/>
          <w:b/>
          <w:sz w:val="32"/>
        </w:rPr>
        <w:t>与年初预算相比,</w:t>
      </w:r>
      <w:r>
        <w:rPr>
          <w:rFonts w:ascii="仿宋_GB2312" w:hAnsi="仿宋_GB2312" w:eastAsia="仿宋_GB2312"/>
          <w:b w:val="0"/>
          <w:sz w:val="32"/>
        </w:rPr>
        <w:t>年初预算数571.25万元，决算数571.91万元，预决算差异率0.12%，主要原因是：年中追加共用取暖费、追加考核优秀奖，导致预算决算存在差异。</w:t>
      </w:r>
    </w:p>
    <w:p w14:paraId="0A21384F">
      <w:pPr>
        <w:spacing w:line="640" w:lineRule="exact"/>
        <w:ind w:firstLine="640"/>
        <w:jc w:val="both"/>
        <w:outlineLvl w:val="3"/>
      </w:pPr>
      <w:r>
        <w:rPr>
          <w:rFonts w:ascii="楷体_GB2312" w:hAnsi="楷体_GB2312" w:eastAsia="楷体_GB2312"/>
          <w:b/>
          <w:sz w:val="32"/>
        </w:rPr>
        <w:t>（二）一般公共预算财政拨款支出决算结构情况</w:t>
      </w:r>
    </w:p>
    <w:p w14:paraId="75F1A27A">
      <w:pPr>
        <w:spacing w:line="580" w:lineRule="exact"/>
        <w:ind w:firstLine="640"/>
        <w:jc w:val="both"/>
      </w:pPr>
      <w:r>
        <w:rPr>
          <w:rFonts w:ascii="仿宋_GB2312" w:hAnsi="仿宋_GB2312" w:eastAsia="仿宋_GB2312"/>
          <w:b w:val="0"/>
          <w:sz w:val="32"/>
        </w:rPr>
        <w:t>1.一般公共服务支出(类)432.37万元,占75.60%。</w:t>
      </w:r>
    </w:p>
    <w:p w14:paraId="5598BC92">
      <w:pPr>
        <w:spacing w:line="580" w:lineRule="exact"/>
        <w:ind w:firstLine="640"/>
        <w:jc w:val="both"/>
      </w:pPr>
      <w:r>
        <w:rPr>
          <w:rFonts w:ascii="仿宋_GB2312" w:hAnsi="仿宋_GB2312" w:eastAsia="仿宋_GB2312"/>
          <w:b w:val="0"/>
          <w:sz w:val="32"/>
        </w:rPr>
        <w:t>2.科学技术支出(类)1.80万元,占0.31%。</w:t>
      </w:r>
    </w:p>
    <w:p w14:paraId="48BFC12C">
      <w:pPr>
        <w:spacing w:line="580" w:lineRule="exact"/>
        <w:ind w:firstLine="640"/>
        <w:jc w:val="both"/>
      </w:pPr>
      <w:r>
        <w:rPr>
          <w:rFonts w:ascii="仿宋_GB2312" w:hAnsi="仿宋_GB2312" w:eastAsia="仿宋_GB2312"/>
          <w:b w:val="0"/>
          <w:sz w:val="32"/>
        </w:rPr>
        <w:t>3.社会保障和就业支出(类)78.33万元,占13.70%。</w:t>
      </w:r>
    </w:p>
    <w:p w14:paraId="52B8E8E0">
      <w:pPr>
        <w:spacing w:line="580" w:lineRule="exact"/>
        <w:ind w:firstLine="640"/>
        <w:jc w:val="both"/>
      </w:pPr>
      <w:r>
        <w:rPr>
          <w:rFonts w:ascii="仿宋_GB2312" w:hAnsi="仿宋_GB2312" w:eastAsia="仿宋_GB2312"/>
          <w:b w:val="0"/>
          <w:sz w:val="32"/>
        </w:rPr>
        <w:t>4.卫生健康支出(类)23.94万元,占4.19%。</w:t>
      </w:r>
    </w:p>
    <w:p w14:paraId="5A698FC1">
      <w:pPr>
        <w:spacing w:line="580" w:lineRule="exact"/>
        <w:ind w:firstLine="640"/>
        <w:jc w:val="both"/>
      </w:pPr>
      <w:r>
        <w:rPr>
          <w:rFonts w:ascii="仿宋_GB2312" w:hAnsi="仿宋_GB2312" w:eastAsia="仿宋_GB2312"/>
          <w:b w:val="0"/>
          <w:sz w:val="32"/>
        </w:rPr>
        <w:t>5.住房保障支出(类)35.47万元,占6.20%。</w:t>
      </w:r>
    </w:p>
    <w:p w14:paraId="43BA2241">
      <w:pPr>
        <w:spacing w:line="640" w:lineRule="exact"/>
        <w:ind w:firstLine="640"/>
        <w:jc w:val="both"/>
        <w:outlineLvl w:val="3"/>
      </w:pPr>
      <w:r>
        <w:rPr>
          <w:rFonts w:ascii="楷体_GB2312" w:hAnsi="楷体_GB2312" w:eastAsia="楷体_GB2312"/>
          <w:b/>
          <w:sz w:val="32"/>
        </w:rPr>
        <w:t>（三）一般公共预算财政拨款支出决算具体情况</w:t>
      </w:r>
    </w:p>
    <w:p w14:paraId="08955F88">
      <w:pPr>
        <w:spacing w:line="580" w:lineRule="exact"/>
        <w:ind w:firstLine="640"/>
        <w:jc w:val="both"/>
      </w:pPr>
      <w:r>
        <w:rPr>
          <w:rFonts w:ascii="仿宋_GB2312" w:hAnsi="仿宋_GB2312" w:eastAsia="仿宋_GB2312"/>
          <w:b w:val="0"/>
          <w:sz w:val="32"/>
        </w:rPr>
        <w:t>1.一般公共服务支出(类)审计事务(款)行政运行(项):支出决算数为269.71万元，比上年决算增加57.45万元，增长27.07%,主要原因是：本年度科目调整，政府投资审计费由其他审计事务支出科目调整至行政运行，导致经费较上年增加。</w:t>
      </w:r>
    </w:p>
    <w:p w14:paraId="5D67A21D">
      <w:pPr>
        <w:spacing w:line="580" w:lineRule="exact"/>
        <w:ind w:firstLine="640"/>
        <w:jc w:val="both"/>
      </w:pPr>
      <w:r>
        <w:rPr>
          <w:rFonts w:ascii="仿宋_GB2312" w:hAnsi="仿宋_GB2312" w:eastAsia="仿宋_GB2312"/>
          <w:b w:val="0"/>
          <w:sz w:val="32"/>
        </w:rPr>
        <w:t>2.一般公共服务支出(类)审计事务(款)审计业务(项):支出决算数为8.00万元，比上年决算增加2.50万元，增长45.45%,主要原因是：本年审计业务经费增加，导致相应支出增加。</w:t>
      </w:r>
    </w:p>
    <w:p w14:paraId="0111AB66">
      <w:pPr>
        <w:spacing w:line="580" w:lineRule="exact"/>
        <w:ind w:firstLine="640"/>
        <w:jc w:val="both"/>
      </w:pPr>
      <w:r>
        <w:rPr>
          <w:rFonts w:ascii="仿宋_GB2312" w:hAnsi="仿宋_GB2312" w:eastAsia="仿宋_GB2312"/>
          <w:b w:val="0"/>
          <w:sz w:val="32"/>
        </w:rPr>
        <w:t>3.一般公共服务支出(类)审计事务(款)审计管理(项):支出决算数为3.14万元，比上年决算增加3.14万元，增长100.00%,主要原因是：本年部分办公经费、培训费在此科目支出，经费较上年增加。</w:t>
      </w:r>
    </w:p>
    <w:p w14:paraId="446FA711">
      <w:pPr>
        <w:spacing w:line="580" w:lineRule="exact"/>
        <w:ind w:firstLine="640"/>
        <w:jc w:val="both"/>
      </w:pPr>
      <w:r>
        <w:rPr>
          <w:rFonts w:ascii="仿宋_GB2312" w:hAnsi="仿宋_GB2312" w:eastAsia="仿宋_GB2312"/>
          <w:b w:val="0"/>
          <w:sz w:val="32"/>
        </w:rPr>
        <w:t>4.一般公共服务支出(类)审计事务(款)事业运行(项):支出决算数为151.53万元，比上年决算减少12.30万元，下降7.51%,主要原因是：本年在职人员减少，相应人员经费较上年减少。</w:t>
      </w:r>
    </w:p>
    <w:p w14:paraId="2DF1B2C0">
      <w:pPr>
        <w:spacing w:line="580" w:lineRule="exact"/>
        <w:ind w:firstLine="640"/>
        <w:jc w:val="both"/>
      </w:pPr>
      <w:r>
        <w:rPr>
          <w:rFonts w:ascii="仿宋_GB2312" w:hAnsi="仿宋_GB2312" w:eastAsia="仿宋_GB2312"/>
          <w:b w:val="0"/>
          <w:sz w:val="32"/>
        </w:rPr>
        <w:t>5.一般公共服务支出(类)审计事务(款)其他审计事务支出(项):支出决算数为0.00万元，比上年决算减少57.38万元，下降100.00%,主要原因是：本年度科目调整，政府投资审计费由其他审计事务支出科目调整至行政运行，导致经费较上年减少。</w:t>
      </w:r>
    </w:p>
    <w:p w14:paraId="037D8206">
      <w:pPr>
        <w:spacing w:line="580" w:lineRule="exact"/>
        <w:ind w:firstLine="640"/>
        <w:jc w:val="both"/>
      </w:pPr>
      <w:r>
        <w:rPr>
          <w:rFonts w:ascii="仿宋_GB2312" w:hAnsi="仿宋_GB2312" w:eastAsia="仿宋_GB2312"/>
          <w:b w:val="0"/>
          <w:sz w:val="32"/>
        </w:rPr>
        <w:t>6.科学技术支出(类)科技条件与服务(款)其他科技条件与服务支出(项):支出决算数为1.80万元，比上年决算增加1.80万元，增长100.00%,主要原因是：本年部分办公经费在此科目支出，经费较上年增加。</w:t>
      </w:r>
    </w:p>
    <w:p w14:paraId="57F61EFA">
      <w:pPr>
        <w:spacing w:line="580" w:lineRule="exact"/>
        <w:ind w:firstLine="640"/>
        <w:jc w:val="both"/>
      </w:pPr>
      <w:r>
        <w:rPr>
          <w:rFonts w:ascii="仿宋_GB2312" w:hAnsi="仿宋_GB2312" w:eastAsia="仿宋_GB2312"/>
          <w:b w:val="0"/>
          <w:sz w:val="32"/>
        </w:rPr>
        <w:t>7.社会保障和就业支出(类)行政事业单位养老支出(款)行政单位离退休(项):支出决算数为8.14万元，比上年决算增加4.89万元，增长150.46%,主要原因是：本年退休人员增加，退休费支出增加。</w:t>
      </w:r>
    </w:p>
    <w:p w14:paraId="62F4DB2E">
      <w:pPr>
        <w:spacing w:line="580" w:lineRule="exact"/>
        <w:ind w:firstLine="640"/>
        <w:jc w:val="both"/>
      </w:pPr>
      <w:r>
        <w:rPr>
          <w:rFonts w:ascii="仿宋_GB2312" w:hAnsi="仿宋_GB2312" w:eastAsia="仿宋_GB2312"/>
          <w:b w:val="0"/>
          <w:sz w:val="32"/>
        </w:rPr>
        <w:t>8.社会保障和就业支出(类)行政事业单位养老支出(款)机关事业单位基本养老保险缴费支出(项):支出决算数为44.38万元，比上年决算增加2.85万元，增长6.86%,主要原因是：本年在职人员工资基数调增，养老缴费基数上涨，相应支出增加。</w:t>
      </w:r>
    </w:p>
    <w:p w14:paraId="3C1355B4">
      <w:pPr>
        <w:spacing w:line="580" w:lineRule="exact"/>
        <w:ind w:firstLine="640"/>
        <w:jc w:val="both"/>
      </w:pPr>
      <w:r>
        <w:rPr>
          <w:rFonts w:ascii="仿宋_GB2312" w:hAnsi="仿宋_GB2312" w:eastAsia="仿宋_GB2312"/>
          <w:b w:val="0"/>
          <w:sz w:val="32"/>
        </w:rPr>
        <w:t>9.社会保障和就业支出(类)行政事业单位养老支出(款)机关事业单位职业年金缴费支出(项):支出决算数为25.81万元，比上年决算增加4.91万元，增长23.49%,主要原因是：本年新增退休人员职级较上年退休人员高，导致职业年金缴费支出增加。</w:t>
      </w:r>
    </w:p>
    <w:p w14:paraId="7E4EBDDD">
      <w:pPr>
        <w:spacing w:line="580" w:lineRule="exact"/>
        <w:ind w:firstLine="640"/>
        <w:jc w:val="both"/>
      </w:pPr>
      <w:r>
        <w:rPr>
          <w:rFonts w:ascii="仿宋_GB2312" w:hAnsi="仿宋_GB2312" w:eastAsia="仿宋_GB2312"/>
          <w:b w:val="0"/>
          <w:sz w:val="32"/>
        </w:rPr>
        <w:t>10.社会保障和就业支出(类)抚恤(款)死亡抚恤(项):支出决算数为0.00万元，比上年决算减少20.15万元，下降100.00%,主要原因是：本年无新增死亡人员，死亡抚恤支出较上年减少。</w:t>
      </w:r>
    </w:p>
    <w:p w14:paraId="720F718E">
      <w:pPr>
        <w:spacing w:line="580" w:lineRule="exact"/>
        <w:ind w:firstLine="640"/>
        <w:jc w:val="both"/>
      </w:pPr>
      <w:r>
        <w:rPr>
          <w:rFonts w:ascii="仿宋_GB2312" w:hAnsi="仿宋_GB2312" w:eastAsia="仿宋_GB2312"/>
          <w:b w:val="0"/>
          <w:sz w:val="32"/>
        </w:rPr>
        <w:t>11.卫生健康支出(类)行政事业单位医疗(款)行政单位医疗(项):支出决算数为11.54万元，比上年决算减少8.47万元，下降42.33%,主要原因是：本年在职人员减少，行政单位医疗支出较上年减少。</w:t>
      </w:r>
    </w:p>
    <w:p w14:paraId="22558063">
      <w:pPr>
        <w:spacing w:line="580" w:lineRule="exact"/>
        <w:ind w:firstLine="640"/>
        <w:jc w:val="both"/>
      </w:pPr>
      <w:r>
        <w:rPr>
          <w:rFonts w:ascii="仿宋_GB2312" w:hAnsi="仿宋_GB2312" w:eastAsia="仿宋_GB2312"/>
          <w:b w:val="0"/>
          <w:sz w:val="32"/>
        </w:rPr>
        <w:t>12.卫生健康支出(类)行政事业单位医疗(款)事业单位医疗(项):支出决算数为10.99万元，比上年决算增加4.33万元，增长65.02%,主要原因是：本年在职人员工资基数调增，医疗缴费基数上涨，相应支出增加。</w:t>
      </w:r>
    </w:p>
    <w:p w14:paraId="6601CDAC">
      <w:pPr>
        <w:spacing w:line="580" w:lineRule="exact"/>
        <w:ind w:firstLine="640"/>
        <w:jc w:val="both"/>
      </w:pPr>
      <w:r>
        <w:rPr>
          <w:rFonts w:ascii="仿宋_GB2312" w:hAnsi="仿宋_GB2312" w:eastAsia="仿宋_GB2312"/>
          <w:b w:val="0"/>
          <w:sz w:val="32"/>
        </w:rPr>
        <w:t>13.卫生健康支出(类)行政事业单位医疗(款)公务员医疗补助(项):支出决算数为1.41万元，比上年决算增加0.07万元，增长5.22%,主要原因是：本年在职人员工资基数调增，医疗缴费基数上涨，相应支出增加。</w:t>
      </w:r>
    </w:p>
    <w:p w14:paraId="6D7E4BE7">
      <w:pPr>
        <w:spacing w:line="580" w:lineRule="exact"/>
        <w:ind w:firstLine="640"/>
        <w:jc w:val="both"/>
      </w:pPr>
      <w:r>
        <w:rPr>
          <w:rFonts w:ascii="仿宋_GB2312" w:hAnsi="仿宋_GB2312" w:eastAsia="仿宋_GB2312"/>
          <w:b w:val="0"/>
          <w:sz w:val="32"/>
        </w:rPr>
        <w:t>14.住房保障支出(类)住房改革支出(款)住房公积金(项):支出决算数为35.47万元，比上年决算增加2.58万元，增长7.84%,主要原因是：本年在职人员工资基数调增，公积金缴费基数上涨，相应支出增加。</w:t>
      </w:r>
    </w:p>
    <w:p w14:paraId="54E7F561">
      <w:pPr>
        <w:spacing w:line="640" w:lineRule="exact"/>
        <w:ind w:firstLine="640"/>
        <w:jc w:val="both"/>
        <w:outlineLvl w:val="2"/>
      </w:pPr>
      <w:r>
        <w:rPr>
          <w:rFonts w:ascii="黑体" w:hAnsi="黑体" w:eastAsia="黑体"/>
          <w:sz w:val="32"/>
        </w:rPr>
        <w:t>六、一般公共预算财政拨款基本支出决算情况说明</w:t>
      </w:r>
    </w:p>
    <w:p w14:paraId="588A0DB7">
      <w:pPr>
        <w:spacing w:line="580" w:lineRule="exact"/>
        <w:ind w:firstLine="640"/>
        <w:jc w:val="both"/>
      </w:pPr>
      <w:r>
        <w:rPr>
          <w:rFonts w:ascii="仿宋_GB2312" w:hAnsi="仿宋_GB2312" w:eastAsia="仿宋_GB2312"/>
          <w:b w:val="0"/>
          <w:sz w:val="32"/>
        </w:rPr>
        <w:t>2024年度一般公共预算财政拨款基本支出563.91万元，其中：</w:t>
      </w:r>
      <w:r>
        <w:rPr>
          <w:rFonts w:ascii="仿宋_GB2312" w:hAnsi="仿宋_GB2312" w:eastAsia="仿宋_GB2312"/>
          <w:b/>
          <w:sz w:val="32"/>
        </w:rPr>
        <w:t>人员经费470.33万元，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2E0CF8D4">
      <w:pPr>
        <w:spacing w:line="580" w:lineRule="exact"/>
        <w:ind w:firstLine="640"/>
        <w:jc w:val="both"/>
      </w:pPr>
      <w:r>
        <w:rPr>
          <w:rFonts w:ascii="仿宋_GB2312" w:hAnsi="仿宋_GB2312" w:eastAsia="仿宋_GB2312"/>
          <w:b/>
          <w:sz w:val="32"/>
        </w:rPr>
        <w:t>公用经费93.57万元，</w:t>
      </w:r>
      <w:r>
        <w:rPr>
          <w:rFonts w:ascii="仿宋_GB2312" w:hAnsi="仿宋_GB2312" w:eastAsia="仿宋_GB2312"/>
          <w:b w:val="0"/>
          <w:sz w:val="32"/>
        </w:rPr>
        <w:t>包括：办公费、水费、邮电费、取暖费、差旅费、培训费、公务接待费、劳务费、委托业务费、工会经费、公务用车运行维护费、其他交通费用、其他商品和服务支出。</w:t>
      </w:r>
    </w:p>
    <w:p w14:paraId="497AD375">
      <w:pPr>
        <w:spacing w:line="640" w:lineRule="exact"/>
        <w:ind w:firstLine="640"/>
        <w:jc w:val="both"/>
        <w:outlineLvl w:val="2"/>
      </w:pPr>
      <w:r>
        <w:rPr>
          <w:rFonts w:ascii="黑体" w:hAnsi="黑体" w:eastAsia="黑体"/>
          <w:sz w:val="32"/>
        </w:rPr>
        <w:t>七、政府性基金预算财政拨款收入支出决算情况说明</w:t>
      </w:r>
    </w:p>
    <w:p w14:paraId="4630B92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A315FDA">
      <w:pPr>
        <w:spacing w:line="640" w:lineRule="exact"/>
        <w:ind w:firstLine="640"/>
        <w:jc w:val="both"/>
        <w:outlineLvl w:val="2"/>
      </w:pPr>
      <w:r>
        <w:rPr>
          <w:rFonts w:ascii="黑体" w:hAnsi="黑体" w:eastAsia="黑体"/>
          <w:sz w:val="32"/>
        </w:rPr>
        <w:t>八、国有资本经营预算财政拨款收入支出决算情况说明</w:t>
      </w:r>
    </w:p>
    <w:p w14:paraId="5BB397F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CAD26FE">
      <w:pPr>
        <w:spacing w:line="640" w:lineRule="exact"/>
        <w:ind w:firstLine="640"/>
        <w:jc w:val="both"/>
        <w:outlineLvl w:val="2"/>
      </w:pPr>
      <w:r>
        <w:rPr>
          <w:rFonts w:ascii="黑体" w:hAnsi="黑体" w:eastAsia="黑体"/>
          <w:sz w:val="32"/>
        </w:rPr>
        <w:t>九、财政拨款“三公”经费支出决算情况说明</w:t>
      </w:r>
    </w:p>
    <w:p w14:paraId="12EA475A">
      <w:pPr>
        <w:spacing w:line="580" w:lineRule="exact"/>
        <w:ind w:firstLine="640"/>
        <w:jc w:val="both"/>
      </w:pPr>
      <w:r>
        <w:rPr>
          <w:rFonts w:ascii="仿宋_GB2312" w:hAnsi="仿宋_GB2312" w:eastAsia="仿宋_GB2312"/>
          <w:b/>
          <w:sz w:val="32"/>
        </w:rPr>
        <w:t>2024年度财政拨款“三公”经费支出2.61万元，</w:t>
      </w:r>
      <w:r>
        <w:rPr>
          <w:rFonts w:ascii="仿宋_GB2312" w:hAnsi="仿宋_GB2312" w:eastAsia="仿宋_GB2312"/>
          <w:b w:val="0"/>
          <w:sz w:val="32"/>
        </w:rPr>
        <w:t>比上年减少1.18万元，下降31.13%，主要原因是：严格落实中央八项规定精神，厉行节约，减少公务用车运行维护费及公务接待费。其中：因公出国（境）费支出0.00万元，占0.00%，比上年增加0.00万元，增长0.00%，主要原因是：2023年与2024年均未安排因公出国（境）费支出。公务用车购置及运行维护费支出2.56万元，占98.08%，比上年减少0.89万元，下降25.80%，主要原因是：严格落实中央八项规定精神，厉行节约，减少公务用车运行维护费。公务接待费支出0.05万元，占1.92%，比上年减少0.29万元，下降85.29%，主要原因是：采取有效措施加强公务接待管理，严格控制公务接待活动，认真执行经费开支标准。</w:t>
      </w:r>
    </w:p>
    <w:p w14:paraId="2E49FAA4">
      <w:pPr>
        <w:spacing w:line="580" w:lineRule="exact"/>
        <w:ind w:firstLine="640"/>
        <w:jc w:val="both"/>
      </w:pPr>
      <w:r>
        <w:rPr>
          <w:rFonts w:ascii="仿宋_GB2312" w:hAnsi="仿宋_GB2312" w:eastAsia="仿宋_GB2312"/>
          <w:b/>
          <w:sz w:val="32"/>
        </w:rPr>
        <w:t>具体情况如下：</w:t>
      </w:r>
    </w:p>
    <w:p w14:paraId="4832D945">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401F9A8">
      <w:pPr>
        <w:spacing w:line="580" w:lineRule="exact"/>
        <w:ind w:firstLine="640"/>
        <w:jc w:val="both"/>
      </w:pPr>
      <w:r>
        <w:rPr>
          <w:rFonts w:ascii="仿宋_GB2312" w:hAnsi="仿宋_GB2312" w:eastAsia="仿宋_GB2312"/>
          <w:b w:val="0"/>
          <w:sz w:val="32"/>
        </w:rPr>
        <w:t>公务用车购置及运行维护费2.56万元，其中：公务用车购置费0.00万元，公务用车运行维护费2.56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14:paraId="5D87D46D">
      <w:pPr>
        <w:spacing w:line="580" w:lineRule="exact"/>
        <w:ind w:firstLine="640"/>
        <w:jc w:val="both"/>
      </w:pPr>
      <w:r>
        <w:rPr>
          <w:rFonts w:ascii="仿宋_GB2312" w:hAnsi="仿宋_GB2312" w:eastAsia="仿宋_GB2312"/>
          <w:b w:val="0"/>
          <w:sz w:val="32"/>
        </w:rPr>
        <w:t>公务接待费0.05万元，开支内容包括接待上级督导组检查产生的就餐费。单位全年安排的国内公务接待1批次，11人次。</w:t>
      </w:r>
    </w:p>
    <w:p w14:paraId="177DA42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2.65万元，决算数2.61万元，预决算差异率-1.51%，主要原因是：严格落实中央八项规定精神，厉行节约，减少公务用车使用频次，燃油费减少。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2.60万元，决算数2.56万元，预决算差异率-1.54%，主要原因是：严格落实中央八项规定精神，厉行节约，减少公务用车使用频次，燃油费减少。公务接待费全年预算数0.05万元，决算数0.05万元，预决算差异率0.00%，主要原因是：严格按照预算执行，预决算无差异。</w:t>
      </w:r>
    </w:p>
    <w:p w14:paraId="635CCE19">
      <w:pPr>
        <w:spacing w:line="640" w:lineRule="exact"/>
        <w:ind w:firstLine="640"/>
        <w:jc w:val="both"/>
        <w:outlineLvl w:val="2"/>
      </w:pPr>
      <w:r>
        <w:rPr>
          <w:rFonts w:ascii="黑体" w:hAnsi="黑体" w:eastAsia="黑体"/>
          <w:sz w:val="32"/>
        </w:rPr>
        <w:t>十、其他重要事项的情况说明</w:t>
      </w:r>
    </w:p>
    <w:p w14:paraId="77B7FB73">
      <w:pPr>
        <w:spacing w:line="640" w:lineRule="exact"/>
        <w:ind w:firstLine="640"/>
        <w:jc w:val="both"/>
        <w:outlineLvl w:val="3"/>
      </w:pPr>
      <w:r>
        <w:rPr>
          <w:rFonts w:ascii="楷体_GB2312" w:hAnsi="楷体_GB2312" w:eastAsia="楷体_GB2312"/>
          <w:b/>
          <w:sz w:val="32"/>
        </w:rPr>
        <w:t>（一）机关运行经费及公用经费支出情况</w:t>
      </w:r>
    </w:p>
    <w:p w14:paraId="58B30D78">
      <w:pPr>
        <w:spacing w:line="580" w:lineRule="exact"/>
        <w:ind w:firstLine="640"/>
        <w:jc w:val="both"/>
      </w:pPr>
      <w:r>
        <w:rPr>
          <w:rFonts w:ascii="仿宋_GB2312" w:hAnsi="仿宋_GB2312" w:eastAsia="仿宋_GB2312"/>
          <w:b w:val="0"/>
          <w:sz w:val="32"/>
        </w:rPr>
        <w:t>2024年度吉木萨尔县审计局（行政单位和参照公务员法管理事业单位）机关运行经费支出93.57万元，比上年增加46.90万元，增长100.49%，主要原因是：本年机关运行经费支出中包含政府投资项目审计费，导致本年经费支出较上年有所增长。</w:t>
      </w:r>
    </w:p>
    <w:p w14:paraId="0F97D960">
      <w:pPr>
        <w:spacing w:line="640" w:lineRule="exact"/>
        <w:ind w:firstLine="640"/>
        <w:jc w:val="both"/>
        <w:outlineLvl w:val="3"/>
      </w:pPr>
      <w:r>
        <w:rPr>
          <w:rFonts w:ascii="楷体_GB2312" w:hAnsi="楷体_GB2312" w:eastAsia="楷体_GB2312"/>
          <w:b/>
          <w:sz w:val="32"/>
        </w:rPr>
        <w:t>（二）政府采购情况</w:t>
      </w:r>
    </w:p>
    <w:p w14:paraId="22D3B15D">
      <w:pPr>
        <w:spacing w:line="580" w:lineRule="exact"/>
        <w:ind w:firstLine="640"/>
        <w:jc w:val="both"/>
      </w:pPr>
      <w:r>
        <w:rPr>
          <w:rFonts w:ascii="仿宋_GB2312" w:hAnsi="仿宋_GB2312" w:eastAsia="仿宋_GB2312"/>
          <w:b w:val="0"/>
          <w:sz w:val="32"/>
        </w:rPr>
        <w:t>2024年度政府采购支出总额6.02万元，其中：政府采购货物支出4.23万元、政府采购工程支出0.00万元、政府采购服务支出1.79万元。</w:t>
      </w:r>
    </w:p>
    <w:p w14:paraId="3883EEF5">
      <w:pPr>
        <w:spacing w:line="580" w:lineRule="exact"/>
        <w:ind w:firstLine="640"/>
        <w:jc w:val="both"/>
      </w:pPr>
      <w:r>
        <w:rPr>
          <w:rFonts w:ascii="仿宋_GB2312" w:hAnsi="仿宋_GB2312" w:eastAsia="仿宋_GB2312"/>
          <w:b w:val="0"/>
          <w:sz w:val="32"/>
        </w:rPr>
        <w:t>授予中小企业合同金额5.63万元，占政府采购支出总额的93.52%，其中：授予小微企业合同金额5.62万元，占政府采购支出总额的93.36%。</w:t>
      </w:r>
    </w:p>
    <w:p w14:paraId="7B071F0C">
      <w:pPr>
        <w:spacing w:line="640" w:lineRule="exact"/>
        <w:ind w:firstLine="640"/>
        <w:jc w:val="both"/>
        <w:outlineLvl w:val="3"/>
      </w:pPr>
      <w:r>
        <w:rPr>
          <w:rFonts w:ascii="楷体_GB2312" w:hAnsi="楷体_GB2312" w:eastAsia="楷体_GB2312"/>
          <w:b/>
          <w:sz w:val="32"/>
        </w:rPr>
        <w:t>（三）国有资产占用情况说明</w:t>
      </w:r>
    </w:p>
    <w:p w14:paraId="3EC0C6BA">
      <w:pPr>
        <w:spacing w:line="580" w:lineRule="exact"/>
        <w:ind w:firstLine="640"/>
        <w:jc w:val="both"/>
      </w:pPr>
      <w:r>
        <w:rPr>
          <w:rFonts w:ascii="仿宋_GB2312" w:hAnsi="仿宋_GB2312" w:eastAsia="仿宋_GB2312"/>
          <w:b w:val="0"/>
          <w:sz w:val="32"/>
        </w:rPr>
        <w:t>截至2024年12月31日，房屋0.00平方米，价值0.00万元。车辆1辆，价值19.79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46356BF5">
      <w:pPr>
        <w:spacing w:line="640" w:lineRule="exact"/>
        <w:ind w:firstLine="640"/>
        <w:jc w:val="both"/>
        <w:outlineLvl w:val="2"/>
      </w:pPr>
      <w:r>
        <w:rPr>
          <w:rFonts w:ascii="黑体" w:hAnsi="黑体" w:eastAsia="黑体"/>
          <w:sz w:val="32"/>
        </w:rPr>
        <w:t>十一、预算绩效的情况说明</w:t>
      </w:r>
    </w:p>
    <w:p w14:paraId="49D1F6B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601.39万元，实际执行总额575.84万元；预算绩效评价项目3个，全年预算数53.00万元，全年执行数53.00万元。预算绩效管理取得的成效：一是提高工作效率；二是提升资金使用效益；三是优化资金使用结构。发现的问题及原因：一是预算绩效管理意识有待加强，由于在日常工作中缺少整体全面的意识，预算管理人员不能对相关问题进行追踪，难以提出相应的解决途径。二是预算绩效评价专业人员缺失，预算绩效专业人员缺失，在人才培养方面投入力度不足，往往将绩效管理工作分配给财务人员，但财务人员受专业知识的限制，对项目缺乏了解，缺少专业知识与实践经验，无法科学、合理</w:t>
      </w:r>
      <w:r>
        <w:rPr>
          <w:rFonts w:hint="eastAsia" w:ascii="仿宋_GB2312" w:hAnsi="仿宋_GB2312" w:eastAsia="仿宋_GB2312"/>
          <w:b w:val="0"/>
          <w:sz w:val="32"/>
          <w:lang w:eastAsia="zh-CN"/>
        </w:rPr>
        <w:t>地</w:t>
      </w:r>
      <w:r>
        <w:rPr>
          <w:rFonts w:ascii="仿宋_GB2312" w:hAnsi="仿宋_GB2312" w:eastAsia="仿宋_GB2312"/>
          <w:b w:val="0"/>
          <w:sz w:val="32"/>
        </w:rPr>
        <w:t>编制绩效目标。下一步改进措施：一是树立绩效管理理念，提高管理层重视程度和工作自觉性；二是构建完善的绩效评价体系；三是注重专业人员的培养。具体附整体支出绩效自评表，项目支出绩效自评表。</w:t>
      </w:r>
    </w:p>
    <w:p w14:paraId="7542C7C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78095B8">
        <w:tblPrEx>
          <w:tblCellMar>
            <w:top w:w="0" w:type="dxa"/>
            <w:left w:w="108" w:type="dxa"/>
            <w:bottom w:w="0" w:type="dxa"/>
            <w:right w:w="108" w:type="dxa"/>
          </w:tblCellMar>
        </w:tblPrEx>
        <w:tc>
          <w:tcPr>
            <w:tcW w:w="8847" w:type="dxa"/>
            <w:gridSpan w:val="9"/>
            <w:vAlign w:val="center"/>
          </w:tcPr>
          <w:p w14:paraId="653278C0">
            <w:pPr>
              <w:jc w:val="center"/>
            </w:pPr>
            <w:r>
              <w:rPr>
                <w:rFonts w:ascii="宋体" w:hAnsi="宋体" w:eastAsia="宋体"/>
                <w:sz w:val="24"/>
              </w:rPr>
              <w:t>单位整体支出绩效自评表</w:t>
            </w:r>
          </w:p>
        </w:tc>
      </w:tr>
      <w:tr w14:paraId="0B190658">
        <w:tblPrEx>
          <w:tblCellMar>
            <w:top w:w="0" w:type="dxa"/>
            <w:left w:w="108" w:type="dxa"/>
            <w:bottom w:w="0" w:type="dxa"/>
            <w:right w:w="108" w:type="dxa"/>
          </w:tblCellMar>
        </w:tblPrEx>
        <w:tc>
          <w:tcPr>
            <w:tcW w:w="8847" w:type="dxa"/>
            <w:gridSpan w:val="9"/>
            <w:vAlign w:val="center"/>
          </w:tcPr>
          <w:p w14:paraId="14B86B9F">
            <w:pPr>
              <w:jc w:val="center"/>
            </w:pPr>
            <w:r>
              <w:rPr>
                <w:rFonts w:ascii="宋体" w:hAnsi="宋体" w:eastAsia="宋体"/>
                <w:sz w:val="24"/>
              </w:rPr>
              <w:t>（2024年度）</w:t>
            </w:r>
          </w:p>
        </w:tc>
      </w:tr>
      <w:tr w14:paraId="019250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346A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279117">
            <w:pPr>
              <w:jc w:val="center"/>
            </w:pPr>
            <w:r>
              <w:rPr>
                <w:rFonts w:ascii="宋体" w:hAnsi="宋体" w:eastAsia="宋体"/>
                <w:sz w:val="16"/>
              </w:rPr>
              <w:t>吉木萨尔县审计局</w:t>
            </w:r>
          </w:p>
        </w:tc>
      </w:tr>
      <w:tr w14:paraId="2AF7711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EDF7F">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B524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5383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68A70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B3A95">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0022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E2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6AB63">
            <w:pPr>
              <w:jc w:val="center"/>
            </w:pPr>
            <w:r>
              <w:rPr>
                <w:rFonts w:ascii="宋体" w:hAnsi="宋体" w:eastAsia="宋体"/>
                <w:sz w:val="16"/>
              </w:rPr>
              <w:t>得分</w:t>
            </w:r>
          </w:p>
        </w:tc>
      </w:tr>
      <w:tr w14:paraId="135D517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75A9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AAE38">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8B4C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4949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69E2A">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18D6D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96CAE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604EB">
            <w:pPr>
              <w:jc w:val="center"/>
            </w:pPr>
            <w:r>
              <w:rPr>
                <w:rFonts w:ascii="宋体" w:hAnsi="宋体" w:eastAsia="宋体"/>
                <w:sz w:val="16"/>
              </w:rPr>
              <w:t>-</w:t>
            </w:r>
          </w:p>
        </w:tc>
      </w:tr>
      <w:tr w14:paraId="30217F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0FA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85AA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825A3">
            <w:pPr>
              <w:jc w:val="center"/>
            </w:pPr>
            <w:r>
              <w:rPr>
                <w:rFonts w:ascii="宋体" w:hAnsi="宋体" w:eastAsia="宋体"/>
                <w:sz w:val="16"/>
              </w:rPr>
              <w:t>563.25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6A12C">
            <w:pPr>
              <w:jc w:val="center"/>
            </w:pPr>
            <w:r>
              <w:rPr>
                <w:rFonts w:ascii="宋体" w:hAnsi="宋体" w:eastAsia="宋体"/>
                <w:sz w:val="16"/>
              </w:rPr>
              <w:t>593.39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15D48B">
            <w:pPr>
              <w:jc w:val="center"/>
            </w:pPr>
            <w:r>
              <w:rPr>
                <w:rFonts w:ascii="宋体" w:hAnsi="宋体" w:eastAsia="宋体"/>
                <w:sz w:val="16"/>
              </w:rPr>
              <w:t>567.84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8263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428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75554">
            <w:pPr>
              <w:jc w:val="center"/>
            </w:pPr>
            <w:r>
              <w:rPr>
                <w:rFonts w:ascii="宋体" w:hAnsi="宋体" w:eastAsia="宋体"/>
                <w:sz w:val="16"/>
              </w:rPr>
              <w:t>-</w:t>
            </w:r>
          </w:p>
        </w:tc>
      </w:tr>
      <w:tr w14:paraId="4FF68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FE5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7CCCD">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234AF">
            <w:pPr>
              <w:jc w:val="center"/>
            </w:pPr>
            <w:r>
              <w:rPr>
                <w:rFonts w:ascii="宋体" w:hAnsi="宋体" w:eastAsia="宋体"/>
                <w:sz w:val="16"/>
              </w:rPr>
              <w:t>28.50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86C3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F40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EF1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BAB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00A22">
            <w:pPr>
              <w:jc w:val="center"/>
            </w:pPr>
            <w:r>
              <w:rPr>
                <w:rFonts w:ascii="宋体" w:hAnsi="宋体" w:eastAsia="宋体"/>
                <w:sz w:val="16"/>
              </w:rPr>
              <w:t>-</w:t>
            </w:r>
          </w:p>
        </w:tc>
      </w:tr>
      <w:tr w14:paraId="393D8C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CA62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99B2">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9D8ED">
            <w:pPr>
              <w:jc w:val="center"/>
            </w:pPr>
            <w:r>
              <w:rPr>
                <w:rFonts w:ascii="宋体" w:hAnsi="宋体" w:eastAsia="宋体"/>
                <w:sz w:val="16"/>
              </w:rPr>
              <w:t>599.75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55DC1">
            <w:pPr>
              <w:jc w:val="center"/>
            </w:pPr>
            <w:r>
              <w:rPr>
                <w:rFonts w:ascii="宋体" w:hAnsi="宋体" w:eastAsia="宋体"/>
                <w:sz w:val="16"/>
              </w:rPr>
              <w:t>601.39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1B89">
            <w:pPr>
              <w:jc w:val="center"/>
            </w:pPr>
            <w:r>
              <w:rPr>
                <w:rFonts w:ascii="宋体" w:hAnsi="宋体" w:eastAsia="宋体"/>
                <w:sz w:val="16"/>
              </w:rPr>
              <w:t>575.84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AFB1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9A761">
            <w:pPr>
              <w:jc w:val="center"/>
            </w:pPr>
            <w:r>
              <w:rPr>
                <w:rFonts w:ascii="宋体" w:hAnsi="宋体" w:eastAsia="宋体"/>
                <w:sz w:val="16"/>
              </w:rPr>
              <w:t>95.75%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536D5">
            <w:pPr>
              <w:jc w:val="center"/>
            </w:pPr>
            <w:r>
              <w:rPr>
                <w:rFonts w:ascii="宋体" w:hAnsi="宋体" w:eastAsia="宋体"/>
                <w:sz w:val="16"/>
              </w:rPr>
              <w:t>9.57</w:t>
            </w:r>
          </w:p>
        </w:tc>
      </w:tr>
      <w:tr w14:paraId="139B1C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96109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0106DC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F44433">
            <w:pPr>
              <w:jc w:val="center"/>
            </w:pPr>
            <w:r>
              <w:rPr>
                <w:rFonts w:ascii="宋体" w:hAnsi="宋体" w:eastAsia="宋体"/>
                <w:sz w:val="16"/>
              </w:rPr>
              <w:t>实际完成情况</w:t>
            </w:r>
          </w:p>
        </w:tc>
      </w:tr>
      <w:tr w14:paraId="1DBD300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0953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827A03">
            <w:pPr>
              <w:jc w:val="both"/>
            </w:pPr>
            <w:r>
              <w:rPr>
                <w:rFonts w:ascii="宋体" w:hAnsi="宋体" w:eastAsia="宋体"/>
                <w:sz w:val="16"/>
              </w:rPr>
              <w:t>目标：加强对领导干部履行经济管理职责进行监督，对财政资金、国有资产等有限监督，努力提升审计整改督促力度。按照全口径预算的原则，全年计划财政供养人数27人，“三公”经费控制率达到100%，预决算信息公开及时率达到100%，管理制度的健全性长期有效，审计整改督促力度10分，财政资金、国有资产等有效监督95%以上，领导干部履行经济管理职责进行监督90%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1A34ED">
            <w:pPr>
              <w:jc w:val="both"/>
            </w:pPr>
            <w:r>
              <w:rPr>
                <w:rFonts w:ascii="宋体" w:hAnsi="宋体" w:eastAsia="宋体"/>
                <w:sz w:val="16"/>
              </w:rPr>
              <w:t>加强对领导干部履行经济管理职责进行监督，对财政资金、国有资产等有限监督，努力提升审计整改督促力度。按照全口径预算的原则，全年计划财政供养人数27人，“三公”经费控制率达到100%，预决算信息公开及时率达到100%，管理制度的健全性长期有效，审计整改督促力度10分，财政资金、国有资产等有效监督95%以上，领导干部履行经济管理职责进行监督90%以上。</w:t>
            </w:r>
          </w:p>
        </w:tc>
      </w:tr>
      <w:tr w14:paraId="7CBA77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04DE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F0375">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842F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9BAD9">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E5BFF">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309F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1499">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9D12A5">
            <w:pPr>
              <w:jc w:val="center"/>
            </w:pPr>
            <w:r>
              <w:rPr>
                <w:rFonts w:ascii="宋体" w:hAnsi="宋体" w:eastAsia="宋体"/>
                <w:sz w:val="16"/>
              </w:rPr>
              <w:t>得分</w:t>
            </w:r>
          </w:p>
        </w:tc>
      </w:tr>
      <w:tr w14:paraId="258B72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E0649">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EC6EFD">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81CB0">
            <w:pPr>
              <w:jc w:val="center"/>
            </w:pPr>
            <w:r>
              <w:rPr>
                <w:rFonts w:ascii="宋体" w:hAnsi="宋体" w:eastAsia="宋体"/>
                <w:sz w:val="16"/>
              </w:rPr>
              <w:t>财政供养人数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BE26D">
            <w:pPr>
              <w:jc w:val="center"/>
            </w:pPr>
            <w:r>
              <w:rPr>
                <w:rFonts w:ascii="宋体" w:hAnsi="宋体" w:eastAsia="宋体"/>
                <w:sz w:val="16"/>
              </w:rPr>
              <w:t>&gt;=27人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4D1B3">
            <w:pPr>
              <w:jc w:val="center"/>
            </w:pPr>
            <w:r>
              <w:rPr>
                <w:rFonts w:ascii="宋体" w:hAnsi="宋体" w:eastAsia="宋体"/>
                <w:sz w:val="16"/>
              </w:rPr>
              <w:t>2023年职工工资表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7FFA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604DE">
            <w:pPr>
              <w:jc w:val="center"/>
            </w:pPr>
            <w:r>
              <w:rPr>
                <w:rFonts w:ascii="宋体" w:hAnsi="宋体" w:eastAsia="宋体"/>
                <w:sz w:val="16"/>
              </w:rPr>
              <w:t>=27人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C1BFC">
            <w:pPr>
              <w:jc w:val="center"/>
            </w:pPr>
            <w:r>
              <w:rPr>
                <w:rFonts w:ascii="宋体" w:hAnsi="宋体" w:eastAsia="宋体"/>
                <w:sz w:val="16"/>
              </w:rPr>
              <w:t>20</w:t>
            </w:r>
          </w:p>
        </w:tc>
      </w:tr>
      <w:tr w14:paraId="77C315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FEDCE">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64CF1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CAC90">
            <w:pPr>
              <w:jc w:val="center"/>
            </w:pPr>
            <w:r>
              <w:rPr>
                <w:rFonts w:ascii="宋体" w:hAnsi="宋体" w:eastAsia="宋体"/>
                <w:sz w:val="16"/>
              </w:rPr>
              <w:t>审计整改监督力度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2117E">
            <w:pPr>
              <w:jc w:val="center"/>
            </w:pPr>
            <w:r>
              <w:rPr>
                <w:rFonts w:ascii="宋体" w:hAnsi="宋体" w:eastAsia="宋体"/>
                <w:sz w:val="16"/>
              </w:rPr>
              <w:t>&gt;=10分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270F9">
            <w:pPr>
              <w:jc w:val="center"/>
            </w:pPr>
            <w:r>
              <w:rPr>
                <w:rFonts w:ascii="宋体" w:hAnsi="宋体" w:eastAsia="宋体"/>
                <w:sz w:val="16"/>
              </w:rPr>
              <w:t>2023年度小考官单位指标打分表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DB8F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E9CA5">
            <w:pPr>
              <w:jc w:val="center"/>
            </w:pPr>
            <w:r>
              <w:rPr>
                <w:rFonts w:ascii="宋体" w:hAnsi="宋体" w:eastAsia="宋体"/>
                <w:sz w:val="16"/>
              </w:rPr>
              <w:t>=10分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7BAD6">
            <w:pPr>
              <w:jc w:val="center"/>
            </w:pPr>
            <w:r>
              <w:rPr>
                <w:rFonts w:ascii="宋体" w:hAnsi="宋体" w:eastAsia="宋体"/>
                <w:sz w:val="16"/>
              </w:rPr>
              <w:t>20</w:t>
            </w:r>
          </w:p>
        </w:tc>
      </w:tr>
      <w:tr w14:paraId="7039426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9555F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3A0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86081">
            <w:pPr>
              <w:jc w:val="center"/>
            </w:pPr>
            <w:r>
              <w:rPr>
                <w:rFonts w:ascii="宋体" w:hAnsi="宋体" w:eastAsia="宋体"/>
                <w:sz w:val="16"/>
              </w:rPr>
              <w:t>投资项目竣工决算审计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EF54A">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24567">
            <w:pPr>
              <w:jc w:val="center"/>
            </w:pPr>
            <w:r>
              <w:rPr>
                <w:rFonts w:ascii="宋体" w:hAnsi="宋体" w:eastAsia="宋体"/>
                <w:sz w:val="16"/>
              </w:rPr>
              <w:t>吉木萨尔县2024年度审计项目计划明细表（草案）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DCFB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DB25B">
            <w:pPr>
              <w:jc w:val="center"/>
            </w:pPr>
            <w:r>
              <w:rPr>
                <w:rFonts w:ascii="宋体" w:hAnsi="宋体" w:eastAsia="宋体"/>
                <w:sz w:val="16"/>
              </w:rPr>
              <w: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60829">
            <w:pPr>
              <w:jc w:val="center"/>
            </w:pPr>
            <w:r>
              <w:rPr>
                <w:rFonts w:ascii="宋体" w:hAnsi="宋体" w:eastAsia="宋体"/>
                <w:sz w:val="16"/>
              </w:rPr>
              <w:t>10</w:t>
            </w:r>
          </w:p>
        </w:tc>
      </w:tr>
      <w:tr w14:paraId="1707E8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97A5A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B41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83C0">
            <w:pPr>
              <w:jc w:val="center"/>
            </w:pPr>
            <w:r>
              <w:rPr>
                <w:rFonts w:ascii="宋体" w:hAnsi="宋体" w:eastAsia="宋体"/>
                <w:sz w:val="16"/>
              </w:rPr>
              <w:t>2024年支持新疆发展资金和项目跟踪审计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3FD1">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AC874">
            <w:pPr>
              <w:jc w:val="center"/>
            </w:pPr>
            <w:r>
              <w:rPr>
                <w:rFonts w:ascii="宋体" w:hAnsi="宋体" w:eastAsia="宋体"/>
                <w:sz w:val="16"/>
              </w:rPr>
              <w:t>吉木萨尔县2024年度审计项目计划明细表（草案）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9D5F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7DFD1">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608E3">
            <w:pPr>
              <w:jc w:val="center"/>
            </w:pPr>
            <w:r>
              <w:rPr>
                <w:rFonts w:ascii="宋体" w:hAnsi="宋体" w:eastAsia="宋体"/>
                <w:sz w:val="16"/>
              </w:rPr>
              <w:t>10</w:t>
            </w:r>
          </w:p>
        </w:tc>
      </w:tr>
      <w:tr w14:paraId="2524E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EC11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697E6">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6B02E">
            <w:pPr>
              <w:jc w:val="center"/>
            </w:pPr>
            <w:r>
              <w:rPr>
                <w:rFonts w:ascii="宋体" w:hAnsi="宋体" w:eastAsia="宋体"/>
                <w:sz w:val="16"/>
              </w:rPr>
              <w:t>经济责任审计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0488">
            <w:pPr>
              <w:jc w:val="center"/>
            </w:pPr>
            <w:r>
              <w:rPr>
                <w:rFonts w:ascii="宋体" w:hAnsi="宋体" w:eastAsia="宋体"/>
                <w:sz w:val="16"/>
              </w:rPr>
              <w:t>&gt;=4个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9343">
            <w:pPr>
              <w:jc w:val="center"/>
            </w:pPr>
            <w:r>
              <w:rPr>
                <w:rFonts w:ascii="宋体" w:hAnsi="宋体" w:eastAsia="宋体"/>
                <w:sz w:val="16"/>
              </w:rPr>
              <w:t>吉木萨尔县2024年度审计项目计划明细表（草案）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B825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72868">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F70D9">
            <w:pPr>
              <w:jc w:val="center"/>
            </w:pPr>
            <w:r>
              <w:rPr>
                <w:rFonts w:ascii="宋体" w:hAnsi="宋体" w:eastAsia="宋体"/>
                <w:sz w:val="16"/>
              </w:rPr>
              <w:t>20</w:t>
            </w:r>
          </w:p>
        </w:tc>
      </w:tr>
      <w:tr w14:paraId="1BF804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D0E31">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78A30">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BC988">
            <w:pPr>
              <w:jc w:val="center"/>
            </w:pPr>
            <w:r>
              <w:rPr>
                <w:rFonts w:ascii="宋体" w:hAnsi="宋体" w:eastAsia="宋体"/>
                <w:sz w:val="16"/>
              </w:rPr>
              <w:t>财政资金、国有资产等有效监督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52CB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19F20">
            <w:pPr>
              <w:jc w:val="center"/>
            </w:pPr>
            <w:r>
              <w:rPr>
                <w:rFonts w:ascii="宋体" w:hAnsi="宋体" w:eastAsia="宋体"/>
                <w:sz w:val="16"/>
              </w:rPr>
              <w:t>吉木萨尔县2024年度审计项目计划明细表（草案）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0C2E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231AE">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C4926">
            <w:pPr>
              <w:jc w:val="center"/>
            </w:pPr>
            <w:r>
              <w:rPr>
                <w:rFonts w:ascii="宋体" w:hAnsi="宋体" w:eastAsia="宋体"/>
                <w:sz w:val="16"/>
              </w:rPr>
              <w:t>10</w:t>
            </w:r>
          </w:p>
        </w:tc>
      </w:tr>
    </w:tbl>
    <w:p w14:paraId="7C8076E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96"/>
        <w:gridCol w:w="632"/>
        <w:gridCol w:w="632"/>
        <w:gridCol w:w="632"/>
        <w:gridCol w:w="632"/>
        <w:gridCol w:w="632"/>
      </w:tblGrid>
      <w:tr w14:paraId="17F6B360">
        <w:tblPrEx>
          <w:tblCellMar>
            <w:top w:w="0" w:type="dxa"/>
            <w:left w:w="108" w:type="dxa"/>
            <w:bottom w:w="0" w:type="dxa"/>
            <w:right w:w="108" w:type="dxa"/>
          </w:tblCellMar>
        </w:tblPrEx>
        <w:tc>
          <w:tcPr>
            <w:tcW w:w="8848" w:type="dxa"/>
            <w:gridSpan w:val="14"/>
            <w:vAlign w:val="center"/>
          </w:tcPr>
          <w:p w14:paraId="593D51C5">
            <w:pPr>
              <w:jc w:val="center"/>
            </w:pPr>
            <w:r>
              <w:rPr>
                <w:rFonts w:ascii="宋体" w:hAnsi="宋体" w:eastAsia="宋体"/>
                <w:sz w:val="24"/>
              </w:rPr>
              <w:t>项目支出绩效自评表</w:t>
            </w:r>
          </w:p>
        </w:tc>
      </w:tr>
      <w:tr w14:paraId="0DAD9F2F">
        <w:tblPrEx>
          <w:tblCellMar>
            <w:top w:w="0" w:type="dxa"/>
            <w:left w:w="108" w:type="dxa"/>
            <w:bottom w:w="0" w:type="dxa"/>
            <w:right w:w="108" w:type="dxa"/>
          </w:tblCellMar>
        </w:tblPrEx>
        <w:tc>
          <w:tcPr>
            <w:tcW w:w="8848" w:type="dxa"/>
            <w:gridSpan w:val="14"/>
            <w:vAlign w:val="center"/>
          </w:tcPr>
          <w:p w14:paraId="7915FBB7">
            <w:pPr>
              <w:jc w:val="center"/>
            </w:pPr>
            <w:r>
              <w:rPr>
                <w:rFonts w:ascii="宋体" w:hAnsi="宋体" w:eastAsia="宋体"/>
                <w:sz w:val="24"/>
              </w:rPr>
              <w:t>(2024年度)</w:t>
            </w:r>
          </w:p>
        </w:tc>
      </w:tr>
      <w:tr w14:paraId="31D698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AA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C51AAD">
            <w:pPr>
              <w:jc w:val="center"/>
            </w:pPr>
            <w:r>
              <w:rPr>
                <w:rFonts w:ascii="宋体" w:hAnsi="宋体" w:eastAsia="宋体"/>
                <w:sz w:val="16"/>
              </w:rPr>
              <w:t>2024年</w:t>
            </w:r>
            <w:r>
              <w:rPr>
                <w:rFonts w:hint="eastAsia" w:ascii="宋体" w:hAnsi="宋体"/>
                <w:sz w:val="16"/>
                <w:lang w:eastAsia="zh-CN"/>
              </w:rPr>
              <w:t>为民办实事</w:t>
            </w:r>
            <w:r>
              <w:rPr>
                <w:rFonts w:ascii="宋体" w:hAnsi="宋体" w:eastAsia="宋体"/>
                <w:sz w:val="16"/>
              </w:rPr>
              <w:t>工作</w:t>
            </w:r>
            <w:bookmarkStart w:id="0" w:name="_GoBack"/>
            <w:bookmarkEnd w:id="0"/>
            <w:r>
              <w:rPr>
                <w:rFonts w:ascii="宋体" w:hAnsi="宋体" w:eastAsia="宋体"/>
                <w:sz w:val="16"/>
              </w:rPr>
              <w:t>经费</w:t>
            </w:r>
          </w:p>
        </w:tc>
      </w:tr>
      <w:tr w14:paraId="34EEE7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D73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38A19">
            <w:pPr>
              <w:jc w:val="center"/>
            </w:pPr>
            <w:r>
              <w:rPr>
                <w:rFonts w:ascii="宋体" w:hAnsi="宋体" w:eastAsia="宋体"/>
                <w:sz w:val="16"/>
              </w:rPr>
              <w:t>吉木萨尔县审计局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6BE1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3E8966">
            <w:pPr>
              <w:jc w:val="center"/>
            </w:pPr>
            <w:r>
              <w:rPr>
                <w:rFonts w:ascii="宋体" w:hAnsi="宋体" w:eastAsia="宋体"/>
                <w:sz w:val="16"/>
              </w:rPr>
              <w:t>吉木萨尔县审计局</w:t>
            </w:r>
          </w:p>
        </w:tc>
      </w:tr>
      <w:tr w14:paraId="10CEE3A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BBF30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60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01D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B1C2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489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C8A8B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F08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E348E">
            <w:pPr>
              <w:jc w:val="center"/>
            </w:pPr>
            <w:r>
              <w:rPr>
                <w:rFonts w:ascii="宋体" w:hAnsi="宋体" w:eastAsia="宋体"/>
                <w:sz w:val="16"/>
              </w:rPr>
              <w:t>得分</w:t>
            </w:r>
          </w:p>
        </w:tc>
      </w:tr>
      <w:tr w14:paraId="046D4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DE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A028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19F7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4578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BB7B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0F26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7FEA3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433F">
            <w:pPr>
              <w:jc w:val="center"/>
            </w:pPr>
            <w:r>
              <w:rPr>
                <w:rFonts w:ascii="宋体" w:hAnsi="宋体" w:eastAsia="宋体"/>
                <w:sz w:val="16"/>
              </w:rPr>
              <w:t>10.00</w:t>
            </w:r>
          </w:p>
        </w:tc>
      </w:tr>
      <w:tr w14:paraId="3BA7B1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F49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B33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C81D8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C181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3DD77">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99E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F8A7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BAA1">
            <w:pPr>
              <w:jc w:val="center"/>
            </w:pPr>
            <w:r>
              <w:rPr>
                <w:rFonts w:ascii="宋体" w:hAnsi="宋体" w:eastAsia="宋体"/>
                <w:sz w:val="16"/>
              </w:rPr>
              <w:t>—</w:t>
            </w:r>
          </w:p>
        </w:tc>
      </w:tr>
      <w:tr w14:paraId="7230AC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0F2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999D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EA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10E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9ED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AA8D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16E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7813">
            <w:pPr>
              <w:jc w:val="center"/>
            </w:pPr>
            <w:r>
              <w:rPr>
                <w:rFonts w:ascii="宋体" w:hAnsi="宋体" w:eastAsia="宋体"/>
                <w:sz w:val="16"/>
              </w:rPr>
              <w:t>—</w:t>
            </w:r>
          </w:p>
        </w:tc>
      </w:tr>
      <w:tr w14:paraId="4AB396C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0E8A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A472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EB967">
            <w:pPr>
              <w:jc w:val="center"/>
            </w:pPr>
            <w:r>
              <w:rPr>
                <w:rFonts w:ascii="宋体" w:hAnsi="宋体" w:eastAsia="宋体"/>
                <w:sz w:val="16"/>
              </w:rPr>
              <w:t>实际完成情况</w:t>
            </w:r>
          </w:p>
        </w:tc>
      </w:tr>
      <w:tr w14:paraId="44C107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392D5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3FA835">
            <w:pPr>
              <w:jc w:val="both"/>
            </w:pPr>
            <w:r>
              <w:rPr>
                <w:rFonts w:ascii="宋体" w:hAnsi="宋体" w:eastAsia="宋体"/>
                <w:sz w:val="16"/>
              </w:rPr>
              <w:t>为民办实事经费主要用于做群众工作，访贫问苦，为群众送信息，送服务，送温暖；为困难群众房屋修缮，村道、桥涵、引水渠维系，组织群众参加学习，开展就业创业技能培训，更新村“两委”办公设施，党内激励关怀帮扶；补充村级组织工作经费，积极组织开展各类活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6168CE">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val="en-US" w:eastAsia="zh-CN"/>
              </w:rPr>
              <w:t>为民办实事</w:t>
            </w:r>
            <w:r>
              <w:rPr>
                <w:rFonts w:ascii="宋体" w:hAnsi="宋体" w:eastAsia="宋体"/>
                <w:sz w:val="16"/>
              </w:rPr>
              <w:t>补助成本5万元，预算执行率为100%，完成走访慰问20人，有效改善居民生活环境，提升文化活动，受益行政村满意度100%，受益群众满意度100%。</w:t>
            </w:r>
          </w:p>
        </w:tc>
      </w:tr>
      <w:tr w14:paraId="4F664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6AC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480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1F9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1E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280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480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7483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150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66D9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244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8E1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D0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510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F42F5">
            <w:pPr>
              <w:jc w:val="center"/>
            </w:pPr>
            <w:r>
              <w:rPr>
                <w:rFonts w:ascii="宋体" w:hAnsi="宋体" w:eastAsia="宋体"/>
                <w:sz w:val="16"/>
              </w:rPr>
              <w:t>偏差原因分析及改进措施</w:t>
            </w:r>
          </w:p>
        </w:tc>
      </w:tr>
      <w:tr w14:paraId="1D3A42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28EA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46A8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86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384F2">
            <w:pPr>
              <w:jc w:val="center"/>
            </w:pPr>
            <w:r>
              <w:rPr>
                <w:rFonts w:ascii="宋体" w:hAnsi="宋体" w:eastAsia="宋体"/>
                <w:sz w:val="16"/>
              </w:rPr>
              <w:t>走访慰问人数（个）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6B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BFDB2">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7CF1F">
            <w:pPr>
              <w:jc w:val="center"/>
            </w:pPr>
            <w:r>
              <w:rPr>
                <w:rFonts w:ascii="宋体" w:hAnsi="宋体" w:eastAsia="宋体"/>
                <w:sz w:val="16"/>
              </w:rPr>
              <w: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B3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B25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1D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775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75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3B5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5C554">
            <w:pPr>
              <w:jc w:val="center"/>
            </w:pPr>
          </w:p>
        </w:tc>
      </w:tr>
      <w:tr w14:paraId="3DED56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13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BFC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0C0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040F">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D16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50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CE3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8E0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08B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F577">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694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94D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90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ACD50">
            <w:pPr>
              <w:jc w:val="center"/>
            </w:pPr>
          </w:p>
        </w:tc>
      </w:tr>
      <w:tr w14:paraId="2098A4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A2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F2C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579C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09E1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821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DC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2F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7EB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BD6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A8E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D12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05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865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862E">
            <w:pPr>
              <w:jc w:val="center"/>
            </w:pPr>
          </w:p>
        </w:tc>
      </w:tr>
      <w:tr w14:paraId="7591B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4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56DD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A7A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9552">
            <w:pPr>
              <w:jc w:val="center"/>
            </w:pPr>
            <w:r>
              <w:rPr>
                <w:rFonts w:hint="eastAsia" w:ascii="宋体" w:hAnsi="宋体"/>
                <w:sz w:val="16"/>
                <w:lang w:eastAsia="zh-CN"/>
              </w:rPr>
              <w:t>为民办实事</w:t>
            </w:r>
            <w:r>
              <w:rPr>
                <w:rFonts w:ascii="宋体" w:hAnsi="宋体" w:eastAsia="宋体"/>
                <w:sz w:val="16"/>
              </w:rPr>
              <w:t>补助成本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9DD3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BC236">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4BF1">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FC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7CB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EF7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7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0B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1D5E">
            <w:pPr>
              <w:jc w:val="center"/>
            </w:pPr>
            <w:r>
              <w:rPr>
                <w:rFonts w:ascii="宋体" w:hAnsi="宋体" w:eastAsia="宋体"/>
                <w:sz w:val="16"/>
              </w:rPr>
              <w:t>正式材料,原始凭证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177A6">
            <w:pPr>
              <w:jc w:val="center"/>
            </w:pPr>
          </w:p>
        </w:tc>
      </w:tr>
      <w:tr w14:paraId="4923EF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008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B90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7A5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F63EC">
            <w:pPr>
              <w:jc w:val="center"/>
            </w:pPr>
            <w:r>
              <w:rPr>
                <w:rFonts w:ascii="宋体" w:hAnsi="宋体" w:eastAsia="宋体"/>
                <w:sz w:val="16"/>
              </w:rPr>
              <w:t>改善居民生活环境，提升文化活动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EE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830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B48E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B1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19A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8EA7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9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4EA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A8D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1E0BC">
            <w:pPr>
              <w:jc w:val="center"/>
            </w:pPr>
          </w:p>
        </w:tc>
      </w:tr>
      <w:tr w14:paraId="15FE47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1CB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4C215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E733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6FE2">
            <w:pPr>
              <w:jc w:val="center"/>
            </w:pPr>
            <w:r>
              <w:rPr>
                <w:rFonts w:ascii="宋体" w:hAnsi="宋体" w:eastAsia="宋体"/>
                <w:sz w:val="16"/>
              </w:rPr>
              <w:t>受益行政村满意度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38B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C04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9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ABB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343E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BCA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83F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A1C9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86C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2FB30">
            <w:pPr>
              <w:jc w:val="center"/>
            </w:pPr>
            <w:r>
              <w:rPr>
                <w:rFonts w:ascii="宋体" w:hAnsi="宋体" w:eastAsia="宋体"/>
                <w:sz w:val="16"/>
              </w:rPr>
              <w:t>通过满意度调研，受益行政村对</w:t>
            </w:r>
            <w:r>
              <w:rPr>
                <w:rFonts w:hint="eastAsia" w:ascii="宋体" w:hAnsi="宋体"/>
                <w:sz w:val="16"/>
                <w:lang w:eastAsia="zh-CN"/>
              </w:rPr>
              <w:t>为民办实事</w:t>
            </w:r>
            <w:r>
              <w:rPr>
                <w:rFonts w:ascii="宋体" w:hAnsi="宋体" w:eastAsia="宋体"/>
                <w:sz w:val="16"/>
              </w:rPr>
              <w:t>工作的开展情况比较满意。</w:t>
            </w:r>
          </w:p>
        </w:tc>
      </w:tr>
      <w:tr w14:paraId="5B68E2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DF9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7AE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11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7747">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37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60ED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313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3774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D1F2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26F1">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9DEC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FD2B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2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11C8E">
            <w:pPr>
              <w:jc w:val="center"/>
            </w:pPr>
            <w:r>
              <w:rPr>
                <w:rFonts w:ascii="宋体" w:hAnsi="宋体" w:eastAsia="宋体"/>
                <w:sz w:val="16"/>
              </w:rPr>
              <w:t>通过满意度调研，受益行政村群众对</w:t>
            </w:r>
            <w:r>
              <w:rPr>
                <w:rFonts w:hint="eastAsia" w:ascii="宋体" w:hAnsi="宋体"/>
                <w:sz w:val="16"/>
                <w:lang w:val="en-US" w:eastAsia="zh-CN"/>
              </w:rPr>
              <w:t>为民办实事</w:t>
            </w:r>
            <w:r>
              <w:rPr>
                <w:rFonts w:ascii="宋体" w:hAnsi="宋体" w:eastAsia="宋体"/>
                <w:sz w:val="16"/>
              </w:rPr>
              <w:t>工作的开展情况比较满意。</w:t>
            </w:r>
          </w:p>
        </w:tc>
      </w:tr>
      <w:tr w14:paraId="7CB9B42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3A6C3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9D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6E97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0A3E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478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BAC5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BD4F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7290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4266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7565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D466E"/>
        </w:tc>
      </w:tr>
    </w:tbl>
    <w:p w14:paraId="4494B4D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984C5E">
        <w:tblPrEx>
          <w:tblCellMar>
            <w:top w:w="0" w:type="dxa"/>
            <w:left w:w="108" w:type="dxa"/>
            <w:bottom w:w="0" w:type="dxa"/>
            <w:right w:w="108" w:type="dxa"/>
          </w:tblCellMar>
        </w:tblPrEx>
        <w:tc>
          <w:tcPr>
            <w:tcW w:w="8848" w:type="dxa"/>
            <w:gridSpan w:val="14"/>
            <w:vAlign w:val="center"/>
          </w:tcPr>
          <w:p w14:paraId="5AA9FB5D">
            <w:pPr>
              <w:jc w:val="center"/>
            </w:pPr>
            <w:r>
              <w:rPr>
                <w:rFonts w:ascii="宋体" w:hAnsi="宋体" w:eastAsia="宋体"/>
                <w:sz w:val="24"/>
              </w:rPr>
              <w:t>项目支出绩效自评表</w:t>
            </w:r>
          </w:p>
        </w:tc>
      </w:tr>
      <w:tr w14:paraId="26CA4CAF">
        <w:tblPrEx>
          <w:tblCellMar>
            <w:top w:w="0" w:type="dxa"/>
            <w:left w:w="108" w:type="dxa"/>
            <w:bottom w:w="0" w:type="dxa"/>
            <w:right w:w="108" w:type="dxa"/>
          </w:tblCellMar>
        </w:tblPrEx>
        <w:tc>
          <w:tcPr>
            <w:tcW w:w="8848" w:type="dxa"/>
            <w:gridSpan w:val="14"/>
            <w:vAlign w:val="center"/>
          </w:tcPr>
          <w:p w14:paraId="2213FEE4">
            <w:pPr>
              <w:jc w:val="center"/>
            </w:pPr>
            <w:r>
              <w:rPr>
                <w:rFonts w:ascii="宋体" w:hAnsi="宋体" w:eastAsia="宋体"/>
                <w:sz w:val="24"/>
              </w:rPr>
              <w:t>(2024年度)</w:t>
            </w:r>
          </w:p>
        </w:tc>
      </w:tr>
      <w:tr w14:paraId="340E29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D53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34783B">
            <w:pPr>
              <w:jc w:val="center"/>
            </w:pPr>
            <w:r>
              <w:rPr>
                <w:rFonts w:ascii="宋体" w:hAnsi="宋体" w:eastAsia="宋体"/>
                <w:sz w:val="16"/>
              </w:rPr>
              <w:t>吉木萨尔县审计局审计费</w:t>
            </w:r>
          </w:p>
        </w:tc>
      </w:tr>
      <w:tr w14:paraId="49BD9D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DDAB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EEDF56">
            <w:pPr>
              <w:jc w:val="center"/>
            </w:pPr>
            <w:r>
              <w:rPr>
                <w:rFonts w:ascii="宋体" w:hAnsi="宋体" w:eastAsia="宋体"/>
                <w:sz w:val="16"/>
              </w:rPr>
              <w:t>吉木萨尔县审计局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3773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EF611B">
            <w:pPr>
              <w:jc w:val="center"/>
            </w:pPr>
            <w:r>
              <w:rPr>
                <w:rFonts w:ascii="宋体" w:hAnsi="宋体" w:eastAsia="宋体"/>
                <w:sz w:val="16"/>
              </w:rPr>
              <w:t>吉木萨尔县审计局</w:t>
            </w:r>
          </w:p>
        </w:tc>
      </w:tr>
      <w:tr w14:paraId="6A3E2F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03F8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8517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C9984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602A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708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29F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FE2D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58254">
            <w:pPr>
              <w:jc w:val="center"/>
            </w:pPr>
            <w:r>
              <w:rPr>
                <w:rFonts w:ascii="宋体" w:hAnsi="宋体" w:eastAsia="宋体"/>
                <w:sz w:val="16"/>
              </w:rPr>
              <w:t>得分</w:t>
            </w:r>
          </w:p>
        </w:tc>
      </w:tr>
      <w:tr w14:paraId="103CB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9DEF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B963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F7ADC9">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9ED94">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E2D1D">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7FA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206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E020">
            <w:pPr>
              <w:jc w:val="center"/>
            </w:pPr>
            <w:r>
              <w:rPr>
                <w:rFonts w:ascii="宋体" w:hAnsi="宋体" w:eastAsia="宋体"/>
                <w:sz w:val="16"/>
              </w:rPr>
              <w:t>10.00</w:t>
            </w:r>
          </w:p>
        </w:tc>
      </w:tr>
      <w:tr w14:paraId="6B9421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173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9C958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FD2A1">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9FBB">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157FA">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88D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805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A803">
            <w:pPr>
              <w:jc w:val="center"/>
            </w:pPr>
            <w:r>
              <w:rPr>
                <w:rFonts w:ascii="宋体" w:hAnsi="宋体" w:eastAsia="宋体"/>
                <w:sz w:val="16"/>
              </w:rPr>
              <w:t>—</w:t>
            </w:r>
          </w:p>
        </w:tc>
      </w:tr>
      <w:tr w14:paraId="43053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26DE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1C86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43B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C00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2B3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6E8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6D50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0392E">
            <w:pPr>
              <w:jc w:val="center"/>
            </w:pPr>
            <w:r>
              <w:rPr>
                <w:rFonts w:ascii="宋体" w:hAnsi="宋体" w:eastAsia="宋体"/>
                <w:sz w:val="16"/>
              </w:rPr>
              <w:t>—</w:t>
            </w:r>
          </w:p>
        </w:tc>
      </w:tr>
      <w:tr w14:paraId="7FA4B9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101C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49C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178FB5">
            <w:pPr>
              <w:jc w:val="center"/>
            </w:pPr>
            <w:r>
              <w:rPr>
                <w:rFonts w:ascii="宋体" w:hAnsi="宋体" w:eastAsia="宋体"/>
                <w:sz w:val="16"/>
              </w:rPr>
              <w:t>实际完成情况</w:t>
            </w:r>
          </w:p>
        </w:tc>
      </w:tr>
      <w:tr w14:paraId="04A640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A42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60FDB8">
            <w:pPr>
              <w:jc w:val="both"/>
            </w:pPr>
            <w:r>
              <w:rPr>
                <w:rFonts w:ascii="宋体" w:hAnsi="宋体" w:eastAsia="宋体"/>
                <w:sz w:val="16"/>
              </w:rPr>
              <w:t>2024年，我县审计局对社会服务机构出具的审核报告支付审计费，提高企业审计工作积极性，保障财政资金投入使用有效性。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5A10D6">
            <w:pPr>
              <w:jc w:val="both"/>
            </w:pPr>
            <w:r>
              <w:rPr>
                <w:rFonts w:hint="eastAsia" w:ascii="宋体" w:hAnsi="宋体"/>
                <w:sz w:val="16"/>
                <w:lang w:eastAsia="zh-CN"/>
              </w:rPr>
              <w:t>截至</w:t>
            </w:r>
            <w:r>
              <w:rPr>
                <w:rFonts w:ascii="宋体" w:hAnsi="宋体" w:eastAsia="宋体"/>
                <w:sz w:val="16"/>
              </w:rPr>
              <w:t>2024年12月31日，委托社会中介审计费40万元，预算执行率为100%。完成委托协议个数1个，项目审核个数1个，项目造价合格率达到100%，审计项目开展及时率100%，节约财政资金100万元，社会服务机构满意度100%。</w:t>
            </w:r>
          </w:p>
        </w:tc>
      </w:tr>
      <w:tr w14:paraId="5A8B06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A9A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1EE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CC0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EDA1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496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81B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E6B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FC7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939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DAC7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77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790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E73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4C98">
            <w:pPr>
              <w:jc w:val="center"/>
            </w:pPr>
            <w:r>
              <w:rPr>
                <w:rFonts w:ascii="宋体" w:hAnsi="宋体" w:eastAsia="宋体"/>
                <w:sz w:val="16"/>
              </w:rPr>
              <w:t>偏差原因分析及改进措施</w:t>
            </w:r>
          </w:p>
        </w:tc>
      </w:tr>
      <w:tr w14:paraId="7A0FF1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2119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7C3B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D888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3D1A">
            <w:pPr>
              <w:jc w:val="center"/>
            </w:pPr>
            <w:r>
              <w:rPr>
                <w:rFonts w:ascii="宋体" w:hAnsi="宋体" w:eastAsia="宋体"/>
                <w:sz w:val="16"/>
              </w:rPr>
              <w:t>委托协议个数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2D8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E24A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E9F8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612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819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FE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28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07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31B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9C14">
            <w:pPr>
              <w:jc w:val="center"/>
            </w:pPr>
          </w:p>
        </w:tc>
      </w:tr>
      <w:tr w14:paraId="1DA33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2CDFD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BD57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8515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F7207">
            <w:pPr>
              <w:jc w:val="center"/>
            </w:pPr>
            <w:r>
              <w:rPr>
                <w:rFonts w:ascii="宋体" w:hAnsi="宋体" w:eastAsia="宋体"/>
                <w:sz w:val="16"/>
              </w:rPr>
              <w:t>项目审核个数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5CE4">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ABB9">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88A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4A6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BD2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5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12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1C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901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7DE88">
            <w:pPr>
              <w:jc w:val="center"/>
            </w:pPr>
          </w:p>
        </w:tc>
      </w:tr>
      <w:tr w14:paraId="2476E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2D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87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5F0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A9CEF">
            <w:pPr>
              <w:jc w:val="center"/>
            </w:pPr>
            <w:r>
              <w:rPr>
                <w:rFonts w:ascii="宋体" w:hAnsi="宋体" w:eastAsia="宋体"/>
                <w:sz w:val="16"/>
              </w:rPr>
              <w:t>项目造价审核合格率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ED68">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499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5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47BBC">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795F9">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66C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BB9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937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427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C7497">
            <w:pPr>
              <w:jc w:val="center"/>
            </w:pPr>
            <w:r>
              <w:rPr>
                <w:rFonts w:ascii="宋体" w:hAnsi="宋体" w:eastAsia="宋体"/>
                <w:sz w:val="16"/>
              </w:rPr>
              <w:t>项目造价审核</w:t>
            </w:r>
            <w:r>
              <w:rPr>
                <w:rFonts w:hint="eastAsia" w:ascii="宋体" w:hAnsi="宋体"/>
                <w:sz w:val="16"/>
                <w:lang w:eastAsia="zh-CN"/>
              </w:rPr>
              <w:t>均</w:t>
            </w:r>
            <w:r>
              <w:rPr>
                <w:rFonts w:ascii="宋体" w:hAnsi="宋体" w:eastAsia="宋体"/>
                <w:sz w:val="16"/>
              </w:rPr>
              <w:t>合格。</w:t>
            </w:r>
          </w:p>
        </w:tc>
      </w:tr>
      <w:tr w14:paraId="1FC365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95C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375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9B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C6D5">
            <w:pPr>
              <w:jc w:val="center"/>
            </w:pPr>
            <w:r>
              <w:rPr>
                <w:rFonts w:ascii="宋体" w:hAnsi="宋体" w:eastAsia="宋体"/>
                <w:sz w:val="16"/>
              </w:rPr>
              <w:t>审计工作开展及时率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7974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D5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75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021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5C5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713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17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C4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55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7961D">
            <w:pPr>
              <w:jc w:val="center"/>
            </w:pPr>
          </w:p>
        </w:tc>
      </w:tr>
      <w:tr w14:paraId="1AB0AE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00D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8E0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B80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C3FBA">
            <w:pPr>
              <w:jc w:val="center"/>
            </w:pPr>
            <w:r>
              <w:rPr>
                <w:rFonts w:ascii="宋体" w:hAnsi="宋体" w:eastAsia="宋体"/>
                <w:sz w:val="16"/>
              </w:rPr>
              <w:t>委托社会中介审计经费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5B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B367">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9B31">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755F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5DF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65D0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8C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7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CA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9D67C">
            <w:pPr>
              <w:jc w:val="center"/>
            </w:pPr>
          </w:p>
        </w:tc>
      </w:tr>
      <w:tr w14:paraId="4A9EB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B6F9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837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1C98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EFB31">
            <w:pPr>
              <w:jc w:val="center"/>
            </w:pPr>
            <w:r>
              <w:rPr>
                <w:rFonts w:ascii="宋体" w:hAnsi="宋体" w:eastAsia="宋体"/>
                <w:sz w:val="16"/>
              </w:rPr>
              <w:t>节约财政资金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CA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71D2">
            <w:pPr>
              <w:jc w:val="center"/>
            </w:pPr>
            <w:r>
              <w:rPr>
                <w:rFonts w:ascii="宋体" w:hAnsi="宋体" w:eastAsia="宋体"/>
                <w:sz w:val="16"/>
              </w:rPr>
              <w:t>&gt;=100万元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2D1A2">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930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F13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29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DF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1B0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A5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B571">
            <w:pPr>
              <w:jc w:val="center"/>
            </w:pPr>
          </w:p>
        </w:tc>
      </w:tr>
      <w:tr w14:paraId="2CF1A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652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3B1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0F8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4C45B">
            <w:pPr>
              <w:jc w:val="center"/>
            </w:pPr>
            <w:r>
              <w:rPr>
                <w:rFonts w:ascii="宋体" w:hAnsi="宋体" w:eastAsia="宋体"/>
                <w:sz w:val="16"/>
              </w:rPr>
              <w:t>社会服务机构满意度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F8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DE0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357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9018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B61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9D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835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C1B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782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ABEE">
            <w:pPr>
              <w:jc w:val="center"/>
            </w:pPr>
            <w:r>
              <w:rPr>
                <w:rFonts w:ascii="宋体" w:hAnsi="宋体" w:eastAsia="宋体"/>
                <w:sz w:val="16"/>
              </w:rPr>
              <w:t>通过调研问卷，社会服务机构对及时支付费用，达到100%满意。</w:t>
            </w:r>
          </w:p>
        </w:tc>
      </w:tr>
      <w:tr w14:paraId="1DB606D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5FF8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B4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2605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C2182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83F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C6AEC">
            <w:pPr>
              <w:jc w:val="center"/>
            </w:pPr>
            <w:r>
              <w:rPr>
                <w:rFonts w:ascii="宋体" w:hAnsi="宋体" w:eastAsia="宋体"/>
                <w:sz w:val="16"/>
              </w:rPr>
              <w:t>99.55分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6577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EBA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B450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D67ED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6D1431"/>
        </w:tc>
      </w:tr>
    </w:tbl>
    <w:p w14:paraId="560E34C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51E3003C">
        <w:tblPrEx>
          <w:tblCellMar>
            <w:top w:w="0" w:type="dxa"/>
            <w:left w:w="108" w:type="dxa"/>
            <w:bottom w:w="0" w:type="dxa"/>
            <w:right w:w="108" w:type="dxa"/>
          </w:tblCellMar>
        </w:tblPrEx>
        <w:tc>
          <w:tcPr>
            <w:tcW w:w="8848" w:type="dxa"/>
            <w:gridSpan w:val="14"/>
            <w:vAlign w:val="center"/>
          </w:tcPr>
          <w:p w14:paraId="2471C553">
            <w:pPr>
              <w:jc w:val="center"/>
            </w:pPr>
            <w:r>
              <w:rPr>
                <w:rFonts w:ascii="宋体" w:hAnsi="宋体" w:eastAsia="宋体"/>
                <w:sz w:val="24"/>
              </w:rPr>
              <w:t>项目支出绩效自评表</w:t>
            </w:r>
          </w:p>
        </w:tc>
      </w:tr>
      <w:tr w14:paraId="7B44268B">
        <w:tblPrEx>
          <w:tblCellMar>
            <w:top w:w="0" w:type="dxa"/>
            <w:left w:w="108" w:type="dxa"/>
            <w:bottom w:w="0" w:type="dxa"/>
            <w:right w:w="108" w:type="dxa"/>
          </w:tblCellMar>
        </w:tblPrEx>
        <w:tc>
          <w:tcPr>
            <w:tcW w:w="8848" w:type="dxa"/>
            <w:gridSpan w:val="14"/>
            <w:vAlign w:val="center"/>
          </w:tcPr>
          <w:p w14:paraId="1E147DEC">
            <w:pPr>
              <w:jc w:val="center"/>
            </w:pPr>
            <w:r>
              <w:rPr>
                <w:rFonts w:ascii="宋体" w:hAnsi="宋体" w:eastAsia="宋体"/>
                <w:sz w:val="24"/>
              </w:rPr>
              <w:t>(2024年度)</w:t>
            </w:r>
          </w:p>
        </w:tc>
      </w:tr>
      <w:tr w14:paraId="255E42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9F1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DFC5D23">
            <w:pPr>
              <w:jc w:val="center"/>
            </w:pPr>
            <w:r>
              <w:rPr>
                <w:rFonts w:ascii="宋体" w:hAnsi="宋体" w:eastAsia="宋体"/>
                <w:sz w:val="16"/>
              </w:rPr>
              <w:t>吉木萨尔县审计局昌州财行</w:t>
            </w:r>
            <w:r>
              <w:rPr>
                <w:rFonts w:hint="eastAsia" w:ascii="宋体" w:hAnsi="宋体"/>
                <w:sz w:val="16"/>
                <w:lang w:eastAsia="zh-CN"/>
              </w:rPr>
              <w:t>〔2023〕50号</w:t>
            </w:r>
            <w:r>
              <w:rPr>
                <w:rFonts w:ascii="宋体" w:hAnsi="宋体" w:eastAsia="宋体"/>
                <w:sz w:val="16"/>
              </w:rPr>
              <w:t>关于提前下达2024年经责八不准审计经费的通知</w:t>
            </w:r>
          </w:p>
        </w:tc>
      </w:tr>
      <w:tr w14:paraId="52B053C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C1F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F2B11">
            <w:pPr>
              <w:jc w:val="center"/>
            </w:pPr>
            <w:r>
              <w:rPr>
                <w:rFonts w:ascii="宋体" w:hAnsi="宋体" w:eastAsia="宋体"/>
                <w:sz w:val="16"/>
              </w:rPr>
              <w:t>吉木萨尔县审计局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4500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BC2486">
            <w:pPr>
              <w:jc w:val="center"/>
            </w:pPr>
            <w:r>
              <w:rPr>
                <w:rFonts w:ascii="宋体" w:hAnsi="宋体" w:eastAsia="宋体"/>
                <w:sz w:val="16"/>
              </w:rPr>
              <w:t>吉木萨尔县审计局</w:t>
            </w:r>
          </w:p>
        </w:tc>
      </w:tr>
      <w:tr w14:paraId="7F05C6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4BA9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725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A5F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D0E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A9E6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12DA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D59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FDE7">
            <w:pPr>
              <w:jc w:val="center"/>
            </w:pPr>
            <w:r>
              <w:rPr>
                <w:rFonts w:ascii="宋体" w:hAnsi="宋体" w:eastAsia="宋体"/>
                <w:sz w:val="16"/>
              </w:rPr>
              <w:t>得分</w:t>
            </w:r>
          </w:p>
        </w:tc>
      </w:tr>
      <w:tr w14:paraId="520FD5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76D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8BD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4AF4DB">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5CC0E">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0B66F">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B4DC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8F5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2E2BC">
            <w:pPr>
              <w:jc w:val="center"/>
            </w:pPr>
            <w:r>
              <w:rPr>
                <w:rFonts w:ascii="宋体" w:hAnsi="宋体" w:eastAsia="宋体"/>
                <w:sz w:val="16"/>
              </w:rPr>
              <w:t>10.00</w:t>
            </w:r>
          </w:p>
        </w:tc>
      </w:tr>
      <w:tr w14:paraId="7F30D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67C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5D2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2AB2D">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90380">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CA9F5">
            <w:pPr>
              <w:jc w:val="center"/>
            </w:pPr>
            <w:r>
              <w:rPr>
                <w:rFonts w:ascii="宋体" w:hAnsi="宋体" w:eastAsia="宋体"/>
                <w:sz w:val="16"/>
              </w:rPr>
              <w:t>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C9C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6BF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A15B3">
            <w:pPr>
              <w:jc w:val="center"/>
            </w:pPr>
            <w:r>
              <w:rPr>
                <w:rFonts w:ascii="宋体" w:hAnsi="宋体" w:eastAsia="宋体"/>
                <w:sz w:val="16"/>
              </w:rPr>
              <w:t>—</w:t>
            </w:r>
          </w:p>
        </w:tc>
      </w:tr>
      <w:tr w14:paraId="5C9C4E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851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B9B0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F6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B04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183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B3FB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2686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46C2D">
            <w:pPr>
              <w:jc w:val="center"/>
            </w:pPr>
            <w:r>
              <w:rPr>
                <w:rFonts w:ascii="宋体" w:hAnsi="宋体" w:eastAsia="宋体"/>
                <w:sz w:val="16"/>
              </w:rPr>
              <w:t>—</w:t>
            </w:r>
          </w:p>
        </w:tc>
      </w:tr>
      <w:tr w14:paraId="461AB3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8FC29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7293B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109A10">
            <w:pPr>
              <w:jc w:val="center"/>
            </w:pPr>
            <w:r>
              <w:rPr>
                <w:rFonts w:ascii="宋体" w:hAnsi="宋体" w:eastAsia="宋体"/>
                <w:sz w:val="16"/>
              </w:rPr>
              <w:t>实际完成情况</w:t>
            </w:r>
          </w:p>
        </w:tc>
      </w:tr>
      <w:tr w14:paraId="7BF34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229B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643126">
            <w:pPr>
              <w:jc w:val="both"/>
            </w:pPr>
            <w:r>
              <w:rPr>
                <w:rFonts w:ascii="宋体" w:hAnsi="宋体" w:eastAsia="宋体"/>
                <w:sz w:val="16"/>
              </w:rPr>
              <w:t>对财政收支和法律法规规定属于审计监督范围的财务收支的真实、合法效益进行审计监督，开展重点领域、重点项目、重点资金的审计监督、经责审计、培训等，保障审计项目正常开展，保证审计机关独立性，提高</w:t>
            </w:r>
            <w:r>
              <w:rPr>
                <w:rFonts w:hint="eastAsia" w:ascii="宋体" w:hAnsi="宋体"/>
                <w:sz w:val="16"/>
                <w:lang w:eastAsia="zh-CN"/>
              </w:rPr>
              <w:t>审计工作</w:t>
            </w:r>
            <w:r>
              <w:rPr>
                <w:rFonts w:ascii="宋体" w:hAnsi="宋体" w:eastAsia="宋体"/>
                <w:sz w:val="16"/>
              </w:rPr>
              <w:t>质量。提高审计质量，更好发挥审计作用。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681711">
            <w:pPr>
              <w:jc w:val="both"/>
            </w:pPr>
            <w:r>
              <w:rPr>
                <w:rFonts w:hint="eastAsia" w:ascii="宋体" w:hAnsi="宋体"/>
                <w:sz w:val="16"/>
                <w:lang w:eastAsia="zh-CN"/>
              </w:rPr>
              <w:t>截至</w:t>
            </w:r>
            <w:r>
              <w:rPr>
                <w:rFonts w:ascii="宋体" w:hAnsi="宋体" w:eastAsia="宋体"/>
                <w:sz w:val="16"/>
              </w:rPr>
              <w:t>2024年12月31日，项目实际支出8万元，预算执行率100%，审计发现问题数量3个，审计报告数量1个，被审计单位现场审计率达到100%，项目计划完成率达到100%，实现持续加强审计发现管理不规范资金监管及持续监督审计查出问题整改。</w:t>
            </w:r>
          </w:p>
        </w:tc>
      </w:tr>
      <w:tr w14:paraId="4A5A71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3BB2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0BE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7AF6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7B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771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6C3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AE9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3F3D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AA0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1D3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ED5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742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A3CA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4DFD">
            <w:pPr>
              <w:jc w:val="center"/>
            </w:pPr>
            <w:r>
              <w:rPr>
                <w:rFonts w:ascii="宋体" w:hAnsi="宋体" w:eastAsia="宋体"/>
                <w:sz w:val="16"/>
              </w:rPr>
              <w:t>偏差原因分析及改进措施</w:t>
            </w:r>
          </w:p>
        </w:tc>
      </w:tr>
      <w:tr w14:paraId="6F1A1A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9231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F9C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6CA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3607">
            <w:pPr>
              <w:jc w:val="center"/>
            </w:pPr>
            <w:r>
              <w:rPr>
                <w:rFonts w:ascii="宋体" w:hAnsi="宋体" w:eastAsia="宋体"/>
                <w:sz w:val="16"/>
              </w:rPr>
              <w:t>审计发现问题数量（个）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EACE2">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C219A">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5D26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0A7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520D">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93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AA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E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553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E2E46">
            <w:pPr>
              <w:jc w:val="center"/>
            </w:pPr>
          </w:p>
        </w:tc>
      </w:tr>
      <w:tr w14:paraId="16823ADA">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428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767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9E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1A60">
            <w:pPr>
              <w:jc w:val="center"/>
            </w:pPr>
            <w:r>
              <w:rPr>
                <w:rFonts w:ascii="宋体" w:hAnsi="宋体" w:eastAsia="宋体"/>
                <w:sz w:val="16"/>
              </w:rPr>
              <w:t>审计报告数量（份）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7786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CE373">
            <w:pPr>
              <w:jc w:val="center"/>
            </w:pPr>
            <w:r>
              <w:rPr>
                <w:rFonts w:ascii="宋体" w:hAnsi="宋体" w:eastAsia="宋体"/>
                <w:sz w:val="16"/>
              </w:rPr>
              <w:t>&gt;=1份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07B8">
            <w:pPr>
              <w:jc w:val="center"/>
            </w:pPr>
            <w:r>
              <w:rPr>
                <w:rFonts w:ascii="宋体" w:hAnsi="宋体" w:eastAsia="宋体"/>
                <w:sz w:val="16"/>
              </w:rPr>
              <w:t>=1份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EBE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E0EF2">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853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CA8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23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6B87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25C74">
            <w:pPr>
              <w:jc w:val="center"/>
            </w:pPr>
          </w:p>
        </w:tc>
      </w:tr>
      <w:tr w14:paraId="1F18AEAE">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7B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63F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C4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2C65A">
            <w:pPr>
              <w:jc w:val="center"/>
            </w:pPr>
            <w:r>
              <w:rPr>
                <w:rFonts w:ascii="宋体" w:hAnsi="宋体" w:eastAsia="宋体"/>
                <w:sz w:val="16"/>
              </w:rPr>
              <w:t>对被审计单位现场审计率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0396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16D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05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D84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A785">
            <w:pPr>
              <w:jc w:val="center"/>
            </w:pPr>
            <w:r>
              <w:rPr>
                <w:rFonts w:ascii="宋体" w:hAnsi="宋体" w:eastAsia="宋体"/>
                <w:sz w:val="16"/>
              </w:rPr>
              <w:t>8.55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A23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AA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17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8FA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10CB3">
            <w:pPr>
              <w:jc w:val="center"/>
            </w:pPr>
            <w:r>
              <w:rPr>
                <w:rFonts w:ascii="宋体" w:hAnsi="宋体" w:eastAsia="宋体"/>
                <w:sz w:val="16"/>
              </w:rPr>
              <w:t>对财政收支和法律法规规定属于审计监督范围的财务收支的真实、合法效益进行审计监督，开展重点领域、重点项目、重点资金的审计监督、经责审计、培训等，保障审计项目正常开展，保证审计机关独立性，提高</w:t>
            </w:r>
            <w:r>
              <w:rPr>
                <w:rFonts w:hint="eastAsia" w:ascii="宋体" w:hAnsi="宋体"/>
                <w:sz w:val="16"/>
                <w:lang w:eastAsia="zh-CN"/>
              </w:rPr>
              <w:t>审计工作</w:t>
            </w:r>
            <w:r>
              <w:rPr>
                <w:rFonts w:ascii="宋体" w:hAnsi="宋体" w:eastAsia="宋体"/>
                <w:sz w:val="16"/>
              </w:rPr>
              <w:t>质量</w:t>
            </w:r>
          </w:p>
        </w:tc>
      </w:tr>
      <w:tr w14:paraId="4D5A18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4B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24A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E3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48B8A">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9E48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053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DD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4D26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293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278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8DF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7145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F33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0E347">
            <w:pPr>
              <w:jc w:val="center"/>
            </w:pPr>
            <w:r>
              <w:rPr>
                <w:rFonts w:ascii="宋体" w:hAnsi="宋体" w:eastAsia="宋体"/>
                <w:sz w:val="16"/>
              </w:rPr>
              <w:t>对财政收支和法律法规规定属于审计监督范围的财务收支的真实、合法效益进行审计监督，开展重点领域、重点项目、重点资金的审计监督、经责审计、培训等，保障审计项目正常开展，保证审计机关独立性，提高</w:t>
            </w:r>
            <w:r>
              <w:rPr>
                <w:rFonts w:hint="eastAsia" w:ascii="宋体" w:hAnsi="宋体"/>
                <w:sz w:val="16"/>
                <w:lang w:eastAsia="zh-CN"/>
              </w:rPr>
              <w:t>审计工作</w:t>
            </w:r>
            <w:r>
              <w:rPr>
                <w:rFonts w:ascii="宋体" w:hAnsi="宋体" w:eastAsia="宋体"/>
                <w:sz w:val="16"/>
              </w:rPr>
              <w:t>质量</w:t>
            </w:r>
          </w:p>
        </w:tc>
      </w:tr>
      <w:tr w14:paraId="1E90E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F97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CB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11DA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DC6C8">
            <w:pPr>
              <w:jc w:val="center"/>
            </w:pPr>
            <w:r>
              <w:rPr>
                <w:rFonts w:ascii="宋体" w:hAnsi="宋体" w:eastAsia="宋体"/>
                <w:sz w:val="16"/>
              </w:rPr>
              <w:t>审计项目审计</w:t>
            </w:r>
            <w:r>
              <w:rPr>
                <w:rFonts w:hint="eastAsia" w:ascii="宋体" w:hAnsi="宋体"/>
                <w:sz w:val="16"/>
                <w:lang w:eastAsia="zh-CN"/>
              </w:rPr>
              <w:t>费用</w:t>
            </w:r>
            <w:r>
              <w:rPr>
                <w:rFonts w:ascii="宋体" w:hAnsi="宋体" w:eastAsia="宋体"/>
                <w:sz w:val="16"/>
              </w:rPr>
              <w:t>成本控制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31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E6F4E">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B75E4">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A7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2F2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04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31E0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658F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575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D9EBA">
            <w:pPr>
              <w:jc w:val="center"/>
            </w:pPr>
          </w:p>
        </w:tc>
      </w:tr>
      <w:tr w14:paraId="0A893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19E0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71B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037B8">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29A3E">
            <w:pPr>
              <w:jc w:val="center"/>
            </w:pPr>
            <w:r>
              <w:rPr>
                <w:rFonts w:ascii="宋体" w:hAnsi="宋体" w:eastAsia="宋体"/>
                <w:sz w:val="16"/>
              </w:rPr>
              <w:t>持续加强审计发现管理不规范资金监督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72B5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0465">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A5BFE">
            <w:pPr>
              <w:jc w:val="center"/>
            </w:pPr>
            <w:r>
              <w:rPr>
                <w:rFonts w:ascii="宋体" w:hAnsi="宋体" w:eastAsia="宋体"/>
                <w:sz w:val="16"/>
              </w:rPr>
              <w:t>持续加强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87E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4566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4B28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7E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0A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26619">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743A">
            <w:pPr>
              <w:jc w:val="center"/>
            </w:pPr>
          </w:p>
        </w:tc>
      </w:tr>
      <w:tr w14:paraId="4DD91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8B6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250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A385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033E3">
            <w:pPr>
              <w:jc w:val="center"/>
            </w:pPr>
            <w:r>
              <w:rPr>
                <w:rFonts w:ascii="宋体" w:hAnsi="宋体" w:eastAsia="宋体"/>
                <w:sz w:val="16"/>
              </w:rPr>
              <w:t>持续监督审计查出问题整改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C2C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4167">
            <w:pPr>
              <w:jc w:val="center"/>
            </w:pPr>
            <w:r>
              <w:rPr>
                <w:rFonts w:ascii="宋体" w:hAnsi="宋体" w:eastAsia="宋体"/>
                <w:sz w:val="16"/>
              </w:rPr>
              <w:t>持续监督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5B3C">
            <w:pPr>
              <w:jc w:val="center"/>
            </w:pPr>
            <w:r>
              <w:rPr>
                <w:rFonts w:ascii="宋体" w:hAnsi="宋体" w:eastAsia="宋体"/>
                <w:sz w:val="16"/>
              </w:rPr>
              <w:t>持续监督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CA1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B659">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7D3D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77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2F0A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C2C80">
            <w:pPr>
              <w:jc w:val="center"/>
            </w:pPr>
            <w:r>
              <w:rPr>
                <w:rFonts w:ascii="宋体" w:hAnsi="宋体" w:eastAsia="宋体"/>
                <w:sz w:val="16"/>
              </w:rPr>
              <w:t>说明材料,工作资料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F67C">
            <w:pPr>
              <w:jc w:val="center"/>
            </w:pPr>
          </w:p>
        </w:tc>
      </w:tr>
      <w:tr w14:paraId="6C4BB95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20183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5D4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17E9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9DCA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E65D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DA4C1">
            <w:pPr>
              <w:jc w:val="center"/>
            </w:pPr>
            <w:r>
              <w:rPr>
                <w:rFonts w:ascii="宋体" w:hAnsi="宋体" w:eastAsia="宋体"/>
                <w:sz w:val="16"/>
              </w:rPr>
              <w:t>91.55分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FB25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8B50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40D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FF1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FD368"/>
        </w:tc>
      </w:tr>
    </w:tbl>
    <w:p w14:paraId="2048EF7E">
      <w:r>
        <w:br w:type="page"/>
      </w:r>
    </w:p>
    <w:p w14:paraId="5050C12A">
      <w:pPr>
        <w:spacing w:line="640" w:lineRule="exact"/>
        <w:ind w:firstLine="640"/>
        <w:jc w:val="both"/>
        <w:outlineLvl w:val="2"/>
      </w:pPr>
      <w:r>
        <w:rPr>
          <w:rFonts w:ascii="黑体" w:hAnsi="黑体" w:eastAsia="黑体"/>
          <w:sz w:val="32"/>
        </w:rPr>
        <w:t>十二、其他需说明的事项</w:t>
      </w:r>
    </w:p>
    <w:p w14:paraId="22695C5F">
      <w:pPr>
        <w:spacing w:line="580" w:lineRule="exact"/>
        <w:ind w:firstLine="640"/>
        <w:jc w:val="both"/>
      </w:pPr>
      <w:r>
        <w:rPr>
          <w:rFonts w:ascii="仿宋_GB2312" w:hAnsi="仿宋_GB2312" w:eastAsia="仿宋_GB2312"/>
          <w:b w:val="0"/>
          <w:sz w:val="32"/>
        </w:rPr>
        <w:t>本单位无其他需说明的事项。</w:t>
      </w:r>
    </w:p>
    <w:p w14:paraId="5001DBAC">
      <w:r>
        <w:br w:type="page"/>
      </w:r>
    </w:p>
    <w:p w14:paraId="4E5345C0">
      <w:pPr>
        <w:spacing w:line="240" w:lineRule="auto"/>
        <w:jc w:val="center"/>
        <w:outlineLvl w:val="1"/>
      </w:pPr>
      <w:r>
        <w:rPr>
          <w:rFonts w:ascii="黑体" w:hAnsi="黑体" w:eastAsia="黑体"/>
          <w:sz w:val="32"/>
        </w:rPr>
        <w:t>第三部分 专业名词解释</w:t>
      </w:r>
    </w:p>
    <w:p w14:paraId="17EFEE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F56C92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7BF57A0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FC5D99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06B280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B1F955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568B70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AE1BB0E">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6AD0E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C79F4A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415777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BE7BED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1C75537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2BF4B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77AFC9A">
      <w:r>
        <w:br w:type="page"/>
      </w:r>
    </w:p>
    <w:p w14:paraId="7C0FFCBA">
      <w:pPr>
        <w:spacing w:line="240" w:lineRule="auto"/>
        <w:jc w:val="center"/>
        <w:outlineLvl w:val="1"/>
      </w:pPr>
      <w:r>
        <w:rPr>
          <w:rFonts w:ascii="黑体" w:hAnsi="黑体" w:eastAsia="黑体"/>
          <w:sz w:val="32"/>
        </w:rPr>
        <w:t>第四部分 部门决算报表（见附表）</w:t>
      </w:r>
    </w:p>
    <w:p w14:paraId="3E6AB12C">
      <w:pPr>
        <w:spacing w:line="240" w:lineRule="auto"/>
        <w:ind w:firstLine="640"/>
        <w:jc w:val="both"/>
      </w:pPr>
      <w:r>
        <w:rPr>
          <w:rFonts w:ascii="仿宋_GB2312" w:hAnsi="仿宋_GB2312" w:eastAsia="仿宋_GB2312"/>
          <w:b w:val="0"/>
          <w:sz w:val="32"/>
        </w:rPr>
        <w:t>一、《收入支出决算总表》</w:t>
      </w:r>
    </w:p>
    <w:p w14:paraId="314E36B1">
      <w:pPr>
        <w:spacing w:line="240" w:lineRule="auto"/>
        <w:ind w:firstLine="640"/>
        <w:jc w:val="both"/>
      </w:pPr>
      <w:r>
        <w:rPr>
          <w:rFonts w:ascii="仿宋_GB2312" w:hAnsi="仿宋_GB2312" w:eastAsia="仿宋_GB2312"/>
          <w:b w:val="0"/>
          <w:sz w:val="32"/>
        </w:rPr>
        <w:t>二、《收入决算表》</w:t>
      </w:r>
    </w:p>
    <w:p w14:paraId="63399D41">
      <w:pPr>
        <w:spacing w:line="240" w:lineRule="auto"/>
        <w:ind w:firstLine="640"/>
        <w:jc w:val="both"/>
      </w:pPr>
      <w:r>
        <w:rPr>
          <w:rFonts w:ascii="仿宋_GB2312" w:hAnsi="仿宋_GB2312" w:eastAsia="仿宋_GB2312"/>
          <w:b w:val="0"/>
          <w:sz w:val="32"/>
        </w:rPr>
        <w:t>三、《支出决算表》</w:t>
      </w:r>
    </w:p>
    <w:p w14:paraId="0CAAB1A6">
      <w:pPr>
        <w:spacing w:line="240" w:lineRule="auto"/>
        <w:ind w:firstLine="640"/>
        <w:jc w:val="both"/>
      </w:pPr>
      <w:r>
        <w:rPr>
          <w:rFonts w:ascii="仿宋_GB2312" w:hAnsi="仿宋_GB2312" w:eastAsia="仿宋_GB2312"/>
          <w:b w:val="0"/>
          <w:sz w:val="32"/>
        </w:rPr>
        <w:t>四、《财政拨款收入支出决算总表》</w:t>
      </w:r>
    </w:p>
    <w:p w14:paraId="0CF54AD1">
      <w:pPr>
        <w:spacing w:line="240" w:lineRule="auto"/>
        <w:ind w:firstLine="640"/>
        <w:jc w:val="both"/>
      </w:pPr>
      <w:r>
        <w:rPr>
          <w:rFonts w:ascii="仿宋_GB2312" w:hAnsi="仿宋_GB2312" w:eastAsia="仿宋_GB2312"/>
          <w:b w:val="0"/>
          <w:sz w:val="32"/>
        </w:rPr>
        <w:t>五、《一般公共预算财政拨款支出决算表》</w:t>
      </w:r>
    </w:p>
    <w:p w14:paraId="0D5D0D37">
      <w:pPr>
        <w:spacing w:line="240" w:lineRule="auto"/>
        <w:ind w:firstLine="640"/>
        <w:jc w:val="both"/>
      </w:pPr>
      <w:r>
        <w:rPr>
          <w:rFonts w:ascii="仿宋_GB2312" w:hAnsi="仿宋_GB2312" w:eastAsia="仿宋_GB2312"/>
          <w:b w:val="0"/>
          <w:sz w:val="32"/>
        </w:rPr>
        <w:t>六、《一般公共预算财政拨款基本支出决算表》</w:t>
      </w:r>
    </w:p>
    <w:p w14:paraId="058925F1">
      <w:pPr>
        <w:spacing w:line="240" w:lineRule="auto"/>
        <w:ind w:firstLine="640"/>
        <w:jc w:val="both"/>
      </w:pPr>
      <w:r>
        <w:rPr>
          <w:rFonts w:ascii="仿宋_GB2312" w:hAnsi="仿宋_GB2312" w:eastAsia="仿宋_GB2312"/>
          <w:b w:val="0"/>
          <w:sz w:val="32"/>
        </w:rPr>
        <w:t>七、《政府性基金预算财政拨款收入支出决算表》</w:t>
      </w:r>
    </w:p>
    <w:p w14:paraId="2520C653">
      <w:pPr>
        <w:spacing w:line="240" w:lineRule="auto"/>
        <w:ind w:firstLine="640"/>
        <w:jc w:val="both"/>
      </w:pPr>
      <w:r>
        <w:rPr>
          <w:rFonts w:ascii="仿宋_GB2312" w:hAnsi="仿宋_GB2312" w:eastAsia="仿宋_GB2312"/>
          <w:b w:val="0"/>
          <w:sz w:val="32"/>
        </w:rPr>
        <w:t>八、《国有资本经营预算财政拨款收入支出决算表》</w:t>
      </w:r>
    </w:p>
    <w:p w14:paraId="75ECAC46">
      <w:pPr>
        <w:spacing w:line="240" w:lineRule="auto"/>
        <w:ind w:firstLine="640"/>
        <w:jc w:val="both"/>
      </w:pPr>
      <w:r>
        <w:rPr>
          <w:rFonts w:ascii="仿宋_GB2312" w:hAnsi="仿宋_GB2312" w:eastAsia="仿宋_GB2312"/>
          <w:b w:val="0"/>
          <w:sz w:val="32"/>
        </w:rPr>
        <w:t>九、《财政拨款“三公”经费支出决算表》</w:t>
      </w:r>
    </w:p>
    <w:p w14:paraId="1CE3B679">
      <w:pPr>
        <w:spacing w:line="240" w:lineRule="auto"/>
        <w:ind w:firstLine="640"/>
        <w:jc w:val="both"/>
      </w:pPr>
    </w:p>
    <w:p w14:paraId="06F01D1A">
      <w:pPr>
        <w:spacing w:line="240" w:lineRule="auto"/>
        <w:ind w:firstLine="640"/>
        <w:jc w:val="both"/>
      </w:pPr>
    </w:p>
    <w:p w14:paraId="3135C884">
      <w:pPr>
        <w:spacing w:line="240" w:lineRule="auto"/>
        <w:ind w:firstLine="640"/>
        <w:jc w:val="both"/>
      </w:pPr>
    </w:p>
    <w:p w14:paraId="2E907CB8">
      <w:pPr>
        <w:spacing w:line="240" w:lineRule="auto"/>
        <w:ind w:firstLine="640"/>
        <w:jc w:val="both"/>
      </w:pPr>
    </w:p>
    <w:p w14:paraId="30C98C0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8B421A1"/>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0B759A"/>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10073</Words>
  <Characters>11379</Characters>
  <Lines>0</Lines>
  <Paragraphs>0</Paragraphs>
  <TotalTime>7</TotalTime>
  <ScaleCrop>false</ScaleCrop>
  <LinksUpToDate>false</LinksUpToDate>
  <CharactersWithSpaces>11395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2025-10-14T03:47:16Z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