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吉木萨尔县医疗保障局2024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87F4D66">
      <w:r>
        <w:br w:type="page"/>
      </w:r>
    </w:p>
    <w:p w14:paraId="5BD9457B">
      <w:pPr>
        <w:spacing w:line="640" w:lineRule="exact"/>
        <w:jc w:val="center"/>
        <w:outlineLvl w:val="1"/>
      </w:pPr>
      <w:r>
        <w:rPr>
          <w:rFonts w:ascii="黑体" w:hAnsi="黑体" w:eastAsia="黑体"/>
          <w:sz w:val="32"/>
        </w:rPr>
        <w:t>第一部分 单位概况</w:t>
      </w:r>
    </w:p>
    <w:p w14:paraId="4DD5626F">
      <w:pPr>
        <w:spacing w:line="640" w:lineRule="exact"/>
        <w:ind w:firstLine="640"/>
        <w:jc w:val="both"/>
        <w:outlineLvl w:val="2"/>
      </w:pPr>
      <w:r>
        <w:rPr>
          <w:rFonts w:ascii="黑体" w:hAnsi="黑体" w:eastAsia="黑体"/>
          <w:sz w:val="32"/>
        </w:rPr>
        <w:t>一、主要职能</w:t>
      </w:r>
    </w:p>
    <w:p w14:paraId="7977C8C7">
      <w:pPr>
        <w:spacing w:line="580" w:lineRule="exact"/>
        <w:ind w:firstLine="640"/>
        <w:jc w:val="both"/>
      </w:pPr>
      <w:bookmarkStart w:id="0" w:name="_GoBack"/>
      <w:r>
        <w:rPr>
          <w:rFonts w:ascii="仿宋_GB2312" w:hAnsi="仿宋_GB2312" w:eastAsia="仿宋_GB2312"/>
          <w:sz w:val="32"/>
        </w:rPr>
        <w:t>1、</w:t>
      </w:r>
      <w:bookmarkEnd w:id="0"/>
      <w:r>
        <w:rPr>
          <w:rFonts w:ascii="仿宋_GB2312" w:hAnsi="仿宋_GB2312" w:eastAsia="仿宋_GB2312"/>
          <w:sz w:val="32"/>
        </w:rPr>
        <w:t>贯彻落实国家及自治区、自治州医疗保险、生育保险、医疗救助等医疗保障政策；执行自治州医疗保险、生育保险、长期护理保险、医疗救助、大病保险、大额医疗补助、公务员医疗补助、企事业单位补充医疗保险、离休人员和优抚对象医疗保障等政策措施、管理办法。</w:t>
      </w:r>
    </w:p>
    <w:p w14:paraId="4BD62703">
      <w:pPr>
        <w:spacing w:line="580" w:lineRule="exact"/>
        <w:ind w:firstLine="640"/>
        <w:jc w:val="both"/>
      </w:pPr>
      <w:r>
        <w:rPr>
          <w:rFonts w:ascii="仿宋_GB2312" w:hAnsi="仿宋_GB2312" w:eastAsia="仿宋_GB2312"/>
          <w:sz w:val="32"/>
        </w:rPr>
        <w:t>2、贯彻落实自治州医疗保障基金监督管理办法，建立健全医疗保障基金安全防控机制，推进医疗保障基金支付方式改革工作，编制县医疗保障基金预决算草案。</w:t>
      </w:r>
    </w:p>
    <w:p w14:paraId="157CA13C">
      <w:pPr>
        <w:spacing w:line="580" w:lineRule="exact"/>
        <w:ind w:firstLine="640"/>
        <w:jc w:val="both"/>
      </w:pPr>
      <w:r>
        <w:rPr>
          <w:rFonts w:ascii="仿宋_GB2312" w:hAnsi="仿宋_GB2312" w:eastAsia="仿宋_GB2312"/>
          <w:sz w:val="32"/>
        </w:rPr>
        <w:t>3、贯彻落实自治州药品、医用耗材价格和医疗服务项目、医疗服务设施收费等政策措施并监督实施；执行自治区制定的药品、医用耗材的招标采购政策并监督实施，落实医保支付医药服务价格合理确定和动态调整机制，建立健全市场主导的社会医药服务价格形成机制。落实医药服务价格信息监测和信息发布制度。</w:t>
      </w:r>
    </w:p>
    <w:p w14:paraId="19FE472E">
      <w:pPr>
        <w:spacing w:line="580" w:lineRule="exact"/>
        <w:ind w:firstLine="640"/>
        <w:jc w:val="both"/>
      </w:pPr>
      <w:r>
        <w:rPr>
          <w:rFonts w:ascii="仿宋_GB2312" w:hAnsi="仿宋_GB2312" w:eastAsia="仿宋_GB2312"/>
          <w:sz w:val="32"/>
        </w:rPr>
        <w:t>4、贯彻落实药品、医用耗材、医疗服务项目、医疗服务设施等医保目录和支付标准，执行动态调整机制。</w:t>
      </w:r>
    </w:p>
    <w:p w14:paraId="1DA6DD34">
      <w:pPr>
        <w:spacing w:line="580" w:lineRule="exact"/>
        <w:ind w:firstLine="640"/>
        <w:jc w:val="both"/>
      </w:pPr>
      <w:r>
        <w:rPr>
          <w:rFonts w:ascii="仿宋_GB2312" w:hAnsi="仿宋_GB2312" w:eastAsia="仿宋_GB2312"/>
          <w:sz w:val="32"/>
        </w:rPr>
        <w:t>5、贯彻落实定点医药机构协议和支付管理办法，建立健全医疗保障信用评价体系和信息披露制度，监督管理纳入医保范围内的医疗服务行为和医疗费用，依法查处医疗保障、生育保险领域违法违规行为。</w:t>
      </w:r>
    </w:p>
    <w:p w14:paraId="48983CB7">
      <w:pPr>
        <w:spacing w:line="580" w:lineRule="exact"/>
        <w:ind w:firstLine="640"/>
        <w:jc w:val="both"/>
      </w:pPr>
      <w:r>
        <w:rPr>
          <w:rFonts w:ascii="仿宋_GB2312" w:hAnsi="仿宋_GB2312" w:eastAsia="仿宋_GB2312"/>
          <w:sz w:val="32"/>
        </w:rPr>
        <w:t>6、负责医疗保障经办管理、公共服务体系和信息化建设。贯彻落实国家、自治区跨省异地就医管理和费用结算</w:t>
      </w:r>
      <w:r>
        <w:rPr>
          <w:rFonts w:hint="eastAsia" w:ascii="仿宋_GB2312" w:hAnsi="仿宋_GB2312" w:eastAsia="仿宋_GB2312"/>
          <w:sz w:val="32"/>
          <w:lang w:eastAsia="zh-CN"/>
        </w:rPr>
        <w:t>政策</w:t>
      </w:r>
      <w:r>
        <w:rPr>
          <w:rFonts w:ascii="仿宋_GB2312" w:hAnsi="仿宋_GB2312" w:eastAsia="仿宋_GB2312"/>
          <w:sz w:val="32"/>
        </w:rPr>
        <w:t>，执行自治州异地就医和费用结算政策措施。贯彻落实医疗保障关系转移接续制度。指导医疗保障经办机构开展业务工作。</w:t>
      </w:r>
    </w:p>
    <w:p w14:paraId="5F8B621C">
      <w:pPr>
        <w:spacing w:line="580" w:lineRule="exact"/>
        <w:ind w:firstLine="640"/>
        <w:jc w:val="both"/>
      </w:pPr>
      <w:r>
        <w:rPr>
          <w:rFonts w:ascii="仿宋_GB2312" w:hAnsi="仿宋_GB2312" w:eastAsia="仿宋_GB2312"/>
          <w:sz w:val="32"/>
        </w:rPr>
        <w:t>7、完成县党委、县人民政府交办的其他工作。</w:t>
      </w:r>
    </w:p>
    <w:p w14:paraId="1A882CBF">
      <w:pPr>
        <w:spacing w:line="640" w:lineRule="exact"/>
        <w:ind w:firstLine="640"/>
        <w:jc w:val="both"/>
        <w:outlineLvl w:val="2"/>
      </w:pPr>
      <w:r>
        <w:rPr>
          <w:rFonts w:ascii="黑体" w:hAnsi="黑体" w:eastAsia="黑体"/>
          <w:sz w:val="32"/>
        </w:rPr>
        <w:t>二、机构设置及人员情况</w:t>
      </w:r>
    </w:p>
    <w:p w14:paraId="44E459C9">
      <w:pPr>
        <w:spacing w:line="580" w:lineRule="exact"/>
        <w:ind w:firstLine="640"/>
        <w:jc w:val="both"/>
      </w:pPr>
      <w:r>
        <w:rPr>
          <w:rFonts w:ascii="仿宋_GB2312" w:hAnsi="仿宋_GB2312" w:eastAsia="仿宋_GB2312"/>
          <w:sz w:val="32"/>
        </w:rPr>
        <w:t>吉木萨尔县医疗保障局2024年度，实有人数22人，其中：在职人员20人，增加0人；离休人员0人，增加0人；退休人员2人,增加2人。</w:t>
      </w:r>
    </w:p>
    <w:p w14:paraId="52955E5D">
      <w:pPr>
        <w:spacing w:line="580" w:lineRule="exact"/>
        <w:ind w:firstLine="640"/>
        <w:jc w:val="both"/>
      </w:pPr>
      <w:r>
        <w:rPr>
          <w:rFonts w:ascii="仿宋_GB2312" w:hAnsi="仿宋_GB2312" w:eastAsia="仿宋_GB2312"/>
          <w:sz w:val="32"/>
        </w:rPr>
        <w:t>吉木萨尔县医疗保障局无下属预算单位，下设4个科室，分别是：经办一科、经办二科、经办三科、行政办。</w:t>
      </w:r>
    </w:p>
    <w:p w14:paraId="4D7BA124">
      <w:r>
        <w:br w:type="page"/>
      </w:r>
    </w:p>
    <w:p w14:paraId="4D0BA5DB">
      <w:pPr>
        <w:spacing w:line="240" w:lineRule="auto"/>
        <w:jc w:val="center"/>
        <w:outlineLvl w:val="1"/>
      </w:pPr>
      <w:r>
        <w:rPr>
          <w:rFonts w:ascii="黑体" w:hAnsi="黑体" w:eastAsia="黑体"/>
          <w:sz w:val="32"/>
        </w:rPr>
        <w:t>第二部分 部门决算情况说明</w:t>
      </w:r>
    </w:p>
    <w:p w14:paraId="2FEFBA7B">
      <w:pPr>
        <w:spacing w:line="640" w:lineRule="exact"/>
        <w:ind w:firstLine="640"/>
        <w:jc w:val="both"/>
        <w:outlineLvl w:val="2"/>
      </w:pPr>
      <w:r>
        <w:rPr>
          <w:rFonts w:ascii="黑体" w:hAnsi="黑体" w:eastAsia="黑体"/>
          <w:sz w:val="32"/>
        </w:rPr>
        <w:t>一、收入支出决算总体情况说明</w:t>
      </w:r>
    </w:p>
    <w:p w14:paraId="6D760062">
      <w:pPr>
        <w:spacing w:line="580" w:lineRule="exact"/>
        <w:ind w:firstLine="640"/>
        <w:jc w:val="both"/>
      </w:pPr>
      <w:r>
        <w:rPr>
          <w:rFonts w:ascii="仿宋_GB2312" w:hAnsi="仿宋_GB2312" w:eastAsia="仿宋_GB2312"/>
          <w:b/>
          <w:sz w:val="32"/>
        </w:rPr>
        <w:t>2024年度收入总计452.71万元，</w:t>
      </w:r>
      <w:r>
        <w:rPr>
          <w:rFonts w:ascii="仿宋_GB2312" w:hAnsi="仿宋_GB2312" w:eastAsia="仿宋_GB2312"/>
          <w:b w:val="0"/>
          <w:sz w:val="32"/>
        </w:rPr>
        <w:t>其中：本年收入合计452.01万元，使用非财政拨款结余（含专用结余）0.00万元，年初结转和结余0.70万元。</w:t>
      </w:r>
    </w:p>
    <w:p w14:paraId="00BC07C2">
      <w:pPr>
        <w:spacing w:line="580" w:lineRule="exact"/>
        <w:ind w:firstLine="640"/>
        <w:jc w:val="both"/>
      </w:pPr>
      <w:r>
        <w:rPr>
          <w:rFonts w:ascii="仿宋_GB2312" w:hAnsi="仿宋_GB2312" w:eastAsia="仿宋_GB2312"/>
          <w:b/>
          <w:sz w:val="32"/>
        </w:rPr>
        <w:t>2024年度支出总计452.71万元，</w:t>
      </w:r>
      <w:r>
        <w:rPr>
          <w:rFonts w:ascii="仿宋_GB2312" w:hAnsi="仿宋_GB2312" w:eastAsia="仿宋_GB2312"/>
          <w:b w:val="0"/>
          <w:sz w:val="32"/>
        </w:rPr>
        <w:t>其中：本年支出合计447.51万元，结余分配0.00万元，年末结转和结余5.20万元。</w:t>
      </w:r>
    </w:p>
    <w:p w14:paraId="72D63D22">
      <w:pPr>
        <w:spacing w:line="580" w:lineRule="exact"/>
        <w:ind w:firstLine="640"/>
        <w:jc w:val="both"/>
      </w:pPr>
      <w:r>
        <w:rPr>
          <w:rFonts w:ascii="仿宋_GB2312" w:hAnsi="仿宋_GB2312" w:eastAsia="仿宋_GB2312"/>
          <w:b w:val="0"/>
          <w:sz w:val="32"/>
        </w:rPr>
        <w:t>收入支出总体与上年相比，减少42.19万元，下降8.52%，主要原因是：本年政府购买服务岗</w:t>
      </w:r>
      <w:r>
        <w:rPr>
          <w:rFonts w:ascii="仿宋_GB2312" w:hAnsi="仿宋_GB2312" w:eastAsia="仿宋_GB2312"/>
          <w:b w:val="0"/>
          <w:sz w:val="32"/>
        </w:rPr>
        <w:t>人员减少，相关人员经费减少。本年自治区财政全面参保及医疗服务经费补助资金较上年减少。</w:t>
      </w:r>
    </w:p>
    <w:p w14:paraId="11873FFA">
      <w:pPr>
        <w:spacing w:line="640" w:lineRule="exact"/>
        <w:ind w:firstLine="640"/>
        <w:jc w:val="both"/>
        <w:outlineLvl w:val="2"/>
      </w:pPr>
      <w:r>
        <w:rPr>
          <w:rFonts w:ascii="黑体" w:hAnsi="黑体" w:eastAsia="黑体"/>
          <w:sz w:val="32"/>
        </w:rPr>
        <w:t>二、收入决算情况说明</w:t>
      </w:r>
    </w:p>
    <w:p w14:paraId="45111C70">
      <w:pPr>
        <w:spacing w:line="580" w:lineRule="exact"/>
        <w:ind w:firstLine="640"/>
        <w:jc w:val="both"/>
      </w:pPr>
      <w:r>
        <w:rPr>
          <w:rFonts w:ascii="仿宋_GB2312" w:hAnsi="仿宋_GB2312" w:eastAsia="仿宋_GB2312"/>
          <w:b/>
          <w:sz w:val="32"/>
        </w:rPr>
        <w:t>本年收入452.01万元，</w:t>
      </w:r>
      <w:r>
        <w:rPr>
          <w:rFonts w:ascii="仿宋_GB2312" w:hAnsi="仿宋_GB2312" w:eastAsia="仿宋_GB2312"/>
          <w:b w:val="0"/>
          <w:sz w:val="32"/>
        </w:rPr>
        <w:t>其中：财政拨款收入437.58万元，占96.81%；上级补助收入0.00万元，占0.00%；事业收入0.00万元，占0.00%；经营收入0.00万元，占0.00%；附属单位上缴收入0.00万元，占0.00%；其他收入14.42万元，占3.19%。</w:t>
      </w:r>
    </w:p>
    <w:p w14:paraId="36393643">
      <w:pPr>
        <w:spacing w:line="640" w:lineRule="exact"/>
        <w:ind w:firstLine="640"/>
        <w:jc w:val="both"/>
        <w:outlineLvl w:val="2"/>
      </w:pPr>
      <w:r>
        <w:rPr>
          <w:rFonts w:ascii="黑体" w:hAnsi="黑体" w:eastAsia="黑体"/>
          <w:sz w:val="32"/>
        </w:rPr>
        <w:t>三、支出决算情况说明</w:t>
      </w:r>
    </w:p>
    <w:p w14:paraId="42656B84">
      <w:pPr>
        <w:spacing w:line="580" w:lineRule="exact"/>
        <w:ind w:firstLine="640"/>
        <w:jc w:val="both"/>
      </w:pPr>
      <w:r>
        <w:rPr>
          <w:rFonts w:ascii="仿宋_GB2312" w:hAnsi="仿宋_GB2312" w:eastAsia="仿宋_GB2312"/>
          <w:b/>
          <w:sz w:val="32"/>
        </w:rPr>
        <w:t>本年支出447.51万元，</w:t>
      </w:r>
      <w:r>
        <w:rPr>
          <w:rFonts w:ascii="仿宋_GB2312" w:hAnsi="仿宋_GB2312" w:eastAsia="仿宋_GB2312"/>
          <w:b w:val="0"/>
          <w:sz w:val="32"/>
        </w:rPr>
        <w:t>其中：基本支出406.61万元，占90.86%；项目支出40.90万元，占9.14%；上缴上级支出0.00万元，占0.00%；经营支出0.00万元，占0.00%；对附属单位补助支出0.00万元，占0.00%。</w:t>
      </w:r>
    </w:p>
    <w:p w14:paraId="7E18D243">
      <w:pPr>
        <w:spacing w:line="640" w:lineRule="exact"/>
        <w:ind w:firstLine="640"/>
        <w:jc w:val="both"/>
        <w:outlineLvl w:val="2"/>
      </w:pPr>
      <w:r>
        <w:rPr>
          <w:rFonts w:ascii="黑体" w:hAnsi="黑体" w:eastAsia="黑体"/>
          <w:sz w:val="32"/>
        </w:rPr>
        <w:t>四、财政拨款收入支出决算总体情况说明</w:t>
      </w:r>
    </w:p>
    <w:p w14:paraId="3FFDF7EA">
      <w:pPr>
        <w:spacing w:line="580" w:lineRule="exact"/>
        <w:ind w:firstLine="640"/>
        <w:jc w:val="both"/>
      </w:pPr>
      <w:r>
        <w:rPr>
          <w:rFonts w:ascii="仿宋_GB2312" w:hAnsi="仿宋_GB2312" w:eastAsia="仿宋_GB2312"/>
          <w:b/>
          <w:sz w:val="32"/>
        </w:rPr>
        <w:t>2024年度财政拨款收入总计437.58万元，</w:t>
      </w:r>
      <w:r>
        <w:rPr>
          <w:rFonts w:ascii="仿宋_GB2312" w:hAnsi="仿宋_GB2312" w:eastAsia="仿宋_GB2312"/>
          <w:b w:val="0"/>
          <w:sz w:val="32"/>
        </w:rPr>
        <w:t>其中：年初财政拨款结转和结余0.00万元，本年财政拨款收入437.58万元。</w:t>
      </w:r>
      <w:r>
        <w:rPr>
          <w:rFonts w:ascii="仿宋_GB2312" w:hAnsi="仿宋_GB2312" w:eastAsia="仿宋_GB2312"/>
          <w:b/>
          <w:sz w:val="32"/>
        </w:rPr>
        <w:t>财政拨款支出总计437.58万元，</w:t>
      </w:r>
      <w:r>
        <w:rPr>
          <w:rFonts w:ascii="仿宋_GB2312" w:hAnsi="仿宋_GB2312" w:eastAsia="仿宋_GB2312"/>
          <w:b w:val="0"/>
          <w:sz w:val="32"/>
        </w:rPr>
        <w:t>其中：年末财政拨款结转和结余0.00万元，本年财政拨款支出437.58万元。</w:t>
      </w:r>
    </w:p>
    <w:p w14:paraId="2A690C0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减少56.15万元，下降11.37%，主要原因是：本年政府购买服务岗人员减少，相关人员经费减少。本年自治区财政全面参保及医疗服务经费补助资金较上年减少。</w:t>
      </w:r>
      <w:r>
        <w:rPr>
          <w:rFonts w:ascii="仿宋_GB2312" w:hAnsi="仿宋_GB2312" w:eastAsia="仿宋_GB2312"/>
          <w:b/>
          <w:sz w:val="32"/>
        </w:rPr>
        <w:t>与年初预算相比，</w:t>
      </w:r>
      <w:r>
        <w:rPr>
          <w:rFonts w:ascii="仿宋_GB2312" w:hAnsi="仿宋_GB2312" w:eastAsia="仿宋_GB2312"/>
          <w:b w:val="0"/>
          <w:sz w:val="32"/>
        </w:rPr>
        <w:t>年初预算数411.11万元，决算数437.58万元，预决算差异率6.44%，主要原因是：年中追加人员工资、社保、公积金基数调增部分资金，导致预决算存在差异。</w:t>
      </w:r>
    </w:p>
    <w:p w14:paraId="06F8AC71">
      <w:pPr>
        <w:spacing w:line="640" w:lineRule="exact"/>
        <w:ind w:firstLine="640"/>
        <w:jc w:val="both"/>
        <w:outlineLvl w:val="2"/>
      </w:pPr>
      <w:r>
        <w:rPr>
          <w:rFonts w:ascii="黑体" w:hAnsi="黑体" w:eastAsia="黑体"/>
          <w:sz w:val="32"/>
        </w:rPr>
        <w:t>五、一般公共预算财政拨款支出决算情况说明</w:t>
      </w:r>
    </w:p>
    <w:p w14:paraId="0FCCF5B6">
      <w:pPr>
        <w:spacing w:line="640" w:lineRule="exact"/>
        <w:ind w:firstLine="640"/>
        <w:jc w:val="both"/>
        <w:outlineLvl w:val="3"/>
      </w:pPr>
      <w:r>
        <w:rPr>
          <w:rFonts w:ascii="楷体_GB2312" w:hAnsi="楷体_GB2312" w:eastAsia="楷体_GB2312"/>
          <w:b/>
          <w:sz w:val="32"/>
        </w:rPr>
        <w:t>（一）一般公共预算财政拨款支出决算总体情况</w:t>
      </w:r>
    </w:p>
    <w:p w14:paraId="00B3B868">
      <w:pPr>
        <w:spacing w:line="580" w:lineRule="exact"/>
        <w:ind w:firstLine="640"/>
        <w:jc w:val="both"/>
      </w:pPr>
      <w:r>
        <w:rPr>
          <w:rFonts w:ascii="仿宋_GB2312" w:hAnsi="仿宋_GB2312" w:eastAsia="仿宋_GB2312"/>
          <w:b/>
          <w:sz w:val="32"/>
        </w:rPr>
        <w:t>2024年度一般公共预算财政拨款支出437.58万元，</w:t>
      </w:r>
      <w:r>
        <w:rPr>
          <w:rFonts w:ascii="仿宋_GB2312" w:hAnsi="仿宋_GB2312" w:eastAsia="仿宋_GB2312"/>
          <w:b w:val="0"/>
          <w:sz w:val="32"/>
        </w:rPr>
        <w:t>占本年支出合计的97.78%。</w:t>
      </w:r>
      <w:r>
        <w:rPr>
          <w:rFonts w:ascii="仿宋_GB2312" w:hAnsi="仿宋_GB2312" w:eastAsia="仿宋_GB2312"/>
          <w:b/>
          <w:sz w:val="32"/>
        </w:rPr>
        <w:t>与上年相比，</w:t>
      </w:r>
      <w:r>
        <w:rPr>
          <w:rFonts w:ascii="仿宋_GB2312" w:hAnsi="仿宋_GB2312" w:eastAsia="仿宋_GB2312"/>
          <w:b w:val="0"/>
          <w:sz w:val="32"/>
        </w:rPr>
        <w:t>增加29.43万元，增长7.21%，主要原因是：本年增加昌吉州州级统筹社会保险扩面征收工作经费。</w:t>
      </w:r>
      <w:r>
        <w:rPr>
          <w:rFonts w:ascii="仿宋_GB2312" w:hAnsi="仿宋_GB2312" w:eastAsia="仿宋_GB2312"/>
          <w:b/>
          <w:sz w:val="32"/>
        </w:rPr>
        <w:t>与年初预算相比,</w:t>
      </w:r>
      <w:r>
        <w:rPr>
          <w:rFonts w:ascii="仿宋_GB2312" w:hAnsi="仿宋_GB2312" w:eastAsia="仿宋_GB2312"/>
          <w:b w:val="0"/>
          <w:sz w:val="32"/>
        </w:rPr>
        <w:t>年初预算数411.11万元，决算数437.58万元，预决算差异率6.44%，主要原因是：年中追加人员工资、社保、公积金基数调增部分资金，导致预决算存在差异。</w:t>
      </w:r>
    </w:p>
    <w:p w14:paraId="025ABBCF">
      <w:pPr>
        <w:spacing w:line="640" w:lineRule="exact"/>
        <w:ind w:firstLine="640"/>
        <w:jc w:val="both"/>
        <w:outlineLvl w:val="3"/>
      </w:pPr>
      <w:r>
        <w:rPr>
          <w:rFonts w:ascii="楷体_GB2312" w:hAnsi="楷体_GB2312" w:eastAsia="楷体_GB2312"/>
          <w:b/>
          <w:sz w:val="32"/>
        </w:rPr>
        <w:t>（二）一般公共预算财政拨款支出决算结构情况</w:t>
      </w:r>
    </w:p>
    <w:p w14:paraId="64AB7CD9">
      <w:pPr>
        <w:spacing w:line="580" w:lineRule="exact"/>
        <w:ind w:firstLine="640"/>
        <w:jc w:val="both"/>
      </w:pPr>
      <w:r>
        <w:rPr>
          <w:rFonts w:ascii="仿宋_GB2312" w:hAnsi="仿宋_GB2312" w:eastAsia="仿宋_GB2312"/>
          <w:b w:val="0"/>
          <w:sz w:val="32"/>
        </w:rPr>
        <w:t>1.科学技术支出(类)0.51万元,占0.12%。</w:t>
      </w:r>
    </w:p>
    <w:p w14:paraId="535F6C67">
      <w:pPr>
        <w:spacing w:line="580" w:lineRule="exact"/>
        <w:ind w:firstLine="640"/>
        <w:jc w:val="both"/>
      </w:pPr>
      <w:r>
        <w:rPr>
          <w:rFonts w:ascii="仿宋_GB2312" w:hAnsi="仿宋_GB2312" w:eastAsia="仿宋_GB2312"/>
          <w:b w:val="0"/>
          <w:sz w:val="32"/>
        </w:rPr>
        <w:t>2.社会保障和就业支出(类)55.99万元,占12.80%。</w:t>
      </w:r>
    </w:p>
    <w:p w14:paraId="39D65C95">
      <w:pPr>
        <w:spacing w:line="580" w:lineRule="exact"/>
        <w:ind w:firstLine="640"/>
        <w:jc w:val="both"/>
      </w:pPr>
      <w:r>
        <w:rPr>
          <w:rFonts w:ascii="仿宋_GB2312" w:hAnsi="仿宋_GB2312" w:eastAsia="仿宋_GB2312"/>
          <w:b w:val="0"/>
          <w:sz w:val="32"/>
        </w:rPr>
        <w:t>3.卫生健康支出(类)355.35万元,占81.21%。</w:t>
      </w:r>
    </w:p>
    <w:p w14:paraId="3CC2673B">
      <w:pPr>
        <w:spacing w:line="580" w:lineRule="exact"/>
        <w:ind w:firstLine="640"/>
        <w:jc w:val="both"/>
      </w:pPr>
      <w:r>
        <w:rPr>
          <w:rFonts w:ascii="仿宋_GB2312" w:hAnsi="仿宋_GB2312" w:eastAsia="仿宋_GB2312"/>
          <w:b w:val="0"/>
          <w:sz w:val="32"/>
        </w:rPr>
        <w:t>4.住房保障支出(类)25.74万元,占5.88%。</w:t>
      </w:r>
    </w:p>
    <w:p w14:paraId="6CD0F19B">
      <w:pPr>
        <w:spacing w:line="640" w:lineRule="exact"/>
        <w:ind w:firstLine="640"/>
        <w:jc w:val="both"/>
        <w:outlineLvl w:val="3"/>
      </w:pPr>
      <w:r>
        <w:rPr>
          <w:rFonts w:ascii="楷体_GB2312" w:hAnsi="楷体_GB2312" w:eastAsia="楷体_GB2312"/>
          <w:b/>
          <w:sz w:val="32"/>
        </w:rPr>
        <w:t>（三）一般公共预算财政拨款支出决算具体情况</w:t>
      </w:r>
    </w:p>
    <w:p w14:paraId="03B20796">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1.科学技术支出(类)科技条件与服务(款)其他科技条件与服务支出(项):支出决算数为0.51万元，比上年决算增加0.51万元，增长100.00%,主要原因是：本年增加办公费，导致经费较上年增加。</w:t>
      </w:r>
    </w:p>
    <w:p w14:paraId="47DA5F01">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2.社会保障和就业支出(类)行政事业单位养老支出(款)行政单位离退休(项):支出决算数为0.37万元，比上年决算增加0.37万元，增长100.00%,主要原因是：本年新增退休人员，退休费支出增加。</w:t>
      </w:r>
    </w:p>
    <w:p w14:paraId="4C22033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31.62万元，比上年决算增加2.25万元，增长7.66%,主要原因是：本年在职人员工资基数调增，养老缴费基数上涨，相应支出增加。</w:t>
      </w:r>
    </w:p>
    <w:p w14:paraId="2621843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4.社会保障和就业支出(类)行政事业单位养老支出(款)机关事业单位职业年金缴费支出(项):支出决算数为24.00万元，比上年决算增加9.42万元，增长64.61%,主要原因是：本年新增退休人员，职业年金缴费支出增加。</w:t>
      </w:r>
    </w:p>
    <w:p w14:paraId="0DF11F08">
      <w:pPr>
        <w:spacing w:line="580" w:lineRule="exact"/>
        <w:ind w:firstLine="640"/>
        <w:jc w:val="both"/>
      </w:pPr>
      <w:r>
        <w:rPr>
          <w:rFonts w:ascii="仿宋_GB2312" w:hAnsi="仿宋_GB2312" w:eastAsia="仿宋_GB2312"/>
          <w:b w:val="0"/>
          <w:sz w:val="32"/>
        </w:rPr>
        <w:t>5.卫生健康支出(类)行政事业单位医疗(款)行政单位医疗(项):支出决算数为4.52万元，比上年决算增加0.15万元，增长3.43%,主要原因是：本年在职人员工资基数调增，医疗缴费基数上涨，相应支出增加。</w:t>
      </w:r>
    </w:p>
    <w:p w14:paraId="49C5F44F">
      <w:pPr>
        <w:spacing w:line="580" w:lineRule="exact"/>
        <w:ind w:firstLine="640"/>
        <w:jc w:val="both"/>
      </w:pPr>
      <w:r>
        <w:rPr>
          <w:rFonts w:ascii="仿宋_GB2312" w:hAnsi="仿宋_GB2312" w:eastAsia="仿宋_GB2312"/>
          <w:b w:val="0"/>
          <w:sz w:val="32"/>
        </w:rPr>
        <w:t>6.卫生健康支出(类)行政事业单位医疗(款)事业单位医疗(项):支出决算数为12.36万元，比上年决算增加1.43万元，增长13.08%,主要原因是：本年在职人员工资基数调增，医疗缴费基数上涨，相应支出增加。</w:t>
      </w:r>
    </w:p>
    <w:p w14:paraId="01284E4D">
      <w:pPr>
        <w:spacing w:line="580" w:lineRule="exact"/>
        <w:ind w:firstLine="640"/>
        <w:jc w:val="both"/>
      </w:pPr>
      <w:r>
        <w:rPr>
          <w:rFonts w:ascii="仿宋_GB2312" w:hAnsi="仿宋_GB2312" w:eastAsia="仿宋_GB2312"/>
          <w:b w:val="0"/>
          <w:sz w:val="32"/>
        </w:rPr>
        <w:t>7.卫生健康支出(类)行政事业单位医疗(款)公务员医疗补助(项):支出决算数为1.03万元，比上年决算增加0.12万元，增长13.19%,主要原因是：本年在职人员工资基数调增，医疗缴费基数上涨，相应支出增加。</w:t>
      </w:r>
    </w:p>
    <w:p w14:paraId="3E6C6711">
      <w:pPr>
        <w:spacing w:line="580" w:lineRule="exact"/>
        <w:ind w:firstLine="640"/>
        <w:jc w:val="both"/>
      </w:pPr>
      <w:r>
        <w:rPr>
          <w:rFonts w:ascii="仿宋_GB2312" w:hAnsi="仿宋_GB2312" w:eastAsia="仿宋_GB2312"/>
          <w:b w:val="0"/>
          <w:sz w:val="32"/>
        </w:rPr>
        <w:t>8.卫生健康支出(类)医疗保障管理事务(款)行政运行(项):支出决算数为96.71万元，比上年决算减少9.74万元，下降9.15%,主要原因是：本年</w:t>
      </w:r>
      <w:r>
        <w:rPr>
          <w:rFonts w:hint="eastAsia" w:ascii="仿宋_GB2312" w:hAnsi="仿宋_GB2312" w:eastAsia="仿宋_GB2312"/>
          <w:b w:val="0"/>
          <w:sz w:val="32"/>
          <w:lang w:val="en-US" w:eastAsia="zh-CN"/>
        </w:rPr>
        <w:t>人员退休，调入，人员职级不同，基数不同</w:t>
      </w:r>
      <w:r>
        <w:rPr>
          <w:rFonts w:ascii="仿宋_GB2312" w:hAnsi="仿宋_GB2312" w:eastAsia="仿宋_GB2312"/>
          <w:b w:val="0"/>
          <w:sz w:val="32"/>
        </w:rPr>
        <w:t>，相应人员经费较上年减少。</w:t>
      </w:r>
    </w:p>
    <w:p w14:paraId="27B8CC48">
      <w:pPr>
        <w:spacing w:line="580" w:lineRule="exact"/>
        <w:ind w:firstLine="640"/>
        <w:jc w:val="both"/>
      </w:pPr>
      <w:r>
        <w:rPr>
          <w:rFonts w:ascii="仿宋_GB2312" w:hAnsi="仿宋_GB2312" w:eastAsia="仿宋_GB2312"/>
          <w:b w:val="0"/>
          <w:sz w:val="32"/>
        </w:rPr>
        <w:t>9.卫生健康支出(类)医疗保障管理事务(款)医疗保障经办事务(项):支出决算数为36.99万元，比上年决算增加21.97万元，增长146.27%,主要原因是：本年增加昌吉州州级统筹社会保险扩面征收工作经费。</w:t>
      </w:r>
    </w:p>
    <w:p w14:paraId="44064B67">
      <w:pPr>
        <w:spacing w:line="580" w:lineRule="exact"/>
        <w:ind w:firstLine="640"/>
        <w:jc w:val="both"/>
      </w:pPr>
      <w:r>
        <w:rPr>
          <w:rFonts w:ascii="仿宋_GB2312" w:hAnsi="仿宋_GB2312" w:eastAsia="仿宋_GB2312"/>
          <w:b w:val="0"/>
          <w:sz w:val="32"/>
        </w:rPr>
        <w:t>10.卫生健康支出(类)医疗保障管理事务(款)事业运行(项):支出决算数为181.25万元，比上年决算增加5.28万元，增长3.00%,主要原因是：本年在职人员工资调增，导致相关人员经费较上年有所增加。</w:t>
      </w:r>
    </w:p>
    <w:p w14:paraId="07654C90">
      <w:pPr>
        <w:spacing w:line="580" w:lineRule="exact"/>
        <w:ind w:firstLine="640"/>
        <w:jc w:val="both"/>
      </w:pPr>
      <w:r>
        <w:rPr>
          <w:rFonts w:ascii="仿宋_GB2312" w:hAnsi="仿宋_GB2312" w:eastAsia="仿宋_GB2312"/>
          <w:b w:val="0"/>
          <w:sz w:val="32"/>
        </w:rPr>
        <w:t>11.卫生健康支出(类)医疗保障管理事务(款)其他医疗保障管理事务支出(项):支出决算数为22.48万元，比上年决算减少2.13万元，下降8.66%,主要原因是：本年自治区财政全面参保及医疗服务经费补助资金较上年减少。</w:t>
      </w:r>
    </w:p>
    <w:p w14:paraId="46A16A42">
      <w:pPr>
        <w:spacing w:line="580" w:lineRule="exact"/>
        <w:ind w:firstLine="640"/>
        <w:jc w:val="both"/>
      </w:pPr>
      <w:r>
        <w:rPr>
          <w:rFonts w:ascii="仿宋_GB2312" w:hAnsi="仿宋_GB2312" w:eastAsia="仿宋_GB2312"/>
          <w:b w:val="0"/>
          <w:sz w:val="32"/>
        </w:rPr>
        <w:t>12.卫生健康支出(类)其他卫生健康支出(款)其他卫生健康支出(项):支出决算数为0.00万元，比上年决算减少2.63万元，下降100.00%,主要原因是：本年度减少</w:t>
      </w:r>
      <w:r>
        <w:rPr>
          <w:rFonts w:hint="eastAsia" w:ascii="仿宋_GB2312" w:hAnsi="仿宋_GB2312" w:eastAsia="仿宋_GB2312"/>
          <w:b w:val="0"/>
          <w:sz w:val="32"/>
          <w:lang w:val="en-US" w:eastAsia="zh-CN"/>
        </w:rPr>
        <w:t>政府购买服务岗</w:t>
      </w:r>
      <w:r>
        <w:rPr>
          <w:rFonts w:ascii="仿宋_GB2312" w:hAnsi="仿宋_GB2312" w:eastAsia="仿宋_GB2312"/>
          <w:b w:val="0"/>
          <w:sz w:val="32"/>
        </w:rPr>
        <w:t>人员医疗费。</w:t>
      </w:r>
    </w:p>
    <w:p w14:paraId="4F78E1F3">
      <w:pPr>
        <w:spacing w:line="580" w:lineRule="exact"/>
        <w:ind w:firstLine="640"/>
        <w:jc w:val="both"/>
      </w:pPr>
      <w:r>
        <w:rPr>
          <w:rFonts w:ascii="仿宋_GB2312" w:hAnsi="仿宋_GB2312" w:eastAsia="仿宋_GB2312"/>
          <w:b w:val="0"/>
          <w:sz w:val="32"/>
        </w:rPr>
        <w:t>13.住房保障支出(类)住房改革支出(款)住房公积金(项):支出决算数为25.74万元，比上年决算增加2.42万元，增长10.38%,主要原因是：本年在职人员工资基数调增，公积金缴费基数上涨，相应支出增加。</w:t>
      </w:r>
    </w:p>
    <w:p w14:paraId="5CEBACDA">
      <w:pPr>
        <w:spacing w:line="640" w:lineRule="exact"/>
        <w:ind w:firstLine="640"/>
        <w:jc w:val="both"/>
        <w:outlineLvl w:val="2"/>
      </w:pPr>
      <w:r>
        <w:rPr>
          <w:rFonts w:ascii="黑体" w:hAnsi="黑体" w:eastAsia="黑体"/>
          <w:sz w:val="32"/>
        </w:rPr>
        <w:t>六、一般公共预算财政拨款基本支出决算情况说明</w:t>
      </w:r>
    </w:p>
    <w:p w14:paraId="47AD423B">
      <w:pPr>
        <w:spacing w:line="580" w:lineRule="exact"/>
        <w:ind w:firstLine="640"/>
        <w:jc w:val="both"/>
      </w:pPr>
      <w:r>
        <w:rPr>
          <w:rFonts w:ascii="仿宋_GB2312" w:hAnsi="仿宋_GB2312" w:eastAsia="仿宋_GB2312"/>
          <w:b w:val="0"/>
          <w:sz w:val="32"/>
        </w:rPr>
        <w:t>2024年度一般公共预算财政拨款基本支出396.68万元，其中：</w:t>
      </w:r>
      <w:r>
        <w:rPr>
          <w:rFonts w:ascii="仿宋_GB2312" w:hAnsi="仿宋_GB2312" w:eastAsia="仿宋_GB2312"/>
          <w:b/>
          <w:sz w:val="32"/>
        </w:rPr>
        <w:t>人员经费361.62万元，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医疗费、其他工资福利支出、退休费、医疗费补助、其他对个人和家庭的补助。</w:t>
      </w:r>
    </w:p>
    <w:p w14:paraId="3179CA17">
      <w:pPr>
        <w:spacing w:line="580" w:lineRule="exact"/>
        <w:ind w:firstLine="640"/>
        <w:jc w:val="both"/>
      </w:pPr>
      <w:r>
        <w:rPr>
          <w:rFonts w:ascii="仿宋_GB2312" w:hAnsi="仿宋_GB2312" w:eastAsia="仿宋_GB2312"/>
          <w:b/>
          <w:sz w:val="32"/>
        </w:rPr>
        <w:t>公用经费35.06万元，</w:t>
      </w:r>
      <w:r>
        <w:rPr>
          <w:rFonts w:ascii="仿宋_GB2312" w:hAnsi="仿宋_GB2312" w:eastAsia="仿宋_GB2312"/>
          <w:b w:val="0"/>
          <w:sz w:val="32"/>
        </w:rPr>
        <w:t>包括：办公费、咨询费、邮电费、差旅费、工会经费、公务用车运行维护费、其他交通费用、办公设备购置。</w:t>
      </w:r>
    </w:p>
    <w:p w14:paraId="0BF38040">
      <w:pPr>
        <w:spacing w:line="640" w:lineRule="exact"/>
        <w:ind w:firstLine="640"/>
        <w:jc w:val="both"/>
        <w:outlineLvl w:val="2"/>
      </w:pPr>
      <w:r>
        <w:rPr>
          <w:rFonts w:ascii="黑体" w:hAnsi="黑体" w:eastAsia="黑体"/>
          <w:sz w:val="32"/>
        </w:rPr>
        <w:t>七、政府性基金预算财政拨款收入支出决算情况说明</w:t>
      </w:r>
    </w:p>
    <w:p w14:paraId="31B762C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AC303C8">
      <w:pPr>
        <w:spacing w:line="640" w:lineRule="exact"/>
        <w:ind w:firstLine="640"/>
        <w:jc w:val="both"/>
        <w:outlineLvl w:val="2"/>
      </w:pPr>
      <w:r>
        <w:rPr>
          <w:rFonts w:ascii="黑体" w:hAnsi="黑体" w:eastAsia="黑体"/>
          <w:sz w:val="32"/>
        </w:rPr>
        <w:t>八、国有资本经营预算财政拨款收入支出决算情况说明</w:t>
      </w:r>
    </w:p>
    <w:p w14:paraId="5AD0149D">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94C3D2E">
      <w:pPr>
        <w:spacing w:line="640" w:lineRule="exact"/>
        <w:ind w:firstLine="640"/>
        <w:jc w:val="both"/>
        <w:outlineLvl w:val="2"/>
      </w:pPr>
      <w:r>
        <w:rPr>
          <w:rFonts w:ascii="黑体" w:hAnsi="黑体" w:eastAsia="黑体"/>
          <w:sz w:val="32"/>
        </w:rPr>
        <w:t>九、财政拨款“三公”经费支出决算情况说明</w:t>
      </w:r>
    </w:p>
    <w:p w14:paraId="7FC3659F">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0.01万元，增长0.50%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2.00万元，占100.00%，比上年增加0.05万元，增长2.56%，主要原因是：本年因业务需求，用车次数增加，燃油费增加，导致公务用车运行维护费较上年增加。公务接待费支出0.00万元，占0.00%，比上年减少0.04万元，下降100.00%，主要原因是：本年未安排公务接待工作，导致公务接待费较上年减少。</w:t>
      </w:r>
    </w:p>
    <w:p w14:paraId="6A852563">
      <w:pPr>
        <w:spacing w:line="580" w:lineRule="exact"/>
        <w:ind w:firstLine="640"/>
        <w:jc w:val="both"/>
      </w:pPr>
      <w:r>
        <w:rPr>
          <w:rFonts w:ascii="仿宋_GB2312" w:hAnsi="仿宋_GB2312" w:eastAsia="仿宋_GB2312"/>
          <w:b/>
          <w:sz w:val="32"/>
        </w:rPr>
        <w:t>具体情况如下：</w:t>
      </w:r>
    </w:p>
    <w:p w14:paraId="2F47710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D78D40A">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484824A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2D549A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4A808E2F">
      <w:pPr>
        <w:spacing w:line="640" w:lineRule="exact"/>
        <w:ind w:firstLine="640"/>
        <w:jc w:val="both"/>
        <w:outlineLvl w:val="2"/>
      </w:pPr>
      <w:r>
        <w:rPr>
          <w:rFonts w:ascii="黑体" w:hAnsi="黑体" w:eastAsia="黑体"/>
          <w:sz w:val="32"/>
        </w:rPr>
        <w:t>十、其他重要事项的情况说明</w:t>
      </w:r>
    </w:p>
    <w:p w14:paraId="635CD384">
      <w:pPr>
        <w:spacing w:line="640" w:lineRule="exact"/>
        <w:ind w:firstLine="640"/>
        <w:jc w:val="both"/>
        <w:outlineLvl w:val="3"/>
      </w:pPr>
      <w:r>
        <w:rPr>
          <w:rFonts w:ascii="楷体_GB2312" w:hAnsi="楷体_GB2312" w:eastAsia="楷体_GB2312"/>
          <w:b/>
          <w:sz w:val="32"/>
        </w:rPr>
        <w:t>（一）机关运行经费及公用经费支出情况</w:t>
      </w:r>
    </w:p>
    <w:p w14:paraId="53F67258">
      <w:pPr>
        <w:spacing w:line="580" w:lineRule="exact"/>
        <w:ind w:firstLine="640"/>
        <w:jc w:val="both"/>
      </w:pPr>
      <w:r>
        <w:rPr>
          <w:rFonts w:ascii="仿宋_GB2312" w:hAnsi="仿宋_GB2312" w:eastAsia="仿宋_GB2312"/>
          <w:b w:val="0"/>
          <w:sz w:val="32"/>
        </w:rPr>
        <w:t>2024年度吉木萨尔县医疗保障局（行政单位和参照公务员法管理事业单位）机关运行经费支出35.06万元，比上年减少25.71万元，下降42.31%，主要原因是：本年减少差旅费、租赁费、印刷费等。</w:t>
      </w:r>
    </w:p>
    <w:p w14:paraId="44DB252F">
      <w:pPr>
        <w:spacing w:line="640" w:lineRule="exact"/>
        <w:ind w:firstLine="640"/>
        <w:jc w:val="both"/>
        <w:outlineLvl w:val="3"/>
      </w:pPr>
      <w:r>
        <w:rPr>
          <w:rFonts w:ascii="楷体_GB2312" w:hAnsi="楷体_GB2312" w:eastAsia="楷体_GB2312"/>
          <w:b/>
          <w:sz w:val="32"/>
        </w:rPr>
        <w:t>（二）政府采购情况</w:t>
      </w:r>
    </w:p>
    <w:p w14:paraId="70D11A73">
      <w:pPr>
        <w:spacing w:line="580" w:lineRule="exact"/>
        <w:ind w:firstLine="640"/>
        <w:jc w:val="both"/>
      </w:pPr>
      <w:r>
        <w:rPr>
          <w:rFonts w:ascii="仿宋_GB2312" w:hAnsi="仿宋_GB2312" w:eastAsia="仿宋_GB2312"/>
          <w:b w:val="0"/>
          <w:sz w:val="32"/>
        </w:rPr>
        <w:t>2024年度政府采购支出总额20.29万元，其中：政府采购货物支出19.69万元、政府采购工程支出0.00万元、政府采购服务支出0.61万元。</w:t>
      </w:r>
    </w:p>
    <w:p w14:paraId="3E3D0555">
      <w:pPr>
        <w:spacing w:line="580" w:lineRule="exact"/>
        <w:ind w:firstLine="640"/>
        <w:jc w:val="both"/>
      </w:pPr>
      <w:r>
        <w:rPr>
          <w:rFonts w:ascii="仿宋_GB2312" w:hAnsi="仿宋_GB2312" w:eastAsia="仿宋_GB2312"/>
          <w:b w:val="0"/>
          <w:sz w:val="32"/>
        </w:rPr>
        <w:t>授予中小企业合同金额13.01万元，占政府采购支出总额的64.12%，其中：授予小微企业合同金额7.32万元，占政府采购支出总额的36.08%。</w:t>
      </w:r>
    </w:p>
    <w:p w14:paraId="10FDD96B">
      <w:pPr>
        <w:spacing w:line="640" w:lineRule="exact"/>
        <w:ind w:firstLine="640"/>
        <w:jc w:val="both"/>
        <w:outlineLvl w:val="3"/>
      </w:pPr>
      <w:r>
        <w:rPr>
          <w:rFonts w:ascii="楷体_GB2312" w:hAnsi="楷体_GB2312" w:eastAsia="楷体_GB2312"/>
          <w:b/>
          <w:sz w:val="32"/>
        </w:rPr>
        <w:t>（三）国有资产占用情况说明</w:t>
      </w:r>
    </w:p>
    <w:p w14:paraId="49A1D4ED">
      <w:pPr>
        <w:spacing w:line="580" w:lineRule="exact"/>
        <w:ind w:firstLine="640"/>
        <w:jc w:val="both"/>
      </w:pPr>
      <w:r>
        <w:rPr>
          <w:rFonts w:ascii="仿宋_GB2312" w:hAnsi="仿宋_GB2312" w:eastAsia="仿宋_GB2312"/>
          <w:b w:val="0"/>
          <w:sz w:val="32"/>
        </w:rPr>
        <w:t>截至2024年12月31日，房屋0.00平方米，价值0.00万元。车辆1辆，价值31.89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公务用车。单价100万元（含）以上设备（不含车辆）0台（套）。</w:t>
      </w:r>
    </w:p>
    <w:p w14:paraId="189A84F3">
      <w:pPr>
        <w:spacing w:line="640" w:lineRule="exact"/>
        <w:ind w:firstLine="640"/>
        <w:jc w:val="both"/>
        <w:outlineLvl w:val="2"/>
      </w:pPr>
      <w:r>
        <w:rPr>
          <w:rFonts w:ascii="黑体" w:hAnsi="黑体" w:eastAsia="黑体"/>
          <w:sz w:val="32"/>
        </w:rPr>
        <w:t>十一、预算绩效的情况说明</w:t>
      </w:r>
    </w:p>
    <w:p w14:paraId="476B23F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452.71万元，实际执行总额447.51万元；预算绩效评价项目2个，全年预算数40.90万元，全年执行数40.90万元。预算绩效管理取得的成效：一是确保资金的高效使用，切实发挥财政资金的使用效果。二是严格按照工作职责和相关文件依据，确保专款专用。三是严格控制资金的流出方向，确保资金的合规性。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开展提供帮助。三是从源头上</w:t>
      </w:r>
      <w:r>
        <w:rPr>
          <w:rFonts w:hint="eastAsia" w:ascii="仿宋_GB2312" w:hAnsi="仿宋_GB2312" w:eastAsia="仿宋_GB2312"/>
          <w:b w:val="0"/>
          <w:sz w:val="32"/>
          <w:lang w:eastAsia="zh-CN"/>
        </w:rPr>
        <w:t>强化</w:t>
      </w:r>
      <w:r>
        <w:rPr>
          <w:rFonts w:ascii="仿宋_GB2312" w:hAnsi="仿宋_GB2312" w:eastAsia="仿宋_GB2312"/>
          <w:b w:val="0"/>
          <w:sz w:val="32"/>
        </w:rPr>
        <w:t>专项资金预算管理，实行专项资金预算管理，结合单位实际,按轻重缓急统筹安排编制预算,提高预算编制科学性和合理性，优化资金结构。具体附整体支出绩效自评表，项目支出绩效自评表。</w:t>
      </w:r>
    </w:p>
    <w:p w14:paraId="612BA25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78A81A4">
        <w:tblPrEx>
          <w:tblCellMar>
            <w:top w:w="0" w:type="dxa"/>
            <w:left w:w="108" w:type="dxa"/>
            <w:bottom w:w="0" w:type="dxa"/>
            <w:right w:w="108" w:type="dxa"/>
          </w:tblCellMar>
        </w:tblPrEx>
        <w:tc>
          <w:tcPr>
            <w:tcW w:w="8847" w:type="dxa"/>
            <w:gridSpan w:val="9"/>
            <w:vAlign w:val="center"/>
          </w:tcPr>
          <w:p w14:paraId="38C8C5C0">
            <w:pPr>
              <w:jc w:val="center"/>
            </w:pPr>
            <w:r>
              <w:rPr>
                <w:rFonts w:ascii="宋体" w:hAnsi="宋体" w:eastAsia="宋体"/>
                <w:sz w:val="24"/>
              </w:rPr>
              <w:t>单位整体支出绩效自评表</w:t>
            </w:r>
          </w:p>
        </w:tc>
      </w:tr>
      <w:tr w14:paraId="78188213">
        <w:tblPrEx>
          <w:tblCellMar>
            <w:top w:w="0" w:type="dxa"/>
            <w:left w:w="108" w:type="dxa"/>
            <w:bottom w:w="0" w:type="dxa"/>
            <w:right w:w="108" w:type="dxa"/>
          </w:tblCellMar>
        </w:tblPrEx>
        <w:tc>
          <w:tcPr>
            <w:tcW w:w="8847" w:type="dxa"/>
            <w:gridSpan w:val="9"/>
            <w:vAlign w:val="center"/>
          </w:tcPr>
          <w:p w14:paraId="1F3DF761">
            <w:pPr>
              <w:jc w:val="center"/>
            </w:pPr>
            <w:r>
              <w:rPr>
                <w:rFonts w:ascii="宋体" w:hAnsi="宋体" w:eastAsia="宋体"/>
                <w:sz w:val="24"/>
              </w:rPr>
              <w:t>（2024年度）</w:t>
            </w:r>
          </w:p>
        </w:tc>
      </w:tr>
      <w:tr w14:paraId="62F8913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6DB0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F17165">
            <w:pPr>
              <w:jc w:val="center"/>
            </w:pPr>
            <w:r>
              <w:rPr>
                <w:rFonts w:ascii="宋体" w:hAnsi="宋体" w:eastAsia="宋体"/>
                <w:sz w:val="16"/>
              </w:rPr>
              <w:t>吉木萨尔县医疗保障局</w:t>
            </w:r>
          </w:p>
        </w:tc>
      </w:tr>
      <w:tr w14:paraId="317C003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2108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77D5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C3E3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93A0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930A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3DF0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E0ED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00DE4">
            <w:pPr>
              <w:jc w:val="center"/>
            </w:pPr>
            <w:r>
              <w:rPr>
                <w:rFonts w:ascii="宋体" w:hAnsi="宋体" w:eastAsia="宋体"/>
                <w:sz w:val="16"/>
              </w:rPr>
              <w:t>得分</w:t>
            </w:r>
          </w:p>
        </w:tc>
      </w:tr>
      <w:tr w14:paraId="06B201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BCD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BDD4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D0B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A412B8">
            <w:pPr>
              <w:jc w:val="center"/>
            </w:pPr>
            <w:r>
              <w:rPr>
                <w:rFonts w:ascii="宋体" w:hAnsi="宋体" w:eastAsia="宋体"/>
                <w:sz w:val="16"/>
              </w:rPr>
              <w:t>40.90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9BE8A">
            <w:pPr>
              <w:jc w:val="center"/>
            </w:pPr>
            <w:r>
              <w:rPr>
                <w:rFonts w:ascii="宋体" w:hAnsi="宋体" w:eastAsia="宋体"/>
                <w:sz w:val="16"/>
              </w:rPr>
              <w:t>40.90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EB5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0AEF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0BFCB">
            <w:pPr>
              <w:jc w:val="center"/>
            </w:pPr>
            <w:r>
              <w:rPr>
                <w:rFonts w:ascii="宋体" w:hAnsi="宋体" w:eastAsia="宋体"/>
                <w:sz w:val="16"/>
              </w:rPr>
              <w:t>-</w:t>
            </w:r>
          </w:p>
        </w:tc>
      </w:tr>
      <w:tr w14:paraId="0A13CE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DDB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7C74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DE8C8">
            <w:pPr>
              <w:jc w:val="center"/>
            </w:pPr>
            <w:r>
              <w:rPr>
                <w:rFonts w:ascii="宋体" w:hAnsi="宋体" w:eastAsia="宋体"/>
                <w:sz w:val="16"/>
              </w:rPr>
              <w:t>395.50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91868">
            <w:pPr>
              <w:jc w:val="center"/>
            </w:pPr>
            <w:r>
              <w:rPr>
                <w:rFonts w:ascii="宋体" w:hAnsi="宋体" w:eastAsia="宋体"/>
                <w:sz w:val="16"/>
              </w:rPr>
              <w:t>411.81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1A813">
            <w:pPr>
              <w:jc w:val="center"/>
            </w:pPr>
            <w:r>
              <w:rPr>
                <w:rFonts w:ascii="宋体" w:hAnsi="宋体" w:eastAsia="宋体"/>
                <w:sz w:val="16"/>
              </w:rPr>
              <w:t>406.61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2B0A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4C61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E851C">
            <w:pPr>
              <w:jc w:val="center"/>
            </w:pPr>
            <w:r>
              <w:rPr>
                <w:rFonts w:ascii="宋体" w:hAnsi="宋体" w:eastAsia="宋体"/>
                <w:sz w:val="16"/>
              </w:rPr>
              <w:t>-</w:t>
            </w:r>
          </w:p>
        </w:tc>
      </w:tr>
      <w:tr w14:paraId="234220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E34A2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82E3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947A8">
            <w:pPr>
              <w:jc w:val="center"/>
            </w:pPr>
            <w:r>
              <w:rPr>
                <w:rFonts w:ascii="宋体" w:hAnsi="宋体" w:eastAsia="宋体"/>
                <w:sz w:val="16"/>
              </w:rPr>
              <w:t>23.66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71C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F14C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8BF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363F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7B265">
            <w:pPr>
              <w:jc w:val="center"/>
            </w:pPr>
            <w:r>
              <w:rPr>
                <w:rFonts w:ascii="宋体" w:hAnsi="宋体" w:eastAsia="宋体"/>
                <w:sz w:val="16"/>
              </w:rPr>
              <w:t>-</w:t>
            </w:r>
          </w:p>
        </w:tc>
      </w:tr>
      <w:tr w14:paraId="7DDAE9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24A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72C9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7B05C">
            <w:pPr>
              <w:jc w:val="center"/>
            </w:pPr>
            <w:r>
              <w:rPr>
                <w:rFonts w:ascii="宋体" w:hAnsi="宋体" w:eastAsia="宋体"/>
                <w:sz w:val="16"/>
              </w:rPr>
              <w:t>419.16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DDA72">
            <w:pPr>
              <w:jc w:val="center"/>
            </w:pPr>
            <w:r>
              <w:rPr>
                <w:rFonts w:ascii="宋体" w:hAnsi="宋体" w:eastAsia="宋体"/>
                <w:sz w:val="16"/>
              </w:rPr>
              <w:t>452.71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4BAC7">
            <w:pPr>
              <w:jc w:val="center"/>
            </w:pPr>
            <w:r>
              <w:rPr>
                <w:rFonts w:ascii="宋体" w:hAnsi="宋体" w:eastAsia="宋体"/>
                <w:sz w:val="16"/>
              </w:rPr>
              <w:t>447.51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5A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FD92D">
            <w:pPr>
              <w:jc w:val="center"/>
            </w:pPr>
            <w:r>
              <w:rPr>
                <w:rFonts w:ascii="宋体" w:hAnsi="宋体" w:eastAsia="宋体"/>
                <w:sz w:val="16"/>
              </w:rPr>
              <w:t>98.85%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D9D41">
            <w:pPr>
              <w:jc w:val="center"/>
            </w:pPr>
            <w:r>
              <w:rPr>
                <w:rFonts w:ascii="宋体" w:hAnsi="宋体" w:eastAsia="宋体"/>
                <w:sz w:val="16"/>
              </w:rPr>
              <w:t>9.89</w:t>
            </w:r>
          </w:p>
        </w:tc>
      </w:tr>
      <w:tr w14:paraId="23B9A2A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209A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FD4AE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510BE6">
            <w:pPr>
              <w:jc w:val="center"/>
            </w:pPr>
            <w:r>
              <w:rPr>
                <w:rFonts w:ascii="宋体" w:hAnsi="宋体" w:eastAsia="宋体"/>
                <w:sz w:val="16"/>
              </w:rPr>
              <w:t>实际完成情况</w:t>
            </w:r>
          </w:p>
        </w:tc>
      </w:tr>
      <w:tr w14:paraId="2A1CD7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B40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BE0732">
            <w:pPr>
              <w:jc w:val="both"/>
            </w:pPr>
            <w:r>
              <w:rPr>
                <w:rFonts w:ascii="宋体" w:hAnsi="宋体" w:eastAsia="宋体"/>
                <w:sz w:val="16"/>
              </w:rPr>
              <w:t>1、贯彻落实国家以及自治区、自治州医疗保险、生育保险、医疗救助等医疗保障政策；执行自治州医疗保险、生育保险、长期护理保险、医疗救助、大病保险、大额医疗补助、公务员医疗补助、企事业单位补充医疗保险、离休人员和优抚对象医疗保障等政策措施、管理办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2、贯彻落实自治州医疗保障基金监督管理办法，建立健全医疗保障基金安全防控机制，推进医疗保障基金支付方式改革工作，编制县医疗保障基金预决算草案。</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贯彻落实自治州药品、医用耗材价格和医疗服务项目、医疗服务设施收费等政策措施并监督实施；执行自治区制定的药品、医用耗材的招标采购政策并监督实施，落实医保支付医药服务价格合理确定和动态调整机制，建立健全市场主导的社会医药服务价格形成机制。落实医药服务价格信息监测和信息发布制度。</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4、计划发放在职人员工资、津贴、奖金、各类社保，保证单位各项办公经费，为单位的正常运行提供有力保障。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5、保障1辆公务用车正常运行。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69B9B6">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全年预算数为452.71万元，全年执行数为447.51万元，总预算执行率为100%。2024年</w:t>
            </w:r>
            <w:r>
              <w:rPr>
                <w:rFonts w:hint="eastAsia" w:ascii="宋体" w:hAnsi="宋体"/>
                <w:sz w:val="16"/>
                <w:lang w:eastAsia="zh-CN"/>
              </w:rPr>
              <w:t>本单位</w:t>
            </w:r>
            <w:r>
              <w:rPr>
                <w:rFonts w:ascii="宋体" w:hAnsi="宋体" w:eastAsia="宋体"/>
                <w:sz w:val="16"/>
              </w:rPr>
              <w:t>完成以下工作内容：1、贯彻落实国家以及自治区、自治州医疗保险、生育保险、医疗救助等医疗保障政策。2、贯彻落实自治州药品、医用耗材价格和医疗服务项目、医疗服务设施收费等政策措施并监督实施。3、计划发放20名在职人员工资、津贴、奖金、各类社保，保证单位各项办公经费，为单位的正常运行提供有力保障。4、保障1辆公务用车正常运行。通过以上工作的实施全县基本医疗保险应参保13.66万人，2024年度已参保13.86万人，参保率达101.46%；强化“两定机构”医疗服务行为监管，严厉打击使用医保个人账户违规兑付现金、违规使用医保个人账户购买健身器材、养生保健品等行为；人员和车辆为单位的正常运行提供了有力保障。</w:t>
            </w:r>
          </w:p>
        </w:tc>
      </w:tr>
      <w:tr w14:paraId="22AC08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F264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2D0E9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4372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AF7A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924C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B759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BC88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893A0">
            <w:pPr>
              <w:jc w:val="center"/>
            </w:pPr>
            <w:r>
              <w:rPr>
                <w:rFonts w:ascii="宋体" w:hAnsi="宋体" w:eastAsia="宋体"/>
                <w:sz w:val="16"/>
              </w:rPr>
              <w:t>得分</w:t>
            </w:r>
          </w:p>
        </w:tc>
      </w:tr>
      <w:tr w14:paraId="3F9F92A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32AAD">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AC2F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C9431">
            <w:pPr>
              <w:jc w:val="center"/>
            </w:pPr>
            <w:r>
              <w:rPr>
                <w:rFonts w:ascii="宋体" w:hAnsi="宋体" w:eastAsia="宋体"/>
                <w:sz w:val="16"/>
              </w:rPr>
              <w:t>在编在岗人数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8193B">
            <w:pPr>
              <w:jc w:val="center"/>
            </w:pPr>
            <w:r>
              <w:rPr>
                <w:rFonts w:ascii="宋体" w:hAnsi="宋体" w:eastAsia="宋体"/>
                <w:sz w:val="16"/>
              </w:rPr>
              <w:t>&lt;=20人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1C248">
            <w:pPr>
              <w:jc w:val="center"/>
            </w:pPr>
            <w:r>
              <w:rPr>
                <w:rFonts w:ascii="宋体" w:hAnsi="宋体" w:eastAsia="宋体"/>
                <w:sz w:val="16"/>
              </w:rPr>
              <w:t>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5B6A7">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23807">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2030B">
            <w:pPr>
              <w:jc w:val="center"/>
            </w:pPr>
            <w:r>
              <w:rPr>
                <w:rFonts w:ascii="宋体" w:hAnsi="宋体" w:eastAsia="宋体"/>
                <w:sz w:val="16"/>
              </w:rPr>
              <w:t>25</w:t>
            </w:r>
          </w:p>
        </w:tc>
      </w:tr>
      <w:tr w14:paraId="3450E1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9ACD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FCB3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6D0F6">
            <w:pPr>
              <w:jc w:val="center"/>
            </w:pPr>
            <w:r>
              <w:rPr>
                <w:rFonts w:ascii="宋体" w:hAnsi="宋体" w:eastAsia="宋体"/>
                <w:sz w:val="16"/>
              </w:rPr>
              <w:t>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091D18">
            <w:pPr>
              <w:jc w:val="center"/>
            </w:pPr>
            <w:r>
              <w:rPr>
                <w:rFonts w:ascii="宋体" w:hAnsi="宋体" w:eastAsia="宋体"/>
                <w:sz w:val="16"/>
              </w:rPr>
              <w:t>&lt;=1辆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9691A">
            <w:pPr>
              <w:jc w:val="center"/>
            </w:pPr>
            <w:r>
              <w:rPr>
                <w:rFonts w:ascii="宋体" w:hAnsi="宋体" w:eastAsia="宋体"/>
                <w:sz w:val="16"/>
              </w:rPr>
              <w:t>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7E03E">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4273C">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0C904">
            <w:pPr>
              <w:jc w:val="center"/>
            </w:pPr>
            <w:r>
              <w:rPr>
                <w:rFonts w:ascii="宋体" w:hAnsi="宋体" w:eastAsia="宋体"/>
                <w:sz w:val="16"/>
              </w:rPr>
              <w:t>25</w:t>
            </w:r>
          </w:p>
        </w:tc>
      </w:tr>
      <w:tr w14:paraId="03911D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45ECB">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009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2EDBC">
            <w:pPr>
              <w:jc w:val="center"/>
            </w:pPr>
            <w:r>
              <w:rPr>
                <w:rFonts w:ascii="宋体" w:hAnsi="宋体" w:eastAsia="宋体"/>
                <w:sz w:val="16"/>
              </w:rPr>
              <w:t>基本医疗保险参保率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49716">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2FB17">
            <w:pPr>
              <w:jc w:val="center"/>
            </w:pPr>
            <w:r>
              <w:rPr>
                <w:rFonts w:ascii="宋体" w:hAnsi="宋体" w:eastAsia="宋体"/>
                <w:sz w:val="16"/>
              </w:rPr>
              <w:t>关于加强和改进基本医疗保险工作的实施意见（新医保</w:t>
            </w:r>
            <w:r>
              <w:rPr>
                <w:rFonts w:hint="eastAsia" w:ascii="宋体" w:hAnsi="宋体"/>
                <w:sz w:val="16"/>
                <w:lang w:eastAsia="zh-CN"/>
              </w:rPr>
              <w:t>〔2021〕93号</w:t>
            </w: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A0EA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709B5">
            <w:pPr>
              <w:jc w:val="center"/>
            </w:pPr>
            <w:r>
              <w:rPr>
                <w:rFonts w:ascii="宋体" w:hAnsi="宋体" w:eastAsia="宋体"/>
                <w:sz w:val="16"/>
              </w:rPr>
              <w:tab/>
            </w:r>
            <w:r>
              <w:rPr>
                <w:rFonts w:ascii="宋体" w:hAnsi="宋体" w:eastAsia="宋体"/>
                <w:sz w:val="16"/>
              </w:rPr>
              <w:t>101.46%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ADD35">
            <w:pPr>
              <w:jc w:val="center"/>
            </w:pPr>
            <w:r>
              <w:rPr>
                <w:rFonts w:ascii="宋体" w:hAnsi="宋体" w:eastAsia="宋体"/>
                <w:sz w:val="16"/>
              </w:rPr>
              <w:t>20</w:t>
            </w:r>
          </w:p>
        </w:tc>
      </w:tr>
      <w:tr w14:paraId="6C0673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640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7F07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2733">
            <w:pPr>
              <w:jc w:val="center"/>
            </w:pPr>
            <w:r>
              <w:rPr>
                <w:rFonts w:ascii="宋体" w:hAnsi="宋体" w:eastAsia="宋体"/>
                <w:sz w:val="16"/>
              </w:rPr>
              <w:t>定点医疗机构检查覆盖率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622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45FB9">
            <w:pPr>
              <w:jc w:val="center"/>
            </w:pPr>
            <w:r>
              <w:rPr>
                <w:rFonts w:ascii="宋体" w:hAnsi="宋体" w:eastAsia="宋体"/>
                <w:sz w:val="16"/>
              </w:rPr>
              <w:t>2024年医疗保障稽核工作实施方案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DD42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11C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280AC">
            <w:pPr>
              <w:jc w:val="center"/>
            </w:pPr>
            <w:r>
              <w:rPr>
                <w:rFonts w:ascii="宋体" w:hAnsi="宋体" w:eastAsia="宋体"/>
                <w:sz w:val="16"/>
              </w:rPr>
              <w:t>20</w:t>
            </w:r>
          </w:p>
        </w:tc>
      </w:tr>
    </w:tbl>
    <w:p w14:paraId="1DE8AD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5470B32">
        <w:tc>
          <w:tcPr>
            <w:tcW w:w="8848" w:type="dxa"/>
            <w:gridSpan w:val="14"/>
            <w:vAlign w:val="center"/>
          </w:tcPr>
          <w:p w14:paraId="0910F0BE">
            <w:pPr>
              <w:jc w:val="center"/>
            </w:pPr>
            <w:r>
              <w:rPr>
                <w:rFonts w:ascii="宋体" w:hAnsi="宋体" w:eastAsia="宋体"/>
                <w:sz w:val="24"/>
              </w:rPr>
              <w:t>项目支出绩效自评表</w:t>
            </w:r>
          </w:p>
        </w:tc>
      </w:tr>
      <w:tr w14:paraId="448624AC">
        <w:tblPrEx>
          <w:tblCellMar>
            <w:top w:w="0" w:type="dxa"/>
            <w:left w:w="108" w:type="dxa"/>
            <w:bottom w:w="0" w:type="dxa"/>
            <w:right w:w="108" w:type="dxa"/>
          </w:tblCellMar>
        </w:tblPrEx>
        <w:tc>
          <w:tcPr>
            <w:tcW w:w="8848" w:type="dxa"/>
            <w:gridSpan w:val="14"/>
            <w:vAlign w:val="center"/>
          </w:tcPr>
          <w:p w14:paraId="5D085BE0">
            <w:pPr>
              <w:jc w:val="center"/>
            </w:pPr>
            <w:r>
              <w:rPr>
                <w:rFonts w:ascii="宋体" w:hAnsi="宋体" w:eastAsia="宋体"/>
                <w:sz w:val="24"/>
              </w:rPr>
              <w:t>(2024年度)</w:t>
            </w:r>
          </w:p>
        </w:tc>
      </w:tr>
      <w:tr w14:paraId="0CF6CB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27E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ADB52A">
            <w:pPr>
              <w:jc w:val="center"/>
            </w:pPr>
            <w:r>
              <w:rPr>
                <w:rFonts w:ascii="宋体" w:hAnsi="宋体" w:eastAsia="宋体"/>
                <w:sz w:val="16"/>
              </w:rPr>
              <w:t>2024年自治区财政全面参保及医疗服务经费补助资金</w:t>
            </w:r>
          </w:p>
        </w:tc>
      </w:tr>
      <w:tr w14:paraId="4AB475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DE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682F60">
            <w:pPr>
              <w:jc w:val="center"/>
            </w:pPr>
            <w:r>
              <w:rPr>
                <w:rFonts w:ascii="宋体" w:hAnsi="宋体" w:eastAsia="宋体"/>
                <w:sz w:val="16"/>
              </w:rPr>
              <w:t>吉木萨尔县医疗保障局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648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712E6">
            <w:pPr>
              <w:jc w:val="center"/>
            </w:pPr>
            <w:r>
              <w:rPr>
                <w:rFonts w:ascii="宋体" w:hAnsi="宋体" w:eastAsia="宋体"/>
                <w:sz w:val="16"/>
              </w:rPr>
              <w:t>吉木萨尔县医疗保障局</w:t>
            </w:r>
          </w:p>
        </w:tc>
      </w:tr>
      <w:tr w14:paraId="66CEAE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83CA4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F4F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89B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A7C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52D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474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42F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2071">
            <w:pPr>
              <w:jc w:val="center"/>
            </w:pPr>
            <w:r>
              <w:rPr>
                <w:rFonts w:ascii="宋体" w:hAnsi="宋体" w:eastAsia="宋体"/>
                <w:sz w:val="16"/>
              </w:rPr>
              <w:t>得分</w:t>
            </w:r>
          </w:p>
        </w:tc>
      </w:tr>
      <w:tr w14:paraId="12B2A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FA7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017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FACEE">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6336D">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D1B5B">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992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1145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68C0">
            <w:pPr>
              <w:jc w:val="center"/>
            </w:pPr>
            <w:r>
              <w:rPr>
                <w:rFonts w:ascii="宋体" w:hAnsi="宋体" w:eastAsia="宋体"/>
                <w:sz w:val="16"/>
              </w:rPr>
              <w:t>10.00</w:t>
            </w:r>
          </w:p>
        </w:tc>
      </w:tr>
      <w:tr w14:paraId="0C568D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E71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6DF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3492C">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58CF">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D79F">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E3A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56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EE1C">
            <w:pPr>
              <w:jc w:val="center"/>
            </w:pPr>
            <w:r>
              <w:rPr>
                <w:rFonts w:ascii="宋体" w:hAnsi="宋体" w:eastAsia="宋体"/>
                <w:sz w:val="16"/>
              </w:rPr>
              <w:t>—</w:t>
            </w:r>
          </w:p>
        </w:tc>
      </w:tr>
      <w:tr w14:paraId="74EF07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E72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937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7EF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EC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63C0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756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B8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77A0">
            <w:pPr>
              <w:jc w:val="center"/>
            </w:pPr>
            <w:r>
              <w:rPr>
                <w:rFonts w:ascii="宋体" w:hAnsi="宋体" w:eastAsia="宋体"/>
                <w:sz w:val="16"/>
              </w:rPr>
              <w:t>—</w:t>
            </w:r>
          </w:p>
        </w:tc>
      </w:tr>
      <w:tr w14:paraId="365762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516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C7A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A973D">
            <w:pPr>
              <w:jc w:val="center"/>
            </w:pPr>
            <w:r>
              <w:rPr>
                <w:rFonts w:ascii="宋体" w:hAnsi="宋体" w:eastAsia="宋体"/>
                <w:sz w:val="16"/>
              </w:rPr>
              <w:t>实际完成情况</w:t>
            </w:r>
          </w:p>
        </w:tc>
      </w:tr>
      <w:tr w14:paraId="12212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7EC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E5DF8C">
            <w:pPr>
              <w:jc w:val="both"/>
            </w:pPr>
            <w:r>
              <w:rPr>
                <w:rFonts w:ascii="宋体" w:hAnsi="宋体" w:eastAsia="宋体"/>
                <w:sz w:val="16"/>
              </w:rPr>
              <w:t>昌州财社</w:t>
            </w:r>
            <w:r>
              <w:rPr>
                <w:rFonts w:hint="eastAsia" w:ascii="宋体" w:hAnsi="宋体"/>
                <w:sz w:val="16"/>
                <w:lang w:eastAsia="zh-CN"/>
              </w:rPr>
              <w:t>〔2024〕3号－</w:t>
            </w:r>
            <w:r>
              <w:rPr>
                <w:rFonts w:ascii="宋体" w:hAnsi="宋体" w:eastAsia="宋体"/>
                <w:sz w:val="16"/>
              </w:rPr>
              <w:t>关于下达2024年自治区财政全面参保及医疗服务经费补助资金拨付3.91万元，为保障日常工作的正常开展，现计划购买一批办公用品。通过购买这批办公用品，可以改善职工办公环境，增加职工幸福指数，提高工作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F96DB8">
            <w:pPr>
              <w:jc w:val="both"/>
            </w:pPr>
            <w:r>
              <w:rPr>
                <w:rFonts w:hint="eastAsia" w:ascii="宋体" w:hAnsi="宋体"/>
                <w:sz w:val="16"/>
                <w:lang w:eastAsia="zh-CN"/>
              </w:rPr>
              <w:t>截至2024</w:t>
            </w:r>
            <w:r>
              <w:rPr>
                <w:rFonts w:ascii="宋体" w:hAnsi="宋体" w:eastAsia="宋体"/>
                <w:sz w:val="16"/>
              </w:rPr>
              <w:t>年12月31日，通过实施昌州财社</w:t>
            </w:r>
            <w:r>
              <w:rPr>
                <w:rFonts w:hint="eastAsia" w:ascii="宋体" w:hAnsi="宋体"/>
                <w:sz w:val="16"/>
                <w:lang w:eastAsia="zh-CN"/>
              </w:rPr>
              <w:t>〔2024〕3号</w:t>
            </w:r>
            <w:r>
              <w:rPr>
                <w:rFonts w:ascii="宋体" w:hAnsi="宋体" w:eastAsia="宋体"/>
                <w:sz w:val="16"/>
              </w:rPr>
              <w:t>关于提前下达2024年自治区财政全民参保登记医疗服务工作项目，实现基本医疗参保人数达3.92万人，居民参保率达85%，按时报送各项社会保险基金季报数据及分析，医保政策失效率有所提升，基本医疗保险参保满意度达85%。</w:t>
            </w:r>
          </w:p>
        </w:tc>
      </w:tr>
      <w:tr w14:paraId="2E8A24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69F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54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94D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42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5A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E766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914C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22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C669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40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2B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0F3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6B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2C7F">
            <w:pPr>
              <w:jc w:val="center"/>
            </w:pPr>
            <w:r>
              <w:rPr>
                <w:rFonts w:ascii="宋体" w:hAnsi="宋体" w:eastAsia="宋体"/>
                <w:sz w:val="16"/>
              </w:rPr>
              <w:t>偏差原因分析及改进措施</w:t>
            </w:r>
          </w:p>
        </w:tc>
      </w:tr>
      <w:tr w14:paraId="325092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BE3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5085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6F8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FFCD">
            <w:pPr>
              <w:jc w:val="center"/>
            </w:pPr>
            <w:r>
              <w:rPr>
                <w:rFonts w:ascii="宋体" w:hAnsi="宋体" w:eastAsia="宋体"/>
                <w:sz w:val="16"/>
              </w:rPr>
              <w:t>基本医疗保险参保人数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7BF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90EA">
            <w:pPr>
              <w:jc w:val="center"/>
            </w:pPr>
            <w:r>
              <w:rPr>
                <w:rFonts w:ascii="宋体" w:hAnsi="宋体" w:eastAsia="宋体"/>
                <w:sz w:val="16"/>
              </w:rPr>
              <w:t>=4.1万人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B936">
            <w:pPr>
              <w:jc w:val="center"/>
            </w:pPr>
            <w:r>
              <w:rPr>
                <w:rFonts w:ascii="宋体" w:hAnsi="宋体" w:eastAsia="宋体"/>
                <w:sz w:val="16"/>
              </w:rPr>
              <w:t>=4.1万人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04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A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76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CF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33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33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145F">
            <w:pPr>
              <w:jc w:val="center"/>
            </w:pPr>
          </w:p>
        </w:tc>
      </w:tr>
      <w:tr w14:paraId="3A2F2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E53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15C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957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92A6">
            <w:pPr>
              <w:jc w:val="center"/>
            </w:pPr>
            <w:r>
              <w:rPr>
                <w:rFonts w:ascii="宋体" w:hAnsi="宋体" w:eastAsia="宋体"/>
                <w:sz w:val="16"/>
              </w:rPr>
              <w:t>生育保险参保人数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38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77D1">
            <w:pPr>
              <w:jc w:val="center"/>
            </w:pPr>
            <w:r>
              <w:rPr>
                <w:rFonts w:ascii="宋体" w:hAnsi="宋体" w:eastAsia="宋体"/>
                <w:sz w:val="16"/>
              </w:rPr>
              <w:t>=3.7万人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E0FD">
            <w:pPr>
              <w:jc w:val="center"/>
            </w:pPr>
            <w:r>
              <w:rPr>
                <w:rFonts w:ascii="宋体" w:hAnsi="宋体" w:eastAsia="宋体"/>
                <w:sz w:val="16"/>
              </w:rPr>
              <w:t>=3.7万人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76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B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F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3C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8D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6C2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15D4">
            <w:pPr>
              <w:jc w:val="center"/>
            </w:pPr>
          </w:p>
        </w:tc>
      </w:tr>
      <w:tr w14:paraId="0BB85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799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ECA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55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4207">
            <w:pPr>
              <w:jc w:val="center"/>
            </w:pPr>
            <w:r>
              <w:rPr>
                <w:rFonts w:ascii="宋体" w:hAnsi="宋体" w:eastAsia="宋体"/>
                <w:sz w:val="16"/>
              </w:rPr>
              <w:t>居民参保覆盖率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49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00EC">
            <w:pPr>
              <w:jc w:val="center"/>
            </w:pPr>
            <w:r>
              <w:rPr>
                <w:rFonts w:ascii="宋体" w:hAnsi="宋体" w:eastAsia="宋体"/>
                <w:sz w:val="16"/>
              </w:rPr>
              <w:t>&lt;=85%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02B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8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C5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16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56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5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A6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1FA4F">
            <w:pPr>
              <w:jc w:val="center"/>
            </w:pPr>
          </w:p>
        </w:tc>
      </w:tr>
      <w:tr w14:paraId="7A0F8F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DA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2FF6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C7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5F6D">
            <w:pPr>
              <w:jc w:val="center"/>
            </w:pPr>
            <w:r>
              <w:rPr>
                <w:rFonts w:ascii="宋体" w:hAnsi="宋体" w:eastAsia="宋体"/>
                <w:sz w:val="16"/>
              </w:rPr>
              <w:t>按时报送各项社会保险基金季报数据及分析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20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D683">
            <w:pPr>
              <w:jc w:val="center"/>
            </w:pPr>
            <w:r>
              <w:rPr>
                <w:rFonts w:ascii="宋体" w:hAnsi="宋体" w:eastAsia="宋体"/>
                <w:sz w:val="16"/>
              </w:rPr>
              <w:t>每季度结束后15日内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1468">
            <w:pPr>
              <w:jc w:val="center"/>
            </w:pPr>
            <w:r>
              <w:rPr>
                <w:rFonts w:ascii="宋体" w:hAnsi="宋体" w:eastAsia="宋体"/>
                <w:sz w:val="16"/>
              </w:rPr>
              <w:t>每季度结束后15日内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F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2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D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2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2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9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7096">
            <w:pPr>
              <w:jc w:val="center"/>
            </w:pPr>
          </w:p>
        </w:tc>
      </w:tr>
      <w:tr w14:paraId="0BE8DF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39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F0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484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919F">
            <w:pPr>
              <w:jc w:val="center"/>
            </w:pPr>
            <w:r>
              <w:rPr>
                <w:rFonts w:ascii="宋体" w:hAnsi="宋体" w:eastAsia="宋体"/>
                <w:sz w:val="16"/>
              </w:rPr>
              <w:t>全民参保服务成本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60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E323F">
            <w:pPr>
              <w:jc w:val="center"/>
            </w:pPr>
            <w:r>
              <w:rPr>
                <w:rFonts w:ascii="宋体" w:hAnsi="宋体" w:eastAsia="宋体"/>
                <w:sz w:val="16"/>
              </w:rPr>
              <w:t>=3.91万元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2CD0">
            <w:pPr>
              <w:jc w:val="center"/>
            </w:pPr>
            <w:r>
              <w:rPr>
                <w:rFonts w:ascii="宋体" w:hAnsi="宋体" w:eastAsia="宋体"/>
                <w:sz w:val="16"/>
              </w:rPr>
              <w:t>=3.91万元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1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21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F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23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F9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CC4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773F">
            <w:pPr>
              <w:jc w:val="center"/>
            </w:pPr>
          </w:p>
        </w:tc>
      </w:tr>
      <w:tr w14:paraId="6095B1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36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6CC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9C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DC52">
            <w:pPr>
              <w:jc w:val="center"/>
            </w:pPr>
            <w:r>
              <w:rPr>
                <w:rFonts w:ascii="宋体" w:hAnsi="宋体" w:eastAsia="宋体"/>
                <w:sz w:val="16"/>
              </w:rPr>
              <w:t>医保政策知晓率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3FD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47F9">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D5DE">
            <w:pPr>
              <w:jc w:val="center"/>
            </w:pPr>
            <w:r>
              <w:rPr>
                <w:rFonts w:ascii="宋体" w:hAnsi="宋体" w:eastAsia="宋体"/>
                <w:sz w:val="16"/>
              </w:rPr>
              <w:tab/>
            </w: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9D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362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B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4C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1A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C3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241B">
            <w:pPr>
              <w:jc w:val="center"/>
            </w:pPr>
          </w:p>
        </w:tc>
      </w:tr>
      <w:tr w14:paraId="21A9C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8DB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D9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B73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09B9">
            <w:pPr>
              <w:jc w:val="center"/>
            </w:pPr>
            <w:r>
              <w:rPr>
                <w:rFonts w:ascii="宋体" w:hAnsi="宋体" w:eastAsia="宋体"/>
                <w:sz w:val="16"/>
              </w:rPr>
              <w:t>基本医疗保险参保群众满意度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1C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0EF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BA0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F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F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B1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0A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7E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FD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F7A9">
            <w:pPr>
              <w:jc w:val="center"/>
            </w:pPr>
          </w:p>
        </w:tc>
      </w:tr>
      <w:tr w14:paraId="1086476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B4CD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F2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CB6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8DDF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9AF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4D13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D010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A213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1BB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C345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65F10"/>
        </w:tc>
      </w:tr>
    </w:tbl>
    <w:p w14:paraId="2E0C977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0E219913">
        <w:tblPrEx>
          <w:tblCellMar>
            <w:top w:w="0" w:type="dxa"/>
            <w:left w:w="108" w:type="dxa"/>
            <w:bottom w:w="0" w:type="dxa"/>
            <w:right w:w="108" w:type="dxa"/>
          </w:tblCellMar>
        </w:tblPrEx>
        <w:tc>
          <w:tcPr>
            <w:tcW w:w="8848" w:type="dxa"/>
            <w:gridSpan w:val="14"/>
            <w:vAlign w:val="center"/>
          </w:tcPr>
          <w:p w14:paraId="5E2DBEEB">
            <w:pPr>
              <w:jc w:val="center"/>
            </w:pPr>
            <w:r>
              <w:rPr>
                <w:rFonts w:ascii="宋体" w:hAnsi="宋体" w:eastAsia="宋体"/>
                <w:sz w:val="24"/>
              </w:rPr>
              <w:t>项目支出绩效自评表</w:t>
            </w:r>
          </w:p>
        </w:tc>
      </w:tr>
      <w:tr w14:paraId="7B081AD1">
        <w:tblPrEx>
          <w:tblCellMar>
            <w:top w:w="0" w:type="dxa"/>
            <w:left w:w="108" w:type="dxa"/>
            <w:bottom w:w="0" w:type="dxa"/>
            <w:right w:w="108" w:type="dxa"/>
          </w:tblCellMar>
        </w:tblPrEx>
        <w:tc>
          <w:tcPr>
            <w:tcW w:w="8848" w:type="dxa"/>
            <w:gridSpan w:val="14"/>
            <w:vAlign w:val="center"/>
          </w:tcPr>
          <w:p w14:paraId="677E36BC">
            <w:pPr>
              <w:jc w:val="center"/>
            </w:pPr>
            <w:r>
              <w:rPr>
                <w:rFonts w:ascii="宋体" w:hAnsi="宋体" w:eastAsia="宋体"/>
                <w:sz w:val="24"/>
              </w:rPr>
              <w:t>(2024年度)</w:t>
            </w:r>
          </w:p>
        </w:tc>
      </w:tr>
      <w:tr w14:paraId="08286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96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DDFD36">
            <w:pPr>
              <w:jc w:val="center"/>
            </w:pPr>
            <w:r>
              <w:rPr>
                <w:rFonts w:ascii="宋体" w:hAnsi="宋体" w:eastAsia="宋体"/>
                <w:sz w:val="16"/>
              </w:rPr>
              <w:t>吉木萨尔县医疗保障局昌州财社</w:t>
            </w:r>
            <w:r>
              <w:rPr>
                <w:rFonts w:hint="eastAsia" w:ascii="宋体" w:hAnsi="宋体"/>
                <w:sz w:val="16"/>
                <w:lang w:eastAsia="zh-CN"/>
              </w:rPr>
              <w:t>〔2023〕33号</w:t>
            </w:r>
            <w:r>
              <w:rPr>
                <w:rFonts w:ascii="宋体" w:hAnsi="宋体" w:eastAsia="宋体"/>
                <w:sz w:val="16"/>
              </w:rPr>
              <w:t>关于拨付昌吉州州级统筹社会保险扩面征收工作经费</w:t>
            </w:r>
          </w:p>
        </w:tc>
      </w:tr>
      <w:tr w14:paraId="6F5F16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D6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8ECA8D">
            <w:pPr>
              <w:jc w:val="center"/>
            </w:pPr>
            <w:r>
              <w:rPr>
                <w:rFonts w:ascii="宋体" w:hAnsi="宋体" w:eastAsia="宋体"/>
                <w:sz w:val="16"/>
              </w:rPr>
              <w:t>吉木萨尔县医疗保障局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53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47D175">
            <w:pPr>
              <w:jc w:val="center"/>
            </w:pPr>
            <w:r>
              <w:rPr>
                <w:rFonts w:ascii="宋体" w:hAnsi="宋体" w:eastAsia="宋体"/>
                <w:sz w:val="16"/>
              </w:rPr>
              <w:t>吉木萨尔县医疗保障局</w:t>
            </w:r>
          </w:p>
        </w:tc>
      </w:tr>
      <w:tr w14:paraId="3409C9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1F9A3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BB0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38E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BEE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37C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FB4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5B0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98A2">
            <w:pPr>
              <w:jc w:val="center"/>
            </w:pPr>
            <w:r>
              <w:rPr>
                <w:rFonts w:ascii="宋体" w:hAnsi="宋体" w:eastAsia="宋体"/>
                <w:sz w:val="16"/>
              </w:rPr>
              <w:t>得分</w:t>
            </w:r>
          </w:p>
        </w:tc>
      </w:tr>
      <w:tr w14:paraId="2A2F8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D97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650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7397F">
            <w:pPr>
              <w:jc w:val="center"/>
            </w:pPr>
            <w:r>
              <w:rPr>
                <w:rFonts w:ascii="宋体" w:hAnsi="宋体" w:eastAsia="宋体"/>
                <w:sz w:val="16"/>
              </w:rPr>
              <w:t>15.61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67B2F">
            <w:pPr>
              <w:jc w:val="center"/>
            </w:pPr>
            <w:r>
              <w:rPr>
                <w:rFonts w:ascii="宋体" w:hAnsi="宋体" w:eastAsia="宋体"/>
                <w:sz w:val="16"/>
              </w:rPr>
              <w:t>36.99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A8B17">
            <w:pPr>
              <w:jc w:val="center"/>
            </w:pPr>
            <w:r>
              <w:rPr>
                <w:rFonts w:ascii="宋体" w:hAnsi="宋体" w:eastAsia="宋体"/>
                <w:sz w:val="16"/>
              </w:rPr>
              <w:t>36.99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7AB1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889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8CD6">
            <w:pPr>
              <w:jc w:val="center"/>
            </w:pPr>
            <w:r>
              <w:rPr>
                <w:rFonts w:ascii="宋体" w:hAnsi="宋体" w:eastAsia="宋体"/>
                <w:sz w:val="16"/>
              </w:rPr>
              <w:t>10.00</w:t>
            </w:r>
          </w:p>
        </w:tc>
      </w:tr>
      <w:tr w14:paraId="122F0E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28A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CF4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10787">
            <w:pPr>
              <w:jc w:val="center"/>
            </w:pPr>
            <w:r>
              <w:rPr>
                <w:rFonts w:ascii="宋体" w:hAnsi="宋体" w:eastAsia="宋体"/>
                <w:sz w:val="16"/>
              </w:rPr>
              <w:t>15.61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5C679">
            <w:pPr>
              <w:jc w:val="center"/>
            </w:pPr>
            <w:r>
              <w:rPr>
                <w:rFonts w:ascii="宋体" w:hAnsi="宋体" w:eastAsia="宋体"/>
                <w:sz w:val="16"/>
              </w:rPr>
              <w:t>36.99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587CD">
            <w:pPr>
              <w:jc w:val="center"/>
            </w:pPr>
            <w:r>
              <w:rPr>
                <w:rFonts w:ascii="宋体" w:hAnsi="宋体" w:eastAsia="宋体"/>
                <w:sz w:val="16"/>
              </w:rPr>
              <w:t>36.99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8DF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EF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36F3">
            <w:pPr>
              <w:jc w:val="center"/>
            </w:pPr>
            <w:r>
              <w:rPr>
                <w:rFonts w:ascii="宋体" w:hAnsi="宋体" w:eastAsia="宋体"/>
                <w:sz w:val="16"/>
              </w:rPr>
              <w:t>—</w:t>
            </w:r>
          </w:p>
        </w:tc>
      </w:tr>
      <w:tr w14:paraId="591F7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C91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6E7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E97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815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A7B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946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8FB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184C">
            <w:pPr>
              <w:jc w:val="center"/>
            </w:pPr>
            <w:r>
              <w:rPr>
                <w:rFonts w:ascii="宋体" w:hAnsi="宋体" w:eastAsia="宋体"/>
                <w:sz w:val="16"/>
              </w:rPr>
              <w:t>—</w:t>
            </w:r>
          </w:p>
        </w:tc>
      </w:tr>
      <w:tr w14:paraId="1733E3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339D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32C2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21ACA7">
            <w:pPr>
              <w:jc w:val="center"/>
            </w:pPr>
            <w:r>
              <w:rPr>
                <w:rFonts w:ascii="宋体" w:hAnsi="宋体" w:eastAsia="宋体"/>
                <w:sz w:val="16"/>
              </w:rPr>
              <w:t>实际完成情况</w:t>
            </w:r>
          </w:p>
        </w:tc>
      </w:tr>
      <w:tr w14:paraId="083CD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24A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19BE2B">
            <w:pPr>
              <w:jc w:val="both"/>
            </w:pPr>
            <w:r>
              <w:rPr>
                <w:rFonts w:ascii="宋体" w:hAnsi="宋体" w:eastAsia="宋体"/>
                <w:sz w:val="16"/>
              </w:rPr>
              <w:t>昌吉州州级统筹社会保险扩面征收工作经费共计36.99万元。主要用于医保政策宣传、办公用品采购、监督检查及扩面征收等方面业务经费支出，为进一步加强吉木萨尔县医疗保险扩面征缴管理工作，充分调动我县社会保险经办机构工作积极性。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BE1B56">
            <w:pPr>
              <w:jc w:val="both"/>
            </w:pPr>
            <w:r>
              <w:rPr>
                <w:rFonts w:hint="eastAsia" w:ascii="宋体" w:hAnsi="宋体"/>
                <w:sz w:val="16"/>
                <w:lang w:eastAsia="zh-CN"/>
              </w:rPr>
              <w:t>截至2024</w:t>
            </w:r>
            <w:r>
              <w:rPr>
                <w:rFonts w:ascii="宋体" w:hAnsi="宋体" w:eastAsia="宋体"/>
                <w:sz w:val="16"/>
              </w:rPr>
              <w:t>年12月31日，本项目实际支付36.99万元，预算执行率为100%，通过实施项目，实现基本医疗参保人数达3.92万人，居民参保率达85%，按时报送各项社会保险基金季报数据及分析，医保政策失效率有所提升，基本医疗保险参保满意度达90%。</w:t>
            </w:r>
          </w:p>
        </w:tc>
      </w:tr>
      <w:tr w14:paraId="30E8AF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90F6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5F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C2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859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AE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D65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01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9B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088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F2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F5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7E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39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30C2">
            <w:pPr>
              <w:jc w:val="center"/>
            </w:pPr>
            <w:r>
              <w:rPr>
                <w:rFonts w:ascii="宋体" w:hAnsi="宋体" w:eastAsia="宋体"/>
                <w:sz w:val="16"/>
              </w:rPr>
              <w:t>偏差原因分析及改进措施</w:t>
            </w:r>
          </w:p>
        </w:tc>
      </w:tr>
      <w:tr w14:paraId="3B70A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F46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3A2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948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B0696">
            <w:pPr>
              <w:jc w:val="center"/>
            </w:pPr>
            <w:r>
              <w:rPr>
                <w:rFonts w:ascii="宋体" w:hAnsi="宋体" w:eastAsia="宋体"/>
                <w:sz w:val="16"/>
              </w:rPr>
              <w:t>医疗保险扩面征收率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D1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87A6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E11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E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AA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5D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B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EA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0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490C">
            <w:pPr>
              <w:jc w:val="center"/>
            </w:pPr>
          </w:p>
        </w:tc>
      </w:tr>
      <w:tr w14:paraId="08357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FEA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4E9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94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2E155">
            <w:pPr>
              <w:jc w:val="center"/>
            </w:pPr>
            <w:r>
              <w:rPr>
                <w:rFonts w:ascii="宋体" w:hAnsi="宋体" w:eastAsia="宋体"/>
                <w:sz w:val="16"/>
              </w:rPr>
              <w:t>购买办公设备次数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9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BBC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778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9B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4F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EA4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7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30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A29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30ED">
            <w:pPr>
              <w:jc w:val="center"/>
            </w:pPr>
          </w:p>
        </w:tc>
      </w:tr>
      <w:tr w14:paraId="1E812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D5B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F07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75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26D54">
            <w:pPr>
              <w:jc w:val="center"/>
            </w:pPr>
            <w:r>
              <w:rPr>
                <w:rFonts w:ascii="宋体" w:hAnsi="宋体" w:eastAsia="宋体"/>
                <w:sz w:val="16"/>
              </w:rPr>
              <w:t>扩面征缴工作完成率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14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7E8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71A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1D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D7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A95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1C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D4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C8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EE58C">
            <w:pPr>
              <w:jc w:val="center"/>
            </w:pPr>
          </w:p>
        </w:tc>
      </w:tr>
      <w:tr w14:paraId="445A3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D6E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FC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61F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B3C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72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8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D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4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B62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C0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B8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B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F1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CAFD">
            <w:pPr>
              <w:jc w:val="center"/>
            </w:pPr>
          </w:p>
        </w:tc>
      </w:tr>
      <w:tr w14:paraId="2C942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C0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75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8E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7064">
            <w:pPr>
              <w:jc w:val="center"/>
            </w:pPr>
            <w:r>
              <w:rPr>
                <w:rFonts w:ascii="宋体" w:hAnsi="宋体" w:eastAsia="宋体"/>
                <w:sz w:val="16"/>
              </w:rPr>
              <w:t>扩面征缴奖励金额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A7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5E73">
            <w:pPr>
              <w:jc w:val="center"/>
            </w:pPr>
            <w:r>
              <w:rPr>
                <w:rFonts w:ascii="宋体" w:hAnsi="宋体" w:eastAsia="宋体"/>
                <w:sz w:val="16"/>
              </w:rPr>
              <w:t>&lt;=36.99万元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D803">
            <w:pPr>
              <w:jc w:val="center"/>
            </w:pPr>
            <w:r>
              <w:rPr>
                <w:rFonts w:ascii="宋体" w:hAnsi="宋体" w:eastAsia="宋体"/>
                <w:sz w:val="16"/>
              </w:rPr>
              <w:t>=36.99万元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7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9E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1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B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2C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1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1DAD9">
            <w:pPr>
              <w:jc w:val="center"/>
            </w:pPr>
          </w:p>
        </w:tc>
      </w:tr>
      <w:tr w14:paraId="2F4DF7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FC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B2F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B1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F97F">
            <w:pPr>
              <w:jc w:val="center"/>
            </w:pPr>
            <w:r>
              <w:rPr>
                <w:rFonts w:ascii="宋体" w:hAnsi="宋体" w:eastAsia="宋体"/>
                <w:sz w:val="16"/>
              </w:rPr>
              <w:t>提高社会保险经办机构工作积极性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A6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B75B">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D70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01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8B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53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B8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BE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82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645E">
            <w:pPr>
              <w:jc w:val="center"/>
            </w:pPr>
          </w:p>
        </w:tc>
      </w:tr>
      <w:tr w14:paraId="45314E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4EF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F9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7A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103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D9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F3B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B7C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AE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2C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35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C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5A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23E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B363">
            <w:pPr>
              <w:jc w:val="center"/>
            </w:pPr>
          </w:p>
        </w:tc>
      </w:tr>
      <w:tr w14:paraId="3645CB7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F7F4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FA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2EA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8C8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1E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159F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0C1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ABE3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3EE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42A4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B83EE2"/>
        </w:tc>
      </w:tr>
    </w:tbl>
    <w:p w14:paraId="6C4D8A3E">
      <w:r>
        <w:br w:type="page"/>
      </w:r>
    </w:p>
    <w:p w14:paraId="779D4663">
      <w:pPr>
        <w:spacing w:line="640" w:lineRule="exact"/>
        <w:ind w:firstLine="640"/>
        <w:jc w:val="both"/>
        <w:outlineLvl w:val="2"/>
      </w:pPr>
      <w:r>
        <w:rPr>
          <w:rFonts w:ascii="黑体" w:hAnsi="黑体" w:eastAsia="黑体"/>
          <w:sz w:val="32"/>
        </w:rPr>
        <w:t>十二、其他需说明的事项</w:t>
      </w:r>
    </w:p>
    <w:p w14:paraId="4492ECE3">
      <w:pPr>
        <w:spacing w:line="580" w:lineRule="exact"/>
        <w:ind w:firstLine="640"/>
        <w:jc w:val="both"/>
      </w:pPr>
      <w:r>
        <w:rPr>
          <w:rFonts w:ascii="仿宋_GB2312" w:hAnsi="仿宋_GB2312" w:eastAsia="仿宋_GB2312"/>
          <w:b w:val="0"/>
          <w:sz w:val="32"/>
        </w:rPr>
        <w:t>本单位无其他需说明的事项。</w:t>
      </w:r>
    </w:p>
    <w:p w14:paraId="65811B98">
      <w:r>
        <w:br w:type="page"/>
      </w:r>
    </w:p>
    <w:p w14:paraId="374F80AF">
      <w:pPr>
        <w:spacing w:line="240" w:lineRule="auto"/>
        <w:jc w:val="center"/>
        <w:outlineLvl w:val="1"/>
      </w:pPr>
      <w:r>
        <w:rPr>
          <w:rFonts w:ascii="黑体" w:hAnsi="黑体" w:eastAsia="黑体"/>
          <w:sz w:val="32"/>
        </w:rPr>
        <w:t>第三部分 专业名词解释</w:t>
      </w:r>
    </w:p>
    <w:p w14:paraId="2D2DF040">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46FDD6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19D8327">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088C5B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A1AB0C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18836E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9C1BFE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939D03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782B5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722E0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2FB03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F5042C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8BB438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542CAF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68B7B49">
      <w:r>
        <w:br w:type="page"/>
      </w:r>
    </w:p>
    <w:p w14:paraId="26CDE139">
      <w:pPr>
        <w:spacing w:line="240" w:lineRule="auto"/>
        <w:jc w:val="center"/>
        <w:outlineLvl w:val="1"/>
      </w:pPr>
      <w:r>
        <w:rPr>
          <w:rFonts w:ascii="黑体" w:hAnsi="黑体" w:eastAsia="黑体"/>
          <w:sz w:val="32"/>
        </w:rPr>
        <w:t>第四部分 部门决算报表（见附表）</w:t>
      </w:r>
    </w:p>
    <w:p w14:paraId="735E67E6">
      <w:pPr>
        <w:spacing w:line="240" w:lineRule="auto"/>
        <w:ind w:firstLine="640"/>
        <w:jc w:val="both"/>
      </w:pPr>
      <w:r>
        <w:rPr>
          <w:rFonts w:ascii="仿宋_GB2312" w:hAnsi="仿宋_GB2312" w:eastAsia="仿宋_GB2312"/>
          <w:b w:val="0"/>
          <w:sz w:val="32"/>
        </w:rPr>
        <w:t>一、《收入支出决算总表》</w:t>
      </w:r>
    </w:p>
    <w:p w14:paraId="1CC519CD">
      <w:pPr>
        <w:spacing w:line="240" w:lineRule="auto"/>
        <w:ind w:firstLine="640"/>
        <w:jc w:val="both"/>
      </w:pPr>
      <w:r>
        <w:rPr>
          <w:rFonts w:ascii="仿宋_GB2312" w:hAnsi="仿宋_GB2312" w:eastAsia="仿宋_GB2312"/>
          <w:b w:val="0"/>
          <w:sz w:val="32"/>
        </w:rPr>
        <w:t>二、《收入决算表》</w:t>
      </w:r>
    </w:p>
    <w:p w14:paraId="404EF52C">
      <w:pPr>
        <w:spacing w:line="240" w:lineRule="auto"/>
        <w:ind w:firstLine="640"/>
        <w:jc w:val="both"/>
      </w:pPr>
      <w:r>
        <w:rPr>
          <w:rFonts w:ascii="仿宋_GB2312" w:hAnsi="仿宋_GB2312" w:eastAsia="仿宋_GB2312"/>
          <w:b w:val="0"/>
          <w:sz w:val="32"/>
        </w:rPr>
        <w:t>三、《支出决算表》</w:t>
      </w:r>
    </w:p>
    <w:p w14:paraId="656285ED">
      <w:pPr>
        <w:spacing w:line="240" w:lineRule="auto"/>
        <w:ind w:firstLine="640"/>
        <w:jc w:val="both"/>
      </w:pPr>
      <w:r>
        <w:rPr>
          <w:rFonts w:ascii="仿宋_GB2312" w:hAnsi="仿宋_GB2312" w:eastAsia="仿宋_GB2312"/>
          <w:b w:val="0"/>
          <w:sz w:val="32"/>
        </w:rPr>
        <w:t>四、《财政拨款收入支出决算总表》</w:t>
      </w:r>
    </w:p>
    <w:p w14:paraId="16DAF510">
      <w:pPr>
        <w:spacing w:line="240" w:lineRule="auto"/>
        <w:ind w:firstLine="640"/>
        <w:jc w:val="both"/>
      </w:pPr>
      <w:r>
        <w:rPr>
          <w:rFonts w:ascii="仿宋_GB2312" w:hAnsi="仿宋_GB2312" w:eastAsia="仿宋_GB2312"/>
          <w:b w:val="0"/>
          <w:sz w:val="32"/>
        </w:rPr>
        <w:t>五、《一般公共预算财政拨款支出决算表》</w:t>
      </w:r>
    </w:p>
    <w:p w14:paraId="2311B2C9">
      <w:pPr>
        <w:spacing w:line="240" w:lineRule="auto"/>
        <w:ind w:firstLine="640"/>
        <w:jc w:val="both"/>
      </w:pPr>
      <w:r>
        <w:rPr>
          <w:rFonts w:ascii="仿宋_GB2312" w:hAnsi="仿宋_GB2312" w:eastAsia="仿宋_GB2312"/>
          <w:b w:val="0"/>
          <w:sz w:val="32"/>
        </w:rPr>
        <w:t>六、《一般公共预算财政拨款基本支出决算表》</w:t>
      </w:r>
    </w:p>
    <w:p w14:paraId="579AF4BD">
      <w:pPr>
        <w:spacing w:line="240" w:lineRule="auto"/>
        <w:ind w:firstLine="640"/>
        <w:jc w:val="both"/>
      </w:pPr>
      <w:r>
        <w:rPr>
          <w:rFonts w:ascii="仿宋_GB2312" w:hAnsi="仿宋_GB2312" w:eastAsia="仿宋_GB2312"/>
          <w:b w:val="0"/>
          <w:sz w:val="32"/>
        </w:rPr>
        <w:t>七、《政府性基金预算财政拨款收入支出决算表》</w:t>
      </w:r>
    </w:p>
    <w:p w14:paraId="09D80167">
      <w:pPr>
        <w:spacing w:line="240" w:lineRule="auto"/>
        <w:ind w:firstLine="640"/>
        <w:jc w:val="both"/>
      </w:pPr>
      <w:r>
        <w:rPr>
          <w:rFonts w:ascii="仿宋_GB2312" w:hAnsi="仿宋_GB2312" w:eastAsia="仿宋_GB2312"/>
          <w:b w:val="0"/>
          <w:sz w:val="32"/>
        </w:rPr>
        <w:t>八、《国有资本经营预算财政拨款收入支出决算表》</w:t>
      </w:r>
    </w:p>
    <w:p w14:paraId="02950585">
      <w:pPr>
        <w:spacing w:line="240" w:lineRule="auto"/>
        <w:ind w:firstLine="640"/>
        <w:jc w:val="both"/>
      </w:pPr>
      <w:r>
        <w:rPr>
          <w:rFonts w:ascii="仿宋_GB2312" w:hAnsi="仿宋_GB2312" w:eastAsia="仿宋_GB2312"/>
          <w:b w:val="0"/>
          <w:sz w:val="32"/>
        </w:rPr>
        <w:t>九、《财政拨款“三公”经费支出决算表》</w:t>
      </w:r>
    </w:p>
    <w:p w14:paraId="1545C279">
      <w:pPr>
        <w:spacing w:line="240" w:lineRule="auto"/>
        <w:ind w:firstLine="640"/>
        <w:jc w:val="both"/>
      </w:pPr>
    </w:p>
    <w:p w14:paraId="656E8375">
      <w:pPr>
        <w:spacing w:line="240" w:lineRule="auto"/>
        <w:ind w:firstLine="640"/>
        <w:jc w:val="both"/>
      </w:pPr>
    </w:p>
    <w:p w14:paraId="14B35D4C">
      <w:pPr>
        <w:spacing w:line="240" w:lineRule="auto"/>
        <w:ind w:firstLine="640"/>
        <w:jc w:val="both"/>
      </w:pPr>
    </w:p>
    <w:p w14:paraId="59997AEE">
      <w:pPr>
        <w:spacing w:line="240" w:lineRule="auto"/>
        <w:ind w:firstLine="640"/>
        <w:jc w:val="both"/>
      </w:pPr>
    </w:p>
    <w:p w14:paraId="0E492AD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74C6D77-2090-483E-B1D4-A5AAB7C1A8F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DE3D79D-167C-4F6D-B36F-E981BA2CD52F}"/>
  </w:font>
  <w:font w:name="仿宋_GB2312">
    <w:altName w:val="仿宋"/>
    <w:panose1 w:val="02010609030101010101"/>
    <w:charset w:val="86"/>
    <w:family w:val="modern"/>
    <w:pitch w:val="default"/>
    <w:sig w:usb0="00000000" w:usb1="00000000" w:usb2="00000000" w:usb3="00000000" w:csb0="00040000" w:csb1="00000000"/>
    <w:embedRegular r:id="rId3" w:fontKey="{B501DA7A-C169-495B-A283-D20F6A454CCE}"/>
  </w:font>
  <w:font w:name="楷体_GB2312">
    <w:altName w:val="楷体"/>
    <w:panose1 w:val="00000000000000000000"/>
    <w:charset w:val="00"/>
    <w:family w:val="auto"/>
    <w:pitch w:val="default"/>
    <w:sig w:usb0="00000000" w:usb1="00000000" w:usb2="00000000" w:usb3="00000000" w:csb0="00000000" w:csb1="00000000"/>
    <w:embedRegular r:id="rId4" w:fontKey="{A9267549-3F24-473E-ABC9-508E95BCA9D2}"/>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4877E4"/>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A830B0"/>
    <w:rsid w:val="56E07045"/>
    <w:rsid w:val="583059FA"/>
    <w:rsid w:val="587E6212"/>
    <w:rsid w:val="5AFC6609"/>
    <w:rsid w:val="5FA17648"/>
    <w:rsid w:val="5FD320BD"/>
    <w:rsid w:val="60DE4D57"/>
    <w:rsid w:val="613409CB"/>
    <w:rsid w:val="61A46A97"/>
    <w:rsid w:val="61EA0B1C"/>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5504</Words>
  <Characters>6215</Characters>
  <Lines>0</Lines>
  <Paragraphs>0</Paragraphs>
  <TotalTime>3</TotalTime>
  <ScaleCrop>false</ScaleCrop>
  <LinksUpToDate>false</LinksUpToDate>
  <CharactersWithSpaces>6223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