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吉木萨尔县供销合作社联合社2024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9700FE">
      <w:r>
        <w:br w:type="page"/>
      </w:r>
    </w:p>
    <w:p w14:paraId="02ED41E5">
      <w:pPr>
        <w:spacing w:line="640" w:lineRule="exact"/>
        <w:jc w:val="center"/>
        <w:outlineLvl w:val="1"/>
      </w:pPr>
      <w:r>
        <w:rPr>
          <w:rFonts w:ascii="黑体" w:hAnsi="黑体" w:eastAsia="黑体"/>
          <w:sz w:val="32"/>
        </w:rPr>
        <w:t>第一部分 单位概况</w:t>
      </w:r>
    </w:p>
    <w:p w14:paraId="6EE4DD34">
      <w:pPr>
        <w:spacing w:line="640" w:lineRule="exact"/>
        <w:ind w:firstLine="640"/>
        <w:jc w:val="both"/>
        <w:outlineLvl w:val="2"/>
      </w:pPr>
      <w:r>
        <w:rPr>
          <w:rFonts w:ascii="黑体" w:hAnsi="黑体" w:eastAsia="黑体"/>
          <w:sz w:val="32"/>
        </w:rPr>
        <w:t>一、主要职能</w:t>
      </w:r>
    </w:p>
    <w:p w14:paraId="3E8F9E5F">
      <w:pPr>
        <w:spacing w:line="580" w:lineRule="exact"/>
        <w:ind w:firstLine="640"/>
        <w:jc w:val="both"/>
      </w:pPr>
      <w:r>
        <w:rPr>
          <w:rFonts w:ascii="仿宋_GB2312" w:hAnsi="仿宋_GB2312" w:eastAsia="仿宋_GB2312"/>
          <w:sz w:val="32"/>
        </w:rPr>
        <w:t>（1）贯彻落实党和政府商业流通有关方针政策，研究制定行业发展战略和规划，组织指导行业改革发展，负责行业管理，开展教育培训，维护合法权益。</w:t>
      </w:r>
    </w:p>
    <w:p w14:paraId="668FCA19">
      <w:pPr>
        <w:spacing w:line="580" w:lineRule="exact"/>
        <w:ind w:firstLine="640"/>
        <w:jc w:val="both"/>
      </w:pPr>
      <w:r>
        <w:rPr>
          <w:rFonts w:ascii="仿宋_GB2312" w:hAnsi="仿宋_GB2312" w:eastAsia="仿宋_GB2312"/>
          <w:sz w:val="32"/>
        </w:rPr>
        <w:t>（2）贯彻落实党和政府有关服务“三农”方针政策，以供销合作社体系为依托，创新组织体系、服务体系，并依托金融机构开展农村金融代办服务。</w:t>
      </w:r>
    </w:p>
    <w:p w14:paraId="59450E42">
      <w:pPr>
        <w:spacing w:line="580" w:lineRule="exact"/>
        <w:ind w:firstLine="640"/>
        <w:jc w:val="both"/>
      </w:pPr>
      <w:r>
        <w:rPr>
          <w:rFonts w:ascii="仿宋_GB2312" w:hAnsi="仿宋_GB2312" w:eastAsia="仿宋_GB2312"/>
          <w:sz w:val="32"/>
        </w:rPr>
        <w:t>（3）按照政府授权，承担管理</w:t>
      </w:r>
      <w:bookmarkStart w:id="0" w:name="_GoBack"/>
      <w:r>
        <w:rPr>
          <w:rFonts w:ascii="仿宋_GB2312" w:hAnsi="仿宋_GB2312" w:eastAsia="仿宋_GB2312"/>
          <w:sz w:val="32"/>
        </w:rPr>
        <w:t>棉花</w:t>
      </w:r>
      <w:bookmarkEnd w:id="0"/>
      <w:r>
        <w:rPr>
          <w:rFonts w:ascii="仿宋_GB2312" w:hAnsi="仿宋_GB2312" w:eastAsia="仿宋_GB2312"/>
          <w:sz w:val="32"/>
        </w:rPr>
        <w:t>、化肥、农药、羊毛、边销茶及救灾物资等国家和区级重要物资的储备任务。</w:t>
      </w:r>
    </w:p>
    <w:p w14:paraId="77DDCF0C">
      <w:pPr>
        <w:spacing w:line="580" w:lineRule="exact"/>
        <w:ind w:firstLine="640"/>
        <w:jc w:val="both"/>
        <w:rPr>
          <w:spacing w:val="-6"/>
          <w:sz w:val="32"/>
        </w:rPr>
      </w:pPr>
      <w:r>
        <w:rPr>
          <w:rFonts w:ascii="仿宋_GB2312" w:hAnsi="仿宋_GB2312" w:eastAsia="仿宋_GB2312"/>
          <w:spacing w:val="-6"/>
          <w:sz w:val="32"/>
        </w:rPr>
        <w:t>（4）负责供销合作社系统综合业务管理和机关综合事务管理。</w:t>
      </w:r>
    </w:p>
    <w:p w14:paraId="3F5A50C0">
      <w:pPr>
        <w:spacing w:line="640" w:lineRule="exact"/>
        <w:ind w:firstLine="640"/>
        <w:jc w:val="both"/>
        <w:outlineLvl w:val="2"/>
      </w:pPr>
      <w:r>
        <w:rPr>
          <w:rFonts w:ascii="黑体" w:hAnsi="黑体" w:eastAsia="黑体"/>
          <w:sz w:val="32"/>
        </w:rPr>
        <w:t>二、机构设置及人员情况</w:t>
      </w:r>
    </w:p>
    <w:p w14:paraId="66130FD7">
      <w:pPr>
        <w:spacing w:line="580" w:lineRule="exact"/>
        <w:ind w:firstLine="640"/>
        <w:jc w:val="both"/>
      </w:pPr>
      <w:r>
        <w:rPr>
          <w:rFonts w:ascii="仿宋_GB2312" w:hAnsi="仿宋_GB2312" w:eastAsia="仿宋_GB2312"/>
          <w:sz w:val="32"/>
        </w:rPr>
        <w:t>吉木萨尔县供销合作社联合社2024年度，实有人数8人，其中：在职人员6人，增加1人；离休人员0人，增加0人；退休人员2人,增加0人。</w:t>
      </w:r>
    </w:p>
    <w:p w14:paraId="12087B52">
      <w:pPr>
        <w:spacing w:line="580" w:lineRule="exact"/>
        <w:ind w:firstLine="640"/>
        <w:jc w:val="both"/>
      </w:pPr>
      <w:r>
        <w:rPr>
          <w:rFonts w:ascii="仿宋_GB2312" w:hAnsi="仿宋_GB2312" w:eastAsia="仿宋_GB2312"/>
          <w:sz w:val="32"/>
        </w:rPr>
        <w:t>吉木萨尔县供销合作社联合社无下属预算单位，下设4个科室，分别是：行政办公室、合作经济指导办公室、项目办公室、财务室。</w:t>
      </w:r>
    </w:p>
    <w:p w14:paraId="28FD3529">
      <w:r>
        <w:br w:type="page"/>
      </w:r>
    </w:p>
    <w:p w14:paraId="3FC74DBB">
      <w:pPr>
        <w:spacing w:line="240" w:lineRule="auto"/>
        <w:jc w:val="center"/>
        <w:outlineLvl w:val="1"/>
      </w:pPr>
      <w:r>
        <w:rPr>
          <w:rFonts w:ascii="黑体" w:hAnsi="黑体" w:eastAsia="黑体"/>
          <w:sz w:val="32"/>
        </w:rPr>
        <w:t>第二部分 部门决算情况说明</w:t>
      </w:r>
    </w:p>
    <w:p w14:paraId="24A1512B">
      <w:pPr>
        <w:spacing w:line="640" w:lineRule="exact"/>
        <w:ind w:firstLine="640"/>
        <w:jc w:val="both"/>
        <w:outlineLvl w:val="2"/>
      </w:pPr>
      <w:r>
        <w:rPr>
          <w:rFonts w:ascii="黑体" w:hAnsi="黑体" w:eastAsia="黑体"/>
          <w:sz w:val="32"/>
        </w:rPr>
        <w:t>一、收入支出决算总体情况说明</w:t>
      </w:r>
    </w:p>
    <w:p w14:paraId="2A18393E">
      <w:pPr>
        <w:spacing w:line="580" w:lineRule="exact"/>
        <w:ind w:firstLine="640"/>
        <w:jc w:val="both"/>
      </w:pPr>
      <w:r>
        <w:rPr>
          <w:rFonts w:ascii="仿宋_GB2312" w:hAnsi="仿宋_GB2312" w:eastAsia="仿宋_GB2312"/>
          <w:b/>
          <w:sz w:val="32"/>
        </w:rPr>
        <w:t>2024年度收入总计153.03万元，</w:t>
      </w:r>
      <w:r>
        <w:rPr>
          <w:rFonts w:ascii="仿宋_GB2312" w:hAnsi="仿宋_GB2312" w:eastAsia="仿宋_GB2312"/>
          <w:b w:val="0"/>
          <w:sz w:val="32"/>
        </w:rPr>
        <w:t>其中：本年收入合计152.97万元，使用非财政拨款结余（含专用结余）0.00万元，年初结转和结余0.05万元。</w:t>
      </w:r>
    </w:p>
    <w:p w14:paraId="7CA5B52A">
      <w:pPr>
        <w:spacing w:line="580" w:lineRule="exact"/>
        <w:ind w:firstLine="640"/>
        <w:jc w:val="both"/>
      </w:pPr>
      <w:r>
        <w:rPr>
          <w:rFonts w:ascii="仿宋_GB2312" w:hAnsi="仿宋_GB2312" w:eastAsia="仿宋_GB2312"/>
          <w:b/>
          <w:sz w:val="32"/>
        </w:rPr>
        <w:t>2024年度支出总计153.03万元，</w:t>
      </w:r>
      <w:r>
        <w:rPr>
          <w:rFonts w:ascii="仿宋_GB2312" w:hAnsi="仿宋_GB2312" w:eastAsia="仿宋_GB2312"/>
          <w:b w:val="0"/>
          <w:sz w:val="32"/>
        </w:rPr>
        <w:t>其中：本年支出合计152.96万元，结余分配0.00万元，年末结转和结余0.06万元。</w:t>
      </w:r>
    </w:p>
    <w:p w14:paraId="1AE07619">
      <w:pPr>
        <w:spacing w:line="580" w:lineRule="exact"/>
        <w:ind w:firstLine="640"/>
        <w:jc w:val="both"/>
      </w:pPr>
      <w:r>
        <w:rPr>
          <w:rFonts w:ascii="仿宋_GB2312" w:hAnsi="仿宋_GB2312" w:eastAsia="仿宋_GB2312"/>
          <w:b w:val="0"/>
          <w:sz w:val="32"/>
        </w:rPr>
        <w:t>收入支出总体与上年相比，增加10.88万元，增长7.65%，主要原因是：吉木萨尔县供销合作社联合社2024年在职人员增加，在职人员工资调增，社保、公积金基数调增，人员经费增加。</w:t>
      </w:r>
    </w:p>
    <w:p w14:paraId="053267ED">
      <w:pPr>
        <w:spacing w:line="640" w:lineRule="exact"/>
        <w:ind w:firstLine="640"/>
        <w:jc w:val="both"/>
        <w:outlineLvl w:val="2"/>
      </w:pPr>
      <w:r>
        <w:rPr>
          <w:rFonts w:ascii="黑体" w:hAnsi="黑体" w:eastAsia="黑体"/>
          <w:sz w:val="32"/>
        </w:rPr>
        <w:t>二、收入决算情况说明</w:t>
      </w:r>
    </w:p>
    <w:p w14:paraId="18443B53">
      <w:pPr>
        <w:spacing w:line="580" w:lineRule="exact"/>
        <w:ind w:firstLine="640"/>
        <w:jc w:val="both"/>
      </w:pPr>
      <w:r>
        <w:rPr>
          <w:rFonts w:ascii="仿宋_GB2312" w:hAnsi="仿宋_GB2312" w:eastAsia="仿宋_GB2312"/>
          <w:b/>
          <w:sz w:val="32"/>
        </w:rPr>
        <w:t>本年收入152.97万元，</w:t>
      </w:r>
      <w:r>
        <w:rPr>
          <w:rFonts w:ascii="仿宋_GB2312" w:hAnsi="仿宋_GB2312" w:eastAsia="仿宋_GB2312"/>
          <w:b w:val="0"/>
          <w:sz w:val="32"/>
        </w:rPr>
        <w:t>其中：财政拨款收入152.96万元，占99.99%；上级补助收入0.00万元，占0.00%；事业收入0.00万元，占0.00%；经营收入0.00万元，占0.00%；附属单位上缴收入0.00万元，占0.00%；其他收入0.01万元，占0.007%。</w:t>
      </w:r>
    </w:p>
    <w:p w14:paraId="224991E4">
      <w:pPr>
        <w:spacing w:line="640" w:lineRule="exact"/>
        <w:ind w:firstLine="640"/>
        <w:jc w:val="both"/>
        <w:outlineLvl w:val="2"/>
      </w:pPr>
      <w:r>
        <w:rPr>
          <w:rFonts w:ascii="黑体" w:hAnsi="黑体" w:eastAsia="黑体"/>
          <w:sz w:val="32"/>
        </w:rPr>
        <w:t>三、支出决算情况说明</w:t>
      </w:r>
    </w:p>
    <w:p w14:paraId="5D570DA1">
      <w:pPr>
        <w:spacing w:line="580" w:lineRule="exact"/>
        <w:ind w:firstLine="640"/>
        <w:jc w:val="both"/>
      </w:pPr>
      <w:r>
        <w:rPr>
          <w:rFonts w:ascii="仿宋_GB2312" w:hAnsi="仿宋_GB2312" w:eastAsia="仿宋_GB2312"/>
          <w:b/>
          <w:sz w:val="32"/>
        </w:rPr>
        <w:t>本年支出152.96万元，</w:t>
      </w:r>
      <w:r>
        <w:rPr>
          <w:rFonts w:ascii="仿宋_GB2312" w:hAnsi="仿宋_GB2312" w:eastAsia="仿宋_GB2312"/>
          <w:b w:val="0"/>
          <w:sz w:val="32"/>
        </w:rPr>
        <w:t>其中：基本支出147.96万元，占96.73%；项目支出5.00万元，占3.27%；上缴上级支出0.00万元，占0.00%；经营支出0.00万元，占0.00%；对附属单位补助支出0.00万元，占0.00%。</w:t>
      </w:r>
    </w:p>
    <w:p w14:paraId="6249234C">
      <w:pPr>
        <w:spacing w:line="640" w:lineRule="exact"/>
        <w:ind w:firstLine="640"/>
        <w:jc w:val="both"/>
        <w:outlineLvl w:val="2"/>
      </w:pPr>
      <w:r>
        <w:rPr>
          <w:rFonts w:ascii="黑体" w:hAnsi="黑体" w:eastAsia="黑体"/>
          <w:sz w:val="32"/>
        </w:rPr>
        <w:t>四、财政拨款收入支出决算总体情况说明</w:t>
      </w:r>
    </w:p>
    <w:p w14:paraId="30415B60">
      <w:pPr>
        <w:spacing w:line="580" w:lineRule="exact"/>
        <w:ind w:firstLine="640"/>
        <w:jc w:val="both"/>
      </w:pPr>
      <w:r>
        <w:rPr>
          <w:rFonts w:ascii="仿宋_GB2312" w:hAnsi="仿宋_GB2312" w:eastAsia="仿宋_GB2312"/>
          <w:b/>
          <w:sz w:val="32"/>
        </w:rPr>
        <w:t>2024年度财政拨款收入总计152.96万元，</w:t>
      </w:r>
      <w:r>
        <w:rPr>
          <w:rFonts w:ascii="仿宋_GB2312" w:hAnsi="仿宋_GB2312" w:eastAsia="仿宋_GB2312"/>
          <w:b w:val="0"/>
          <w:sz w:val="32"/>
        </w:rPr>
        <w:t>其中：年初财政拨款结转和结余0.00万元，本年财政拨款收入152.96万元。</w:t>
      </w:r>
      <w:r>
        <w:rPr>
          <w:rFonts w:ascii="仿宋_GB2312" w:hAnsi="仿宋_GB2312" w:eastAsia="仿宋_GB2312"/>
          <w:b/>
          <w:sz w:val="32"/>
        </w:rPr>
        <w:t>财政拨款支出总计152.96万元，</w:t>
      </w:r>
      <w:r>
        <w:rPr>
          <w:rFonts w:ascii="仿宋_GB2312" w:hAnsi="仿宋_GB2312" w:eastAsia="仿宋_GB2312"/>
          <w:b w:val="0"/>
          <w:sz w:val="32"/>
        </w:rPr>
        <w:t>其中：年末财政拨款结转和结余0.00万元，本年财政拨款支出152.96万元。</w:t>
      </w:r>
    </w:p>
    <w:p w14:paraId="3205916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增加10.86万元，增长7.64%，主要原因是：吉木萨尔县供销合作社联合社2024年在职人员增加，在职人员工资调增，社保、公积金基数调增，人员经费增加。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年初预算数110.12万元，决算数152.96万元，预决算差异率38.90%，主要原因是：</w:t>
      </w:r>
      <w:r>
        <w:rPr>
          <w:rFonts w:hint="eastAsia" w:ascii="仿宋_GB2312" w:hAnsi="仿宋_GB2312" w:eastAsia="仿宋_GB2312"/>
          <w:b w:val="0"/>
          <w:sz w:val="32"/>
        </w:rPr>
        <w:t>本年在职人员增加，年中追加人员经费及人员工资、社保、公积金基数调增部分资金，导致预决算存在差异</w:t>
      </w:r>
      <w:r>
        <w:rPr>
          <w:rFonts w:ascii="仿宋_GB2312" w:hAnsi="仿宋_GB2312" w:eastAsia="仿宋_GB2312"/>
          <w:b w:val="0"/>
          <w:sz w:val="32"/>
        </w:rPr>
        <w:t>。</w:t>
      </w:r>
    </w:p>
    <w:p w14:paraId="5508D839">
      <w:pPr>
        <w:spacing w:line="640" w:lineRule="exact"/>
        <w:ind w:firstLine="640"/>
        <w:jc w:val="both"/>
        <w:outlineLvl w:val="2"/>
      </w:pPr>
      <w:r>
        <w:rPr>
          <w:rFonts w:ascii="黑体" w:hAnsi="黑体" w:eastAsia="黑体"/>
          <w:sz w:val="32"/>
        </w:rPr>
        <w:t>五、一般公共预算财政拨款支出决算情况说明</w:t>
      </w:r>
    </w:p>
    <w:p w14:paraId="4D9CCD03">
      <w:pPr>
        <w:spacing w:line="640" w:lineRule="exact"/>
        <w:ind w:firstLine="640"/>
        <w:jc w:val="both"/>
        <w:outlineLvl w:val="3"/>
      </w:pPr>
      <w:r>
        <w:rPr>
          <w:rFonts w:ascii="楷体_GB2312" w:hAnsi="楷体_GB2312" w:eastAsia="楷体_GB2312"/>
          <w:b/>
          <w:sz w:val="32"/>
        </w:rPr>
        <w:t>（一）一般公共预算财政拨款支出决算总体情况</w:t>
      </w:r>
    </w:p>
    <w:p w14:paraId="6866E834">
      <w:pPr>
        <w:spacing w:line="580" w:lineRule="exact"/>
        <w:ind w:firstLine="640"/>
        <w:jc w:val="both"/>
      </w:pPr>
      <w:r>
        <w:rPr>
          <w:rFonts w:ascii="仿宋_GB2312" w:hAnsi="仿宋_GB2312" w:eastAsia="仿宋_GB2312"/>
          <w:b/>
          <w:sz w:val="32"/>
        </w:rPr>
        <w:t>2024年度一般公共预算财政拨款支出152.96万元，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增加10.86万元，增长7.64%，主要原因是：吉木萨尔县供销合作社联合社2024年在职人员增加，在职人员工资调增、社保、公积金基数调增，人员经费增加。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年初预算数110.12万元，决算数152.96万元，预决算差异率38.90%，主要原因是：</w:t>
      </w:r>
      <w:r>
        <w:rPr>
          <w:rFonts w:hint="eastAsia" w:ascii="仿宋_GB2312" w:hAnsi="仿宋_GB2312" w:eastAsia="仿宋_GB2312"/>
          <w:b w:val="0"/>
          <w:sz w:val="32"/>
        </w:rPr>
        <w:t>本年在职人员增加，年中追加人员经费及人员工资、社保、公积金基数调增部分资金，导致预决算存在差异</w:t>
      </w:r>
      <w:r>
        <w:rPr>
          <w:rFonts w:ascii="仿宋_GB2312" w:hAnsi="仿宋_GB2312" w:eastAsia="仿宋_GB2312"/>
          <w:b w:val="0"/>
          <w:sz w:val="32"/>
        </w:rPr>
        <w:t>。</w:t>
      </w:r>
    </w:p>
    <w:p w14:paraId="137272C5">
      <w:pPr>
        <w:spacing w:line="640" w:lineRule="exact"/>
        <w:ind w:firstLine="640"/>
        <w:jc w:val="both"/>
        <w:outlineLvl w:val="3"/>
      </w:pPr>
      <w:r>
        <w:rPr>
          <w:rFonts w:ascii="楷体_GB2312" w:hAnsi="楷体_GB2312" w:eastAsia="楷体_GB2312"/>
          <w:b/>
          <w:sz w:val="32"/>
        </w:rPr>
        <w:t>（二）一般公共预算财政拨款支出决算结构情况</w:t>
      </w:r>
    </w:p>
    <w:p w14:paraId="4B650D01">
      <w:pPr>
        <w:spacing w:line="580" w:lineRule="exact"/>
        <w:ind w:firstLine="640"/>
        <w:jc w:val="both"/>
      </w:pPr>
      <w:r>
        <w:rPr>
          <w:rFonts w:ascii="仿宋_GB2312" w:hAnsi="仿宋_GB2312" w:eastAsia="仿宋_GB2312"/>
          <w:b w:val="0"/>
          <w:sz w:val="32"/>
        </w:rPr>
        <w:t>1.一般公共服务支出(类)16.66万元,占10.89%。</w:t>
      </w:r>
    </w:p>
    <w:p w14:paraId="26CC7815">
      <w:pPr>
        <w:spacing w:line="580" w:lineRule="exact"/>
        <w:ind w:firstLine="640"/>
        <w:jc w:val="both"/>
      </w:pPr>
      <w:r>
        <w:rPr>
          <w:rFonts w:ascii="仿宋_GB2312" w:hAnsi="仿宋_GB2312" w:eastAsia="仿宋_GB2312"/>
          <w:b w:val="0"/>
          <w:sz w:val="32"/>
        </w:rPr>
        <w:t>2.科学技术支出(类)6.17万元,占4.03%。</w:t>
      </w:r>
    </w:p>
    <w:p w14:paraId="123A2A11">
      <w:pPr>
        <w:spacing w:line="580" w:lineRule="exact"/>
        <w:ind w:firstLine="640"/>
        <w:jc w:val="both"/>
      </w:pPr>
      <w:r>
        <w:rPr>
          <w:rFonts w:ascii="仿宋_GB2312" w:hAnsi="仿宋_GB2312" w:eastAsia="仿宋_GB2312"/>
          <w:b w:val="0"/>
          <w:sz w:val="32"/>
        </w:rPr>
        <w:t>3.社会保障和就业支出(类)17.73万元,占11.59%。</w:t>
      </w:r>
    </w:p>
    <w:p w14:paraId="1DD6B0FA">
      <w:pPr>
        <w:spacing w:line="580" w:lineRule="exact"/>
        <w:ind w:firstLine="640"/>
        <w:jc w:val="both"/>
      </w:pPr>
      <w:r>
        <w:rPr>
          <w:rFonts w:ascii="仿宋_GB2312" w:hAnsi="仿宋_GB2312" w:eastAsia="仿宋_GB2312"/>
          <w:b w:val="0"/>
          <w:sz w:val="32"/>
        </w:rPr>
        <w:t>4.卫生健康支出(类)6.18万元,占4.04%。</w:t>
      </w:r>
    </w:p>
    <w:p w14:paraId="3B6560E4">
      <w:pPr>
        <w:spacing w:line="580" w:lineRule="exact"/>
        <w:ind w:firstLine="640"/>
        <w:jc w:val="both"/>
      </w:pPr>
      <w:r>
        <w:rPr>
          <w:rFonts w:ascii="仿宋_GB2312" w:hAnsi="仿宋_GB2312" w:eastAsia="仿宋_GB2312"/>
          <w:b w:val="0"/>
          <w:sz w:val="32"/>
        </w:rPr>
        <w:t>5.商业服务业等支出(类)98.13万元,占64.15%。</w:t>
      </w:r>
    </w:p>
    <w:p w14:paraId="60B371FF">
      <w:pPr>
        <w:spacing w:line="580" w:lineRule="exact"/>
        <w:ind w:firstLine="640"/>
        <w:jc w:val="both"/>
      </w:pPr>
      <w:r>
        <w:rPr>
          <w:rFonts w:ascii="仿宋_GB2312" w:hAnsi="仿宋_GB2312" w:eastAsia="仿宋_GB2312"/>
          <w:b w:val="0"/>
          <w:sz w:val="32"/>
        </w:rPr>
        <w:t>6.住房保障支出(类)8.08万元,占5.28%。</w:t>
      </w:r>
    </w:p>
    <w:p w14:paraId="3C876F38">
      <w:pPr>
        <w:spacing w:line="640" w:lineRule="exact"/>
        <w:ind w:firstLine="640"/>
        <w:jc w:val="both"/>
        <w:outlineLvl w:val="3"/>
      </w:pPr>
      <w:r>
        <w:rPr>
          <w:rFonts w:ascii="楷体_GB2312" w:hAnsi="楷体_GB2312" w:eastAsia="楷体_GB2312"/>
          <w:b/>
          <w:sz w:val="32"/>
        </w:rPr>
        <w:t>（三）一般公共预算财政拨款支出决算具体情况</w:t>
      </w:r>
    </w:p>
    <w:p w14:paraId="3E2E500A">
      <w:pPr>
        <w:spacing w:line="580" w:lineRule="exact"/>
        <w:ind w:firstLine="640"/>
        <w:jc w:val="both"/>
      </w:pPr>
      <w:r>
        <w:rPr>
          <w:rFonts w:ascii="仿宋_GB2312" w:hAnsi="仿宋_GB2312" w:eastAsia="仿宋_GB2312"/>
          <w:b w:val="0"/>
          <w:sz w:val="32"/>
        </w:rPr>
        <w:t>1.一般公共服务支出(类)政府办公厅（室）及相关机构事务(款)事业运行(项):支出决算数为6.67万元，比上年决算增加6.67万元，增长100.00%,主要原因是：</w:t>
      </w:r>
      <w:r>
        <w:rPr>
          <w:rFonts w:hint="eastAsia" w:ascii="仿宋_GB2312" w:hAnsi="仿宋_GB2312" w:eastAsia="仿宋_GB2312"/>
          <w:b w:val="0"/>
          <w:sz w:val="32"/>
          <w:lang w:val="en-US" w:eastAsia="zh-CN"/>
        </w:rPr>
        <w:t>本年增加</w:t>
      </w:r>
      <w:r>
        <w:rPr>
          <w:rFonts w:hint="eastAsia" w:ascii="仿宋_GB2312" w:hAnsi="仿宋_GB2312" w:eastAsia="仿宋_GB2312"/>
          <w:b w:val="0"/>
          <w:sz w:val="32"/>
        </w:rPr>
        <w:t>1名研究生转正补缴社会保险费、医疗保险费、住房公积金</w:t>
      </w:r>
      <w:r>
        <w:rPr>
          <w:rFonts w:hint="eastAsia" w:ascii="仿宋_GB2312" w:hAnsi="仿宋_GB2312" w:eastAsia="仿宋_GB2312"/>
          <w:b w:val="0"/>
          <w:sz w:val="32"/>
          <w:lang w:val="en-US" w:eastAsia="zh-CN"/>
        </w:rPr>
        <w:t>等经费，导致此科目经费较上年增加</w:t>
      </w:r>
      <w:r>
        <w:rPr>
          <w:rFonts w:ascii="仿宋_GB2312" w:hAnsi="仿宋_GB2312" w:eastAsia="仿宋_GB2312"/>
          <w:b w:val="0"/>
          <w:sz w:val="32"/>
        </w:rPr>
        <w:t>。</w:t>
      </w:r>
    </w:p>
    <w:p w14:paraId="30A13156">
      <w:pPr>
        <w:spacing w:line="580" w:lineRule="exact"/>
        <w:ind w:firstLine="640"/>
        <w:jc w:val="both"/>
      </w:pPr>
      <w:r>
        <w:rPr>
          <w:rFonts w:ascii="仿宋_GB2312" w:hAnsi="仿宋_GB2312" w:eastAsia="仿宋_GB2312"/>
          <w:b w:val="0"/>
          <w:sz w:val="32"/>
        </w:rPr>
        <w:t>2.一般公共服务支出(类)组织事务(款)其他组织事务支出(项):支出决算数为9.99万元，比上年决算增加9.99万元，增长100.00%,主要原因是：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包联村庆阳湖乡大东沟村各项经费。</w:t>
      </w:r>
    </w:p>
    <w:p w14:paraId="56A50D64">
      <w:pPr>
        <w:spacing w:line="580" w:lineRule="exact"/>
        <w:ind w:firstLine="640"/>
        <w:jc w:val="both"/>
      </w:pPr>
      <w:r>
        <w:rPr>
          <w:rFonts w:ascii="仿宋_GB2312" w:hAnsi="仿宋_GB2312" w:eastAsia="仿宋_GB2312"/>
          <w:b w:val="0"/>
          <w:sz w:val="32"/>
        </w:rPr>
        <w:t>3.科学技术支出(类)科技条件与服务(款)其他科技条件与服务支出(项):支出决算数为6.17万元，比上年决算增加6.17万元，增长100.00%,主要原因是：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购置办公电脑经费以及吉木萨尔县供销合作社联合社农特产业产销体系构建策略研究课题经费。</w:t>
      </w:r>
    </w:p>
    <w:p w14:paraId="411A81D3">
      <w:pPr>
        <w:spacing w:line="580" w:lineRule="exact"/>
        <w:ind w:firstLine="640"/>
        <w:jc w:val="both"/>
      </w:pPr>
      <w:r>
        <w:rPr>
          <w:rFonts w:ascii="仿宋_GB2312" w:hAnsi="仿宋_GB2312" w:eastAsia="仿宋_GB2312"/>
          <w:b w:val="0"/>
          <w:sz w:val="32"/>
        </w:rPr>
        <w:t>4.社会保障和就业支出(类)行政事业单位养老支出(款)事业单位离退休(项):支出决算数为1.46万元，比上年决算增加0.86万元，增长143.33%,主要原因是：吉木萨尔县供销合作社联合社2024年增加退休人员基础绩效奖，退休费支出增加。</w:t>
      </w:r>
    </w:p>
    <w:p w14:paraId="3FA31B03">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11.64万元，比上年决算增加8.84万元，增长315.71%,主要原因是：吉木萨尔县供销合作社联合社2024年在职人员增加1人以及在职人员工资基数调增，养老缴费基数上涨，相应支出增加。</w:t>
      </w:r>
    </w:p>
    <w:p w14:paraId="262E332F">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4.64万元，比上年决算增加0.87万元，增长23.08%,主要原因是：吉木萨尔县供销合作社联合社2024年在职人员增加1人以及在职人员工资基数调增，职业年金缴费基数上涨，相应支出增加。</w:t>
      </w:r>
    </w:p>
    <w:p w14:paraId="427D1203">
      <w:pPr>
        <w:spacing w:line="580" w:lineRule="exact"/>
        <w:ind w:firstLine="640"/>
        <w:jc w:val="both"/>
      </w:pPr>
      <w:r>
        <w:rPr>
          <w:rFonts w:ascii="仿宋_GB2312" w:hAnsi="仿宋_GB2312" w:eastAsia="仿宋_GB2312"/>
          <w:b w:val="0"/>
          <w:sz w:val="32"/>
        </w:rPr>
        <w:t>7.卫生健康支出(类)行政事业单位医疗(款)事业单位医疗(项):支出决算数为5.88万元，比上年决算增加0.82万元，增长16.21%,主要原因是：吉木萨尔县供销合作社联合社2024年在职人员增加1人以及在职人员工资基数调增，医疗缴费基数上涨，相应支出增加。</w:t>
      </w:r>
    </w:p>
    <w:p w14:paraId="514884BC">
      <w:pPr>
        <w:spacing w:line="580" w:lineRule="exact"/>
        <w:ind w:firstLine="640"/>
        <w:jc w:val="both"/>
      </w:pPr>
      <w:r>
        <w:rPr>
          <w:rFonts w:ascii="仿宋_GB2312" w:hAnsi="仿宋_GB2312" w:eastAsia="仿宋_GB2312"/>
          <w:b w:val="0"/>
          <w:sz w:val="32"/>
        </w:rPr>
        <w:t>8.卫生健康支出(类)行政事业单位医疗(款)公务员医疗补助(项):支出决算数为0.30万元，比上年决算减少0.80万元，下降72.73%,主要原因是：吉木萨尔县供销合作社联合社2024年因退休人员医疗保险制度改革，退休人员基本医疗不再由单位缴纳，导致经费较上年减少。</w:t>
      </w:r>
    </w:p>
    <w:p w14:paraId="2A9B388F">
      <w:pPr>
        <w:spacing w:line="580" w:lineRule="exact"/>
        <w:ind w:firstLine="640"/>
        <w:jc w:val="both"/>
      </w:pPr>
      <w:r>
        <w:rPr>
          <w:rFonts w:ascii="仿宋_GB2312" w:hAnsi="仿宋_GB2312" w:eastAsia="仿宋_GB2312"/>
          <w:b w:val="0"/>
          <w:sz w:val="32"/>
        </w:rPr>
        <w:t>9.商业服务业等支出(类)商业流通事务(款)事业运行(项):支出决算数为98.13万元，比上年决算减少3.98万元，下降3.90%,主要原因是：</w:t>
      </w:r>
      <w:r>
        <w:rPr>
          <w:rFonts w:hint="eastAsia" w:ascii="仿宋_GB2312" w:hAnsi="仿宋_GB2312" w:eastAsia="仿宋_GB2312"/>
          <w:b w:val="0"/>
          <w:sz w:val="32"/>
          <w:lang w:val="en-US" w:eastAsia="zh-CN"/>
        </w:rPr>
        <w:t>本年减少</w:t>
      </w:r>
      <w:r>
        <w:rPr>
          <w:rFonts w:ascii="仿宋_GB2312" w:hAnsi="仿宋_GB2312" w:eastAsia="仿宋_GB2312"/>
          <w:b w:val="0"/>
          <w:sz w:val="32"/>
        </w:rPr>
        <w:t>老台乡西地村为农社会化服务中心、泉子街镇为农社会化服务中心建设</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79F38203">
      <w:pPr>
        <w:spacing w:line="580" w:lineRule="exact"/>
        <w:ind w:firstLine="640"/>
        <w:jc w:val="both"/>
      </w:pPr>
      <w:r>
        <w:rPr>
          <w:rFonts w:ascii="仿宋_GB2312" w:hAnsi="仿宋_GB2312" w:eastAsia="仿宋_GB2312"/>
          <w:b w:val="0"/>
          <w:sz w:val="32"/>
        </w:rPr>
        <w:t>10.商业服务业等支出(类)商业流通事务(款)其他商业流通事务支出(项):支出决算数为0.00万元，比上年决算减少20.00万元，下降100.00%,主要原因是：本年减少2022年自治州第一批农业产业化发展项目资金，导致经费较上年减少。</w:t>
      </w:r>
    </w:p>
    <w:p w14:paraId="527D18FD">
      <w:pPr>
        <w:spacing w:line="580" w:lineRule="exact"/>
        <w:ind w:firstLine="640"/>
        <w:jc w:val="both"/>
      </w:pPr>
      <w:r>
        <w:rPr>
          <w:rFonts w:ascii="仿宋_GB2312" w:hAnsi="仿宋_GB2312" w:eastAsia="仿宋_GB2312"/>
          <w:b w:val="0"/>
          <w:sz w:val="32"/>
        </w:rPr>
        <w:t>11.住房保障支出(类)住房改革支出(款)住房公积金(项):支出决算数为8.08万元，比上年决算增加1.43万元，增长21.50%,主要原因是：吉木萨尔县供销合作社联合社2024年在职人员增加1人以及在职人员工资基数调增，住房公积金缴费基数上涨，相应支出增加。</w:t>
      </w:r>
    </w:p>
    <w:p w14:paraId="574A1303">
      <w:pPr>
        <w:spacing w:line="640" w:lineRule="exact"/>
        <w:ind w:firstLine="640"/>
        <w:jc w:val="both"/>
        <w:outlineLvl w:val="2"/>
      </w:pPr>
      <w:r>
        <w:rPr>
          <w:rFonts w:ascii="黑体" w:hAnsi="黑体" w:eastAsia="黑体"/>
          <w:sz w:val="32"/>
        </w:rPr>
        <w:t>六、一般公共预算财政拨款基本支出决算情况说明</w:t>
      </w:r>
    </w:p>
    <w:p w14:paraId="016E0D12">
      <w:pPr>
        <w:spacing w:line="580" w:lineRule="exact"/>
        <w:ind w:firstLine="640"/>
        <w:jc w:val="both"/>
      </w:pPr>
      <w:r>
        <w:rPr>
          <w:rFonts w:ascii="仿宋_GB2312" w:hAnsi="仿宋_GB2312" w:eastAsia="仿宋_GB2312"/>
          <w:b w:val="0"/>
          <w:sz w:val="32"/>
        </w:rPr>
        <w:t>2024年度一般公共预算财政拨款基本支出147.96万元，其中：</w:t>
      </w:r>
      <w:r>
        <w:rPr>
          <w:rFonts w:ascii="仿宋_GB2312" w:hAnsi="仿宋_GB2312" w:eastAsia="仿宋_GB2312"/>
          <w:b/>
          <w:sz w:val="32"/>
        </w:rPr>
        <w:t>人员经费121.93万元，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4CF0ADC4">
      <w:pPr>
        <w:spacing w:line="580" w:lineRule="exact"/>
        <w:ind w:firstLine="640"/>
        <w:jc w:val="both"/>
      </w:pPr>
      <w:r>
        <w:rPr>
          <w:rFonts w:ascii="仿宋_GB2312" w:hAnsi="仿宋_GB2312" w:eastAsia="仿宋_GB2312"/>
          <w:b/>
          <w:sz w:val="32"/>
        </w:rPr>
        <w:t>公用经费26.03万元，</w:t>
      </w:r>
      <w:r>
        <w:rPr>
          <w:rFonts w:ascii="仿宋_GB2312" w:hAnsi="仿宋_GB2312" w:eastAsia="仿宋_GB2312"/>
          <w:b w:val="0"/>
          <w:sz w:val="32"/>
        </w:rPr>
        <w:t>包括：办公费、印刷费、差旅费、专用材料费、劳务费、工会经费、公务用车运行维护费、其他商品和服务支出。</w:t>
      </w:r>
    </w:p>
    <w:p w14:paraId="03DE034E">
      <w:pPr>
        <w:spacing w:line="640" w:lineRule="exact"/>
        <w:ind w:firstLine="640"/>
        <w:jc w:val="both"/>
        <w:outlineLvl w:val="2"/>
      </w:pPr>
      <w:r>
        <w:rPr>
          <w:rFonts w:ascii="黑体" w:hAnsi="黑体" w:eastAsia="黑体"/>
          <w:sz w:val="32"/>
        </w:rPr>
        <w:t>七、政府性基金预算财政拨款收入支出决算情况说明</w:t>
      </w:r>
    </w:p>
    <w:p w14:paraId="6EA590F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EE0747D">
      <w:pPr>
        <w:spacing w:line="640" w:lineRule="exact"/>
        <w:ind w:firstLine="640"/>
        <w:jc w:val="both"/>
        <w:outlineLvl w:val="2"/>
      </w:pPr>
      <w:r>
        <w:rPr>
          <w:rFonts w:ascii="黑体" w:hAnsi="黑体" w:eastAsia="黑体"/>
          <w:sz w:val="32"/>
        </w:rPr>
        <w:t>八、国有资本经营预算财政拨款收入支出决算情况说明</w:t>
      </w:r>
    </w:p>
    <w:p w14:paraId="7D0E042F">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AFDC1C">
      <w:pPr>
        <w:spacing w:line="640" w:lineRule="exact"/>
        <w:ind w:firstLine="640"/>
        <w:jc w:val="both"/>
        <w:outlineLvl w:val="2"/>
      </w:pPr>
      <w:r>
        <w:rPr>
          <w:rFonts w:ascii="黑体" w:hAnsi="黑体" w:eastAsia="黑体"/>
          <w:sz w:val="32"/>
        </w:rPr>
        <w:t>九、财政拨款“三公”经费支出决算情况说明</w:t>
      </w:r>
    </w:p>
    <w:p w14:paraId="6C04ECBD">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0.28万元，增长16.28%，主要原因是：吉木萨尔县供销合作社联合社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2.00万元，占100.00%，比上年增加0.28万元，增长16.28%，主要原因是：吉木萨尔县供销合作社联合社单位公务用车日渐老化，维修维护成本增加，导致公务用车运行维护费较上年增加。公务接待费支出0.00万元，占0.00%，比上年增加0.00万元，增长0.00%，主要原因是：2023年与2024年均未安排公务接待费支出。</w:t>
      </w:r>
    </w:p>
    <w:p w14:paraId="7812B8C7">
      <w:pPr>
        <w:spacing w:line="580" w:lineRule="exact"/>
        <w:ind w:firstLine="640"/>
        <w:jc w:val="both"/>
      </w:pPr>
      <w:r>
        <w:rPr>
          <w:rFonts w:ascii="仿宋_GB2312" w:hAnsi="仿宋_GB2312" w:eastAsia="仿宋_GB2312"/>
          <w:b/>
          <w:sz w:val="32"/>
        </w:rPr>
        <w:t>具体情况如下：</w:t>
      </w:r>
    </w:p>
    <w:p w14:paraId="09EA777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9E28D23">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4BF60F6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F13BDF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2FB4CAFC">
      <w:pPr>
        <w:spacing w:line="640" w:lineRule="exact"/>
        <w:ind w:firstLine="640"/>
        <w:jc w:val="both"/>
        <w:outlineLvl w:val="2"/>
      </w:pPr>
      <w:r>
        <w:rPr>
          <w:rFonts w:ascii="黑体" w:hAnsi="黑体" w:eastAsia="黑体"/>
          <w:sz w:val="32"/>
        </w:rPr>
        <w:t>十、其他重要事项的情况说明</w:t>
      </w:r>
    </w:p>
    <w:p w14:paraId="0B22A8EC">
      <w:pPr>
        <w:spacing w:line="640" w:lineRule="exact"/>
        <w:ind w:firstLine="640"/>
        <w:jc w:val="both"/>
        <w:outlineLvl w:val="3"/>
      </w:pPr>
      <w:r>
        <w:rPr>
          <w:rFonts w:ascii="楷体_GB2312" w:hAnsi="楷体_GB2312" w:eastAsia="楷体_GB2312"/>
          <w:b/>
          <w:sz w:val="32"/>
        </w:rPr>
        <w:t>（一）机关运行经费及公用经费支出情况</w:t>
      </w:r>
    </w:p>
    <w:p w14:paraId="1928F62A">
      <w:pPr>
        <w:spacing w:line="580" w:lineRule="exact"/>
        <w:ind w:firstLine="640"/>
        <w:jc w:val="both"/>
      </w:pPr>
      <w:r>
        <w:rPr>
          <w:rFonts w:ascii="仿宋_GB2312" w:hAnsi="仿宋_GB2312" w:eastAsia="仿宋_GB2312"/>
          <w:b w:val="0"/>
          <w:sz w:val="32"/>
        </w:rPr>
        <w:t>2024年度吉木萨尔县供销合作社联合社（事业单位）公用经费支出26.03万元，比上年增加12.78万元，增长96.45%，主要原因是：吉木萨尔县供销合作社联合社2024年在职人员增加，办公费用增加。增加农特产业产销体系构建策略研究课题经费及包联村庆阳湖乡大东沟村各项经费。</w:t>
      </w:r>
    </w:p>
    <w:p w14:paraId="303E9D7C">
      <w:pPr>
        <w:spacing w:line="640" w:lineRule="exact"/>
        <w:ind w:firstLine="640"/>
        <w:jc w:val="both"/>
        <w:outlineLvl w:val="3"/>
      </w:pPr>
      <w:r>
        <w:rPr>
          <w:rFonts w:ascii="楷体_GB2312" w:hAnsi="楷体_GB2312" w:eastAsia="楷体_GB2312"/>
          <w:b/>
          <w:sz w:val="32"/>
        </w:rPr>
        <w:t>（二）政府采购情况</w:t>
      </w:r>
    </w:p>
    <w:p w14:paraId="0B8D0BDF">
      <w:pPr>
        <w:spacing w:line="580" w:lineRule="exact"/>
        <w:ind w:firstLine="640"/>
        <w:jc w:val="both"/>
      </w:pPr>
      <w:r>
        <w:rPr>
          <w:rFonts w:ascii="仿宋_GB2312" w:hAnsi="仿宋_GB2312" w:eastAsia="仿宋_GB2312"/>
          <w:b w:val="0"/>
          <w:sz w:val="32"/>
        </w:rPr>
        <w:t>2024年度政府采购支出总额1.65万元，其中：政府采购货物支出1.17万元、政府采购工程支出0.00万元、政府采购服务支出0.48万元。</w:t>
      </w:r>
    </w:p>
    <w:p w14:paraId="1F45AA62">
      <w:pPr>
        <w:spacing w:line="580" w:lineRule="exact"/>
        <w:ind w:firstLine="640"/>
        <w:jc w:val="both"/>
      </w:pPr>
      <w:r>
        <w:rPr>
          <w:rFonts w:ascii="仿宋_GB2312" w:hAnsi="仿宋_GB2312" w:eastAsia="仿宋_GB2312"/>
          <w:b w:val="0"/>
          <w:sz w:val="32"/>
        </w:rPr>
        <w:t>授予中小企业合同金额0.48万元，占政府采购支出总额的29.09%，其中：授予小微企业合同金额0.48万元，占政府采购支出总额的29.09%。</w:t>
      </w:r>
    </w:p>
    <w:p w14:paraId="2ACF040A">
      <w:pPr>
        <w:spacing w:line="640" w:lineRule="exact"/>
        <w:ind w:firstLine="640"/>
        <w:jc w:val="both"/>
        <w:outlineLvl w:val="3"/>
      </w:pPr>
      <w:r>
        <w:rPr>
          <w:rFonts w:ascii="楷体_GB2312" w:hAnsi="楷体_GB2312" w:eastAsia="楷体_GB2312"/>
          <w:b/>
          <w:sz w:val="32"/>
        </w:rPr>
        <w:t>（三）国有资产占用情况说明</w:t>
      </w:r>
    </w:p>
    <w:p w14:paraId="15439EDC">
      <w:pPr>
        <w:spacing w:line="580" w:lineRule="exact"/>
        <w:ind w:firstLine="640"/>
        <w:jc w:val="both"/>
      </w:pPr>
      <w:r>
        <w:rPr>
          <w:rFonts w:ascii="仿宋_GB2312" w:hAnsi="仿宋_GB2312" w:eastAsia="仿宋_GB2312"/>
          <w:b w:val="0"/>
          <w:sz w:val="32"/>
        </w:rPr>
        <w:t>截至2024年12月31日，房屋2,294.43平方米，价值160.12万元。车辆1辆，价值17.00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160F2D75">
      <w:pPr>
        <w:spacing w:line="640" w:lineRule="exact"/>
        <w:ind w:firstLine="640"/>
        <w:jc w:val="both"/>
        <w:outlineLvl w:val="2"/>
      </w:pPr>
      <w:r>
        <w:rPr>
          <w:rFonts w:ascii="黑体" w:hAnsi="黑体" w:eastAsia="黑体"/>
          <w:sz w:val="32"/>
        </w:rPr>
        <w:t>十一、预算绩效的情况说明</w:t>
      </w:r>
    </w:p>
    <w:p w14:paraId="11A7193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153.03万元，实际执行总额152.96万元；预算绩效评价项目1个，全年预算数6.85万元，全年执行数6.85万元。预算绩效管理取得的成效：</w:t>
      </w:r>
      <w:r>
        <w:rPr>
          <w:rFonts w:hint="eastAsia" w:ascii="仿宋_GB2312" w:hAnsi="Times New Roman" w:eastAsia="仿宋_GB2312" w:cs="Times New Roman"/>
          <w:color w:val="auto"/>
          <w:spacing w:val="0"/>
          <w:kern w:val="2"/>
          <w:sz w:val="32"/>
          <w:szCs w:val="32"/>
          <w:highlight w:val="none"/>
          <w:lang w:val="en-US" w:eastAsia="zh-CN" w:bidi="ar-SA"/>
        </w:rPr>
        <w:t>一是确保资金的高效使用，切实发挥财政资金使用效果。二是严格按照工作职责和相关文件依据，确保专款专用。三是严格控制资金的流出方向，确保资金的合规性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w:t>
      </w:r>
      <w:r>
        <w:rPr>
          <w:rFonts w:hint="eastAsia" w:ascii="仿宋_GB2312" w:hAnsi="Times New Roman" w:eastAsia="仿宋_GB2312" w:cs="Times New Roman"/>
          <w:color w:val="auto"/>
          <w:spacing w:val="0"/>
          <w:kern w:val="2"/>
          <w:sz w:val="32"/>
          <w:szCs w:val="32"/>
          <w:highlight w:val="none"/>
          <w:lang w:val="en-US" w:eastAsia="zh-CN" w:bidi="ar-SA"/>
        </w:rPr>
        <w:t>绩效管理专业人员匮乏，规范管理有盲点。预算绩效管理工作的覆盖面广、专业性强，预算单位在开展日常管</w:t>
      </w:r>
      <w:r>
        <w:rPr>
          <w:rFonts w:hint="eastAsia" w:ascii="仿宋_GB2312" w:eastAsia="仿宋_GB2312" w:cs="Times New Roman"/>
          <w:color w:val="auto"/>
          <w:spacing w:val="0"/>
          <w:kern w:val="2"/>
          <w:sz w:val="32"/>
          <w:szCs w:val="32"/>
          <w:highlight w:val="none"/>
          <w:lang w:val="en-US" w:eastAsia="zh-CN" w:bidi="ar-SA"/>
        </w:rPr>
        <w:t>理中</w:t>
      </w:r>
      <w:r>
        <w:rPr>
          <w:rFonts w:hint="eastAsia" w:ascii="仿宋_GB2312" w:hAnsi="Times New Roman" w:eastAsia="仿宋_GB2312" w:cs="Times New Roman"/>
          <w:color w:val="auto"/>
          <w:spacing w:val="0"/>
          <w:kern w:val="2"/>
          <w:sz w:val="32"/>
          <w:szCs w:val="32"/>
          <w:highlight w:val="none"/>
          <w:lang w:val="en-US" w:eastAsia="zh-CN" w:bidi="ar-SA"/>
        </w:rPr>
        <w:t>，需要具备一定专业素养和</w:t>
      </w:r>
      <w:r>
        <w:rPr>
          <w:rFonts w:hint="eastAsia" w:ascii="仿宋_GB2312" w:eastAsia="仿宋_GB2312" w:cs="Times New Roman"/>
          <w:color w:val="auto"/>
          <w:spacing w:val="0"/>
          <w:kern w:val="2"/>
          <w:sz w:val="32"/>
          <w:szCs w:val="32"/>
          <w:highlight w:val="none"/>
          <w:lang w:val="en-US" w:eastAsia="zh-CN" w:bidi="ar-SA"/>
        </w:rPr>
        <w:t>实践经验</w:t>
      </w:r>
      <w:r>
        <w:rPr>
          <w:rFonts w:hint="eastAsia" w:ascii="仿宋_GB2312" w:hAnsi="Times New Roman" w:eastAsia="仿宋_GB2312" w:cs="Times New Roman"/>
          <w:color w:val="auto"/>
          <w:spacing w:val="0"/>
          <w:kern w:val="2"/>
          <w:sz w:val="32"/>
          <w:szCs w:val="32"/>
          <w:highlight w:val="none"/>
          <w:lang w:val="en-US" w:eastAsia="zh-CN" w:bidi="ar-SA"/>
        </w:rPr>
        <w:t>的人</w:t>
      </w:r>
      <w:r>
        <w:rPr>
          <w:rFonts w:ascii="仿宋_GB2312" w:hAnsi="仿宋_GB2312" w:eastAsia="仿宋_GB2312"/>
          <w:b w:val="0"/>
          <w:sz w:val="32"/>
        </w:rPr>
        <w:t>。下一步改进措施：</w:t>
      </w:r>
      <w:r>
        <w:rPr>
          <w:rFonts w:hint="default" w:ascii="仿宋_GB2312" w:hAnsi="Times New Roman" w:eastAsia="仿宋_GB2312" w:cs="Times New Roman"/>
          <w:color w:val="auto"/>
          <w:spacing w:val="0"/>
          <w:kern w:val="2"/>
          <w:sz w:val="32"/>
          <w:szCs w:val="32"/>
          <w:highlight w:val="none"/>
          <w:lang w:val="en-US" w:eastAsia="zh-CN" w:bidi="ar-SA"/>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eastAsia="仿宋_GB2312" w:cs="Times New Roman"/>
          <w:color w:val="auto"/>
          <w:spacing w:val="0"/>
          <w:kern w:val="2"/>
          <w:sz w:val="32"/>
          <w:szCs w:val="32"/>
          <w:highlight w:val="none"/>
          <w:lang w:val="en-US" w:eastAsia="zh-CN" w:bidi="ar-SA"/>
        </w:rPr>
        <w:t>地</w:t>
      </w:r>
      <w:r>
        <w:rPr>
          <w:rFonts w:hint="default" w:ascii="仿宋_GB2312" w:hAnsi="Times New Roman" w:eastAsia="仿宋_GB2312" w:cs="Times New Roman"/>
          <w:color w:val="auto"/>
          <w:spacing w:val="0"/>
          <w:kern w:val="2"/>
          <w:sz w:val="32"/>
          <w:szCs w:val="32"/>
          <w:highlight w:val="none"/>
          <w:lang w:val="en-US" w:eastAsia="zh-CN" w:bidi="ar-SA"/>
        </w:rPr>
        <w:t>开展提供帮助。三是从源头上</w:t>
      </w:r>
      <w:r>
        <w:rPr>
          <w:rFonts w:hint="eastAsia" w:ascii="仿宋_GB2312" w:eastAsia="仿宋_GB2312" w:cs="Times New Roman"/>
          <w:color w:val="auto"/>
          <w:spacing w:val="0"/>
          <w:kern w:val="2"/>
          <w:sz w:val="32"/>
          <w:szCs w:val="32"/>
          <w:highlight w:val="none"/>
          <w:lang w:val="en-US" w:eastAsia="zh-CN" w:bidi="ar-SA"/>
        </w:rPr>
        <w:t>强化</w:t>
      </w:r>
      <w:r>
        <w:rPr>
          <w:rFonts w:hint="default" w:ascii="仿宋_GB2312" w:hAnsi="Times New Roman" w:eastAsia="仿宋_GB2312" w:cs="Times New Roman"/>
          <w:color w:val="auto"/>
          <w:spacing w:val="0"/>
          <w:kern w:val="2"/>
          <w:sz w:val="32"/>
          <w:szCs w:val="32"/>
          <w:highlight w:val="none"/>
          <w:lang w:val="en-US" w:eastAsia="zh-CN" w:bidi="ar-SA"/>
        </w:rPr>
        <w:t>专项资金预算管理，实行专项资金预算管理，结合单位实际,按轻重缓急统筹安排编制预算,提高预算编制科学性和合理性，优化资金结构</w:t>
      </w:r>
      <w:r>
        <w:rPr>
          <w:rFonts w:ascii="仿宋_GB2312" w:hAnsi="仿宋_GB2312" w:eastAsia="仿宋_GB2312"/>
          <w:b w:val="0"/>
          <w:sz w:val="32"/>
        </w:rPr>
        <w:t>。具体附整体支出绩效自评表，项目支出绩效自评表。</w:t>
      </w:r>
    </w:p>
    <w:p w14:paraId="7D23122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C8583BD">
        <w:tblPrEx>
          <w:tblCellMar>
            <w:top w:w="0" w:type="dxa"/>
            <w:left w:w="108" w:type="dxa"/>
            <w:bottom w:w="0" w:type="dxa"/>
            <w:right w:w="108" w:type="dxa"/>
          </w:tblCellMar>
        </w:tblPrEx>
        <w:tc>
          <w:tcPr>
            <w:tcW w:w="8847" w:type="dxa"/>
            <w:gridSpan w:val="9"/>
            <w:vAlign w:val="center"/>
          </w:tcPr>
          <w:p w14:paraId="14E00648">
            <w:pPr>
              <w:jc w:val="center"/>
            </w:pPr>
            <w:r>
              <w:rPr>
                <w:rFonts w:ascii="宋体" w:hAnsi="宋体" w:eastAsia="宋体"/>
                <w:sz w:val="24"/>
              </w:rPr>
              <w:t>单位整体支出绩效自评表</w:t>
            </w:r>
          </w:p>
        </w:tc>
      </w:tr>
      <w:tr w14:paraId="3EA29FB1">
        <w:tblPrEx>
          <w:tblCellMar>
            <w:top w:w="0" w:type="dxa"/>
            <w:left w:w="108" w:type="dxa"/>
            <w:bottom w:w="0" w:type="dxa"/>
            <w:right w:w="108" w:type="dxa"/>
          </w:tblCellMar>
        </w:tblPrEx>
        <w:tc>
          <w:tcPr>
            <w:tcW w:w="8847" w:type="dxa"/>
            <w:gridSpan w:val="9"/>
            <w:vAlign w:val="center"/>
          </w:tcPr>
          <w:p w14:paraId="4029A47F">
            <w:pPr>
              <w:jc w:val="center"/>
            </w:pPr>
            <w:r>
              <w:rPr>
                <w:rFonts w:ascii="宋体" w:hAnsi="宋体" w:eastAsia="宋体"/>
                <w:sz w:val="24"/>
              </w:rPr>
              <w:t>（2024年度）</w:t>
            </w:r>
          </w:p>
        </w:tc>
      </w:tr>
      <w:tr w14:paraId="5AAB824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11FB8">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EF3D1F">
            <w:pPr>
              <w:jc w:val="center"/>
            </w:pPr>
            <w:r>
              <w:rPr>
                <w:rFonts w:ascii="宋体" w:hAnsi="宋体" w:eastAsia="宋体"/>
                <w:sz w:val="16"/>
              </w:rPr>
              <w:t>吉木萨尔县供销合作社联合社</w:t>
            </w:r>
          </w:p>
        </w:tc>
      </w:tr>
      <w:tr w14:paraId="2AAD25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7F06C8">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BDEC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D8A6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A5EB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41A5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8FC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A520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48A82">
            <w:pPr>
              <w:jc w:val="center"/>
            </w:pPr>
            <w:r>
              <w:rPr>
                <w:rFonts w:ascii="宋体" w:hAnsi="宋体" w:eastAsia="宋体"/>
                <w:sz w:val="16"/>
              </w:rPr>
              <w:t>得分</w:t>
            </w:r>
          </w:p>
        </w:tc>
      </w:tr>
      <w:tr w14:paraId="4CD13D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7208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5AE4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015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AC9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B377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3F8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D74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40991">
            <w:pPr>
              <w:jc w:val="center"/>
            </w:pPr>
            <w:r>
              <w:rPr>
                <w:rFonts w:ascii="宋体" w:hAnsi="宋体" w:eastAsia="宋体"/>
                <w:sz w:val="16"/>
              </w:rPr>
              <w:t>-</w:t>
            </w:r>
          </w:p>
        </w:tc>
      </w:tr>
      <w:tr w14:paraId="6DF442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97B6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206D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7A0E7">
            <w:pPr>
              <w:jc w:val="center"/>
            </w:pPr>
            <w:r>
              <w:rPr>
                <w:rFonts w:ascii="宋体" w:hAnsi="宋体" w:eastAsia="宋体"/>
                <w:sz w:val="16"/>
              </w:rPr>
              <w:t>110.12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D29D6">
            <w:pPr>
              <w:jc w:val="center"/>
            </w:pPr>
            <w:r>
              <w:rPr>
                <w:rFonts w:ascii="宋体" w:hAnsi="宋体" w:eastAsia="宋体"/>
                <w:sz w:val="16"/>
              </w:rPr>
              <w:t>153.03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395B5">
            <w:pPr>
              <w:jc w:val="center"/>
            </w:pPr>
            <w:r>
              <w:rPr>
                <w:rFonts w:ascii="宋体" w:hAnsi="宋体" w:eastAsia="宋体"/>
                <w:sz w:val="16"/>
              </w:rPr>
              <w:t>152.96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5BC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8DF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FE66B">
            <w:pPr>
              <w:jc w:val="center"/>
            </w:pPr>
            <w:r>
              <w:rPr>
                <w:rFonts w:ascii="宋体" w:hAnsi="宋体" w:eastAsia="宋体"/>
                <w:sz w:val="16"/>
              </w:rPr>
              <w:t>-</w:t>
            </w:r>
          </w:p>
        </w:tc>
      </w:tr>
      <w:tr w14:paraId="24FAE3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1B9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0141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23FD5">
            <w:pPr>
              <w:jc w:val="center"/>
            </w:pPr>
            <w:r>
              <w:rPr>
                <w:rFonts w:ascii="宋体" w:hAnsi="宋体" w:eastAsia="宋体"/>
                <w:sz w:val="16"/>
              </w:rPr>
              <w:t>30.48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361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301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B857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220F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B7E4">
            <w:pPr>
              <w:jc w:val="center"/>
            </w:pPr>
            <w:r>
              <w:rPr>
                <w:rFonts w:ascii="宋体" w:hAnsi="宋体" w:eastAsia="宋体"/>
                <w:sz w:val="16"/>
              </w:rPr>
              <w:t>-</w:t>
            </w:r>
          </w:p>
        </w:tc>
      </w:tr>
      <w:tr w14:paraId="29E467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1051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93D2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A9FD3">
            <w:pPr>
              <w:jc w:val="center"/>
            </w:pPr>
            <w:r>
              <w:rPr>
                <w:rFonts w:ascii="宋体" w:hAnsi="宋体" w:eastAsia="宋体"/>
                <w:sz w:val="16"/>
              </w:rPr>
              <w:t>140.60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F4480">
            <w:pPr>
              <w:jc w:val="center"/>
            </w:pPr>
            <w:r>
              <w:rPr>
                <w:rFonts w:ascii="宋体" w:hAnsi="宋体" w:eastAsia="宋体"/>
                <w:sz w:val="16"/>
              </w:rPr>
              <w:t>153.03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D4986">
            <w:pPr>
              <w:jc w:val="center"/>
            </w:pPr>
            <w:r>
              <w:rPr>
                <w:rFonts w:ascii="宋体" w:hAnsi="宋体" w:eastAsia="宋体"/>
                <w:sz w:val="16"/>
              </w:rPr>
              <w:t>152.96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2988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99F47">
            <w:pPr>
              <w:jc w:val="center"/>
            </w:pPr>
            <w:r>
              <w:rPr>
                <w:rFonts w:ascii="宋体" w:hAnsi="宋体" w:eastAsia="宋体"/>
                <w:sz w:val="16"/>
              </w:rPr>
              <w:t>99.95%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A7D53">
            <w:pPr>
              <w:jc w:val="center"/>
            </w:pPr>
            <w:r>
              <w:rPr>
                <w:rFonts w:ascii="宋体" w:hAnsi="宋体" w:eastAsia="宋体"/>
                <w:sz w:val="16"/>
              </w:rPr>
              <w:t>10</w:t>
            </w:r>
          </w:p>
        </w:tc>
      </w:tr>
      <w:tr w14:paraId="6B50DA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19186">
            <w:pPr>
              <w:jc w:val="center"/>
            </w:pPr>
            <w:r>
              <w:rPr>
                <w:rFonts w:ascii="宋体" w:hAnsi="宋体" w:eastAsia="宋体"/>
                <w:sz w:val="16"/>
              </w:rPr>
              <w:t>年度总体目标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8146E2">
            <w:pPr>
              <w:jc w:val="center"/>
            </w:pPr>
            <w:r>
              <w:rPr>
                <w:rFonts w:ascii="宋体" w:hAnsi="宋体" w:eastAsia="宋体"/>
                <w:sz w:val="16"/>
              </w:rPr>
              <w:t>预期目标</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B52F7B">
            <w:pPr>
              <w:jc w:val="center"/>
            </w:pPr>
            <w:r>
              <w:rPr>
                <w:rFonts w:ascii="宋体" w:hAnsi="宋体" w:eastAsia="宋体"/>
                <w:sz w:val="16"/>
              </w:rPr>
              <w:t>实际完成情况</w:t>
            </w:r>
          </w:p>
        </w:tc>
      </w:tr>
      <w:tr w14:paraId="7E04BE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334E57"/>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3C04AA">
            <w:pPr>
              <w:jc w:val="both"/>
            </w:pPr>
            <w:r>
              <w:rPr>
                <w:rFonts w:ascii="宋体" w:hAnsi="宋体" w:eastAsia="宋体"/>
                <w:sz w:val="16"/>
              </w:rPr>
              <w:t>1.人员经费保障在职职工</w:t>
            </w:r>
            <w:r>
              <w:rPr>
                <w:rFonts w:hint="eastAsia" w:ascii="宋体" w:hAnsi="宋体"/>
                <w:sz w:val="16"/>
                <w:lang w:val="en-US" w:eastAsia="zh-CN"/>
              </w:rPr>
              <w:t>6</w:t>
            </w:r>
            <w:r>
              <w:rPr>
                <w:rFonts w:ascii="宋体" w:hAnsi="宋体" w:eastAsia="宋体"/>
                <w:sz w:val="16"/>
              </w:rPr>
              <w:t>名、政府购买</w:t>
            </w:r>
            <w:r>
              <w:rPr>
                <w:rFonts w:hint="eastAsia" w:ascii="宋体" w:hAnsi="宋体"/>
                <w:sz w:val="16"/>
                <w:lang w:eastAsia="zh-CN"/>
              </w:rPr>
              <w:t>岗位</w:t>
            </w:r>
            <w:r>
              <w:rPr>
                <w:rFonts w:ascii="宋体" w:hAnsi="宋体" w:eastAsia="宋体"/>
                <w:sz w:val="16"/>
              </w:rPr>
              <w:t>2名的工资、社保、住房公积金等经费保障；</w:t>
            </w:r>
            <w:r>
              <w:rPr>
                <w:rFonts w:ascii="宋体" w:hAnsi="宋体" w:eastAsia="宋体"/>
                <w:sz w:val="16"/>
              </w:rPr>
              <w:br w:type="textWrapping"/>
            </w:r>
            <w:r>
              <w:rPr>
                <w:rFonts w:ascii="宋体" w:hAnsi="宋体" w:eastAsia="宋体"/>
                <w:sz w:val="16"/>
              </w:rPr>
              <w:t xml:space="preserve">2.公用经费保证各项工作正常开展。  </w:t>
            </w:r>
            <w:r>
              <w:rPr>
                <w:rFonts w:ascii="宋体" w:hAnsi="宋体" w:eastAsia="宋体"/>
                <w:sz w:val="16"/>
              </w:rPr>
              <w:br w:type="textWrapping"/>
            </w:r>
            <w:r>
              <w:rPr>
                <w:rFonts w:ascii="宋体" w:hAnsi="宋体" w:eastAsia="宋体"/>
                <w:sz w:val="16"/>
              </w:rPr>
              <w:t>3、贯彻落实党和政府商业流通有关方针政策，研究制定行业发展战略和规划，组织指导行业改革发展，负责行业管理，开展教育培训，维护合法权益。</w:t>
            </w:r>
            <w:r>
              <w:rPr>
                <w:rFonts w:ascii="宋体" w:hAnsi="宋体" w:eastAsia="宋体"/>
                <w:sz w:val="16"/>
              </w:rPr>
              <w:br w:type="textWrapping"/>
            </w:r>
            <w:r>
              <w:rPr>
                <w:rFonts w:ascii="宋体" w:hAnsi="宋体" w:eastAsia="宋体"/>
                <w:sz w:val="16"/>
              </w:rPr>
              <w:t>4、贯彻落实党和政府有关服务“三农”方针政策，以供销合作社体系为依托，创新组织体系、服务体系，并依托金融机构开展农村金融代办服务。</w:t>
            </w:r>
            <w:r>
              <w:rPr>
                <w:rFonts w:ascii="宋体" w:hAnsi="宋体" w:eastAsia="宋体"/>
                <w:sz w:val="16"/>
              </w:rPr>
              <w:br w:type="textWrapping"/>
            </w:r>
            <w:r>
              <w:rPr>
                <w:rFonts w:ascii="宋体" w:hAnsi="宋体" w:eastAsia="宋体"/>
                <w:sz w:val="16"/>
              </w:rPr>
              <w:t>5、按照政府授权，承担管理棉花、化肥、农药及救灾物资等重要物资的储备任务。</w:t>
            </w:r>
            <w:r>
              <w:rPr>
                <w:rFonts w:ascii="宋体" w:hAnsi="宋体" w:eastAsia="宋体"/>
                <w:sz w:val="16"/>
              </w:rPr>
              <w:br w:type="textWrapping"/>
            </w:r>
            <w:r>
              <w:rPr>
                <w:rFonts w:ascii="宋体" w:hAnsi="宋体" w:eastAsia="宋体"/>
                <w:sz w:val="16"/>
              </w:rPr>
              <w:t>6、负责供销合作社系统综合业务管理和机关综合事务管理。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438434">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全年预算数为153.03万元，全年执行数为152.96万元，总预算执行率为99.95%。2024年</w:t>
            </w:r>
            <w:r>
              <w:rPr>
                <w:rFonts w:hint="eastAsia" w:ascii="宋体" w:hAnsi="宋体"/>
                <w:sz w:val="16"/>
                <w:lang w:eastAsia="zh-CN"/>
              </w:rPr>
              <w:t>本单位</w:t>
            </w:r>
            <w:r>
              <w:rPr>
                <w:rFonts w:ascii="宋体" w:hAnsi="宋体" w:eastAsia="宋体"/>
                <w:sz w:val="16"/>
              </w:rPr>
              <w:t>完成以下工作内容：按时发放人员工资、津贴、奖金，按时缴纳各类社保、医保、职业年金、住房公积金等，按时支付供销社各项办公经费，使供销社正常运转。</w:t>
            </w:r>
          </w:p>
        </w:tc>
      </w:tr>
      <w:tr w14:paraId="6A5200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662C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A1D7B">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D013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8F0CE">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50A5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77EF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A03A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2B18C">
            <w:pPr>
              <w:jc w:val="center"/>
            </w:pPr>
            <w:r>
              <w:rPr>
                <w:rFonts w:ascii="宋体" w:hAnsi="宋体" w:eastAsia="宋体"/>
                <w:sz w:val="16"/>
              </w:rPr>
              <w:t>得分</w:t>
            </w:r>
          </w:p>
        </w:tc>
      </w:tr>
      <w:tr w14:paraId="0AA1BA9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66886">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C61B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27B4">
            <w:pPr>
              <w:jc w:val="center"/>
            </w:pPr>
            <w:r>
              <w:rPr>
                <w:rFonts w:ascii="宋体" w:hAnsi="宋体" w:eastAsia="宋体"/>
                <w:sz w:val="16"/>
              </w:rPr>
              <w:t>供销社在职在编人数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51F81">
            <w:pPr>
              <w:jc w:val="center"/>
            </w:pPr>
            <w:r>
              <w:rPr>
                <w:rFonts w:ascii="宋体" w:hAnsi="宋体" w:eastAsia="宋体"/>
                <w:sz w:val="16"/>
              </w:rPr>
              <w:t>&gt;=5人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3BE01">
            <w:pPr>
              <w:jc w:val="center"/>
            </w:pPr>
            <w:r>
              <w:rPr>
                <w:rFonts w:ascii="宋体" w:hAnsi="宋体" w:eastAsia="宋体"/>
                <w:sz w:val="16"/>
              </w:rPr>
              <w:t>2023年决算报表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2E8C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C1009">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C1AA3">
            <w:pPr>
              <w:jc w:val="center"/>
            </w:pPr>
            <w:r>
              <w:rPr>
                <w:rFonts w:ascii="宋体" w:hAnsi="宋体" w:eastAsia="宋体"/>
                <w:sz w:val="16"/>
              </w:rPr>
              <w:t>7</w:t>
            </w:r>
          </w:p>
        </w:tc>
      </w:tr>
      <w:tr w14:paraId="42504A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25E4F">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F4427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A5F9">
            <w:pPr>
              <w:jc w:val="center"/>
            </w:pPr>
            <w:r>
              <w:rPr>
                <w:rFonts w:ascii="宋体" w:hAnsi="宋体" w:eastAsia="宋体"/>
                <w:sz w:val="16"/>
              </w:rPr>
              <w:t>保障公务用车正常运转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DAD88">
            <w:pPr>
              <w:jc w:val="center"/>
            </w:pPr>
            <w:r>
              <w:rPr>
                <w:rFonts w:ascii="宋体" w:hAnsi="宋体" w:eastAsia="宋体"/>
                <w:sz w:val="16"/>
              </w:rPr>
              <w:t>&gt;=1辆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F7C5B">
            <w:pPr>
              <w:jc w:val="center"/>
            </w:pPr>
            <w:r>
              <w:rPr>
                <w:rFonts w:ascii="宋体" w:hAnsi="宋体" w:eastAsia="宋体"/>
                <w:sz w:val="16"/>
              </w:rPr>
              <w:t>2023年决算报表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0B01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CF9F2">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03AD5">
            <w:pPr>
              <w:jc w:val="center"/>
            </w:pPr>
            <w:r>
              <w:rPr>
                <w:rFonts w:ascii="宋体" w:hAnsi="宋体" w:eastAsia="宋体"/>
                <w:sz w:val="16"/>
              </w:rPr>
              <w:t>8</w:t>
            </w:r>
          </w:p>
        </w:tc>
      </w:tr>
      <w:tr w14:paraId="774559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E9D89">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253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D8467">
            <w:pPr>
              <w:jc w:val="center"/>
            </w:pPr>
            <w:r>
              <w:rPr>
                <w:rFonts w:ascii="宋体" w:hAnsi="宋体" w:eastAsia="宋体"/>
                <w:sz w:val="16"/>
              </w:rPr>
              <w:t>组织企业参与农产品产销对接会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7ABED">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BCC48">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CAB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55997">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43AF3">
            <w:pPr>
              <w:jc w:val="center"/>
            </w:pPr>
            <w:r>
              <w:rPr>
                <w:rFonts w:ascii="宋体" w:hAnsi="宋体" w:eastAsia="宋体"/>
                <w:sz w:val="16"/>
              </w:rPr>
              <w:t>10</w:t>
            </w:r>
          </w:p>
        </w:tc>
      </w:tr>
      <w:tr w14:paraId="142085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37C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E19F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0F051">
            <w:pPr>
              <w:jc w:val="center"/>
            </w:pPr>
            <w:r>
              <w:rPr>
                <w:rFonts w:ascii="宋体" w:hAnsi="宋体" w:eastAsia="宋体"/>
                <w:sz w:val="16"/>
              </w:rPr>
              <w:t>完成农业生产社会化服务亩次任务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4D918">
            <w:pPr>
              <w:jc w:val="center"/>
            </w:pPr>
            <w:r>
              <w:rPr>
                <w:rFonts w:ascii="宋体" w:hAnsi="宋体" w:eastAsia="宋体"/>
                <w:sz w:val="16"/>
              </w:rPr>
              <w:t>&gt;=735000亩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B6293">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A7A2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EFFE1">
            <w:pPr>
              <w:jc w:val="center"/>
            </w:pPr>
            <w:r>
              <w:rPr>
                <w:rFonts w:ascii="宋体" w:hAnsi="宋体" w:eastAsia="宋体"/>
                <w:sz w:val="16"/>
              </w:rPr>
              <w:t>=735000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9C52D">
            <w:pPr>
              <w:jc w:val="center"/>
            </w:pPr>
            <w:r>
              <w:rPr>
                <w:rFonts w:ascii="宋体" w:hAnsi="宋体" w:eastAsia="宋体"/>
                <w:sz w:val="16"/>
              </w:rPr>
              <w:t>5</w:t>
            </w:r>
          </w:p>
        </w:tc>
      </w:tr>
      <w:tr w14:paraId="55ED85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57CB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2CA5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04D9F">
            <w:pPr>
              <w:jc w:val="center"/>
            </w:pPr>
            <w:r>
              <w:rPr>
                <w:rFonts w:ascii="宋体" w:hAnsi="宋体" w:eastAsia="宋体"/>
                <w:sz w:val="16"/>
              </w:rPr>
              <w:t>在福建省建立外销平台门店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9DEA7">
            <w:pPr>
              <w:jc w:val="center"/>
            </w:pPr>
            <w:r>
              <w:rPr>
                <w:rFonts w:ascii="宋体" w:hAnsi="宋体" w:eastAsia="宋体"/>
                <w:sz w:val="16"/>
              </w:rPr>
              <w:t>&gt;=2家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3B065">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F604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C5333">
            <w:pPr>
              <w:jc w:val="center"/>
            </w:pPr>
            <w:r>
              <w:rPr>
                <w:rFonts w:ascii="宋体" w:hAnsi="宋体" w:eastAsia="宋体"/>
                <w:sz w:val="16"/>
              </w:rPr>
              <w: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AFFA7">
            <w:pPr>
              <w:jc w:val="center"/>
            </w:pPr>
            <w:r>
              <w:rPr>
                <w:rFonts w:ascii="宋体" w:hAnsi="宋体" w:eastAsia="宋体"/>
                <w:sz w:val="16"/>
              </w:rPr>
              <w:t>15</w:t>
            </w:r>
          </w:p>
        </w:tc>
      </w:tr>
      <w:tr w14:paraId="0A9F3F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D341B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ADC4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E0CB">
            <w:pPr>
              <w:jc w:val="center"/>
            </w:pPr>
            <w:r>
              <w:rPr>
                <w:rFonts w:ascii="宋体" w:hAnsi="宋体" w:eastAsia="宋体"/>
                <w:sz w:val="16"/>
              </w:rPr>
              <w:t>疆内外农产品展销会展销县域内农副产品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69AC7">
            <w:pPr>
              <w:jc w:val="center"/>
            </w:pPr>
            <w:r>
              <w:rPr>
                <w:rFonts w:ascii="宋体" w:hAnsi="宋体" w:eastAsia="宋体"/>
                <w:sz w:val="16"/>
              </w:rPr>
              <w:t>&gt;=60种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4525B">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5E88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C08A1">
            <w:pPr>
              <w:jc w:val="center"/>
            </w:pPr>
            <w:r>
              <w:rPr>
                <w:rFonts w:ascii="宋体" w:hAnsi="宋体" w:eastAsia="宋体"/>
                <w:sz w:val="16"/>
              </w:rPr>
              <w:t>=60种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84D90">
            <w:pPr>
              <w:jc w:val="center"/>
            </w:pPr>
            <w:r>
              <w:rPr>
                <w:rFonts w:ascii="宋体" w:hAnsi="宋体" w:eastAsia="宋体"/>
                <w:sz w:val="16"/>
              </w:rPr>
              <w:t>20</w:t>
            </w:r>
          </w:p>
        </w:tc>
      </w:tr>
      <w:tr w14:paraId="17A08A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E5D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0D45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3F0D9">
            <w:pPr>
              <w:jc w:val="center"/>
            </w:pPr>
            <w:r>
              <w:rPr>
                <w:rFonts w:ascii="宋体" w:hAnsi="宋体" w:eastAsia="宋体"/>
                <w:sz w:val="16"/>
              </w:rPr>
              <w:t>改造升级农村综合服务社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5448A">
            <w:pPr>
              <w:jc w:val="center"/>
            </w:pPr>
            <w:r>
              <w:rPr>
                <w:rFonts w:ascii="宋体" w:hAnsi="宋体" w:eastAsia="宋体"/>
                <w:sz w:val="16"/>
              </w:rPr>
              <w:t>&gt;=2家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98D9C">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A9A4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1AEEF">
            <w:pPr>
              <w:jc w:val="center"/>
            </w:pPr>
            <w:r>
              <w:rPr>
                <w:rFonts w:ascii="宋体" w:hAnsi="宋体" w:eastAsia="宋体"/>
                <w:sz w:val="16"/>
              </w:rPr>
              <w:t>=5家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4ED81">
            <w:pPr>
              <w:jc w:val="center"/>
            </w:pPr>
            <w:r>
              <w:rPr>
                <w:rFonts w:ascii="宋体" w:hAnsi="宋体" w:eastAsia="宋体"/>
                <w:sz w:val="16"/>
              </w:rPr>
              <w:t>15</w:t>
            </w:r>
          </w:p>
        </w:tc>
      </w:tr>
      <w:tr w14:paraId="750A99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529A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91C2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F0428">
            <w:pPr>
              <w:jc w:val="center"/>
            </w:pPr>
            <w:r>
              <w:rPr>
                <w:rFonts w:ascii="宋体" w:hAnsi="宋体" w:eastAsia="宋体"/>
                <w:sz w:val="16"/>
              </w:rPr>
              <w:t>全年在全系统开展安全检查工作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EFA87">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4A2A5">
            <w:pPr>
              <w:jc w:val="center"/>
            </w:pPr>
            <w:r>
              <w:rPr>
                <w:rFonts w:ascii="宋体" w:hAnsi="宋体" w:eastAsia="宋体"/>
                <w:sz w:val="16"/>
              </w:rPr>
              <w:t>供销社2024年工作计划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C09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F2055">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DEBBD">
            <w:pPr>
              <w:jc w:val="center"/>
            </w:pPr>
            <w:r>
              <w:rPr>
                <w:rFonts w:ascii="宋体" w:hAnsi="宋体" w:eastAsia="宋体"/>
                <w:sz w:val="16"/>
              </w:rPr>
              <w:t>10</w:t>
            </w:r>
          </w:p>
        </w:tc>
      </w:tr>
    </w:tbl>
    <w:p w14:paraId="580924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41A359A">
        <w:tc>
          <w:tcPr>
            <w:tcW w:w="8848" w:type="dxa"/>
            <w:gridSpan w:val="14"/>
            <w:vAlign w:val="center"/>
          </w:tcPr>
          <w:p w14:paraId="383306F8">
            <w:pPr>
              <w:jc w:val="center"/>
            </w:pPr>
            <w:r>
              <w:rPr>
                <w:rFonts w:ascii="宋体" w:hAnsi="宋体" w:eastAsia="宋体"/>
                <w:sz w:val="24"/>
              </w:rPr>
              <w:t>项目支出绩效自评表</w:t>
            </w:r>
          </w:p>
        </w:tc>
      </w:tr>
      <w:tr w14:paraId="55ADA731">
        <w:tblPrEx>
          <w:tblCellMar>
            <w:top w:w="0" w:type="dxa"/>
            <w:left w:w="108" w:type="dxa"/>
            <w:bottom w:w="0" w:type="dxa"/>
            <w:right w:w="108" w:type="dxa"/>
          </w:tblCellMar>
        </w:tblPrEx>
        <w:tc>
          <w:tcPr>
            <w:tcW w:w="8848" w:type="dxa"/>
            <w:gridSpan w:val="14"/>
            <w:vAlign w:val="center"/>
          </w:tcPr>
          <w:p w14:paraId="4833E3B3">
            <w:pPr>
              <w:jc w:val="center"/>
            </w:pPr>
            <w:r>
              <w:rPr>
                <w:rFonts w:ascii="宋体" w:hAnsi="宋体" w:eastAsia="宋体"/>
                <w:sz w:val="24"/>
              </w:rPr>
              <w:t>(2024年度)</w:t>
            </w:r>
          </w:p>
        </w:tc>
      </w:tr>
      <w:tr w14:paraId="4DD399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EE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E9F054">
            <w:pPr>
              <w:jc w:val="center"/>
            </w:pPr>
            <w:r>
              <w:rPr>
                <w:rFonts w:ascii="宋体" w:hAnsi="宋体" w:eastAsia="宋体"/>
                <w:sz w:val="16"/>
              </w:rPr>
              <w:t>缴纳吉木萨尔县大有镇为农社会化服务中心建设项目行政处罚资金</w:t>
            </w:r>
          </w:p>
        </w:tc>
      </w:tr>
      <w:tr w14:paraId="128B44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F5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E0144">
            <w:pPr>
              <w:jc w:val="center"/>
            </w:pPr>
            <w:r>
              <w:rPr>
                <w:rFonts w:ascii="宋体" w:hAnsi="宋体" w:eastAsia="宋体"/>
                <w:sz w:val="16"/>
              </w:rPr>
              <w:t>吉木萨尔县供销合作社联合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766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46788C">
            <w:pPr>
              <w:jc w:val="center"/>
            </w:pPr>
            <w:r>
              <w:rPr>
                <w:rFonts w:ascii="宋体" w:hAnsi="宋体" w:eastAsia="宋体"/>
                <w:sz w:val="16"/>
              </w:rPr>
              <w:t>吉木萨尔县供销合作社联合社</w:t>
            </w:r>
          </w:p>
        </w:tc>
      </w:tr>
      <w:tr w14:paraId="537075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FF35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E94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A24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969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47A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EB7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5BF3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48AE">
            <w:pPr>
              <w:jc w:val="center"/>
            </w:pPr>
            <w:r>
              <w:rPr>
                <w:rFonts w:ascii="宋体" w:hAnsi="宋体" w:eastAsia="宋体"/>
                <w:sz w:val="16"/>
              </w:rPr>
              <w:t>得分</w:t>
            </w:r>
          </w:p>
        </w:tc>
      </w:tr>
      <w:tr w14:paraId="1ED766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2C1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BB1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5C6FD">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F7B6E">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F576F">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90F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1F7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173E">
            <w:pPr>
              <w:jc w:val="center"/>
            </w:pPr>
            <w:r>
              <w:rPr>
                <w:rFonts w:ascii="宋体" w:hAnsi="宋体" w:eastAsia="宋体"/>
                <w:sz w:val="16"/>
              </w:rPr>
              <w:t>10.00</w:t>
            </w:r>
          </w:p>
        </w:tc>
      </w:tr>
      <w:tr w14:paraId="10302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33D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4DF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58B04">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5D1E7">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334E6">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175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A9C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665C">
            <w:pPr>
              <w:jc w:val="center"/>
            </w:pPr>
            <w:r>
              <w:rPr>
                <w:rFonts w:ascii="宋体" w:hAnsi="宋体" w:eastAsia="宋体"/>
                <w:sz w:val="16"/>
              </w:rPr>
              <w:t>—</w:t>
            </w:r>
          </w:p>
        </w:tc>
      </w:tr>
      <w:tr w14:paraId="32671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A8D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2A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5D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778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5B9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0C5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F7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A062">
            <w:pPr>
              <w:jc w:val="center"/>
            </w:pPr>
            <w:r>
              <w:rPr>
                <w:rFonts w:ascii="宋体" w:hAnsi="宋体" w:eastAsia="宋体"/>
                <w:sz w:val="16"/>
              </w:rPr>
              <w:t>—</w:t>
            </w:r>
          </w:p>
        </w:tc>
      </w:tr>
      <w:tr w14:paraId="15B29D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AF6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162D3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FD42DC">
            <w:pPr>
              <w:jc w:val="center"/>
            </w:pPr>
            <w:r>
              <w:rPr>
                <w:rFonts w:ascii="宋体" w:hAnsi="宋体" w:eastAsia="宋体"/>
                <w:sz w:val="16"/>
              </w:rPr>
              <w:t>实际完成情况</w:t>
            </w:r>
          </w:p>
        </w:tc>
      </w:tr>
      <w:tr w14:paraId="50E08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95C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95E40C">
            <w:pPr>
              <w:jc w:val="both"/>
            </w:pPr>
            <w:r>
              <w:rPr>
                <w:rFonts w:ascii="宋体" w:hAnsi="宋体" w:eastAsia="宋体"/>
                <w:sz w:val="16"/>
              </w:rPr>
              <w:t>吉木萨尔县供销合作社联合社违反《建筑工程许可管理办法》第十二条规定对于未取得施工许可证或者为规避办理施工许可证将工程项目分解后擅自施工的规定，对其</w:t>
            </w:r>
            <w:r>
              <w:rPr>
                <w:rFonts w:hint="eastAsia" w:ascii="宋体" w:hAnsi="宋体"/>
                <w:sz w:val="16"/>
                <w:lang w:eastAsia="zh-CN"/>
              </w:rPr>
              <w:t>处以</w:t>
            </w:r>
            <w:r>
              <w:rPr>
                <w:rFonts w:ascii="宋体" w:hAnsi="宋体" w:eastAsia="宋体"/>
                <w:sz w:val="16"/>
              </w:rPr>
              <w:t>6.848万元的罚款，提高工程合规性，保障工程合法施工。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C0AF8F">
            <w:pPr>
              <w:jc w:val="both"/>
            </w:pPr>
            <w:r>
              <w:rPr>
                <w:rFonts w:ascii="宋体" w:hAnsi="宋体" w:eastAsia="宋体"/>
                <w:sz w:val="16"/>
              </w:rPr>
              <w:t>截至2024年12月31日，项目实际支出6.85万元，预算执行率为100%。已完成缴纳吉木萨尔县大有镇为农社会化服务中心建设项目行政处罚资金项目，通过完成此项目提高工程合规性，保障工程合法施工。</w:t>
            </w:r>
            <w:r>
              <w:rPr>
                <w:rFonts w:ascii="宋体" w:hAnsi="宋体" w:eastAsia="宋体"/>
                <w:sz w:val="16"/>
              </w:rPr>
              <w:br w:type="textWrapping"/>
            </w:r>
          </w:p>
        </w:tc>
      </w:tr>
      <w:tr w14:paraId="434F73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8100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5BD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34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90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F3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FCD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899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4C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4DE8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28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A53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D5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56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6D37">
            <w:pPr>
              <w:jc w:val="center"/>
            </w:pPr>
            <w:r>
              <w:rPr>
                <w:rFonts w:ascii="宋体" w:hAnsi="宋体" w:eastAsia="宋体"/>
                <w:sz w:val="16"/>
              </w:rPr>
              <w:t>偏差原因分析及改进措施</w:t>
            </w:r>
          </w:p>
        </w:tc>
      </w:tr>
      <w:tr w14:paraId="123210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29A0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04E9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005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8A3A">
            <w:pPr>
              <w:jc w:val="center"/>
            </w:pPr>
            <w:r>
              <w:rPr>
                <w:rFonts w:ascii="宋体" w:hAnsi="宋体" w:eastAsia="宋体"/>
                <w:sz w:val="16"/>
              </w:rPr>
              <w:t>行政处罚决定件数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CD5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8BE0">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A0497">
            <w:pPr>
              <w:jc w:val="center"/>
            </w:pPr>
            <w:r>
              <w:rPr>
                <w:rFonts w:ascii="宋体" w:hAnsi="宋体" w:eastAsia="宋体"/>
                <w:sz w:val="16"/>
              </w:rPr>
              <w:t>=1件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7AB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EAD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0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18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FF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E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D4CD">
            <w:pPr>
              <w:jc w:val="center"/>
            </w:pPr>
          </w:p>
        </w:tc>
      </w:tr>
      <w:tr w14:paraId="72BD8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76E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B2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FE9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DD66">
            <w:pPr>
              <w:jc w:val="center"/>
            </w:pPr>
            <w:r>
              <w:rPr>
                <w:rFonts w:ascii="宋体" w:hAnsi="宋体" w:eastAsia="宋体"/>
                <w:sz w:val="16"/>
              </w:rPr>
              <w:t>行政处罚执行率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07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7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4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82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4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C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498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B3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CB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A3DC">
            <w:pPr>
              <w:jc w:val="center"/>
            </w:pPr>
          </w:p>
        </w:tc>
      </w:tr>
      <w:tr w14:paraId="432D52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F4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B22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51C6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3F05F">
            <w:pPr>
              <w:jc w:val="center"/>
            </w:pPr>
            <w:r>
              <w:rPr>
                <w:rFonts w:ascii="宋体" w:hAnsi="宋体" w:eastAsia="宋体"/>
                <w:sz w:val="16"/>
              </w:rPr>
              <w:t>罚款缴纳及时率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22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6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2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F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AA8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F73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F9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B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E3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DBABB">
            <w:pPr>
              <w:jc w:val="center"/>
            </w:pPr>
          </w:p>
        </w:tc>
      </w:tr>
      <w:tr w14:paraId="698B3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BEC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7C2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FC4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42F8">
            <w:pPr>
              <w:jc w:val="center"/>
            </w:pPr>
            <w:r>
              <w:rPr>
                <w:rFonts w:ascii="宋体" w:hAnsi="宋体" w:eastAsia="宋体"/>
                <w:sz w:val="16"/>
              </w:rPr>
              <w:t>行政处罚执行天数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FA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FB41">
            <w:pPr>
              <w:jc w:val="center"/>
            </w:pPr>
            <w:r>
              <w:rPr>
                <w:rFonts w:ascii="宋体" w:hAnsi="宋体" w:eastAsia="宋体"/>
                <w:sz w:val="16"/>
              </w:rPr>
              <w:t>&lt;=15日以内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E72E">
            <w:pPr>
              <w:jc w:val="center"/>
            </w:pPr>
            <w:r>
              <w:rPr>
                <w:rFonts w:ascii="宋体" w:hAnsi="宋体" w:eastAsia="宋体"/>
                <w:sz w:val="16"/>
              </w:rPr>
              <w:t>=15日以内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8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236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B5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8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7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04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D706">
            <w:pPr>
              <w:jc w:val="center"/>
            </w:pPr>
          </w:p>
        </w:tc>
      </w:tr>
      <w:tr w14:paraId="25AC8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D1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50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7A2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05DB">
            <w:pPr>
              <w:jc w:val="center"/>
            </w:pPr>
            <w:r>
              <w:rPr>
                <w:rFonts w:ascii="宋体" w:hAnsi="宋体" w:eastAsia="宋体"/>
                <w:sz w:val="16"/>
              </w:rPr>
              <w:t>行政处罚金额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4C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E5E0">
            <w:pPr>
              <w:jc w:val="center"/>
            </w:pPr>
            <w:r>
              <w:rPr>
                <w:rFonts w:ascii="宋体" w:hAnsi="宋体" w:eastAsia="宋体"/>
                <w:sz w:val="16"/>
              </w:rPr>
              <w:t>=6.85万元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FC19">
            <w:pPr>
              <w:jc w:val="center"/>
            </w:pPr>
            <w:r>
              <w:rPr>
                <w:rFonts w:ascii="宋体" w:hAnsi="宋体" w:eastAsia="宋体"/>
                <w:sz w:val="16"/>
              </w:rPr>
              <w:t>=6.85万元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78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52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13D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49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33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7FC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97AA">
            <w:pPr>
              <w:jc w:val="center"/>
            </w:pPr>
          </w:p>
        </w:tc>
      </w:tr>
      <w:tr w14:paraId="33AE8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D6B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22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63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5A28">
            <w:pPr>
              <w:jc w:val="center"/>
            </w:pPr>
            <w:r>
              <w:rPr>
                <w:rFonts w:ascii="宋体" w:hAnsi="宋体" w:eastAsia="宋体"/>
                <w:sz w:val="16"/>
              </w:rPr>
              <w:t>行政处罚整改措施及时性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06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2580">
            <w:pPr>
              <w:jc w:val="center"/>
            </w:pPr>
            <w:r>
              <w:rPr>
                <w:rFonts w:ascii="宋体" w:hAnsi="宋体" w:eastAsia="宋体"/>
                <w:sz w:val="16"/>
              </w:rPr>
              <w:t>及时整改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6196">
            <w:pPr>
              <w:jc w:val="center"/>
            </w:pPr>
            <w:r>
              <w:rPr>
                <w:rFonts w:ascii="宋体" w:hAnsi="宋体" w:eastAsia="宋体"/>
                <w:sz w:val="16"/>
              </w:rPr>
              <w:t>及时整改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94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1B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97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3D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C95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771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0C7E">
            <w:pPr>
              <w:jc w:val="center"/>
            </w:pPr>
          </w:p>
        </w:tc>
      </w:tr>
      <w:tr w14:paraId="63EE24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2C7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30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3D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5B43">
            <w:pPr>
              <w:jc w:val="center"/>
            </w:pPr>
            <w:r>
              <w:rPr>
                <w:rFonts w:ascii="宋体" w:hAnsi="宋体" w:eastAsia="宋体"/>
                <w:sz w:val="16"/>
              </w:rPr>
              <w:t>行政处罚实施单位满意度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96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9A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61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D69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80B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9C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7C6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5C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25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9E49C">
            <w:pPr>
              <w:jc w:val="center"/>
            </w:pPr>
            <w:r>
              <w:rPr>
                <w:rFonts w:ascii="宋体" w:hAnsi="宋体" w:eastAsia="宋体"/>
                <w:sz w:val="16"/>
              </w:rPr>
              <w:t>对于及时缴纳罚款，行政处罚实施单位对此项工作很满意。</w:t>
            </w:r>
          </w:p>
        </w:tc>
      </w:tr>
      <w:tr w14:paraId="0E050E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C9D40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8D1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C60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A05D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817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4AEB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EFDE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8D0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14F6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332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62128C"/>
        </w:tc>
      </w:tr>
    </w:tbl>
    <w:p w14:paraId="1D7A1D28">
      <w:r>
        <w:br w:type="page"/>
      </w:r>
    </w:p>
    <w:p w14:paraId="54797831">
      <w:pPr>
        <w:spacing w:line="640" w:lineRule="exact"/>
        <w:ind w:firstLine="640"/>
        <w:jc w:val="both"/>
        <w:outlineLvl w:val="2"/>
      </w:pPr>
      <w:r>
        <w:rPr>
          <w:rFonts w:ascii="黑体" w:hAnsi="黑体" w:eastAsia="黑体"/>
          <w:sz w:val="32"/>
        </w:rPr>
        <w:t>十二、其他需说明的事项</w:t>
      </w:r>
    </w:p>
    <w:p w14:paraId="3F2FDF23">
      <w:pPr>
        <w:spacing w:line="580" w:lineRule="exact"/>
        <w:ind w:firstLine="640"/>
        <w:jc w:val="both"/>
      </w:pPr>
      <w:r>
        <w:rPr>
          <w:rFonts w:hint="eastAsia" w:ascii="仿宋_GB2312" w:hAnsi="仿宋_GB2312" w:eastAsia="仿宋_GB2312"/>
          <w:b w:val="0"/>
          <w:sz w:val="32"/>
          <w:lang w:val="en-US" w:eastAsia="zh-CN"/>
        </w:rPr>
        <w:t>本单位</w:t>
      </w:r>
      <w:r>
        <w:rPr>
          <w:rFonts w:ascii="仿宋_GB2312" w:hAnsi="仿宋_GB2312" w:eastAsia="仿宋_GB2312"/>
          <w:b w:val="0"/>
          <w:sz w:val="32"/>
        </w:rPr>
        <w:t>无其他说明事项。</w:t>
      </w:r>
    </w:p>
    <w:p w14:paraId="09C0A166">
      <w:r>
        <w:br w:type="page"/>
      </w:r>
    </w:p>
    <w:p w14:paraId="0DC55047">
      <w:pPr>
        <w:spacing w:line="240" w:lineRule="auto"/>
        <w:jc w:val="center"/>
        <w:outlineLvl w:val="1"/>
      </w:pPr>
      <w:r>
        <w:rPr>
          <w:rFonts w:ascii="黑体" w:hAnsi="黑体" w:eastAsia="黑体"/>
          <w:sz w:val="32"/>
        </w:rPr>
        <w:t>第三部分 专业名词解释</w:t>
      </w:r>
    </w:p>
    <w:p w14:paraId="083BA30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398299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B7C0B5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FF3268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FD9B4F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4D5EB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38EBC5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D74759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93CBAF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018F03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5002E7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FF6B24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1CE0C0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DAFA06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EC415BC">
      <w:r>
        <w:br w:type="page"/>
      </w:r>
    </w:p>
    <w:p w14:paraId="362BB7F8">
      <w:pPr>
        <w:spacing w:line="240" w:lineRule="auto"/>
        <w:jc w:val="center"/>
        <w:outlineLvl w:val="1"/>
      </w:pPr>
      <w:r>
        <w:rPr>
          <w:rFonts w:ascii="黑体" w:hAnsi="黑体" w:eastAsia="黑体"/>
          <w:sz w:val="32"/>
        </w:rPr>
        <w:t>第四部分 部门决算报表（见附表）</w:t>
      </w:r>
    </w:p>
    <w:p w14:paraId="6C26658A">
      <w:pPr>
        <w:spacing w:line="240" w:lineRule="auto"/>
        <w:ind w:firstLine="640"/>
        <w:jc w:val="both"/>
      </w:pPr>
      <w:r>
        <w:rPr>
          <w:rFonts w:ascii="仿宋_GB2312" w:hAnsi="仿宋_GB2312" w:eastAsia="仿宋_GB2312"/>
          <w:b w:val="0"/>
          <w:sz w:val="32"/>
        </w:rPr>
        <w:t>一、《收入支出决算总表》</w:t>
      </w:r>
    </w:p>
    <w:p w14:paraId="452B1DAF">
      <w:pPr>
        <w:spacing w:line="240" w:lineRule="auto"/>
        <w:ind w:firstLine="640"/>
        <w:jc w:val="both"/>
      </w:pPr>
      <w:r>
        <w:rPr>
          <w:rFonts w:ascii="仿宋_GB2312" w:hAnsi="仿宋_GB2312" w:eastAsia="仿宋_GB2312"/>
          <w:b w:val="0"/>
          <w:sz w:val="32"/>
        </w:rPr>
        <w:t>二、《收入决算表》</w:t>
      </w:r>
    </w:p>
    <w:p w14:paraId="2540AF64">
      <w:pPr>
        <w:spacing w:line="240" w:lineRule="auto"/>
        <w:ind w:firstLine="640"/>
        <w:jc w:val="both"/>
      </w:pPr>
      <w:r>
        <w:rPr>
          <w:rFonts w:ascii="仿宋_GB2312" w:hAnsi="仿宋_GB2312" w:eastAsia="仿宋_GB2312"/>
          <w:b w:val="0"/>
          <w:sz w:val="32"/>
        </w:rPr>
        <w:t>三、《支出决算表》</w:t>
      </w:r>
    </w:p>
    <w:p w14:paraId="06349143">
      <w:pPr>
        <w:spacing w:line="240" w:lineRule="auto"/>
        <w:ind w:firstLine="640"/>
        <w:jc w:val="both"/>
      </w:pPr>
      <w:r>
        <w:rPr>
          <w:rFonts w:ascii="仿宋_GB2312" w:hAnsi="仿宋_GB2312" w:eastAsia="仿宋_GB2312"/>
          <w:b w:val="0"/>
          <w:sz w:val="32"/>
        </w:rPr>
        <w:t>四、《财政拨款收入支出决算总表》</w:t>
      </w:r>
    </w:p>
    <w:p w14:paraId="73B1FCC8">
      <w:pPr>
        <w:spacing w:line="240" w:lineRule="auto"/>
        <w:ind w:firstLine="640"/>
        <w:jc w:val="both"/>
      </w:pPr>
      <w:r>
        <w:rPr>
          <w:rFonts w:ascii="仿宋_GB2312" w:hAnsi="仿宋_GB2312" w:eastAsia="仿宋_GB2312"/>
          <w:b w:val="0"/>
          <w:sz w:val="32"/>
        </w:rPr>
        <w:t>五、《一般公共预算财政拨款支出决算表》</w:t>
      </w:r>
    </w:p>
    <w:p w14:paraId="0DE6F056">
      <w:pPr>
        <w:spacing w:line="240" w:lineRule="auto"/>
        <w:ind w:firstLine="640"/>
        <w:jc w:val="both"/>
      </w:pPr>
      <w:r>
        <w:rPr>
          <w:rFonts w:ascii="仿宋_GB2312" w:hAnsi="仿宋_GB2312" w:eastAsia="仿宋_GB2312"/>
          <w:b w:val="0"/>
          <w:sz w:val="32"/>
        </w:rPr>
        <w:t>六、《一般公共预算财政拨款基本支出决算表》</w:t>
      </w:r>
    </w:p>
    <w:p w14:paraId="7626BA59">
      <w:pPr>
        <w:spacing w:line="240" w:lineRule="auto"/>
        <w:ind w:firstLine="640"/>
        <w:jc w:val="both"/>
      </w:pPr>
      <w:r>
        <w:rPr>
          <w:rFonts w:ascii="仿宋_GB2312" w:hAnsi="仿宋_GB2312" w:eastAsia="仿宋_GB2312"/>
          <w:b w:val="0"/>
          <w:sz w:val="32"/>
        </w:rPr>
        <w:t>七、《政府性基金预算财政拨款收入支出决算表》</w:t>
      </w:r>
    </w:p>
    <w:p w14:paraId="4780B456">
      <w:pPr>
        <w:spacing w:line="240" w:lineRule="auto"/>
        <w:ind w:firstLine="640"/>
        <w:jc w:val="both"/>
      </w:pPr>
      <w:r>
        <w:rPr>
          <w:rFonts w:ascii="仿宋_GB2312" w:hAnsi="仿宋_GB2312" w:eastAsia="仿宋_GB2312"/>
          <w:b w:val="0"/>
          <w:sz w:val="32"/>
        </w:rPr>
        <w:t>八、《国有资本经营预算财政拨款收入支出决算表》</w:t>
      </w:r>
    </w:p>
    <w:p w14:paraId="43B0374B">
      <w:pPr>
        <w:spacing w:line="240" w:lineRule="auto"/>
        <w:ind w:firstLine="640"/>
        <w:jc w:val="both"/>
      </w:pPr>
      <w:r>
        <w:rPr>
          <w:rFonts w:ascii="仿宋_GB2312" w:hAnsi="仿宋_GB2312" w:eastAsia="仿宋_GB2312"/>
          <w:b w:val="0"/>
          <w:sz w:val="32"/>
        </w:rPr>
        <w:t>九、《财政拨款“三公”经费支出决算表》</w:t>
      </w:r>
    </w:p>
    <w:p w14:paraId="08778202">
      <w:pPr>
        <w:spacing w:line="240" w:lineRule="auto"/>
        <w:ind w:firstLine="640"/>
        <w:jc w:val="both"/>
      </w:pPr>
    </w:p>
    <w:p w14:paraId="5C8B1323">
      <w:pPr>
        <w:spacing w:line="240" w:lineRule="auto"/>
        <w:ind w:firstLine="640"/>
        <w:jc w:val="both"/>
      </w:pPr>
    </w:p>
    <w:p w14:paraId="2880DFB8">
      <w:pPr>
        <w:spacing w:line="240" w:lineRule="auto"/>
        <w:ind w:firstLine="640"/>
        <w:jc w:val="both"/>
      </w:pPr>
    </w:p>
    <w:p w14:paraId="05FF2CB4">
      <w:pPr>
        <w:spacing w:line="240" w:lineRule="auto"/>
        <w:ind w:firstLine="640"/>
        <w:jc w:val="both"/>
      </w:pPr>
    </w:p>
    <w:p w14:paraId="042DC87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EF5670"/>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2C134D1"/>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7724</Words>
  <Characters>8746</Characters>
  <Lines>0</Lines>
  <Paragraphs>0</Paragraphs>
  <TotalTime>4</TotalTime>
  <ScaleCrop>false</ScaleCrop>
  <LinksUpToDate>false</LinksUpToDate>
  <CharactersWithSpaces>8760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2025-10-14T04:24:10Z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