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吉木萨尔县人大常委会办公室2024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F2FF43F">
      <w:r>
        <w:br w:type="page"/>
      </w:r>
    </w:p>
    <w:p w14:paraId="3FF532D4">
      <w:pPr>
        <w:spacing w:line="640" w:lineRule="exact"/>
        <w:jc w:val="center"/>
        <w:outlineLvl w:val="1"/>
      </w:pPr>
      <w:r>
        <w:rPr>
          <w:rFonts w:ascii="黑体" w:hAnsi="黑体" w:eastAsia="黑体"/>
          <w:sz w:val="32"/>
        </w:rPr>
        <w:t>第一部分 单位概况</w:t>
      </w:r>
    </w:p>
    <w:p w14:paraId="02CB98CE">
      <w:pPr>
        <w:spacing w:line="640" w:lineRule="exact"/>
        <w:ind w:firstLine="640"/>
        <w:jc w:val="both"/>
        <w:outlineLvl w:val="2"/>
      </w:pPr>
      <w:r>
        <w:rPr>
          <w:rFonts w:ascii="黑体" w:hAnsi="黑体" w:eastAsia="黑体"/>
          <w:sz w:val="32"/>
        </w:rPr>
        <w:t>一、主要职能</w:t>
      </w:r>
    </w:p>
    <w:p w14:paraId="0EC71B81">
      <w:pPr>
        <w:spacing w:line="580" w:lineRule="exact"/>
        <w:ind w:firstLine="640"/>
        <w:jc w:val="both"/>
      </w:pPr>
      <w:r>
        <w:rPr>
          <w:rFonts w:ascii="仿宋_GB2312" w:hAnsi="仿宋_GB2312" w:eastAsia="仿宋_GB2312"/>
          <w:sz w:val="32"/>
        </w:rPr>
        <w:t>1、在本行政区域内，保证宪法、法律、行政法规和上级人民代表大会及其常务委员会决议的遵守和执行。</w:t>
      </w:r>
    </w:p>
    <w:p w14:paraId="2D1F7572">
      <w:pPr>
        <w:spacing w:line="580" w:lineRule="exact"/>
        <w:ind w:firstLine="640"/>
        <w:jc w:val="both"/>
      </w:pPr>
      <w:r>
        <w:rPr>
          <w:rFonts w:ascii="仿宋_GB2312" w:hAnsi="仿宋_GB2312" w:eastAsia="仿宋_GB2312"/>
          <w:sz w:val="32"/>
        </w:rPr>
        <w:t>2、领导或者主持本级人民代表大会代表的选举。</w:t>
      </w:r>
    </w:p>
    <w:p w14:paraId="15BD7101">
      <w:pPr>
        <w:spacing w:line="580" w:lineRule="exact"/>
        <w:ind w:firstLine="640"/>
        <w:jc w:val="both"/>
      </w:pPr>
      <w:r>
        <w:rPr>
          <w:rFonts w:ascii="仿宋_GB2312" w:hAnsi="仿宋_GB2312" w:eastAsia="仿宋_GB2312"/>
          <w:sz w:val="32"/>
        </w:rPr>
        <w:t>3、召集本级人民代表大会会议。</w:t>
      </w:r>
    </w:p>
    <w:p w14:paraId="7E7EE936">
      <w:pPr>
        <w:spacing w:line="580" w:lineRule="exact"/>
        <w:ind w:firstLine="640"/>
        <w:jc w:val="both"/>
      </w:pPr>
      <w:r>
        <w:rPr>
          <w:rFonts w:ascii="仿宋_GB2312" w:hAnsi="仿宋_GB2312" w:eastAsia="仿宋_GB2312"/>
          <w:sz w:val="32"/>
        </w:rPr>
        <w:t>4、讨论、决定本行政区域内的政治、经济、教育、科学、文化、卫生、环境和资源保护、民政、民族等工作的重大事项。</w:t>
      </w:r>
    </w:p>
    <w:p w14:paraId="574C1F98">
      <w:pPr>
        <w:spacing w:line="580" w:lineRule="exact"/>
        <w:ind w:firstLine="640"/>
        <w:jc w:val="both"/>
      </w:pPr>
      <w:r>
        <w:rPr>
          <w:rFonts w:ascii="仿宋_GB2312" w:hAnsi="仿宋_GB2312" w:eastAsia="仿宋_GB2312"/>
          <w:sz w:val="32"/>
        </w:rPr>
        <w:t>5、根据本级人民政府的建议，决定对本行政区域内的国民经济和社会发展预算的部分变更。</w:t>
      </w:r>
    </w:p>
    <w:p w14:paraId="52E40702">
      <w:pPr>
        <w:spacing w:line="580" w:lineRule="exact"/>
        <w:ind w:firstLine="640"/>
        <w:jc w:val="both"/>
      </w:pPr>
      <w:r>
        <w:rPr>
          <w:rFonts w:ascii="仿宋_GB2312" w:hAnsi="仿宋_GB2312" w:eastAsia="仿宋_GB2312"/>
          <w:sz w:val="32"/>
        </w:rPr>
        <w:t>6、监督本级人民政府、人民法院和人民检察院的工作，联系本级人民代表大会代表，受理人民群众对上述机关和国家工作人员的申诉和意见。</w:t>
      </w:r>
    </w:p>
    <w:p w14:paraId="6398CF94">
      <w:pPr>
        <w:spacing w:line="580" w:lineRule="exact"/>
        <w:ind w:firstLine="640"/>
        <w:jc w:val="both"/>
        <w:rPr>
          <w:w w:val="97"/>
          <w:sz w:val="32"/>
        </w:rPr>
      </w:pPr>
      <w:r>
        <w:rPr>
          <w:rFonts w:ascii="仿宋_GB2312" w:hAnsi="仿宋_GB2312" w:eastAsia="仿宋_GB2312"/>
          <w:w w:val="97"/>
          <w:sz w:val="32"/>
        </w:rPr>
        <w:t>7、撤销下一级人民代表大会及其常务委员会的不适当的决议。</w:t>
      </w:r>
    </w:p>
    <w:p w14:paraId="0F57B67C">
      <w:pPr>
        <w:spacing w:line="580" w:lineRule="exact"/>
        <w:ind w:firstLine="640"/>
        <w:jc w:val="both"/>
      </w:pPr>
      <w:r>
        <w:rPr>
          <w:rFonts w:ascii="仿宋_GB2312" w:hAnsi="仿宋_GB2312" w:eastAsia="仿宋_GB2312"/>
          <w:sz w:val="32"/>
        </w:rPr>
        <w:t>8、撤销本级人民政府的不适当的决定和命令。</w:t>
      </w:r>
    </w:p>
    <w:p w14:paraId="244F2D30">
      <w:pPr>
        <w:spacing w:line="580" w:lineRule="exact"/>
        <w:ind w:firstLine="640"/>
        <w:jc w:val="both"/>
      </w:pPr>
      <w:r>
        <w:rPr>
          <w:rFonts w:ascii="仿宋_GB2312" w:hAnsi="仿宋_GB2312" w:eastAsia="仿宋_GB2312"/>
          <w:sz w:val="32"/>
        </w:rPr>
        <w:t>9、在本级人民代表大会闭会期间，决定副县长的个别任免；在县长和人民法院院长、人民检察院检察长因故不能担任职务的时候，从本级人民政府、人民法院、人民检察院副职领导人员中决定代理的人选；决定代理检察长，须报上一级人民检察院和人民代表大会常务委员会备案。</w:t>
      </w:r>
    </w:p>
    <w:p w14:paraId="1ECFCF9B">
      <w:pPr>
        <w:spacing w:line="580" w:lineRule="exact"/>
        <w:ind w:firstLine="640"/>
        <w:jc w:val="both"/>
      </w:pPr>
      <w:r>
        <w:rPr>
          <w:rFonts w:ascii="仿宋_GB2312" w:hAnsi="仿宋_GB2312" w:eastAsia="仿宋_GB2312"/>
          <w:sz w:val="32"/>
        </w:rPr>
        <w:t>10、根据县长的提名，决定本级人民政府局长、委员会主任、科长的任免，报上一级人民政府备案。</w:t>
      </w:r>
    </w:p>
    <w:p w14:paraId="191CF6C3">
      <w:pPr>
        <w:spacing w:line="580" w:lineRule="exact"/>
        <w:ind w:firstLine="640"/>
        <w:jc w:val="both"/>
      </w:pPr>
      <w:r>
        <w:rPr>
          <w:rFonts w:ascii="仿宋_GB2312" w:hAnsi="仿宋_GB2312" w:eastAsia="仿宋_GB2312"/>
          <w:sz w:val="32"/>
        </w:rPr>
        <w:t>11、按照人民法院组织法和人民检察院组织法的规定，任免人民法院副院长、庭长、副庭长、审判委员会委员、审判员，任免人民检察院副检察长、检察委员会委员、检察员，批准任免下一级人民检察院检察长。</w:t>
      </w:r>
    </w:p>
    <w:p w14:paraId="1D087186">
      <w:pPr>
        <w:spacing w:line="580" w:lineRule="exact"/>
        <w:ind w:firstLine="640"/>
        <w:jc w:val="both"/>
      </w:pPr>
      <w:r>
        <w:rPr>
          <w:rFonts w:ascii="仿宋_GB2312" w:hAnsi="仿宋_GB2312" w:eastAsia="仿宋_GB2312"/>
          <w:sz w:val="32"/>
        </w:rPr>
        <w:t>12、在本级人民代表大会闭会期间，决定撤销个别副县长的职务；决定撤销由它任命的本级人民政府其他组成人员和人民法院副院长、庭长、副庭长、审判委员会委员、审判员，人民检察院副检察长、检察委员会委员、检察员，中级人民法院院长，人民检察院分院检察长的职务。</w:t>
      </w:r>
    </w:p>
    <w:p w14:paraId="59114458">
      <w:pPr>
        <w:spacing w:line="580" w:lineRule="exact"/>
        <w:ind w:firstLine="640"/>
        <w:jc w:val="both"/>
      </w:pPr>
      <w:r>
        <w:rPr>
          <w:rFonts w:ascii="仿宋_GB2312" w:hAnsi="仿宋_GB2312" w:eastAsia="仿宋_GB2312"/>
          <w:sz w:val="32"/>
        </w:rPr>
        <w:t>13、在本级人民代表大会闭会期间，补选上一级人民代表大会出缺的代表和罢免个别代表。</w:t>
      </w:r>
    </w:p>
    <w:p w14:paraId="2B0BFA3F">
      <w:pPr>
        <w:spacing w:line="580" w:lineRule="exact"/>
        <w:ind w:firstLine="640"/>
        <w:jc w:val="both"/>
      </w:pPr>
      <w:r>
        <w:rPr>
          <w:rFonts w:ascii="仿宋_GB2312" w:hAnsi="仿宋_GB2312" w:eastAsia="仿宋_GB2312"/>
          <w:sz w:val="32"/>
        </w:rPr>
        <w:t>14、决定授予地方的荣誉称号。</w:t>
      </w:r>
    </w:p>
    <w:p w14:paraId="0ECCFA1A">
      <w:pPr>
        <w:spacing w:line="640" w:lineRule="exact"/>
        <w:ind w:firstLine="640"/>
        <w:jc w:val="both"/>
        <w:outlineLvl w:val="2"/>
      </w:pPr>
      <w:r>
        <w:rPr>
          <w:rFonts w:ascii="黑体" w:hAnsi="黑体" w:eastAsia="黑体"/>
          <w:sz w:val="32"/>
        </w:rPr>
        <w:t>二、机构设置及人员情况</w:t>
      </w:r>
    </w:p>
    <w:p w14:paraId="7A03FD3B">
      <w:pPr>
        <w:spacing w:line="580" w:lineRule="exact"/>
        <w:ind w:firstLine="640"/>
        <w:jc w:val="both"/>
      </w:pPr>
      <w:r>
        <w:rPr>
          <w:rFonts w:ascii="仿宋_GB2312" w:hAnsi="仿宋_GB2312" w:eastAsia="仿宋_GB2312"/>
          <w:sz w:val="32"/>
        </w:rPr>
        <w:t>吉木萨尔县人大常委会办公室2024年度，实有人数60人，其中：在职人员22人，增加1人；离休人员0人，增加0人；退休人员38人,增加2人。</w:t>
      </w:r>
    </w:p>
    <w:p w14:paraId="6D0A09E7">
      <w:pPr>
        <w:spacing w:line="580" w:lineRule="exact"/>
        <w:ind w:firstLine="640"/>
        <w:jc w:val="both"/>
      </w:pPr>
      <w:r>
        <w:rPr>
          <w:rFonts w:ascii="仿宋_GB2312" w:hAnsi="仿宋_GB2312" w:eastAsia="仿宋_GB2312"/>
          <w:sz w:val="32"/>
        </w:rPr>
        <w:t>吉木萨尔县人大常委会办公室无下属预算单位，下设5个科室，分别是：财务室、预算工委、教科文卫委、法治工委、代表工作委员会。</w:t>
      </w:r>
    </w:p>
    <w:p w14:paraId="112AE1D5">
      <w:r>
        <w:br w:type="page"/>
      </w:r>
    </w:p>
    <w:p w14:paraId="236605B2">
      <w:pPr>
        <w:spacing w:line="240" w:lineRule="auto"/>
        <w:jc w:val="center"/>
        <w:outlineLvl w:val="1"/>
      </w:pPr>
      <w:r>
        <w:rPr>
          <w:rFonts w:ascii="黑体" w:hAnsi="黑体" w:eastAsia="黑体"/>
          <w:sz w:val="32"/>
        </w:rPr>
        <w:t>第二部分 部门决算情况说明</w:t>
      </w:r>
    </w:p>
    <w:p w14:paraId="0A6F1FEE">
      <w:pPr>
        <w:spacing w:line="640" w:lineRule="exact"/>
        <w:ind w:firstLine="640"/>
        <w:jc w:val="both"/>
        <w:outlineLvl w:val="2"/>
      </w:pPr>
      <w:r>
        <w:rPr>
          <w:rFonts w:ascii="黑体" w:hAnsi="黑体" w:eastAsia="黑体"/>
          <w:sz w:val="32"/>
        </w:rPr>
        <w:t>一、收入支出决算总体情况说明</w:t>
      </w:r>
    </w:p>
    <w:p w14:paraId="50D88943">
      <w:pPr>
        <w:spacing w:line="580" w:lineRule="exact"/>
        <w:ind w:firstLine="640"/>
        <w:jc w:val="both"/>
      </w:pPr>
      <w:r>
        <w:rPr>
          <w:rFonts w:ascii="仿宋_GB2312" w:hAnsi="仿宋_GB2312" w:eastAsia="仿宋_GB2312"/>
          <w:b/>
          <w:sz w:val="32"/>
        </w:rPr>
        <w:t>2024年度收入总计681.24万元，</w:t>
      </w:r>
      <w:r>
        <w:rPr>
          <w:rFonts w:ascii="仿宋_GB2312" w:hAnsi="仿宋_GB2312" w:eastAsia="仿宋_GB2312"/>
          <w:b w:val="0"/>
          <w:sz w:val="32"/>
        </w:rPr>
        <w:t>其中：本年收入合计681.21万元，使用非财政拨款结余（含专用结余）0.00万元，年初结转和结余0.03万元。</w:t>
      </w:r>
    </w:p>
    <w:p w14:paraId="1CDDD85F">
      <w:pPr>
        <w:spacing w:line="580" w:lineRule="exact"/>
        <w:ind w:firstLine="640"/>
        <w:jc w:val="both"/>
      </w:pPr>
      <w:r>
        <w:rPr>
          <w:rFonts w:ascii="仿宋_GB2312" w:hAnsi="仿宋_GB2312" w:eastAsia="仿宋_GB2312"/>
          <w:b/>
          <w:sz w:val="32"/>
        </w:rPr>
        <w:t>2024年度支出总计681.24万元，</w:t>
      </w:r>
      <w:r>
        <w:rPr>
          <w:rFonts w:ascii="仿宋_GB2312" w:hAnsi="仿宋_GB2312" w:eastAsia="仿宋_GB2312"/>
          <w:b w:val="0"/>
          <w:sz w:val="32"/>
        </w:rPr>
        <w:t>其中：本年支出合计681.20万元，结余分配0.00万元，年末结转和结余0.04万元。</w:t>
      </w:r>
    </w:p>
    <w:p w14:paraId="6246FB2B">
      <w:pPr>
        <w:spacing w:line="580" w:lineRule="exact"/>
        <w:ind w:firstLine="640"/>
        <w:jc w:val="both"/>
      </w:pPr>
      <w:r>
        <w:rPr>
          <w:rFonts w:ascii="仿宋_GB2312" w:hAnsi="仿宋_GB2312" w:eastAsia="仿宋_GB2312"/>
          <w:b w:val="0"/>
          <w:sz w:val="32"/>
        </w:rPr>
        <w:t>收入支出总体与上年相比，减少5.99万元，下降0.87%，主要原因是：本年人员退休，调入，人员职级不同，基数不同，导致人员经费减少；减少丧葬抚恤金，导致经费较上年减少。</w:t>
      </w:r>
    </w:p>
    <w:p w14:paraId="531819DF">
      <w:pPr>
        <w:spacing w:line="640" w:lineRule="exact"/>
        <w:ind w:firstLine="640"/>
        <w:jc w:val="both"/>
        <w:outlineLvl w:val="2"/>
      </w:pPr>
      <w:r>
        <w:rPr>
          <w:rFonts w:ascii="黑体" w:hAnsi="黑体" w:eastAsia="黑体"/>
          <w:sz w:val="32"/>
        </w:rPr>
        <w:t>二、收入决算情况说明</w:t>
      </w:r>
    </w:p>
    <w:p w14:paraId="6EB6DA0D">
      <w:pPr>
        <w:spacing w:line="580" w:lineRule="exact"/>
        <w:ind w:firstLine="640"/>
        <w:jc w:val="both"/>
      </w:pPr>
      <w:r>
        <w:rPr>
          <w:rFonts w:ascii="仿宋_GB2312" w:hAnsi="仿宋_GB2312" w:eastAsia="仿宋_GB2312"/>
          <w:b/>
          <w:sz w:val="32"/>
        </w:rPr>
        <w:t>本年收入681.21万元，</w:t>
      </w:r>
      <w:r>
        <w:rPr>
          <w:rFonts w:ascii="仿宋_GB2312" w:hAnsi="仿宋_GB2312" w:eastAsia="仿宋_GB2312"/>
          <w:b w:val="0"/>
          <w:sz w:val="32"/>
        </w:rPr>
        <w:t>其中：财政拨款收入681.20万元，占100.00%；上级补助收入0.00万元，占0.00%；事业收入0.00万元，占0.00%；经营收入0.00万元，占0.00%；附属单位上缴收入0.00万元，占0.00%；其他收入0.02万元，占0.003%。</w:t>
      </w:r>
    </w:p>
    <w:p w14:paraId="59BEB215">
      <w:pPr>
        <w:spacing w:line="640" w:lineRule="exact"/>
        <w:ind w:firstLine="640"/>
        <w:jc w:val="both"/>
        <w:outlineLvl w:val="2"/>
      </w:pPr>
      <w:r>
        <w:rPr>
          <w:rFonts w:ascii="黑体" w:hAnsi="黑体" w:eastAsia="黑体"/>
          <w:sz w:val="32"/>
        </w:rPr>
        <w:t>三、支出决算情况说明</w:t>
      </w:r>
    </w:p>
    <w:p w14:paraId="1A42ECDA">
      <w:pPr>
        <w:spacing w:line="580" w:lineRule="exact"/>
        <w:ind w:firstLine="640"/>
        <w:jc w:val="both"/>
      </w:pPr>
      <w:r>
        <w:rPr>
          <w:rFonts w:ascii="仿宋_GB2312" w:hAnsi="仿宋_GB2312" w:eastAsia="仿宋_GB2312"/>
          <w:b/>
          <w:sz w:val="32"/>
        </w:rPr>
        <w:t>本年支出681.20万元，</w:t>
      </w:r>
      <w:r>
        <w:rPr>
          <w:rFonts w:ascii="仿宋_GB2312" w:hAnsi="仿宋_GB2312" w:eastAsia="仿宋_GB2312"/>
          <w:b w:val="0"/>
          <w:sz w:val="32"/>
        </w:rPr>
        <w:t>其中：基本支出632.56万元，占92.86%；项目支出48.64万元，占7.14%；上缴上级支出0.00万元，占0.00%；经营支出0.00万元，占0.00%；对附属单位补助支出0.00万元，占0.00%。</w:t>
      </w:r>
    </w:p>
    <w:p w14:paraId="1422BF83">
      <w:pPr>
        <w:spacing w:line="640" w:lineRule="exact"/>
        <w:ind w:firstLine="640"/>
        <w:jc w:val="both"/>
        <w:outlineLvl w:val="2"/>
      </w:pPr>
      <w:r>
        <w:rPr>
          <w:rFonts w:ascii="黑体" w:hAnsi="黑体" w:eastAsia="黑体"/>
          <w:sz w:val="32"/>
        </w:rPr>
        <w:t>四、财政拨款收入支出决算总体情况说明</w:t>
      </w:r>
    </w:p>
    <w:p w14:paraId="37559E38">
      <w:pPr>
        <w:spacing w:line="580" w:lineRule="exact"/>
        <w:ind w:firstLine="640"/>
        <w:jc w:val="both"/>
      </w:pPr>
      <w:r>
        <w:rPr>
          <w:rFonts w:ascii="仿宋_GB2312" w:hAnsi="仿宋_GB2312" w:eastAsia="仿宋_GB2312"/>
          <w:b/>
          <w:sz w:val="32"/>
        </w:rPr>
        <w:t>2024年度财政拨款收入总计681.20万元，</w:t>
      </w:r>
      <w:r>
        <w:rPr>
          <w:rFonts w:ascii="仿宋_GB2312" w:hAnsi="仿宋_GB2312" w:eastAsia="仿宋_GB2312"/>
          <w:b w:val="0"/>
          <w:sz w:val="32"/>
        </w:rPr>
        <w:t>其中：年初财政拨款结转和结余0.00万元，本年财政拨款收入681.20万元。</w:t>
      </w:r>
      <w:r>
        <w:rPr>
          <w:rFonts w:ascii="仿宋_GB2312" w:hAnsi="仿宋_GB2312" w:eastAsia="仿宋_GB2312"/>
          <w:b/>
          <w:sz w:val="32"/>
        </w:rPr>
        <w:t>财政拨款支出总计681.20万元，</w:t>
      </w:r>
      <w:r>
        <w:rPr>
          <w:rFonts w:ascii="仿宋_GB2312" w:hAnsi="仿宋_GB2312" w:eastAsia="仿宋_GB2312"/>
          <w:b w:val="0"/>
          <w:sz w:val="32"/>
        </w:rPr>
        <w:t>其中：年末财政拨款结转和结余0.00万元，本年财政拨款支出681.20万元。</w:t>
      </w:r>
    </w:p>
    <w:p w14:paraId="0C5D938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减少5.97万元，下降0.87%，主要原因是：本年人员退休，调入，人员职级不同，基数不同，导致人员经费减少；减少丧葬抚恤金，导致经费较上年减少。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年初预算数553.04万元，决算数681.20万元，预决算差异率23.17%，主要原因是：年中追加人员工资、社保、公积金基数调增部分资金及全过程人民民主馆维修项目，导致预决算存在差异。</w:t>
      </w:r>
    </w:p>
    <w:p w14:paraId="7C25E989">
      <w:pPr>
        <w:spacing w:line="640" w:lineRule="exact"/>
        <w:ind w:firstLine="640"/>
        <w:jc w:val="both"/>
        <w:outlineLvl w:val="2"/>
      </w:pPr>
      <w:r>
        <w:rPr>
          <w:rFonts w:ascii="黑体" w:hAnsi="黑体" w:eastAsia="黑体"/>
          <w:sz w:val="32"/>
        </w:rPr>
        <w:t>五、一般公共预算财政拨款支出决算情况说明</w:t>
      </w:r>
    </w:p>
    <w:p w14:paraId="2DF5FBFF">
      <w:pPr>
        <w:spacing w:line="640" w:lineRule="exact"/>
        <w:ind w:firstLine="640"/>
        <w:jc w:val="both"/>
        <w:outlineLvl w:val="3"/>
      </w:pPr>
      <w:r>
        <w:rPr>
          <w:rFonts w:ascii="楷体_GB2312" w:hAnsi="楷体_GB2312" w:eastAsia="楷体_GB2312"/>
          <w:b/>
          <w:sz w:val="32"/>
        </w:rPr>
        <w:t>（一）一般公共预算财政拨款支出决算总体情况</w:t>
      </w:r>
    </w:p>
    <w:p w14:paraId="721DA189">
      <w:pPr>
        <w:spacing w:line="580" w:lineRule="exact"/>
        <w:ind w:firstLine="640"/>
        <w:jc w:val="both"/>
      </w:pPr>
      <w:r>
        <w:rPr>
          <w:rFonts w:ascii="仿宋_GB2312" w:hAnsi="仿宋_GB2312" w:eastAsia="仿宋_GB2312"/>
          <w:b/>
          <w:sz w:val="32"/>
        </w:rPr>
        <w:t>2024年度一般公共预算财政拨款支出681.20万元，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减少5.97万元，下降0.87%，主要原因是：本年人员退休，调入，人员职级不同，基数不同，导致人员经费减少；减少丧葬抚恤金，导致经费较上年减少。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年初预算数553.04万元，决算数681.20万元，预决算差异率23.17%，主要原因是：年中追加人员工资、社保、公积金基数调增部分资金及全过程人民民主馆维修项目，导致预决算存在差异。</w:t>
      </w:r>
    </w:p>
    <w:p w14:paraId="5CE9127C">
      <w:pPr>
        <w:spacing w:line="640" w:lineRule="exact"/>
        <w:ind w:firstLine="640"/>
        <w:jc w:val="both"/>
        <w:outlineLvl w:val="3"/>
      </w:pPr>
      <w:r>
        <w:rPr>
          <w:rFonts w:ascii="楷体_GB2312" w:hAnsi="楷体_GB2312" w:eastAsia="楷体_GB2312"/>
          <w:b/>
          <w:sz w:val="32"/>
        </w:rPr>
        <w:t>（二）一般公共预算财政拨款支出决算结构情况</w:t>
      </w:r>
    </w:p>
    <w:p w14:paraId="4D9A4D96">
      <w:pPr>
        <w:spacing w:line="580" w:lineRule="exact"/>
        <w:ind w:firstLine="640"/>
        <w:jc w:val="both"/>
      </w:pPr>
      <w:r>
        <w:rPr>
          <w:rFonts w:ascii="仿宋_GB2312" w:hAnsi="仿宋_GB2312" w:eastAsia="仿宋_GB2312"/>
          <w:b w:val="0"/>
          <w:sz w:val="32"/>
        </w:rPr>
        <w:t>1.一般公共服务支出(类)509.78万元,占74.84%。</w:t>
      </w:r>
    </w:p>
    <w:p w14:paraId="6727499E">
      <w:pPr>
        <w:spacing w:line="580" w:lineRule="exact"/>
        <w:ind w:firstLine="640"/>
        <w:jc w:val="both"/>
      </w:pPr>
      <w:r>
        <w:rPr>
          <w:rFonts w:ascii="仿宋_GB2312" w:hAnsi="仿宋_GB2312" w:eastAsia="仿宋_GB2312"/>
          <w:b w:val="0"/>
          <w:sz w:val="32"/>
        </w:rPr>
        <w:t>2.科学技术支出(类)3.60万元,占0.53%。</w:t>
      </w:r>
    </w:p>
    <w:p w14:paraId="7F22D077">
      <w:pPr>
        <w:spacing w:line="580" w:lineRule="exact"/>
        <w:ind w:firstLine="640"/>
        <w:jc w:val="both"/>
      </w:pPr>
      <w:r>
        <w:rPr>
          <w:rFonts w:ascii="仿宋_GB2312" w:hAnsi="仿宋_GB2312" w:eastAsia="仿宋_GB2312"/>
          <w:b w:val="0"/>
          <w:sz w:val="32"/>
        </w:rPr>
        <w:t>3.社会保障和就业支出(类)106.49万元,占15.63%。</w:t>
      </w:r>
    </w:p>
    <w:p w14:paraId="178D0797">
      <w:pPr>
        <w:spacing w:line="580" w:lineRule="exact"/>
        <w:ind w:firstLine="640"/>
        <w:jc w:val="both"/>
      </w:pPr>
      <w:r>
        <w:rPr>
          <w:rFonts w:ascii="仿宋_GB2312" w:hAnsi="仿宋_GB2312" w:eastAsia="仿宋_GB2312"/>
          <w:b w:val="0"/>
          <w:sz w:val="32"/>
        </w:rPr>
        <w:t>4.卫生健康支出(类)26.72万元,占3.92%。</w:t>
      </w:r>
    </w:p>
    <w:p w14:paraId="06C1C8F0">
      <w:pPr>
        <w:spacing w:line="580" w:lineRule="exact"/>
        <w:ind w:firstLine="640"/>
        <w:jc w:val="both"/>
      </w:pPr>
      <w:r>
        <w:rPr>
          <w:rFonts w:ascii="仿宋_GB2312" w:hAnsi="仿宋_GB2312" w:eastAsia="仿宋_GB2312"/>
          <w:b w:val="0"/>
          <w:sz w:val="32"/>
        </w:rPr>
        <w:t>5.住房保障支出(类)34.60万元,占5.08%。</w:t>
      </w:r>
    </w:p>
    <w:p w14:paraId="613958E5">
      <w:pPr>
        <w:spacing w:line="640" w:lineRule="exact"/>
        <w:ind w:firstLine="640"/>
        <w:jc w:val="both"/>
        <w:outlineLvl w:val="3"/>
      </w:pPr>
      <w:r>
        <w:rPr>
          <w:rFonts w:ascii="楷体_GB2312" w:hAnsi="楷体_GB2312" w:eastAsia="楷体_GB2312"/>
          <w:b/>
          <w:sz w:val="32"/>
        </w:rPr>
        <w:t>（三）一般公共预算财政拨款支出决算具体情况</w:t>
      </w:r>
    </w:p>
    <w:p w14:paraId="411C5438">
      <w:pPr>
        <w:spacing w:line="580" w:lineRule="exact"/>
        <w:ind w:firstLine="640"/>
        <w:jc w:val="both"/>
      </w:pPr>
      <w:r>
        <w:rPr>
          <w:rFonts w:ascii="仿宋_GB2312" w:hAnsi="仿宋_GB2312" w:eastAsia="仿宋_GB2312"/>
          <w:b w:val="0"/>
          <w:sz w:val="32"/>
        </w:rPr>
        <w:t>1.一般公共服务支出(类)人大事务(款)行政运行(项):支出决算数为393.29万元，比上年决算减少67.43万元，下降14.64%,主要原因是：本年人员退休，调入，人员职级不同，基数不同，导致人员经费减少；减少丧葬抚恤金，导致经费较上年减少。</w:t>
      </w:r>
    </w:p>
    <w:p w14:paraId="62E9C1E4">
      <w:pPr>
        <w:spacing w:line="580" w:lineRule="exact"/>
        <w:ind w:firstLine="640"/>
        <w:jc w:val="both"/>
      </w:pPr>
      <w:r>
        <w:rPr>
          <w:rFonts w:ascii="仿宋_GB2312" w:hAnsi="仿宋_GB2312" w:eastAsia="仿宋_GB2312"/>
          <w:b w:val="0"/>
          <w:sz w:val="32"/>
        </w:rPr>
        <w:t>2.一般公共服务支出(类)人大事务(款)一般行政管理事务(项):支出决算数为4.00万元，比上年决算增加4.00万元，增长100.00%,主要原因是：本年新增人大立法点建设经费。</w:t>
      </w:r>
    </w:p>
    <w:p w14:paraId="5338BBC2">
      <w:pPr>
        <w:spacing w:line="580" w:lineRule="exact"/>
        <w:ind w:firstLine="640"/>
        <w:jc w:val="both"/>
      </w:pPr>
      <w:r>
        <w:rPr>
          <w:rFonts w:ascii="仿宋_GB2312" w:hAnsi="仿宋_GB2312" w:eastAsia="仿宋_GB2312"/>
          <w:b w:val="0"/>
          <w:sz w:val="32"/>
        </w:rPr>
        <w:t>3.一般公共服务支出(类)人大事务(款)人大监督(项):支出决算数为4.00万元，比上年决算增加4.00万元，增长100.00%,主要原因是：本年新增自治州人大代表经费。</w:t>
      </w:r>
    </w:p>
    <w:p w14:paraId="4C07A4B4">
      <w:pPr>
        <w:spacing w:line="580" w:lineRule="exact"/>
        <w:ind w:firstLine="640"/>
        <w:jc w:val="both"/>
      </w:pPr>
      <w:r>
        <w:rPr>
          <w:rFonts w:ascii="仿宋_GB2312" w:hAnsi="仿宋_GB2312" w:eastAsia="仿宋_GB2312"/>
          <w:b w:val="0"/>
          <w:sz w:val="32"/>
        </w:rPr>
        <w:t>4.一般公共服务支出(类)人大事务(款)代表工作(项):支出决算数为8.64万元，比上年决算减少3.52万元，下降28.95%,主要原因是：本年驻县州人大代表活动经费减少。</w:t>
      </w:r>
    </w:p>
    <w:p w14:paraId="5B8369DA">
      <w:pPr>
        <w:spacing w:line="580" w:lineRule="exact"/>
        <w:ind w:firstLine="640"/>
        <w:jc w:val="both"/>
      </w:pPr>
      <w:r>
        <w:rPr>
          <w:rFonts w:ascii="仿宋_GB2312" w:hAnsi="仿宋_GB2312" w:eastAsia="仿宋_GB2312"/>
          <w:b w:val="0"/>
          <w:sz w:val="32"/>
        </w:rPr>
        <w:t>5.一般公共服务支出(类)人大事务(款)事业运行(项):支出决算数为66.64万元，比上年决算增加12.33万元，增长22.70%,主要原因是：本年在职人员工资调增，相关人员经费增加。</w:t>
      </w:r>
    </w:p>
    <w:p w14:paraId="749E5D88">
      <w:pPr>
        <w:spacing w:line="580" w:lineRule="exact"/>
        <w:ind w:firstLine="640"/>
        <w:jc w:val="both"/>
      </w:pPr>
      <w:r>
        <w:rPr>
          <w:rFonts w:ascii="仿宋_GB2312" w:hAnsi="仿宋_GB2312" w:eastAsia="仿宋_GB2312"/>
          <w:b w:val="0"/>
          <w:sz w:val="32"/>
        </w:rPr>
        <w:t>6.一般公共服务支出(类)人大事务(款)其他人大事务支出(项):支出决算数为32.00万元，比上年决算增加26.00万元，</w:t>
      </w:r>
      <w:r>
        <w:rPr>
          <w:rFonts w:ascii="仿宋_GB2312" w:hAnsi="仿宋_GB2312" w:eastAsia="仿宋_GB2312"/>
          <w:b w:val="0"/>
          <w:w w:val="97"/>
          <w:sz w:val="32"/>
        </w:rPr>
        <w:t>增长433.33%,主要原因是：本年增加全过程人民民主馆维修项目。</w:t>
      </w:r>
    </w:p>
    <w:p w14:paraId="7CD607CC">
      <w:pPr>
        <w:spacing w:line="580" w:lineRule="exact"/>
        <w:ind w:firstLine="640"/>
        <w:jc w:val="both"/>
      </w:pPr>
      <w:r>
        <w:rPr>
          <w:rFonts w:ascii="仿宋_GB2312" w:hAnsi="仿宋_GB2312" w:eastAsia="仿宋_GB2312"/>
          <w:b w:val="0"/>
          <w:sz w:val="32"/>
        </w:rPr>
        <w:t>7.一般公共服务支出(类)组织事务(款)其他组织事务支出(项):支出决算数为1.21万元，比上年决算增加1.21万元，增长100.00%,主要原因是：本年增加代表履职补助。</w:t>
      </w:r>
    </w:p>
    <w:p w14:paraId="785F5299">
      <w:pPr>
        <w:spacing w:line="580" w:lineRule="exact"/>
        <w:ind w:firstLine="640"/>
        <w:jc w:val="both"/>
      </w:pPr>
      <w:r>
        <w:rPr>
          <w:rFonts w:ascii="仿宋_GB2312" w:hAnsi="仿宋_GB2312" w:eastAsia="仿宋_GB2312"/>
          <w:b w:val="0"/>
          <w:sz w:val="32"/>
        </w:rPr>
        <w:t>8.科学技术支出(类)科技条件与服务(款)其他科技条件与服务支出(项):支出决算数为3.60万元，比上年决算增加3.60万元，增长100.00%,主要原因是：本年新增购买国产电脑打印机专项费用。</w:t>
      </w:r>
    </w:p>
    <w:p w14:paraId="710BF0C9">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9.社会保障和就业支出(类)行政事业单位养老支出(款)行政单位离退休(项):支出决算数为29.24万元，比上年决算增加16.03万元，增长121.35%,主要原因是：本年退休人员增加，发放退休人员基础绩效，退休费增加。</w:t>
      </w:r>
    </w:p>
    <w:p w14:paraId="69CA80C7">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45.71万元，比上年决算增加6.51万元，增长16.61%,主要原因是：本年在职人员工资基数调增，养老缴费基数上涨，相应支出增加。</w:t>
      </w:r>
    </w:p>
    <w:p w14:paraId="709C4699">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31.54万元，比上年决算增加3.74万元，增长13.45%,主要原因是：本年新增退休人员较上年增加，职业年金缴费支出增加。</w:t>
      </w:r>
    </w:p>
    <w:p w14:paraId="598F24EC">
      <w:pPr>
        <w:spacing w:line="580" w:lineRule="exact"/>
        <w:ind w:firstLine="640"/>
        <w:jc w:val="both"/>
      </w:pPr>
      <w:r>
        <w:rPr>
          <w:rFonts w:ascii="仿宋_GB2312" w:hAnsi="仿宋_GB2312" w:eastAsia="仿宋_GB2312"/>
          <w:b w:val="0"/>
          <w:sz w:val="32"/>
        </w:rPr>
        <w:t>12.卫生健康支出(类)行政事业单位医疗(款)行政单位医疗(项):支出决算数为19.42万元，比上年决算减少16.18万元，下降45.45%,主要原因是：因退休人员医疗保险制度改革，退休人员基本医疗不再由单位缴纳，导致经费较上年减少。</w:t>
      </w:r>
    </w:p>
    <w:p w14:paraId="553F3B68">
      <w:pPr>
        <w:spacing w:line="580" w:lineRule="exact"/>
        <w:ind w:firstLine="640"/>
        <w:jc w:val="both"/>
      </w:pPr>
      <w:r>
        <w:rPr>
          <w:rFonts w:ascii="仿宋_GB2312" w:hAnsi="仿宋_GB2312" w:eastAsia="仿宋_GB2312"/>
          <w:b w:val="0"/>
          <w:sz w:val="32"/>
        </w:rPr>
        <w:t>13.卫生健康支出(类)行政事业单位医疗(款)事业单位医疗(项):支出决算数为5.87万元，比上年决算增加1.79万元，增长43.87%,主要原因是：本年在职人员工资基数调增，医疗缴费基数上涨，相应支出增加。</w:t>
      </w:r>
    </w:p>
    <w:p w14:paraId="6841B447">
      <w:pPr>
        <w:spacing w:line="580" w:lineRule="exact"/>
        <w:ind w:firstLine="640"/>
        <w:jc w:val="both"/>
      </w:pPr>
      <w:r>
        <w:rPr>
          <w:rFonts w:ascii="仿宋_GB2312" w:hAnsi="仿宋_GB2312" w:eastAsia="仿宋_GB2312"/>
          <w:b w:val="0"/>
          <w:sz w:val="32"/>
        </w:rPr>
        <w:t>14.卫生健康支出(类)行政事业单位医疗(款)公务员医疗补助(项):支出决算数为1.43万元，比上年决算减少1.23万元，下降46.24%,主要原因是：本年人员退休，调入，人员职级不同，基数不同，导致公务员医疗补助经费减少。</w:t>
      </w:r>
    </w:p>
    <w:p w14:paraId="39390FB3">
      <w:pPr>
        <w:spacing w:line="580" w:lineRule="exact"/>
        <w:ind w:firstLine="640"/>
        <w:jc w:val="both"/>
      </w:pPr>
      <w:r>
        <w:rPr>
          <w:rFonts w:ascii="仿宋_GB2312" w:hAnsi="仿宋_GB2312" w:eastAsia="仿宋_GB2312"/>
          <w:b w:val="0"/>
          <w:sz w:val="32"/>
        </w:rPr>
        <w:t>15.住房保障支出(类)住房改革支出(款)住房公积金(项):支出决算数为34.60万元，比上年决算增加3.16万元，增长10.05%,主要原因是：本年在职人员工资基数调增，公积金缴费基数上涨，相应支出增加。</w:t>
      </w:r>
    </w:p>
    <w:p w14:paraId="459043E7">
      <w:pPr>
        <w:spacing w:line="640" w:lineRule="exact"/>
        <w:ind w:firstLine="640"/>
        <w:jc w:val="both"/>
        <w:outlineLvl w:val="2"/>
      </w:pPr>
      <w:r>
        <w:rPr>
          <w:rFonts w:ascii="黑体" w:hAnsi="黑体" w:eastAsia="黑体"/>
          <w:sz w:val="32"/>
        </w:rPr>
        <w:t>六、一般公共预算财政拨款基本支出决算情况说明</w:t>
      </w:r>
    </w:p>
    <w:p w14:paraId="7E9D54A3">
      <w:pPr>
        <w:spacing w:line="580" w:lineRule="exact"/>
        <w:ind w:firstLine="640"/>
        <w:jc w:val="both"/>
      </w:pPr>
      <w:r>
        <w:rPr>
          <w:rFonts w:ascii="仿宋_GB2312" w:hAnsi="仿宋_GB2312" w:eastAsia="仿宋_GB2312"/>
          <w:b w:val="0"/>
          <w:sz w:val="32"/>
        </w:rPr>
        <w:t>2024年度一般公共预算财政拨款基本支出632.56万元，其中：</w:t>
      </w:r>
      <w:r>
        <w:rPr>
          <w:rFonts w:ascii="仿宋_GB2312" w:hAnsi="仿宋_GB2312" w:eastAsia="仿宋_GB2312"/>
          <w:b/>
          <w:sz w:val="32"/>
        </w:rPr>
        <w:t>人员经费497.95万元，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7D9832FF">
      <w:pPr>
        <w:spacing w:line="580" w:lineRule="exact"/>
        <w:ind w:firstLine="640"/>
        <w:jc w:val="both"/>
      </w:pPr>
      <w:r>
        <w:rPr>
          <w:rFonts w:ascii="仿宋_GB2312" w:hAnsi="仿宋_GB2312" w:eastAsia="仿宋_GB2312"/>
          <w:b/>
          <w:sz w:val="32"/>
        </w:rPr>
        <w:t>公用经费134.61万元，</w:t>
      </w:r>
      <w:r>
        <w:rPr>
          <w:rFonts w:ascii="仿宋_GB2312" w:hAnsi="仿宋_GB2312" w:eastAsia="仿宋_GB2312"/>
          <w:b w:val="0"/>
          <w:sz w:val="32"/>
        </w:rPr>
        <w:t>包括：办公费、印刷费、邮电费、差旅费、维修（护）费、租赁费、会议费、培训费、劳务费、工会经费、公务用车运行维护费、其他交通费用、其他商品和服务支出、办公设备购置、专用设备购置。</w:t>
      </w:r>
    </w:p>
    <w:p w14:paraId="0E03A67A">
      <w:pPr>
        <w:spacing w:line="640" w:lineRule="exact"/>
        <w:ind w:firstLine="640"/>
        <w:jc w:val="both"/>
        <w:outlineLvl w:val="2"/>
      </w:pPr>
      <w:r>
        <w:rPr>
          <w:rFonts w:ascii="黑体" w:hAnsi="黑体" w:eastAsia="黑体"/>
          <w:sz w:val="32"/>
        </w:rPr>
        <w:t>七、政府性基金预算财政拨款收入支出决算情况说明</w:t>
      </w:r>
    </w:p>
    <w:p w14:paraId="3DA790F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DE7BD8">
      <w:pPr>
        <w:spacing w:line="640" w:lineRule="exact"/>
        <w:ind w:firstLine="640"/>
        <w:jc w:val="both"/>
        <w:outlineLvl w:val="2"/>
      </w:pPr>
      <w:r>
        <w:rPr>
          <w:rFonts w:ascii="黑体" w:hAnsi="黑体" w:eastAsia="黑体"/>
          <w:sz w:val="32"/>
        </w:rPr>
        <w:t>八、国有资本经营预算财政拨款收入支出决算情况说明</w:t>
      </w:r>
    </w:p>
    <w:p w14:paraId="01912D0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7E40A87">
      <w:pPr>
        <w:spacing w:line="640" w:lineRule="exact"/>
        <w:ind w:firstLine="640"/>
        <w:jc w:val="both"/>
        <w:outlineLvl w:val="2"/>
      </w:pPr>
      <w:r>
        <w:rPr>
          <w:rFonts w:ascii="黑体" w:hAnsi="黑体" w:eastAsia="黑体"/>
          <w:sz w:val="32"/>
        </w:rPr>
        <w:t>九、财政拨款“三公”经费支出决算情况说明</w:t>
      </w:r>
    </w:p>
    <w:p w14:paraId="1D104EBB">
      <w:pPr>
        <w:spacing w:line="580" w:lineRule="exact"/>
        <w:ind w:firstLine="640"/>
        <w:jc w:val="both"/>
      </w:pPr>
      <w:r>
        <w:rPr>
          <w:rFonts w:ascii="仿宋_GB2312" w:hAnsi="仿宋_GB2312" w:eastAsia="仿宋_GB2312"/>
          <w:b/>
          <w:sz w:val="32"/>
        </w:rPr>
        <w:t>2024年度财政拨款“三公”经费支出16.00万元，</w:t>
      </w:r>
      <w:r>
        <w:rPr>
          <w:rFonts w:ascii="仿宋_GB2312" w:hAnsi="仿宋_GB2312" w:eastAsia="仿宋_GB2312"/>
          <w:b w:val="0"/>
          <w:sz w:val="32"/>
        </w:rPr>
        <w:t>比上年减少0.32万元，下降1.96%，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16.00万元，占100.00%，比上年减少0.32万元，下降1.96%，主要原因是：严格落实中央八项规定精神，厉行节约，减少公务用车运行维护费。公务接待费支出0.00万元，占0.00%，比上年增加0.00万元，增长0.00%，主要原因是：2023年与2024年均未安排公务接待费支出。</w:t>
      </w:r>
    </w:p>
    <w:p w14:paraId="51297903">
      <w:pPr>
        <w:spacing w:line="580" w:lineRule="exact"/>
        <w:ind w:firstLine="640"/>
        <w:jc w:val="both"/>
      </w:pPr>
      <w:r>
        <w:rPr>
          <w:rFonts w:ascii="仿宋_GB2312" w:hAnsi="仿宋_GB2312" w:eastAsia="仿宋_GB2312"/>
          <w:b/>
          <w:sz w:val="32"/>
        </w:rPr>
        <w:t>具体情况如下：</w:t>
      </w:r>
    </w:p>
    <w:p w14:paraId="5416FD0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086923F">
      <w:pPr>
        <w:spacing w:line="580" w:lineRule="exact"/>
        <w:ind w:firstLine="640"/>
        <w:jc w:val="both"/>
      </w:pPr>
      <w:r>
        <w:rPr>
          <w:rFonts w:ascii="仿宋_GB2312" w:hAnsi="仿宋_GB2312" w:eastAsia="仿宋_GB2312"/>
          <w:b w:val="0"/>
          <w:sz w:val="32"/>
        </w:rPr>
        <w:t>公务用车购置及运行维护费16.00万元，其中：公务用车购置费0.00万元，公务用车运行维护费16.00万元。公务用车运行维护费开支内容包括车辆过路费、维修费、加油充电费。公务用车购置数0辆，公务用车保有量6辆。国有资产占用情况中固定资产车辆2辆，与公务用车保有量差异原因是：借用其他单位车辆，车辆费用由本单位支付。</w:t>
      </w:r>
    </w:p>
    <w:p w14:paraId="5683318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5A734D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16.00万元，决算数16.00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16.00万元，决算数16.00万元，预决算差异率0.00%，主要原因是：严格按照预算执行，预决算无差异。公务接待费全年预算数0.00万元，决算数0.00万元，预决算差异率0.00%，主要原因是：本单位无公务接待费。</w:t>
      </w:r>
    </w:p>
    <w:p w14:paraId="307FA9C1">
      <w:pPr>
        <w:spacing w:line="640" w:lineRule="exact"/>
        <w:ind w:firstLine="640"/>
        <w:jc w:val="both"/>
        <w:outlineLvl w:val="2"/>
      </w:pPr>
      <w:r>
        <w:rPr>
          <w:rFonts w:ascii="黑体" w:hAnsi="黑体" w:eastAsia="黑体"/>
          <w:sz w:val="32"/>
        </w:rPr>
        <w:t>十、其他重要事项的情况说明</w:t>
      </w:r>
    </w:p>
    <w:p w14:paraId="1628D635">
      <w:pPr>
        <w:spacing w:line="640" w:lineRule="exact"/>
        <w:ind w:firstLine="640"/>
        <w:jc w:val="both"/>
        <w:outlineLvl w:val="3"/>
      </w:pPr>
      <w:r>
        <w:rPr>
          <w:rFonts w:ascii="楷体_GB2312" w:hAnsi="楷体_GB2312" w:eastAsia="楷体_GB2312"/>
          <w:b/>
          <w:sz w:val="32"/>
        </w:rPr>
        <w:t>（一）机关运行经费及公用经费支出情况</w:t>
      </w:r>
    </w:p>
    <w:p w14:paraId="15D10DE4">
      <w:pPr>
        <w:spacing w:line="580" w:lineRule="exact"/>
        <w:ind w:firstLine="640"/>
        <w:jc w:val="both"/>
      </w:pPr>
      <w:r>
        <w:rPr>
          <w:rFonts w:ascii="仿宋_GB2312" w:hAnsi="仿宋_GB2312" w:eastAsia="仿宋_GB2312"/>
          <w:b w:val="0"/>
          <w:sz w:val="32"/>
        </w:rPr>
        <w:t>2024年度吉木萨尔县人大常委会办公室（行政单位和参照公务员法管理事业单位）机关运行经费支出134.61万元，比上年增加32.26万元，增长31.52%，主要原因是：本年新增全过程人民民主馆维修费用，导致机关运行经费增加。</w:t>
      </w:r>
    </w:p>
    <w:p w14:paraId="5D55096E">
      <w:pPr>
        <w:spacing w:line="640" w:lineRule="exact"/>
        <w:ind w:firstLine="640"/>
        <w:jc w:val="both"/>
        <w:outlineLvl w:val="3"/>
      </w:pPr>
      <w:r>
        <w:rPr>
          <w:rFonts w:ascii="楷体_GB2312" w:hAnsi="楷体_GB2312" w:eastAsia="楷体_GB2312"/>
          <w:b/>
          <w:sz w:val="32"/>
        </w:rPr>
        <w:t>（二）政府采购情况</w:t>
      </w:r>
    </w:p>
    <w:p w14:paraId="3B5C0AD8">
      <w:pPr>
        <w:spacing w:line="580" w:lineRule="exact"/>
        <w:ind w:firstLine="640"/>
        <w:jc w:val="both"/>
      </w:pPr>
      <w:r>
        <w:rPr>
          <w:rFonts w:ascii="仿宋_GB2312" w:hAnsi="仿宋_GB2312" w:eastAsia="仿宋_GB2312"/>
          <w:b w:val="0"/>
          <w:sz w:val="32"/>
        </w:rPr>
        <w:t>2024年度政府采购支出总额14.73万元，其中：政府采购货物支出12.05万元、政府采购工程支出0.00万元、政府采购服务支出2.69万元。</w:t>
      </w:r>
    </w:p>
    <w:p w14:paraId="0E42EBF3">
      <w:pPr>
        <w:spacing w:line="580" w:lineRule="exact"/>
        <w:ind w:firstLine="640"/>
        <w:jc w:val="both"/>
      </w:pPr>
      <w:r>
        <w:rPr>
          <w:rFonts w:ascii="仿宋_GB2312" w:hAnsi="仿宋_GB2312" w:eastAsia="仿宋_GB2312"/>
          <w:b w:val="0"/>
          <w:sz w:val="32"/>
        </w:rPr>
        <w:t>授予中小企业合同金额11.19万元，占政府采购支出总额的75.97%，其中：授予小微企业合同金额11.19万元，占政府采购支出总额的75.97%。</w:t>
      </w:r>
    </w:p>
    <w:p w14:paraId="20C075F5">
      <w:pPr>
        <w:spacing w:line="640" w:lineRule="exact"/>
        <w:ind w:firstLine="640"/>
        <w:jc w:val="both"/>
        <w:outlineLvl w:val="3"/>
      </w:pPr>
      <w:r>
        <w:rPr>
          <w:rFonts w:ascii="楷体_GB2312" w:hAnsi="楷体_GB2312" w:eastAsia="楷体_GB2312"/>
          <w:b/>
          <w:sz w:val="32"/>
        </w:rPr>
        <w:t>（三）国有资产占用情况说明</w:t>
      </w:r>
    </w:p>
    <w:p w14:paraId="51B84D7B">
      <w:pPr>
        <w:spacing w:line="580" w:lineRule="exact"/>
        <w:ind w:firstLine="640"/>
        <w:jc w:val="both"/>
      </w:pPr>
      <w:r>
        <w:rPr>
          <w:rFonts w:ascii="仿宋_GB2312" w:hAnsi="仿宋_GB2312" w:eastAsia="仿宋_GB2312"/>
          <w:b w:val="0"/>
          <w:sz w:val="32"/>
        </w:rPr>
        <w:t>截至2024年12月31日，房屋0.00平方米，价值0.00万元。车辆2辆，价值55.85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7C9CCBF5">
      <w:pPr>
        <w:spacing w:line="640" w:lineRule="exact"/>
        <w:ind w:firstLine="640"/>
        <w:jc w:val="both"/>
        <w:outlineLvl w:val="2"/>
      </w:pPr>
      <w:r>
        <w:rPr>
          <w:rFonts w:ascii="黑体" w:hAnsi="黑体" w:eastAsia="黑体"/>
          <w:sz w:val="32"/>
        </w:rPr>
        <w:t>十一、预算绩效的情况说明</w:t>
      </w:r>
    </w:p>
    <w:p w14:paraId="057D68E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681.20万元，实际执行总额681.20万元；预算绩效评价项目3个，全年预算数48.64万元，全年执行数48.64万元。预算绩效管理取得的成效：一是确保资金的高效使用，切实发挥</w:t>
      </w:r>
      <w:r>
        <w:rPr>
          <w:rFonts w:hint="eastAsia" w:ascii="仿宋_GB2312" w:hAnsi="仿宋_GB2312" w:eastAsia="仿宋_GB2312"/>
          <w:b w:val="0"/>
          <w:sz w:val="32"/>
          <w:lang w:eastAsia="zh-CN"/>
        </w:rPr>
        <w:t>财政资金使用</w:t>
      </w:r>
      <w:r>
        <w:rPr>
          <w:rFonts w:ascii="仿宋_GB2312" w:hAnsi="仿宋_GB2312" w:eastAsia="仿宋_GB2312"/>
          <w:b w:val="0"/>
          <w:sz w:val="32"/>
        </w:rPr>
        <w:t>作用；二是严格按照工作职责和相关文件依据，确保专款专用；三是严格控制资金的流出方向，确保资金的合规性。发现的问题及原因：目标设定科学性及评价存在</w:t>
      </w:r>
      <w:r>
        <w:rPr>
          <w:rFonts w:hint="eastAsia" w:ascii="仿宋_GB2312" w:hAnsi="仿宋_GB2312" w:eastAsia="仿宋_GB2312"/>
          <w:b w:val="0"/>
          <w:sz w:val="32"/>
          <w:lang w:eastAsia="zh-CN"/>
        </w:rPr>
        <w:t>难题</w:t>
      </w:r>
      <w:r>
        <w:rPr>
          <w:rFonts w:ascii="仿宋_GB2312" w:hAnsi="仿宋_GB2312" w:eastAsia="仿宋_GB2312"/>
          <w:b w:val="0"/>
          <w:sz w:val="32"/>
        </w:rPr>
        <w:t>，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w:t>
      </w:r>
    </w:p>
    <w:p w14:paraId="5A3F13A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D811588">
        <w:tblPrEx>
          <w:tblCellMar>
            <w:top w:w="0" w:type="dxa"/>
            <w:left w:w="108" w:type="dxa"/>
            <w:bottom w:w="0" w:type="dxa"/>
            <w:right w:w="108" w:type="dxa"/>
          </w:tblCellMar>
        </w:tblPrEx>
        <w:tc>
          <w:tcPr>
            <w:tcW w:w="8847" w:type="dxa"/>
            <w:gridSpan w:val="9"/>
            <w:vAlign w:val="center"/>
          </w:tcPr>
          <w:p w14:paraId="27041DA9">
            <w:pPr>
              <w:jc w:val="center"/>
            </w:pPr>
            <w:r>
              <w:rPr>
                <w:rFonts w:ascii="宋体" w:hAnsi="宋体" w:eastAsia="宋体"/>
                <w:sz w:val="24"/>
              </w:rPr>
              <w:t>单位整体支出绩效自评表</w:t>
            </w:r>
          </w:p>
        </w:tc>
      </w:tr>
      <w:tr w14:paraId="336C9C22">
        <w:tblPrEx>
          <w:tblCellMar>
            <w:top w:w="0" w:type="dxa"/>
            <w:left w:w="108" w:type="dxa"/>
            <w:bottom w:w="0" w:type="dxa"/>
            <w:right w:w="108" w:type="dxa"/>
          </w:tblCellMar>
        </w:tblPrEx>
        <w:tc>
          <w:tcPr>
            <w:tcW w:w="8847" w:type="dxa"/>
            <w:gridSpan w:val="9"/>
            <w:vAlign w:val="center"/>
          </w:tcPr>
          <w:p w14:paraId="2EFD444C">
            <w:pPr>
              <w:jc w:val="center"/>
            </w:pPr>
            <w:r>
              <w:rPr>
                <w:rFonts w:ascii="宋体" w:hAnsi="宋体" w:eastAsia="宋体"/>
                <w:sz w:val="24"/>
              </w:rPr>
              <w:t>（2024年度）</w:t>
            </w:r>
          </w:p>
        </w:tc>
      </w:tr>
      <w:tr w14:paraId="239311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0220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B2996E">
            <w:pPr>
              <w:jc w:val="center"/>
            </w:pPr>
            <w:r>
              <w:rPr>
                <w:rFonts w:ascii="宋体" w:hAnsi="宋体" w:eastAsia="宋体"/>
                <w:sz w:val="16"/>
              </w:rPr>
              <w:t>吉木萨尔县人大常委会办公室</w:t>
            </w:r>
          </w:p>
        </w:tc>
      </w:tr>
      <w:tr w14:paraId="6D69609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AB069">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B072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BB7FD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9971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B08E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D4B6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55DE2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6751C">
            <w:pPr>
              <w:jc w:val="center"/>
            </w:pPr>
            <w:r>
              <w:rPr>
                <w:rFonts w:ascii="宋体" w:hAnsi="宋体" w:eastAsia="宋体"/>
                <w:sz w:val="16"/>
              </w:rPr>
              <w:t>得分</w:t>
            </w:r>
          </w:p>
        </w:tc>
      </w:tr>
      <w:tr w14:paraId="224E02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D40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88AB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178C4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62A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FFE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A11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94D7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EE67D">
            <w:pPr>
              <w:jc w:val="center"/>
            </w:pPr>
            <w:r>
              <w:rPr>
                <w:rFonts w:ascii="宋体" w:hAnsi="宋体" w:eastAsia="宋体"/>
                <w:sz w:val="16"/>
              </w:rPr>
              <w:t>-</w:t>
            </w:r>
          </w:p>
        </w:tc>
      </w:tr>
      <w:tr w14:paraId="225A26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C9B7A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6DB0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5F42F">
            <w:pPr>
              <w:jc w:val="center"/>
            </w:pPr>
            <w:r>
              <w:rPr>
                <w:rFonts w:ascii="宋体" w:hAnsi="宋体" w:eastAsia="宋体"/>
                <w:sz w:val="16"/>
              </w:rPr>
              <w:t>553.04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42FDC">
            <w:pPr>
              <w:jc w:val="center"/>
            </w:pPr>
            <w:r>
              <w:rPr>
                <w:rFonts w:ascii="宋体" w:hAnsi="宋体" w:eastAsia="宋体"/>
                <w:sz w:val="16"/>
              </w:rPr>
              <w:t>681.20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4F4E8">
            <w:pPr>
              <w:jc w:val="center"/>
            </w:pPr>
            <w:r>
              <w:rPr>
                <w:rFonts w:ascii="宋体" w:hAnsi="宋体" w:eastAsia="宋体"/>
                <w:sz w:val="16"/>
              </w:rPr>
              <w:t>681.20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F79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6CB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51F49">
            <w:pPr>
              <w:jc w:val="center"/>
            </w:pPr>
            <w:r>
              <w:rPr>
                <w:rFonts w:ascii="宋体" w:hAnsi="宋体" w:eastAsia="宋体"/>
                <w:sz w:val="16"/>
              </w:rPr>
              <w:t>-</w:t>
            </w:r>
          </w:p>
        </w:tc>
      </w:tr>
      <w:tr w14:paraId="3DEAF4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9EB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8613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77D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B6C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952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9F6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8F9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4FB07">
            <w:pPr>
              <w:jc w:val="center"/>
            </w:pPr>
            <w:r>
              <w:rPr>
                <w:rFonts w:ascii="宋体" w:hAnsi="宋体" w:eastAsia="宋体"/>
                <w:sz w:val="16"/>
              </w:rPr>
              <w:t>-</w:t>
            </w:r>
          </w:p>
        </w:tc>
      </w:tr>
      <w:tr w14:paraId="57EAAE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F2DC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BFEC3">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FB6A1">
            <w:pPr>
              <w:jc w:val="center"/>
            </w:pPr>
            <w:r>
              <w:rPr>
                <w:rFonts w:ascii="宋体" w:hAnsi="宋体" w:eastAsia="宋体"/>
                <w:sz w:val="16"/>
              </w:rPr>
              <w:t>553.04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16D72">
            <w:pPr>
              <w:jc w:val="center"/>
            </w:pPr>
            <w:r>
              <w:rPr>
                <w:rFonts w:ascii="宋体" w:hAnsi="宋体" w:eastAsia="宋体"/>
                <w:sz w:val="16"/>
              </w:rPr>
              <w:t>681.20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5A57C">
            <w:pPr>
              <w:jc w:val="center"/>
            </w:pPr>
            <w:r>
              <w:rPr>
                <w:rFonts w:ascii="宋体" w:hAnsi="宋体" w:eastAsia="宋体"/>
                <w:sz w:val="16"/>
              </w:rPr>
              <w:t>681.20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944D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839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E27A6">
            <w:pPr>
              <w:jc w:val="center"/>
            </w:pPr>
            <w:r>
              <w:rPr>
                <w:rFonts w:ascii="宋体" w:hAnsi="宋体" w:eastAsia="宋体"/>
                <w:sz w:val="16"/>
              </w:rPr>
              <w:t>10</w:t>
            </w:r>
          </w:p>
        </w:tc>
      </w:tr>
      <w:tr w14:paraId="56C97D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DCF5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0A11B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025071">
            <w:pPr>
              <w:jc w:val="center"/>
            </w:pPr>
            <w:r>
              <w:rPr>
                <w:rFonts w:ascii="宋体" w:hAnsi="宋体" w:eastAsia="宋体"/>
                <w:sz w:val="16"/>
              </w:rPr>
              <w:t>实际完成情况</w:t>
            </w:r>
          </w:p>
        </w:tc>
      </w:tr>
      <w:tr w14:paraId="7D1E42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53AF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2CED51">
            <w:pPr>
              <w:jc w:val="both"/>
            </w:pPr>
            <w:r>
              <w:rPr>
                <w:rFonts w:ascii="宋体" w:hAnsi="宋体" w:eastAsia="宋体"/>
                <w:sz w:val="16"/>
              </w:rPr>
              <w:t>保障本单位</w:t>
            </w:r>
            <w:bookmarkStart w:id="0" w:name="_GoBack"/>
            <w:bookmarkEnd w:id="0"/>
            <w:r>
              <w:rPr>
                <w:rFonts w:ascii="宋体" w:hAnsi="宋体" w:eastAsia="宋体"/>
                <w:sz w:val="16"/>
              </w:rPr>
              <w:t>在职人员工资、津贴、社保、医疗、住房公积金和4名政府购买服务工资、社保、医疗和37名退休人员独生子女奖励金；保障本单位办公费、车辆运行维护费、会议费、工会经费、差旅费、培训费等行政运行费用正常运转；保障人大代表视察、调研、执法检查、工作评议、吉木萨尔县</w:t>
            </w:r>
            <w:r>
              <w:rPr>
                <w:rFonts w:hint="eastAsia" w:ascii="宋体" w:hAnsi="宋体"/>
                <w:sz w:val="16"/>
                <w:lang w:eastAsia="zh-CN"/>
              </w:rPr>
              <w:t>人大会议</w:t>
            </w:r>
            <w:r>
              <w:rPr>
                <w:rFonts w:ascii="宋体" w:hAnsi="宋体" w:eastAsia="宋体"/>
                <w:sz w:val="16"/>
              </w:rPr>
              <w:t>正常开展,“监督工作提效、履职能力提升、代表工作提级”为目标，充分发挥代表主体作用，不断践行全过程人民民主，持续以制度之力汇聚全县各族人民的智慧力量，全面推动新时代人大工作迈上新台阶。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2E3EC4">
            <w:pPr>
              <w:jc w:val="both"/>
            </w:pPr>
            <w:r>
              <w:rPr>
                <w:rFonts w:ascii="宋体" w:hAnsi="宋体" w:eastAsia="宋体"/>
                <w:sz w:val="16"/>
              </w:rPr>
              <w:t>1.召集县人民代表大会会议。监督县人民政府、人民法院和人民检察院的工作，联系县人民代表大会代表，受理人民群众对上述机关和国家工作人员的申诉和意见。保障各级人大代表开展视察调研等履职活动。依法进行人事任免。指导乡镇人大工作。保障22名在职在编人员、38名退休人员、4名服务岗工资正常足额发放，稳定人大队伍。2及时支付各类公用经费，保证各项工作顺利开展。3、认真落实人大代表提出的议案、建议、批评和意见。4、组织保障167名人大代表各项活动有序开展。5、公用运行维护经费保障人大办4辆公务用车正常运行。</w:t>
            </w:r>
          </w:p>
        </w:tc>
      </w:tr>
      <w:tr w14:paraId="0E3BB6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E801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7443B">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B49B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1481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E3C6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A384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8844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9DB1C">
            <w:pPr>
              <w:jc w:val="center"/>
            </w:pPr>
            <w:r>
              <w:rPr>
                <w:rFonts w:ascii="宋体" w:hAnsi="宋体" w:eastAsia="宋体"/>
                <w:sz w:val="16"/>
              </w:rPr>
              <w:t>得分</w:t>
            </w:r>
          </w:p>
        </w:tc>
      </w:tr>
      <w:tr w14:paraId="77DCECE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44B6D">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16242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ED502">
            <w:pPr>
              <w:jc w:val="center"/>
            </w:pPr>
            <w:r>
              <w:rPr>
                <w:rFonts w:ascii="宋体" w:hAnsi="宋体" w:eastAsia="宋体"/>
                <w:sz w:val="16"/>
              </w:rPr>
              <w:t>在编在岗人数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EE67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4BE58">
            <w:pPr>
              <w:jc w:val="center"/>
            </w:pPr>
            <w:r>
              <w:rPr>
                <w:rFonts w:ascii="宋体" w:hAnsi="宋体" w:eastAsia="宋体"/>
                <w:sz w:val="16"/>
              </w:rPr>
              <w:t>202</w:t>
            </w:r>
            <w:r>
              <w:rPr>
                <w:rFonts w:hint="eastAsia" w:ascii="宋体" w:hAnsi="宋体"/>
                <w:sz w:val="16"/>
                <w:lang w:val="en-US" w:eastAsia="zh-CN"/>
              </w:rPr>
              <w:t>4</w:t>
            </w:r>
            <w:r>
              <w:rPr>
                <w:rFonts w:ascii="宋体" w:hAnsi="宋体" w:eastAsia="宋体"/>
                <w:sz w:val="16"/>
              </w:rPr>
              <w:t>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A77E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3B52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B9362">
            <w:pPr>
              <w:jc w:val="center"/>
            </w:pPr>
            <w:r>
              <w:rPr>
                <w:rFonts w:ascii="宋体" w:hAnsi="宋体" w:eastAsia="宋体"/>
                <w:sz w:val="16"/>
              </w:rPr>
              <w:t>15</w:t>
            </w:r>
          </w:p>
        </w:tc>
      </w:tr>
      <w:tr w14:paraId="5363649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2819E">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33252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1B8B1">
            <w:pPr>
              <w:jc w:val="center"/>
            </w:pPr>
            <w:r>
              <w:rPr>
                <w:rFonts w:ascii="宋体" w:hAnsi="宋体" w:eastAsia="宋体"/>
                <w:sz w:val="16"/>
              </w:rPr>
              <w:t>开展调研、视察、评议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45AE4">
            <w:pPr>
              <w:jc w:val="center"/>
            </w:pPr>
            <w:r>
              <w:rPr>
                <w:rFonts w:ascii="宋体" w:hAnsi="宋体" w:eastAsia="宋体"/>
                <w:sz w:val="16"/>
              </w:rPr>
              <w:t>&gt;=9次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3D9A4">
            <w:pPr>
              <w:jc w:val="center"/>
            </w:pPr>
            <w:r>
              <w:rPr>
                <w:rFonts w:ascii="宋体" w:hAnsi="宋体" w:eastAsia="宋体"/>
                <w:sz w:val="16"/>
              </w:rPr>
              <w:t>吉木萨尔县人大常委会工作要点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C194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D8D6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32150">
            <w:pPr>
              <w:jc w:val="center"/>
            </w:pPr>
            <w:r>
              <w:rPr>
                <w:rFonts w:ascii="宋体" w:hAnsi="宋体" w:eastAsia="宋体"/>
                <w:sz w:val="16"/>
              </w:rPr>
              <w:t>15</w:t>
            </w:r>
          </w:p>
        </w:tc>
      </w:tr>
      <w:tr w14:paraId="1032E1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FD2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7D0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FE8B9">
            <w:pPr>
              <w:jc w:val="center"/>
            </w:pPr>
            <w:r>
              <w:rPr>
                <w:rFonts w:ascii="宋体" w:hAnsi="宋体" w:eastAsia="宋体"/>
                <w:sz w:val="16"/>
              </w:rPr>
              <w:t>召开</w:t>
            </w:r>
            <w:r>
              <w:rPr>
                <w:rFonts w:hint="eastAsia" w:ascii="宋体" w:hAnsi="宋体"/>
                <w:sz w:val="16"/>
                <w:lang w:eastAsia="zh-CN"/>
              </w:rPr>
              <w:t>人大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D1B30">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2E4D4">
            <w:pPr>
              <w:jc w:val="center"/>
            </w:pPr>
            <w:r>
              <w:rPr>
                <w:rFonts w:ascii="宋体" w:hAnsi="宋体" w:eastAsia="宋体"/>
                <w:sz w:val="16"/>
              </w:rPr>
              <w:t>吉木萨尔县人大常委会工作要点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1082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A28E86">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5C54C">
            <w:pPr>
              <w:jc w:val="center"/>
            </w:pPr>
            <w:r>
              <w:rPr>
                <w:rFonts w:ascii="宋体" w:hAnsi="宋体" w:eastAsia="宋体"/>
                <w:sz w:val="16"/>
              </w:rPr>
              <w:t>15</w:t>
            </w:r>
          </w:p>
        </w:tc>
      </w:tr>
      <w:tr w14:paraId="49855A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8AEC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4C2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E70DC0">
            <w:pPr>
              <w:jc w:val="center"/>
            </w:pPr>
            <w:r>
              <w:rPr>
                <w:rFonts w:ascii="宋体" w:hAnsi="宋体" w:eastAsia="宋体"/>
                <w:sz w:val="16"/>
              </w:rPr>
              <w:t>举办人大代表能力提升培训班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DED62">
            <w:pPr>
              <w:jc w:val="center"/>
            </w:pPr>
            <w:r>
              <w:rPr>
                <w:rFonts w:ascii="宋体" w:hAnsi="宋体" w:eastAsia="宋体"/>
                <w:sz w:val="16"/>
              </w:rPr>
              <w:t>&gt;=1次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8085F">
            <w:pPr>
              <w:jc w:val="center"/>
            </w:pPr>
            <w:r>
              <w:rPr>
                <w:rFonts w:ascii="宋体" w:hAnsi="宋体" w:eastAsia="宋体"/>
                <w:sz w:val="16"/>
              </w:rPr>
              <w:t>吉木萨尔县人大常委会工作要点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D84B3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B026E">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6A440">
            <w:pPr>
              <w:jc w:val="center"/>
            </w:pPr>
            <w:r>
              <w:rPr>
                <w:rFonts w:ascii="宋体" w:hAnsi="宋体" w:eastAsia="宋体"/>
                <w:sz w:val="16"/>
              </w:rPr>
              <w:t>15</w:t>
            </w:r>
          </w:p>
        </w:tc>
      </w:tr>
      <w:tr w14:paraId="2DDC98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831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08CD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FABE1">
            <w:pPr>
              <w:jc w:val="center"/>
            </w:pPr>
            <w:r>
              <w:rPr>
                <w:rFonts w:ascii="宋体" w:hAnsi="宋体" w:eastAsia="宋体"/>
                <w:sz w:val="16"/>
              </w:rPr>
              <w:t>依法监督执法检查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49519">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2D581">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E1EC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245E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A010E">
            <w:pPr>
              <w:jc w:val="center"/>
            </w:pPr>
            <w:r>
              <w:rPr>
                <w:rFonts w:ascii="宋体" w:hAnsi="宋体" w:eastAsia="宋体"/>
                <w:sz w:val="16"/>
              </w:rPr>
              <w:t>15</w:t>
            </w:r>
          </w:p>
        </w:tc>
      </w:tr>
      <w:tr w14:paraId="60E29A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5C8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FF8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B3AFD">
            <w:pPr>
              <w:jc w:val="center"/>
            </w:pPr>
            <w:r>
              <w:rPr>
                <w:rFonts w:ascii="宋体" w:hAnsi="宋体" w:eastAsia="宋体"/>
                <w:sz w:val="16"/>
              </w:rPr>
              <w:t>依法听取审议各项工作报告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80A19">
            <w:pPr>
              <w:jc w:val="center"/>
            </w:pPr>
            <w:r>
              <w:rPr>
                <w:rFonts w:ascii="宋体" w:hAnsi="宋体" w:eastAsia="宋体"/>
                <w:sz w:val="16"/>
              </w:rPr>
              <w:t>&gt;=5次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3B414">
            <w:pPr>
              <w:jc w:val="center"/>
            </w:pPr>
            <w:r>
              <w:rPr>
                <w:rFonts w:ascii="宋体" w:hAnsi="宋体" w:eastAsia="宋体"/>
                <w:sz w:val="16"/>
              </w:rPr>
              <w:t>2024年重点工作计划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8D09E">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83A4B">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2223F">
            <w:pPr>
              <w:jc w:val="center"/>
            </w:pPr>
            <w:r>
              <w:rPr>
                <w:rFonts w:ascii="宋体" w:hAnsi="宋体" w:eastAsia="宋体"/>
                <w:sz w:val="16"/>
              </w:rPr>
              <w:t>15</w:t>
            </w:r>
          </w:p>
        </w:tc>
      </w:tr>
    </w:tbl>
    <w:p w14:paraId="65884D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071EE26">
        <w:tblPrEx>
          <w:tblCellMar>
            <w:top w:w="0" w:type="dxa"/>
            <w:left w:w="108" w:type="dxa"/>
            <w:bottom w:w="0" w:type="dxa"/>
            <w:right w:w="108" w:type="dxa"/>
          </w:tblCellMar>
        </w:tblPrEx>
        <w:tc>
          <w:tcPr>
            <w:tcW w:w="8848" w:type="dxa"/>
            <w:gridSpan w:val="14"/>
            <w:vAlign w:val="center"/>
          </w:tcPr>
          <w:p w14:paraId="536A9ABA">
            <w:pPr>
              <w:jc w:val="center"/>
            </w:pPr>
            <w:r>
              <w:rPr>
                <w:rFonts w:ascii="宋体" w:hAnsi="宋体" w:eastAsia="宋体"/>
                <w:sz w:val="24"/>
              </w:rPr>
              <w:t>项目支出绩效自评表</w:t>
            </w:r>
          </w:p>
        </w:tc>
      </w:tr>
      <w:tr w14:paraId="12F15C6A">
        <w:tblPrEx>
          <w:tblCellMar>
            <w:top w:w="0" w:type="dxa"/>
            <w:left w:w="108" w:type="dxa"/>
            <w:bottom w:w="0" w:type="dxa"/>
            <w:right w:w="108" w:type="dxa"/>
          </w:tblCellMar>
        </w:tblPrEx>
        <w:tc>
          <w:tcPr>
            <w:tcW w:w="8848" w:type="dxa"/>
            <w:gridSpan w:val="14"/>
            <w:vAlign w:val="center"/>
          </w:tcPr>
          <w:p w14:paraId="60AC2BBF">
            <w:pPr>
              <w:jc w:val="center"/>
            </w:pPr>
            <w:r>
              <w:rPr>
                <w:rFonts w:ascii="宋体" w:hAnsi="宋体" w:eastAsia="宋体"/>
                <w:sz w:val="24"/>
              </w:rPr>
              <w:t>(2024年度)</w:t>
            </w:r>
          </w:p>
        </w:tc>
      </w:tr>
      <w:tr w14:paraId="171696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0E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6EDCD00">
            <w:pPr>
              <w:jc w:val="center"/>
            </w:pPr>
            <w:r>
              <w:rPr>
                <w:rFonts w:ascii="宋体" w:hAnsi="宋体" w:eastAsia="宋体"/>
                <w:sz w:val="16"/>
              </w:rPr>
              <w:t>2024年人大代表活动经费、立法联系点工作经费</w:t>
            </w:r>
          </w:p>
        </w:tc>
      </w:tr>
      <w:tr w14:paraId="1DEE60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481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1C2132">
            <w:pPr>
              <w:jc w:val="center"/>
            </w:pPr>
            <w:r>
              <w:rPr>
                <w:rFonts w:ascii="宋体" w:hAnsi="宋体" w:eastAsia="宋体"/>
                <w:sz w:val="16"/>
              </w:rPr>
              <w:t>吉木萨尔县人大常委会办公室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CB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C76C88">
            <w:pPr>
              <w:jc w:val="center"/>
            </w:pPr>
            <w:r>
              <w:rPr>
                <w:rFonts w:ascii="宋体" w:hAnsi="宋体" w:eastAsia="宋体"/>
                <w:sz w:val="16"/>
              </w:rPr>
              <w:t>吉木萨尔县人大常委会办公室</w:t>
            </w:r>
          </w:p>
        </w:tc>
      </w:tr>
      <w:tr w14:paraId="71FBA5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CF326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B70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2134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95C8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2A9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68C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055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83BE">
            <w:pPr>
              <w:jc w:val="center"/>
            </w:pPr>
            <w:r>
              <w:rPr>
                <w:rFonts w:ascii="宋体" w:hAnsi="宋体" w:eastAsia="宋体"/>
                <w:sz w:val="16"/>
              </w:rPr>
              <w:t>得分</w:t>
            </w:r>
          </w:p>
        </w:tc>
      </w:tr>
      <w:tr w14:paraId="702188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3018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C9BC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D18AD">
            <w:pPr>
              <w:jc w:val="center"/>
            </w:pPr>
            <w:r>
              <w:rPr>
                <w:rFonts w:ascii="宋体" w:hAnsi="宋体" w:eastAsia="宋体"/>
                <w:sz w:val="16"/>
              </w:rPr>
              <w:t>16.64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41875">
            <w:pPr>
              <w:jc w:val="center"/>
            </w:pPr>
            <w:r>
              <w:rPr>
                <w:rFonts w:ascii="宋体" w:hAnsi="宋体" w:eastAsia="宋体"/>
                <w:sz w:val="16"/>
              </w:rPr>
              <w:t>16.64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D2FBE">
            <w:pPr>
              <w:jc w:val="center"/>
            </w:pPr>
            <w:r>
              <w:rPr>
                <w:rFonts w:ascii="宋体" w:hAnsi="宋体" w:eastAsia="宋体"/>
                <w:sz w:val="16"/>
              </w:rPr>
              <w:t>16.64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06B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86D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79C5">
            <w:pPr>
              <w:jc w:val="center"/>
            </w:pPr>
            <w:r>
              <w:rPr>
                <w:rFonts w:ascii="宋体" w:hAnsi="宋体" w:eastAsia="宋体"/>
                <w:sz w:val="16"/>
              </w:rPr>
              <w:t>10.00</w:t>
            </w:r>
          </w:p>
        </w:tc>
      </w:tr>
      <w:tr w14:paraId="324B5C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786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A07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E02CC2">
            <w:pPr>
              <w:jc w:val="center"/>
            </w:pPr>
            <w:r>
              <w:rPr>
                <w:rFonts w:ascii="宋体" w:hAnsi="宋体" w:eastAsia="宋体"/>
                <w:sz w:val="16"/>
              </w:rPr>
              <w:t>16.64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E6BB2">
            <w:pPr>
              <w:jc w:val="center"/>
            </w:pPr>
            <w:r>
              <w:rPr>
                <w:rFonts w:ascii="宋体" w:hAnsi="宋体" w:eastAsia="宋体"/>
                <w:sz w:val="16"/>
              </w:rPr>
              <w:t>16.64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DB143">
            <w:pPr>
              <w:jc w:val="center"/>
            </w:pPr>
            <w:r>
              <w:rPr>
                <w:rFonts w:ascii="宋体" w:hAnsi="宋体" w:eastAsia="宋体"/>
                <w:sz w:val="16"/>
              </w:rPr>
              <w:t>16.64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9C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2F3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DD01">
            <w:pPr>
              <w:jc w:val="center"/>
            </w:pPr>
            <w:r>
              <w:rPr>
                <w:rFonts w:ascii="宋体" w:hAnsi="宋体" w:eastAsia="宋体"/>
                <w:sz w:val="16"/>
              </w:rPr>
              <w:t>—</w:t>
            </w:r>
          </w:p>
        </w:tc>
      </w:tr>
      <w:tr w14:paraId="04B93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9EB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A0D0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39A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6D6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C33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82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C5F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C70E">
            <w:pPr>
              <w:jc w:val="center"/>
            </w:pPr>
            <w:r>
              <w:rPr>
                <w:rFonts w:ascii="宋体" w:hAnsi="宋体" w:eastAsia="宋体"/>
                <w:sz w:val="16"/>
              </w:rPr>
              <w:t>—</w:t>
            </w:r>
          </w:p>
        </w:tc>
      </w:tr>
      <w:tr w14:paraId="2EDCDF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954C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54D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72623F">
            <w:pPr>
              <w:jc w:val="center"/>
            </w:pPr>
            <w:r>
              <w:rPr>
                <w:rFonts w:ascii="宋体" w:hAnsi="宋体" w:eastAsia="宋体"/>
                <w:sz w:val="16"/>
              </w:rPr>
              <w:t>实际完成情况</w:t>
            </w:r>
          </w:p>
        </w:tc>
      </w:tr>
      <w:tr w14:paraId="17441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E625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E5DAF5">
            <w:pPr>
              <w:jc w:val="both"/>
            </w:pPr>
            <w:r>
              <w:rPr>
                <w:rFonts w:ascii="宋体" w:hAnsi="宋体" w:eastAsia="宋体"/>
                <w:sz w:val="16"/>
              </w:rPr>
              <w:t>本项目主要实施内容为：加快推进基层立法联系点活动场所、人员设施、功能布局建设，发挥基层立法联系点作用，全面提升服务社会能力，保障工作平稳进行；代表活动经费保障驻县市代表参加三察“查”活动、发放代表履职补助。项目总投资16.64万元，项目计划于2</w:t>
            </w:r>
            <w:r>
              <w:rPr>
                <w:rFonts w:hint="eastAsia" w:ascii="宋体" w:hAnsi="宋体"/>
                <w:sz w:val="16"/>
                <w:lang w:val="en-US" w:eastAsia="zh-CN"/>
              </w:rPr>
              <w:t>02</w:t>
            </w:r>
            <w:r>
              <w:rPr>
                <w:rFonts w:ascii="宋体" w:hAnsi="宋体" w:eastAsia="宋体"/>
                <w:sz w:val="16"/>
              </w:rPr>
              <w:t>4年12月31日完成。通过本项目的实施，保障了驻县州代表的活动经费和履职补助，有效提高代表履职的积极性；完善立法联系点的基础设施，为代表履职</w:t>
            </w:r>
            <w:r>
              <w:rPr>
                <w:rFonts w:hint="eastAsia" w:ascii="宋体" w:hAnsi="宋体"/>
                <w:sz w:val="16"/>
                <w:lang w:eastAsia="zh-CN"/>
              </w:rPr>
              <w:t>提供</w:t>
            </w:r>
            <w:r>
              <w:rPr>
                <w:rFonts w:ascii="宋体" w:hAnsi="宋体" w:eastAsia="宋体"/>
                <w:sz w:val="16"/>
              </w:rPr>
              <w:t>更好的平台。待项目实施完</w:t>
            </w:r>
            <w:r>
              <w:rPr>
                <w:rFonts w:hint="eastAsia" w:ascii="宋体" w:hAnsi="宋体"/>
                <w:sz w:val="16"/>
                <w:lang w:eastAsia="zh-CN"/>
              </w:rPr>
              <w:t>成后</w:t>
            </w:r>
            <w:r>
              <w:rPr>
                <w:rFonts w:ascii="宋体" w:hAnsi="宋体" w:eastAsia="宋体"/>
                <w:sz w:val="16"/>
              </w:rPr>
              <w:t>，代表履职积极性有效提高。争取使受益人大代表满意度不低于95%。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C52E6C">
            <w:pPr>
              <w:jc w:val="both"/>
            </w:pPr>
            <w:r>
              <w:rPr>
                <w:rFonts w:hint="eastAsia" w:ascii="宋体" w:hAnsi="宋体"/>
                <w:sz w:val="16"/>
                <w:lang w:eastAsia="zh-CN"/>
              </w:rPr>
              <w:t>截至</w:t>
            </w:r>
            <w:r>
              <w:rPr>
                <w:rFonts w:ascii="宋体" w:hAnsi="宋体" w:eastAsia="宋体"/>
                <w:sz w:val="16"/>
              </w:rPr>
              <w:t>2024年12月31日，项目实际支出16.64万元，预算执行率为100%。保障了驻县州代表的活动经费和履职补助，有效提高代表履职的积极性；保障了预算联网监督建设的有序运行，为人大监督工作提供有力资料；完善立法联系点的基础设施，为代表履职</w:t>
            </w:r>
            <w:r>
              <w:rPr>
                <w:rFonts w:hint="eastAsia" w:ascii="宋体" w:hAnsi="宋体"/>
                <w:sz w:val="16"/>
                <w:lang w:eastAsia="zh-CN"/>
              </w:rPr>
              <w:t>提供</w:t>
            </w:r>
            <w:r>
              <w:rPr>
                <w:rFonts w:ascii="宋体" w:hAnsi="宋体" w:eastAsia="宋体"/>
                <w:sz w:val="16"/>
              </w:rPr>
              <w:t>更好的平台，代表履职积极性有效提高。受益人大代表满意度达到100%。</w:t>
            </w:r>
          </w:p>
        </w:tc>
      </w:tr>
      <w:tr w14:paraId="32F08F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BF1F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D54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DB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60A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DA91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A71A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8D43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44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D50D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F92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8C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94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669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CCA93">
            <w:pPr>
              <w:jc w:val="center"/>
            </w:pPr>
            <w:r>
              <w:rPr>
                <w:rFonts w:ascii="宋体" w:hAnsi="宋体" w:eastAsia="宋体"/>
                <w:sz w:val="16"/>
              </w:rPr>
              <w:t>偏差原因分析及改进措施</w:t>
            </w:r>
          </w:p>
        </w:tc>
      </w:tr>
      <w:tr w14:paraId="23C20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A866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824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EF7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B42C">
            <w:pPr>
              <w:jc w:val="center"/>
            </w:pPr>
            <w:r>
              <w:rPr>
                <w:rFonts w:ascii="宋体" w:hAnsi="宋体" w:eastAsia="宋体"/>
                <w:sz w:val="16"/>
              </w:rPr>
              <w:t>驻县代表人数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C79D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3224">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EE93">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B0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6A2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A7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B6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107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387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06CFB">
            <w:pPr>
              <w:jc w:val="center"/>
            </w:pPr>
          </w:p>
        </w:tc>
      </w:tr>
      <w:tr w14:paraId="50093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B3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A1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086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B3ED">
            <w:pPr>
              <w:jc w:val="center"/>
            </w:pPr>
            <w:r>
              <w:rPr>
                <w:rFonts w:ascii="宋体" w:hAnsi="宋体" w:eastAsia="宋体"/>
                <w:sz w:val="16"/>
              </w:rPr>
              <w:t>立法联系点个数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3CA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EEC0">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A28C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AE8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7C0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3A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DE2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8DB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46F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C7945">
            <w:pPr>
              <w:jc w:val="center"/>
            </w:pPr>
          </w:p>
        </w:tc>
      </w:tr>
      <w:tr w14:paraId="54EB23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925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3439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D5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0BCE">
            <w:pPr>
              <w:jc w:val="center"/>
            </w:pPr>
            <w:r>
              <w:rPr>
                <w:rFonts w:ascii="宋体" w:hAnsi="宋体" w:eastAsia="宋体"/>
                <w:sz w:val="16"/>
              </w:rPr>
              <w:t>推动人大依法监督工作实效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4B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786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203D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CF2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3F0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66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B0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59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96B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19675">
            <w:pPr>
              <w:jc w:val="center"/>
            </w:pPr>
          </w:p>
        </w:tc>
      </w:tr>
      <w:tr w14:paraId="28598A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627D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948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69E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D063">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B41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4C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77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5DD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8BA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FE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4A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4AB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99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0AB4">
            <w:pPr>
              <w:jc w:val="center"/>
            </w:pPr>
          </w:p>
        </w:tc>
      </w:tr>
      <w:tr w14:paraId="1BD4C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9AA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0EF1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B681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975F">
            <w:pPr>
              <w:jc w:val="center"/>
            </w:pPr>
            <w:r>
              <w:rPr>
                <w:rFonts w:ascii="宋体" w:hAnsi="宋体" w:eastAsia="宋体"/>
                <w:sz w:val="16"/>
              </w:rPr>
              <w:t>州代表活动经费拨付及时率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FD3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4A8B">
            <w:pPr>
              <w:jc w:val="center"/>
            </w:pPr>
            <w:r>
              <w:rPr>
                <w:rFonts w:ascii="宋体" w:hAnsi="宋体" w:eastAsia="宋体"/>
                <w:sz w:val="16"/>
              </w:rPr>
              <w:t>=8.64万元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D31BD">
            <w:pPr>
              <w:jc w:val="center"/>
            </w:pPr>
            <w:r>
              <w:rPr>
                <w:rFonts w:ascii="宋体" w:hAnsi="宋体" w:eastAsia="宋体"/>
                <w:sz w:val="16"/>
              </w:rPr>
              <w:t>=8.64万元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B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D2E0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98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9ED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A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06C0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F39D">
            <w:pPr>
              <w:jc w:val="center"/>
            </w:pPr>
          </w:p>
        </w:tc>
      </w:tr>
      <w:tr w14:paraId="61669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752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CD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9D2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1F58">
            <w:pPr>
              <w:jc w:val="center"/>
            </w:pPr>
            <w:r>
              <w:rPr>
                <w:rFonts w:ascii="宋体" w:hAnsi="宋体" w:eastAsia="宋体"/>
                <w:sz w:val="16"/>
              </w:rPr>
              <w:t>立法联系点补助经费拨付及时率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099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EBD9">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FB6F0">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37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DEF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8D4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D2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358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E1D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83D8">
            <w:pPr>
              <w:jc w:val="center"/>
            </w:pPr>
          </w:p>
        </w:tc>
      </w:tr>
      <w:tr w14:paraId="2ECD2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9EE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C605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0F8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DA7A8">
            <w:pPr>
              <w:jc w:val="center"/>
            </w:pPr>
            <w:r>
              <w:rPr>
                <w:rFonts w:ascii="宋体" w:hAnsi="宋体" w:eastAsia="宋体"/>
                <w:sz w:val="16"/>
              </w:rPr>
              <w:t>服务社会能力提升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4A6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E441">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5A568">
            <w:pPr>
              <w:jc w:val="center"/>
            </w:pPr>
            <w:r>
              <w:rPr>
                <w:rFonts w:ascii="宋体" w:hAnsi="宋体" w:eastAsia="宋体"/>
                <w:sz w:val="16"/>
              </w:rPr>
              <w:t>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9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A597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FDD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A6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18D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03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7360">
            <w:pPr>
              <w:jc w:val="center"/>
            </w:pPr>
          </w:p>
        </w:tc>
      </w:tr>
      <w:tr w14:paraId="6430FE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C06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67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BB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F325">
            <w:pPr>
              <w:jc w:val="center"/>
            </w:pPr>
            <w:r>
              <w:rPr>
                <w:rFonts w:ascii="宋体" w:hAnsi="宋体" w:eastAsia="宋体"/>
                <w:sz w:val="16"/>
              </w:rPr>
              <w:t>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28C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D5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35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AD20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8B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EF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CA6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DE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E5E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EE21">
            <w:pPr>
              <w:jc w:val="center"/>
            </w:pPr>
            <w:r>
              <w:rPr>
                <w:rFonts w:ascii="宋体" w:hAnsi="宋体" w:eastAsia="宋体"/>
                <w:sz w:val="16"/>
              </w:rPr>
              <w:t>通过调研问卷，受益代表对补助资金发放比较满意。</w:t>
            </w:r>
          </w:p>
        </w:tc>
      </w:tr>
      <w:tr w14:paraId="668C2CE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468FA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E9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65B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D445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0AAE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3BC5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B9A1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58D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639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70E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55AFDB"/>
        </w:tc>
      </w:tr>
    </w:tbl>
    <w:p w14:paraId="1070898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4F94C2F8">
        <w:tblPrEx>
          <w:tblCellMar>
            <w:top w:w="0" w:type="dxa"/>
            <w:left w:w="108" w:type="dxa"/>
            <w:bottom w:w="0" w:type="dxa"/>
            <w:right w:w="108" w:type="dxa"/>
          </w:tblCellMar>
        </w:tblPrEx>
        <w:tc>
          <w:tcPr>
            <w:tcW w:w="8848" w:type="dxa"/>
            <w:gridSpan w:val="14"/>
            <w:vAlign w:val="center"/>
          </w:tcPr>
          <w:p w14:paraId="003A59DB">
            <w:pPr>
              <w:jc w:val="center"/>
            </w:pPr>
            <w:r>
              <w:rPr>
                <w:rFonts w:ascii="宋体" w:hAnsi="宋体" w:eastAsia="宋体"/>
                <w:sz w:val="24"/>
              </w:rPr>
              <w:t>项目支出绩效自评表</w:t>
            </w:r>
          </w:p>
        </w:tc>
      </w:tr>
      <w:tr w14:paraId="50BC9BC6">
        <w:tblPrEx>
          <w:tblCellMar>
            <w:top w:w="0" w:type="dxa"/>
            <w:left w:w="108" w:type="dxa"/>
            <w:bottom w:w="0" w:type="dxa"/>
            <w:right w:w="108" w:type="dxa"/>
          </w:tblCellMar>
        </w:tblPrEx>
        <w:tc>
          <w:tcPr>
            <w:tcW w:w="8848" w:type="dxa"/>
            <w:gridSpan w:val="14"/>
            <w:vAlign w:val="center"/>
          </w:tcPr>
          <w:p w14:paraId="1E10407D">
            <w:pPr>
              <w:jc w:val="center"/>
            </w:pPr>
            <w:r>
              <w:rPr>
                <w:rFonts w:ascii="宋体" w:hAnsi="宋体" w:eastAsia="宋体"/>
                <w:sz w:val="24"/>
              </w:rPr>
              <w:t>(2024年度)</w:t>
            </w:r>
          </w:p>
        </w:tc>
      </w:tr>
      <w:tr w14:paraId="5E78C1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90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076EF5">
            <w:pPr>
              <w:jc w:val="center"/>
            </w:pPr>
            <w:r>
              <w:rPr>
                <w:rFonts w:ascii="宋体" w:hAnsi="宋体" w:eastAsia="宋体"/>
                <w:sz w:val="16"/>
              </w:rPr>
              <w:t>2024年度自治区基层人大补助经费</w:t>
            </w:r>
          </w:p>
        </w:tc>
      </w:tr>
      <w:tr w14:paraId="5826B4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192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B0554">
            <w:pPr>
              <w:jc w:val="center"/>
            </w:pPr>
            <w:r>
              <w:rPr>
                <w:rFonts w:ascii="宋体" w:hAnsi="宋体" w:eastAsia="宋体"/>
                <w:sz w:val="16"/>
              </w:rPr>
              <w:t>吉木萨尔县人大常委会办公室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E92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9E1957">
            <w:pPr>
              <w:jc w:val="center"/>
            </w:pPr>
            <w:r>
              <w:rPr>
                <w:rFonts w:ascii="宋体" w:hAnsi="宋体" w:eastAsia="宋体"/>
                <w:sz w:val="16"/>
              </w:rPr>
              <w:t>吉木萨尔县人大常委会办公室</w:t>
            </w:r>
          </w:p>
        </w:tc>
      </w:tr>
      <w:tr w14:paraId="0781CF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60F79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2719F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E09C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652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A039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C9AF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B950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7B72">
            <w:pPr>
              <w:jc w:val="center"/>
            </w:pPr>
            <w:r>
              <w:rPr>
                <w:rFonts w:ascii="宋体" w:hAnsi="宋体" w:eastAsia="宋体"/>
                <w:sz w:val="16"/>
              </w:rPr>
              <w:t>得分</w:t>
            </w:r>
          </w:p>
        </w:tc>
      </w:tr>
      <w:tr w14:paraId="30883A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8FA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50D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DB9E">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A0310C">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C114A">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26D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053A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2330">
            <w:pPr>
              <w:jc w:val="center"/>
            </w:pPr>
            <w:r>
              <w:rPr>
                <w:rFonts w:ascii="宋体" w:hAnsi="宋体" w:eastAsia="宋体"/>
                <w:sz w:val="16"/>
              </w:rPr>
              <w:t>10.00</w:t>
            </w:r>
          </w:p>
        </w:tc>
      </w:tr>
      <w:tr w14:paraId="2782A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8E9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5C56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C546B">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F2023">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E9EE7">
            <w:pPr>
              <w:jc w:val="center"/>
            </w:pPr>
            <w:r>
              <w:rPr>
                <w:rFonts w:ascii="宋体" w:hAnsi="宋体" w:eastAsia="宋体"/>
                <w:sz w:val="16"/>
              </w:rPr>
              <w:t>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436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139E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DD2C">
            <w:pPr>
              <w:jc w:val="center"/>
            </w:pPr>
            <w:r>
              <w:rPr>
                <w:rFonts w:ascii="宋体" w:hAnsi="宋体" w:eastAsia="宋体"/>
                <w:sz w:val="16"/>
              </w:rPr>
              <w:t>—</w:t>
            </w:r>
          </w:p>
        </w:tc>
      </w:tr>
      <w:tr w14:paraId="78BBAD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54C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7A1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1FF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572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C91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39C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FCA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FCCE">
            <w:pPr>
              <w:jc w:val="center"/>
            </w:pPr>
            <w:r>
              <w:rPr>
                <w:rFonts w:ascii="宋体" w:hAnsi="宋体" w:eastAsia="宋体"/>
                <w:sz w:val="16"/>
              </w:rPr>
              <w:t>—</w:t>
            </w:r>
          </w:p>
        </w:tc>
      </w:tr>
      <w:tr w14:paraId="10133D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313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7ADBB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72FCD9">
            <w:pPr>
              <w:jc w:val="center"/>
            </w:pPr>
            <w:r>
              <w:rPr>
                <w:rFonts w:ascii="宋体" w:hAnsi="宋体" w:eastAsia="宋体"/>
                <w:sz w:val="16"/>
              </w:rPr>
              <w:t>实际完成情况</w:t>
            </w:r>
          </w:p>
        </w:tc>
      </w:tr>
      <w:tr w14:paraId="528E57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C630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F9E33C">
            <w:pPr>
              <w:jc w:val="both"/>
            </w:pPr>
            <w:r>
              <w:rPr>
                <w:rFonts w:ascii="宋体" w:hAnsi="宋体" w:eastAsia="宋体"/>
                <w:sz w:val="16"/>
              </w:rPr>
              <w:t>贯彻落实中央人大工作会议精神和自治区党委实施意见，体现自治区党委对基层人大工作的关心和重视，通过自治区给予经费补助，弥补基层人大建设经费不足，全面加强基层人大建设，保障基层人大开展立法监督等工作，改善办公条件等，更好支持基层国家权力机关发挥作用。拨付直辖县级数量1个，乡（街道）代表“站”数量涉及15个，村（社区）代表联络站涉及39个，改善基层人大办公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A65E48">
            <w:pPr>
              <w:jc w:val="both"/>
            </w:pPr>
            <w:r>
              <w:rPr>
                <w:rFonts w:hint="eastAsia" w:ascii="宋体" w:hAnsi="宋体"/>
                <w:sz w:val="16"/>
                <w:lang w:eastAsia="zh-CN"/>
              </w:rPr>
              <w:t>截至</w:t>
            </w:r>
            <w:r>
              <w:rPr>
                <w:rFonts w:ascii="宋体" w:hAnsi="宋体" w:eastAsia="宋体"/>
                <w:sz w:val="16"/>
              </w:rPr>
              <w:t>2024年12月31日，项目实际支出7万元，预算执行率为100%。通过自治区给予经费补助，弥补基层人大建设经费不足，全面加强基层人大建设，保障基层人大开展立法监督等工作，改善办公条件等，更好支持基层国家权力机关发挥作用。拨付直辖县级数量1个，乡（街道）代表“站”数量涉及15个，村（社区）代表联络站涉及39个，改善基层人大办公条件。</w:t>
            </w:r>
          </w:p>
        </w:tc>
      </w:tr>
      <w:tr w14:paraId="64877D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0491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77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AEA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EDB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130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4A5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C41C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6E5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984E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8AC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CBE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42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01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5F80">
            <w:pPr>
              <w:jc w:val="center"/>
            </w:pPr>
            <w:r>
              <w:rPr>
                <w:rFonts w:ascii="宋体" w:hAnsi="宋体" w:eastAsia="宋体"/>
                <w:sz w:val="16"/>
              </w:rPr>
              <w:t>偏差原因分析及改进措施</w:t>
            </w:r>
          </w:p>
        </w:tc>
      </w:tr>
      <w:tr w14:paraId="18253D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2E7D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2A29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CE7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D8F1">
            <w:pPr>
              <w:jc w:val="center"/>
            </w:pPr>
            <w:r>
              <w:rPr>
                <w:rFonts w:ascii="宋体" w:hAnsi="宋体" w:eastAsia="宋体"/>
                <w:sz w:val="16"/>
              </w:rPr>
              <w:t>乡（街道）代表“站”数量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4B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4564">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D11E">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81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1A6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0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6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06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9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0D72">
            <w:pPr>
              <w:jc w:val="center"/>
            </w:pPr>
          </w:p>
        </w:tc>
      </w:tr>
      <w:tr w14:paraId="67C59D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EC10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BC5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79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E0E7">
            <w:pPr>
              <w:jc w:val="center"/>
            </w:pPr>
            <w:r>
              <w:rPr>
                <w:rFonts w:ascii="宋体" w:hAnsi="宋体" w:eastAsia="宋体"/>
                <w:sz w:val="16"/>
              </w:rPr>
              <w:t>村（社区）代表联络站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C7E6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868B">
            <w:pPr>
              <w:jc w:val="center"/>
            </w:pPr>
            <w:r>
              <w:rPr>
                <w:rFonts w:ascii="宋体" w:hAnsi="宋体" w:eastAsia="宋体"/>
                <w:sz w:val="16"/>
              </w:rPr>
              <w:t>&gt;=39个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F984C">
            <w:pPr>
              <w:jc w:val="center"/>
            </w:pPr>
            <w:r>
              <w:rPr>
                <w:rFonts w:ascii="宋体" w:hAnsi="宋体" w:eastAsia="宋体"/>
                <w:sz w:val="16"/>
              </w:rPr>
              <w:t>=39个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ED9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53F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6A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1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0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5F1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E666">
            <w:pPr>
              <w:jc w:val="center"/>
            </w:pPr>
          </w:p>
        </w:tc>
      </w:tr>
      <w:tr w14:paraId="498E89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86B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00D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0EF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3259">
            <w:pPr>
              <w:jc w:val="center"/>
            </w:pPr>
            <w:r>
              <w:rPr>
                <w:rFonts w:ascii="宋体" w:hAnsi="宋体" w:eastAsia="宋体"/>
                <w:sz w:val="16"/>
              </w:rPr>
              <w:t>提高办公效率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D5D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A121">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74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74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EC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DB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CBA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D3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8B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F679">
            <w:pPr>
              <w:jc w:val="center"/>
            </w:pPr>
          </w:p>
        </w:tc>
      </w:tr>
      <w:tr w14:paraId="177945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C42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1D0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B5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FB02">
            <w:pPr>
              <w:jc w:val="center"/>
            </w:pPr>
            <w:r>
              <w:rPr>
                <w:rFonts w:ascii="宋体" w:hAnsi="宋体" w:eastAsia="宋体"/>
                <w:sz w:val="16"/>
              </w:rPr>
              <w:t>补助经费拨付及时率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0B5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FFF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C2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44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9C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3F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82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65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1F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F1E7A">
            <w:pPr>
              <w:jc w:val="center"/>
            </w:pPr>
          </w:p>
        </w:tc>
      </w:tr>
      <w:tr w14:paraId="23B6B3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11C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8EB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53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7126">
            <w:pPr>
              <w:jc w:val="center"/>
            </w:pPr>
            <w:r>
              <w:rPr>
                <w:rFonts w:ascii="宋体" w:hAnsi="宋体" w:eastAsia="宋体"/>
                <w:sz w:val="16"/>
              </w:rPr>
              <w:t>弥补办公费用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62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07F5">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7AB4E">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0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D2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B0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D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8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FB9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A77C">
            <w:pPr>
              <w:jc w:val="center"/>
            </w:pPr>
          </w:p>
        </w:tc>
      </w:tr>
      <w:tr w14:paraId="5BA249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41E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A07C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2A066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427A">
            <w:pPr>
              <w:jc w:val="center"/>
            </w:pPr>
            <w:r>
              <w:rPr>
                <w:rFonts w:ascii="宋体" w:hAnsi="宋体" w:eastAsia="宋体"/>
                <w:sz w:val="16"/>
              </w:rPr>
              <w:t>改善基层人大办公条件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F6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48192">
            <w:pPr>
              <w:jc w:val="center"/>
            </w:pPr>
            <w:r>
              <w:rPr>
                <w:rFonts w:ascii="宋体" w:hAnsi="宋体" w:eastAsia="宋体"/>
                <w:sz w:val="16"/>
              </w:rPr>
              <w:t>有所改善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A05DE">
            <w:pPr>
              <w:jc w:val="center"/>
            </w:pPr>
            <w:r>
              <w:rPr>
                <w:rFonts w:ascii="宋体" w:hAnsi="宋体" w:eastAsia="宋体"/>
                <w:sz w:val="16"/>
              </w:rPr>
              <w:t>达成预期目标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4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95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711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AB8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008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A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F257">
            <w:pPr>
              <w:jc w:val="center"/>
            </w:pPr>
          </w:p>
        </w:tc>
      </w:tr>
      <w:tr w14:paraId="525BF0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2B4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007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048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C876">
            <w:pPr>
              <w:jc w:val="center"/>
            </w:pPr>
            <w:r>
              <w:rPr>
                <w:rFonts w:ascii="宋体" w:hAnsi="宋体" w:eastAsia="宋体"/>
                <w:sz w:val="16"/>
              </w:rPr>
              <w:t>提高基层人大代表履职能力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0F7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D28A">
            <w:pPr>
              <w:jc w:val="center"/>
            </w:pPr>
            <w:r>
              <w:rPr>
                <w:rFonts w:ascii="宋体" w:hAnsi="宋体" w:eastAsia="宋体"/>
                <w:sz w:val="16"/>
              </w:rPr>
              <w:t>&gt;=10%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A8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7C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69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53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7AC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79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A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76FB6">
            <w:pPr>
              <w:jc w:val="center"/>
            </w:pPr>
          </w:p>
        </w:tc>
      </w:tr>
      <w:tr w14:paraId="678C43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832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D1C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FE5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58C8B">
            <w:pPr>
              <w:jc w:val="center"/>
            </w:pPr>
            <w:r>
              <w:rPr>
                <w:rFonts w:ascii="宋体" w:hAnsi="宋体" w:eastAsia="宋体"/>
                <w:sz w:val="16"/>
              </w:rPr>
              <w:t>基层人大工委对于补助经费到位情况满意度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613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4BA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5F8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27175">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F46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B4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89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9C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07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8E8D">
            <w:pPr>
              <w:jc w:val="center"/>
            </w:pPr>
            <w:r>
              <w:rPr>
                <w:rFonts w:ascii="宋体" w:hAnsi="宋体" w:eastAsia="宋体"/>
                <w:sz w:val="16"/>
              </w:rPr>
              <w:t>通过调研问卷，基层人大工委</w:t>
            </w:r>
            <w:r>
              <w:rPr>
                <w:rFonts w:hint="eastAsia" w:ascii="宋体" w:hAnsi="宋体"/>
                <w:sz w:val="16"/>
                <w:lang w:eastAsia="zh-CN"/>
              </w:rPr>
              <w:t>对</w:t>
            </w:r>
            <w:r>
              <w:rPr>
                <w:rFonts w:ascii="宋体" w:hAnsi="宋体" w:eastAsia="宋体"/>
                <w:sz w:val="16"/>
              </w:rPr>
              <w:t>补助经费到位情况比较满意。</w:t>
            </w:r>
          </w:p>
        </w:tc>
      </w:tr>
      <w:tr w14:paraId="29AFC8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AE77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B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63EE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342E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5EA7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298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20A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26BC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2CF7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B3C1E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12BD5"/>
        </w:tc>
      </w:tr>
    </w:tbl>
    <w:p w14:paraId="7E2FB63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1DFA214A">
        <w:tblPrEx>
          <w:tblCellMar>
            <w:top w:w="0" w:type="dxa"/>
            <w:left w:w="108" w:type="dxa"/>
            <w:bottom w:w="0" w:type="dxa"/>
            <w:right w:w="108" w:type="dxa"/>
          </w:tblCellMar>
        </w:tblPrEx>
        <w:tc>
          <w:tcPr>
            <w:tcW w:w="8848" w:type="dxa"/>
            <w:gridSpan w:val="14"/>
            <w:vAlign w:val="center"/>
          </w:tcPr>
          <w:p w14:paraId="6CC316CB">
            <w:pPr>
              <w:jc w:val="center"/>
            </w:pPr>
            <w:r>
              <w:rPr>
                <w:rFonts w:ascii="宋体" w:hAnsi="宋体" w:eastAsia="宋体"/>
                <w:sz w:val="24"/>
              </w:rPr>
              <w:t>项目支出绩效自评表</w:t>
            </w:r>
          </w:p>
        </w:tc>
      </w:tr>
      <w:tr w14:paraId="03869A60">
        <w:tblPrEx>
          <w:tblCellMar>
            <w:top w:w="0" w:type="dxa"/>
            <w:left w:w="108" w:type="dxa"/>
            <w:bottom w:w="0" w:type="dxa"/>
            <w:right w:w="108" w:type="dxa"/>
          </w:tblCellMar>
        </w:tblPrEx>
        <w:tc>
          <w:tcPr>
            <w:tcW w:w="8848" w:type="dxa"/>
            <w:gridSpan w:val="14"/>
            <w:vAlign w:val="center"/>
          </w:tcPr>
          <w:p w14:paraId="49824EBA">
            <w:pPr>
              <w:jc w:val="center"/>
            </w:pPr>
            <w:r>
              <w:rPr>
                <w:rFonts w:ascii="宋体" w:hAnsi="宋体" w:eastAsia="宋体"/>
                <w:sz w:val="24"/>
              </w:rPr>
              <w:t>(2024年度)</w:t>
            </w:r>
          </w:p>
        </w:tc>
      </w:tr>
      <w:tr w14:paraId="764AA9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6A3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C556B03">
            <w:pPr>
              <w:jc w:val="center"/>
            </w:pPr>
            <w:r>
              <w:rPr>
                <w:rFonts w:ascii="宋体" w:hAnsi="宋体" w:eastAsia="宋体"/>
                <w:sz w:val="16"/>
              </w:rPr>
              <w:t>县人大全过程人民民主馆建设及县级代表之家补助经费、预算联网监督建设服务服务费</w:t>
            </w:r>
          </w:p>
        </w:tc>
      </w:tr>
      <w:tr w14:paraId="0229D1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EB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9DCEE7">
            <w:pPr>
              <w:jc w:val="center"/>
            </w:pPr>
            <w:r>
              <w:rPr>
                <w:rFonts w:ascii="宋体" w:hAnsi="宋体" w:eastAsia="宋体"/>
                <w:sz w:val="16"/>
              </w:rPr>
              <w:t>吉木萨尔县人大常委会办公室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888E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15E228">
            <w:pPr>
              <w:jc w:val="center"/>
            </w:pPr>
            <w:r>
              <w:rPr>
                <w:rFonts w:ascii="宋体" w:hAnsi="宋体" w:eastAsia="宋体"/>
                <w:sz w:val="16"/>
              </w:rPr>
              <w:t>吉木萨尔县人大常委会办公室</w:t>
            </w:r>
          </w:p>
        </w:tc>
      </w:tr>
      <w:tr w14:paraId="623760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0455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A9AA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F1A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C01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FD0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AF44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60D1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CE05">
            <w:pPr>
              <w:jc w:val="center"/>
            </w:pPr>
            <w:r>
              <w:rPr>
                <w:rFonts w:ascii="宋体" w:hAnsi="宋体" w:eastAsia="宋体"/>
                <w:sz w:val="16"/>
              </w:rPr>
              <w:t>得分</w:t>
            </w:r>
          </w:p>
        </w:tc>
      </w:tr>
      <w:tr w14:paraId="79B9D7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E36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972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0C5DA">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0B5B0">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37188">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D3D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6C1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A5EC3">
            <w:pPr>
              <w:jc w:val="center"/>
            </w:pPr>
            <w:r>
              <w:rPr>
                <w:rFonts w:ascii="宋体" w:hAnsi="宋体" w:eastAsia="宋体"/>
                <w:sz w:val="16"/>
              </w:rPr>
              <w:t>10.00</w:t>
            </w:r>
          </w:p>
        </w:tc>
      </w:tr>
      <w:tr w14:paraId="34590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303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7E3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3538F">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4DEA6">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8EF26">
            <w:pPr>
              <w:jc w:val="center"/>
            </w:pPr>
            <w:r>
              <w:rPr>
                <w:rFonts w:ascii="宋体" w:hAnsi="宋体" w:eastAsia="宋体"/>
                <w:sz w:val="16"/>
              </w:rPr>
              <w:t>25.00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F0D6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8F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AE7D3">
            <w:pPr>
              <w:jc w:val="center"/>
            </w:pPr>
            <w:r>
              <w:rPr>
                <w:rFonts w:ascii="宋体" w:hAnsi="宋体" w:eastAsia="宋体"/>
                <w:sz w:val="16"/>
              </w:rPr>
              <w:t>—</w:t>
            </w:r>
          </w:p>
        </w:tc>
      </w:tr>
      <w:tr w14:paraId="0B34AF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59C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849B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E76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F67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6E1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D9A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4A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D0C1">
            <w:pPr>
              <w:jc w:val="center"/>
            </w:pPr>
            <w:r>
              <w:rPr>
                <w:rFonts w:ascii="宋体" w:hAnsi="宋体" w:eastAsia="宋体"/>
                <w:sz w:val="16"/>
              </w:rPr>
              <w:t>—</w:t>
            </w:r>
          </w:p>
        </w:tc>
      </w:tr>
      <w:tr w14:paraId="3C95853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5A3EE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08B1D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C6AE7E">
            <w:pPr>
              <w:jc w:val="center"/>
            </w:pPr>
            <w:r>
              <w:rPr>
                <w:rFonts w:ascii="宋体" w:hAnsi="宋体" w:eastAsia="宋体"/>
                <w:sz w:val="16"/>
              </w:rPr>
              <w:t>实际完成情况</w:t>
            </w:r>
          </w:p>
        </w:tc>
      </w:tr>
      <w:tr w14:paraId="0646C8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C510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5790D3">
            <w:pPr>
              <w:jc w:val="both"/>
            </w:pPr>
            <w:r>
              <w:rPr>
                <w:rFonts w:ascii="宋体" w:hAnsi="宋体" w:eastAsia="宋体"/>
                <w:sz w:val="16"/>
              </w:rPr>
              <w:t>本项目主要实施内容为：全过程人民民主馆的维修提高经费保障，为预算联网监督平台提高经费保障、为县级代表之家办公条件提升。此项目用于代表之家维修15万元、预算联网监督建设运维费5万元、县级代表之家建设办公费5万元。项目总投资25万元，项目计划于2024年12月31日完成。通过本项目的实施，有效保障了人大预算联网监督建设的运行；县级代表之家为各级人大代表活动开展提供平台；全过程人民民主实践基地发挥人民民主作用，全面提升各级代表服务社会的能力，保障工作平稳进行，为代表履职</w:t>
            </w:r>
            <w:r>
              <w:rPr>
                <w:rFonts w:hint="eastAsia" w:ascii="宋体" w:hAnsi="宋体"/>
                <w:sz w:val="16"/>
                <w:lang w:eastAsia="zh-CN"/>
              </w:rPr>
              <w:t>提供</w:t>
            </w:r>
            <w:r>
              <w:rPr>
                <w:rFonts w:ascii="宋体" w:hAnsi="宋体" w:eastAsia="宋体"/>
                <w:sz w:val="16"/>
              </w:rPr>
              <w:t>更好的平台。待项目实施完成，代表履职平台更加广阔，代表履职积极性提高。争取使受益人大代表满意度不低于95%。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C275F5">
            <w:pPr>
              <w:jc w:val="both"/>
            </w:pPr>
            <w:r>
              <w:rPr>
                <w:rFonts w:hint="eastAsia" w:ascii="宋体" w:hAnsi="宋体"/>
                <w:sz w:val="16"/>
                <w:lang w:eastAsia="zh-CN"/>
              </w:rPr>
              <w:t>截至</w:t>
            </w:r>
            <w:r>
              <w:rPr>
                <w:rFonts w:ascii="宋体" w:hAnsi="宋体" w:eastAsia="宋体"/>
                <w:sz w:val="16"/>
              </w:rPr>
              <w:t>2024年12月31日，项目实际支出25万元，预算执行率为100%。通过项目的实施，有效保障了人大预算联网监督建设的运行；县级代表之家为各级人大代表活动开展提供平台；全过程人民民主实践基地发挥人民民主作用，全面提升各级代表服务社会的能力，保障工作平稳进行，为代表履职</w:t>
            </w:r>
            <w:r>
              <w:rPr>
                <w:rFonts w:hint="eastAsia" w:ascii="宋体" w:hAnsi="宋体"/>
                <w:sz w:val="16"/>
                <w:lang w:eastAsia="zh-CN"/>
              </w:rPr>
              <w:t>提供</w:t>
            </w:r>
            <w:r>
              <w:rPr>
                <w:rFonts w:ascii="宋体" w:hAnsi="宋体" w:eastAsia="宋体"/>
                <w:sz w:val="16"/>
              </w:rPr>
              <w:t>更好的平台。待项目实施完成，代表履职平台更加广阔，代表履职积极性提高。受益人大代表满意度达95%。</w:t>
            </w:r>
          </w:p>
        </w:tc>
      </w:tr>
      <w:tr w14:paraId="13CD92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C633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431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E1C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8CD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C22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BFD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C44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C90D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3559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1F8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E5C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DD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F2E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601C">
            <w:pPr>
              <w:jc w:val="center"/>
            </w:pPr>
            <w:r>
              <w:rPr>
                <w:rFonts w:ascii="宋体" w:hAnsi="宋体" w:eastAsia="宋体"/>
                <w:sz w:val="16"/>
              </w:rPr>
              <w:t>偏差原因分析及改进措施</w:t>
            </w:r>
          </w:p>
        </w:tc>
      </w:tr>
      <w:tr w14:paraId="12A79A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11F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2FC03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DF9F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64A2">
            <w:pPr>
              <w:jc w:val="center"/>
            </w:pPr>
            <w:r>
              <w:rPr>
                <w:rFonts w:ascii="宋体" w:hAnsi="宋体" w:eastAsia="宋体"/>
                <w:sz w:val="16"/>
              </w:rPr>
              <w:t>全过程人民民主馆数量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EBC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7CA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A7EE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D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D9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4D7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095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4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B6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C84EE">
            <w:pPr>
              <w:jc w:val="center"/>
            </w:pPr>
          </w:p>
        </w:tc>
      </w:tr>
      <w:tr w14:paraId="24D39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750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F8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C981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12BB">
            <w:pPr>
              <w:jc w:val="center"/>
            </w:pPr>
            <w:r>
              <w:rPr>
                <w:rFonts w:ascii="宋体" w:hAnsi="宋体" w:eastAsia="宋体"/>
                <w:sz w:val="16"/>
              </w:rPr>
              <w:t>预算联网监督建设运维服务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178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06CF">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2ADB">
            <w:pPr>
              <w:jc w:val="center"/>
            </w:pPr>
            <w:r>
              <w:rPr>
                <w:rFonts w:ascii="宋体" w:hAnsi="宋体" w:eastAsia="宋体"/>
                <w:sz w:val="16"/>
              </w:rPr>
              <w:t>=1年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C2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FA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A9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3A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84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F95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B9A9">
            <w:pPr>
              <w:jc w:val="center"/>
            </w:pPr>
          </w:p>
        </w:tc>
      </w:tr>
      <w:tr w14:paraId="3E5B6A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2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581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DE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E72B">
            <w:pPr>
              <w:jc w:val="center"/>
            </w:pPr>
            <w:r>
              <w:rPr>
                <w:rFonts w:ascii="宋体" w:hAnsi="宋体" w:eastAsia="宋体"/>
                <w:sz w:val="16"/>
              </w:rPr>
              <w:t>县级代表之家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C6F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D86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33A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5E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DE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8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023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899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F6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C4C5">
            <w:pPr>
              <w:jc w:val="center"/>
            </w:pPr>
          </w:p>
        </w:tc>
      </w:tr>
      <w:tr w14:paraId="7F924F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810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E9F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B9DF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168C">
            <w:pPr>
              <w:jc w:val="center"/>
            </w:pPr>
            <w:r>
              <w:rPr>
                <w:rFonts w:ascii="宋体" w:hAnsi="宋体" w:eastAsia="宋体"/>
                <w:sz w:val="16"/>
              </w:rPr>
              <w:t>推动人大代表工作履职实效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BE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8AC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9A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F94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92B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92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C2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DB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3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0513">
            <w:pPr>
              <w:jc w:val="center"/>
            </w:pPr>
          </w:p>
        </w:tc>
      </w:tr>
      <w:tr w14:paraId="15F323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29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273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385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2960C">
            <w:pPr>
              <w:jc w:val="center"/>
            </w:pPr>
            <w:r>
              <w:rPr>
                <w:rFonts w:ascii="宋体" w:hAnsi="宋体" w:eastAsia="宋体"/>
                <w:sz w:val="16"/>
              </w:rPr>
              <w:t>完成全过程民主管维修及时率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449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D7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E3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F5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10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6E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4A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59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E30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B079">
            <w:pPr>
              <w:jc w:val="center"/>
            </w:pPr>
          </w:p>
        </w:tc>
      </w:tr>
      <w:tr w14:paraId="7EF419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CFC5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1E1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FCE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49E2">
            <w:pPr>
              <w:jc w:val="center"/>
            </w:pPr>
            <w:r>
              <w:rPr>
                <w:rFonts w:ascii="宋体" w:hAnsi="宋体" w:eastAsia="宋体"/>
                <w:sz w:val="16"/>
              </w:rPr>
              <w:t>用于代表之家维修费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6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46B8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13236">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7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31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7ACE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6D4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4A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A97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2706">
            <w:pPr>
              <w:jc w:val="center"/>
            </w:pPr>
          </w:p>
        </w:tc>
      </w:tr>
      <w:tr w14:paraId="150DA7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A87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34A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EC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F72C5">
            <w:pPr>
              <w:jc w:val="center"/>
            </w:pPr>
            <w:r>
              <w:rPr>
                <w:rFonts w:ascii="宋体" w:hAnsi="宋体" w:eastAsia="宋体"/>
                <w:sz w:val="16"/>
              </w:rPr>
              <w:t>预算联网监督建设运维费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CA95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C7C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BC4C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B4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EDC7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9A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154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10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1B9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70A6">
            <w:pPr>
              <w:jc w:val="center"/>
            </w:pPr>
          </w:p>
        </w:tc>
      </w:tr>
      <w:tr w14:paraId="5C4B5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7D1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15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36B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E978">
            <w:pPr>
              <w:jc w:val="center"/>
            </w:pPr>
            <w:r>
              <w:rPr>
                <w:rFonts w:ascii="宋体" w:hAnsi="宋体" w:eastAsia="宋体"/>
                <w:sz w:val="16"/>
              </w:rPr>
              <w:t>县级代表之家建设办公费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DB16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EA47">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A6E8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C1A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47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70B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146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5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FA16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D2B6A">
            <w:pPr>
              <w:jc w:val="center"/>
            </w:pPr>
          </w:p>
        </w:tc>
      </w:tr>
      <w:tr w14:paraId="01E765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83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5AD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3F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4157">
            <w:pPr>
              <w:jc w:val="center"/>
            </w:pPr>
            <w:r>
              <w:rPr>
                <w:rFonts w:ascii="宋体" w:hAnsi="宋体" w:eastAsia="宋体"/>
                <w:sz w:val="16"/>
              </w:rPr>
              <w:t>提升人大代表履职能力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58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8A6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FA3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2C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D5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8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F57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4B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D80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E08D">
            <w:pPr>
              <w:jc w:val="center"/>
            </w:pPr>
          </w:p>
        </w:tc>
      </w:tr>
      <w:tr w14:paraId="60C548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A4F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CA8C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2D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FB665">
            <w:pPr>
              <w:jc w:val="center"/>
            </w:pPr>
            <w:r>
              <w:rPr>
                <w:rFonts w:ascii="宋体" w:hAnsi="宋体" w:eastAsia="宋体"/>
                <w:sz w:val="16"/>
              </w:rPr>
              <w:t>人大代表满意度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E69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9987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6F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84D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8C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0CA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453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BFE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C86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A8A2B">
            <w:pPr>
              <w:jc w:val="center"/>
            </w:pPr>
            <w:r>
              <w:rPr>
                <w:rFonts w:ascii="宋体" w:hAnsi="宋体" w:eastAsia="宋体"/>
                <w:sz w:val="16"/>
              </w:rPr>
              <w:t>通过项目实施，受益人大代表满意度达到100%。</w:t>
            </w:r>
          </w:p>
        </w:tc>
      </w:tr>
      <w:tr w14:paraId="64E114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A09F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3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557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CC00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4DEA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161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ECA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20A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923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0FA08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F55AB6"/>
        </w:tc>
      </w:tr>
    </w:tbl>
    <w:p w14:paraId="614A182E">
      <w:r>
        <w:br w:type="page"/>
      </w:r>
    </w:p>
    <w:p w14:paraId="6309751A">
      <w:pPr>
        <w:spacing w:line="640" w:lineRule="exact"/>
        <w:ind w:firstLine="640"/>
        <w:jc w:val="both"/>
        <w:outlineLvl w:val="2"/>
      </w:pPr>
      <w:r>
        <w:rPr>
          <w:rFonts w:ascii="黑体" w:hAnsi="黑体" w:eastAsia="黑体"/>
          <w:sz w:val="32"/>
        </w:rPr>
        <w:t>十二、其他需说明的事项</w:t>
      </w:r>
    </w:p>
    <w:p w14:paraId="2AE1FEFB">
      <w:pPr>
        <w:spacing w:line="580" w:lineRule="exact"/>
        <w:ind w:firstLine="640"/>
        <w:jc w:val="both"/>
      </w:pPr>
      <w:r>
        <w:rPr>
          <w:rFonts w:ascii="仿宋_GB2312" w:hAnsi="仿宋_GB2312" w:eastAsia="仿宋_GB2312"/>
          <w:b w:val="0"/>
          <w:sz w:val="32"/>
        </w:rPr>
        <w:t>本单位无其他需说明的事项。</w:t>
      </w:r>
    </w:p>
    <w:p w14:paraId="26CD690A">
      <w:r>
        <w:br w:type="page"/>
      </w:r>
    </w:p>
    <w:p w14:paraId="2B20696A">
      <w:pPr>
        <w:spacing w:line="240" w:lineRule="auto"/>
        <w:jc w:val="center"/>
        <w:outlineLvl w:val="1"/>
      </w:pPr>
      <w:r>
        <w:rPr>
          <w:rFonts w:ascii="黑体" w:hAnsi="黑体" w:eastAsia="黑体"/>
          <w:sz w:val="32"/>
        </w:rPr>
        <w:t>第三部分 专业名词解释</w:t>
      </w:r>
    </w:p>
    <w:p w14:paraId="1C6D741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9E77D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FED85C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5E5396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E6BDA2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B6B992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7502B6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3AAEFF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319DF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B6BA23">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187ED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1980B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F4A085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7F29C9A">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E0AC615">
      <w:r>
        <w:br w:type="page"/>
      </w:r>
    </w:p>
    <w:p w14:paraId="0E66B69A">
      <w:pPr>
        <w:spacing w:line="240" w:lineRule="auto"/>
        <w:jc w:val="center"/>
        <w:outlineLvl w:val="1"/>
      </w:pPr>
      <w:r>
        <w:rPr>
          <w:rFonts w:ascii="黑体" w:hAnsi="黑体" w:eastAsia="黑体"/>
          <w:sz w:val="32"/>
        </w:rPr>
        <w:t>第四部分 部门决算报表（见附表）</w:t>
      </w:r>
    </w:p>
    <w:p w14:paraId="273D6C1D">
      <w:pPr>
        <w:spacing w:line="240" w:lineRule="auto"/>
        <w:ind w:firstLine="640"/>
        <w:jc w:val="both"/>
      </w:pPr>
      <w:r>
        <w:rPr>
          <w:rFonts w:ascii="仿宋_GB2312" w:hAnsi="仿宋_GB2312" w:eastAsia="仿宋_GB2312"/>
          <w:b w:val="0"/>
          <w:sz w:val="32"/>
        </w:rPr>
        <w:t>一、《收入支出决算总表》</w:t>
      </w:r>
    </w:p>
    <w:p w14:paraId="68CF93C9">
      <w:pPr>
        <w:spacing w:line="240" w:lineRule="auto"/>
        <w:ind w:firstLine="640"/>
        <w:jc w:val="both"/>
      </w:pPr>
      <w:r>
        <w:rPr>
          <w:rFonts w:ascii="仿宋_GB2312" w:hAnsi="仿宋_GB2312" w:eastAsia="仿宋_GB2312"/>
          <w:b w:val="0"/>
          <w:sz w:val="32"/>
        </w:rPr>
        <w:t>二、《收入决算表》</w:t>
      </w:r>
    </w:p>
    <w:p w14:paraId="3A467216">
      <w:pPr>
        <w:spacing w:line="240" w:lineRule="auto"/>
        <w:ind w:firstLine="640"/>
        <w:jc w:val="both"/>
      </w:pPr>
      <w:r>
        <w:rPr>
          <w:rFonts w:ascii="仿宋_GB2312" w:hAnsi="仿宋_GB2312" w:eastAsia="仿宋_GB2312"/>
          <w:b w:val="0"/>
          <w:sz w:val="32"/>
        </w:rPr>
        <w:t>三、《支出决算表》</w:t>
      </w:r>
    </w:p>
    <w:p w14:paraId="1759F446">
      <w:pPr>
        <w:spacing w:line="240" w:lineRule="auto"/>
        <w:ind w:firstLine="640"/>
        <w:jc w:val="both"/>
      </w:pPr>
      <w:r>
        <w:rPr>
          <w:rFonts w:ascii="仿宋_GB2312" w:hAnsi="仿宋_GB2312" w:eastAsia="仿宋_GB2312"/>
          <w:b w:val="0"/>
          <w:sz w:val="32"/>
        </w:rPr>
        <w:t>四、《财政拨款收入支出决算总表》</w:t>
      </w:r>
    </w:p>
    <w:p w14:paraId="26C86F18">
      <w:pPr>
        <w:spacing w:line="240" w:lineRule="auto"/>
        <w:ind w:firstLine="640"/>
        <w:jc w:val="both"/>
      </w:pPr>
      <w:r>
        <w:rPr>
          <w:rFonts w:ascii="仿宋_GB2312" w:hAnsi="仿宋_GB2312" w:eastAsia="仿宋_GB2312"/>
          <w:b w:val="0"/>
          <w:sz w:val="32"/>
        </w:rPr>
        <w:t>五、《一般公共预算财政拨款支出决算表》</w:t>
      </w:r>
    </w:p>
    <w:p w14:paraId="0A218C77">
      <w:pPr>
        <w:spacing w:line="240" w:lineRule="auto"/>
        <w:ind w:firstLine="640"/>
        <w:jc w:val="both"/>
      </w:pPr>
      <w:r>
        <w:rPr>
          <w:rFonts w:ascii="仿宋_GB2312" w:hAnsi="仿宋_GB2312" w:eastAsia="仿宋_GB2312"/>
          <w:b w:val="0"/>
          <w:sz w:val="32"/>
        </w:rPr>
        <w:t>六、《一般公共预算财政拨款基本支出决算表》</w:t>
      </w:r>
    </w:p>
    <w:p w14:paraId="324DDD54">
      <w:pPr>
        <w:spacing w:line="240" w:lineRule="auto"/>
        <w:ind w:firstLine="640"/>
        <w:jc w:val="both"/>
      </w:pPr>
      <w:r>
        <w:rPr>
          <w:rFonts w:ascii="仿宋_GB2312" w:hAnsi="仿宋_GB2312" w:eastAsia="仿宋_GB2312"/>
          <w:b w:val="0"/>
          <w:sz w:val="32"/>
        </w:rPr>
        <w:t>七、《政府性基金预算财政拨款收入支出决算表》</w:t>
      </w:r>
    </w:p>
    <w:p w14:paraId="70C86EF3">
      <w:pPr>
        <w:spacing w:line="240" w:lineRule="auto"/>
        <w:ind w:firstLine="640"/>
        <w:jc w:val="both"/>
      </w:pPr>
      <w:r>
        <w:rPr>
          <w:rFonts w:ascii="仿宋_GB2312" w:hAnsi="仿宋_GB2312" w:eastAsia="仿宋_GB2312"/>
          <w:b w:val="0"/>
          <w:sz w:val="32"/>
        </w:rPr>
        <w:t>八、《国有资本经营预算财政拨款收入支出决算表》</w:t>
      </w:r>
    </w:p>
    <w:p w14:paraId="0E2691EE">
      <w:pPr>
        <w:spacing w:line="240" w:lineRule="auto"/>
        <w:ind w:firstLine="640"/>
        <w:jc w:val="both"/>
      </w:pPr>
      <w:r>
        <w:rPr>
          <w:rFonts w:ascii="仿宋_GB2312" w:hAnsi="仿宋_GB2312" w:eastAsia="仿宋_GB2312"/>
          <w:b w:val="0"/>
          <w:sz w:val="32"/>
        </w:rPr>
        <w:t>九、《财政拨款“三公”经费支出决算表》</w:t>
      </w:r>
    </w:p>
    <w:p w14:paraId="61466DCF">
      <w:pPr>
        <w:spacing w:line="240" w:lineRule="auto"/>
        <w:ind w:firstLine="640"/>
        <w:jc w:val="both"/>
      </w:pPr>
    </w:p>
    <w:p w14:paraId="5822C8D5">
      <w:pPr>
        <w:spacing w:line="240" w:lineRule="auto"/>
        <w:ind w:firstLine="640"/>
        <w:jc w:val="both"/>
      </w:pPr>
    </w:p>
    <w:p w14:paraId="1D0C3A1A">
      <w:pPr>
        <w:spacing w:line="240" w:lineRule="auto"/>
        <w:ind w:firstLine="640"/>
        <w:jc w:val="both"/>
      </w:pPr>
    </w:p>
    <w:p w14:paraId="0EBBA953">
      <w:pPr>
        <w:spacing w:line="240" w:lineRule="auto"/>
        <w:ind w:firstLine="640"/>
        <w:jc w:val="both"/>
      </w:pPr>
    </w:p>
    <w:p w14:paraId="7FB7CBA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257162"/>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733DD7"/>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5871</Words>
  <Characters>6708</Characters>
  <Lines>0</Lines>
  <Paragraphs>0</Paragraphs>
  <TotalTime>8</TotalTime>
  <ScaleCrop>false</ScaleCrop>
  <LinksUpToDate>false</LinksUpToDate>
  <CharactersWithSpaces>6716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2025-10-14T02:49:36Z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