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吉木萨尔县互联网信息办公室2024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0FE6C5B">
      <w:r>
        <w:br w:type="page"/>
      </w:r>
    </w:p>
    <w:p w14:paraId="7C777CE7">
      <w:pPr>
        <w:spacing w:line="640" w:lineRule="exact"/>
        <w:jc w:val="center"/>
        <w:outlineLvl w:val="1"/>
      </w:pPr>
      <w:r>
        <w:rPr>
          <w:rFonts w:ascii="黑体" w:hAnsi="黑体" w:eastAsia="黑体"/>
          <w:sz w:val="32"/>
        </w:rPr>
        <w:t>第一部分 单位概况</w:t>
      </w:r>
    </w:p>
    <w:p w14:paraId="1FA6D2DD">
      <w:pPr>
        <w:spacing w:line="640" w:lineRule="exact"/>
        <w:ind w:firstLine="640"/>
        <w:jc w:val="both"/>
        <w:outlineLvl w:val="2"/>
      </w:pPr>
      <w:r>
        <w:rPr>
          <w:rFonts w:ascii="黑体" w:hAnsi="黑体" w:eastAsia="黑体"/>
          <w:sz w:val="32"/>
        </w:rPr>
        <w:t>一、主要职能</w:t>
      </w:r>
    </w:p>
    <w:p w14:paraId="69789711">
      <w:pPr>
        <w:spacing w:line="580" w:lineRule="exact"/>
        <w:ind w:firstLine="640"/>
        <w:jc w:val="both"/>
      </w:pPr>
      <w:r>
        <w:rPr>
          <w:rFonts w:ascii="仿宋_GB2312" w:hAnsi="仿宋_GB2312" w:eastAsia="仿宋_GB2312"/>
          <w:sz w:val="32"/>
        </w:rPr>
        <w:t>实现互联网信息传播方针政策和推动互联网信息传播</w:t>
      </w:r>
      <w:r>
        <w:rPr>
          <w:rFonts w:hint="eastAsia" w:ascii="仿宋_GB2312" w:hAnsi="仿宋_GB2312" w:eastAsia="仿宋_GB2312"/>
          <w:sz w:val="32"/>
          <w:lang w:eastAsia="zh-CN"/>
        </w:rPr>
        <w:t>法治建设</w:t>
      </w:r>
      <w:r>
        <w:rPr>
          <w:rFonts w:ascii="仿宋_GB2312" w:hAnsi="仿宋_GB2312" w:eastAsia="仿宋_GB2312"/>
          <w:sz w:val="32"/>
        </w:rPr>
        <w:t>，指导、协调、督促有关部门加强互联网信息内容管理，负责网络新闻业务及其他相关业务的审批和日常监管，指导有关部门做好网络游戏、网络视听、网络出版等网络文化领域业务布局规划，协调有关部门做好网络文化阵地建设的规划和实施工作，负责重点新闻网站的规划建设，组织、协调网上宣传工作，依法查处违法违规网站，指导有关部门督促电信运营企业、接入服务企业、域名注册管理和服务机构等做好域名注册、互联网地址(IP地址)分配、网站登记备案、接入等互联网基础</w:t>
      </w:r>
      <w:r>
        <w:rPr>
          <w:rFonts w:hint="eastAsia" w:ascii="仿宋_GB2312" w:hAnsi="仿宋_GB2312" w:eastAsia="仿宋_GB2312"/>
          <w:sz w:val="32"/>
          <w:lang w:eastAsia="zh-CN"/>
        </w:rPr>
        <w:t>管理</w:t>
      </w:r>
      <w:r>
        <w:rPr>
          <w:rFonts w:ascii="仿宋_GB2312" w:hAnsi="仿宋_GB2312" w:eastAsia="仿宋_GB2312"/>
          <w:sz w:val="32"/>
        </w:rPr>
        <w:t>机构设置情况。</w:t>
      </w:r>
    </w:p>
    <w:p w14:paraId="0EA7B1E7">
      <w:pPr>
        <w:spacing w:line="640" w:lineRule="exact"/>
        <w:ind w:firstLine="640"/>
        <w:jc w:val="both"/>
        <w:outlineLvl w:val="2"/>
      </w:pPr>
      <w:r>
        <w:rPr>
          <w:rFonts w:ascii="黑体" w:hAnsi="黑体" w:eastAsia="黑体"/>
          <w:sz w:val="32"/>
        </w:rPr>
        <w:t>二、机构设置及人员情况</w:t>
      </w:r>
    </w:p>
    <w:p w14:paraId="7DD3F3CB">
      <w:pPr>
        <w:spacing w:line="580" w:lineRule="exact"/>
        <w:ind w:firstLine="640"/>
        <w:jc w:val="both"/>
      </w:pPr>
      <w:r>
        <w:rPr>
          <w:rFonts w:ascii="仿宋_GB2312" w:hAnsi="仿宋_GB2312" w:eastAsia="仿宋_GB2312"/>
          <w:sz w:val="32"/>
        </w:rPr>
        <w:t>吉木萨尔县互联网信息办公室2024年度，实有人数18人，其中：在职人员18人，增加0人；离休人员0人，增加0人；退休人员0人,增加0人。</w:t>
      </w:r>
    </w:p>
    <w:p w14:paraId="2245391B">
      <w:pPr>
        <w:spacing w:line="580" w:lineRule="exact"/>
        <w:ind w:firstLine="640"/>
        <w:jc w:val="both"/>
      </w:pPr>
      <w:r>
        <w:rPr>
          <w:rFonts w:ascii="仿宋_GB2312" w:hAnsi="仿宋_GB2312" w:eastAsia="仿宋_GB2312"/>
          <w:sz w:val="32"/>
        </w:rPr>
        <w:t>吉木萨尔县互联网信息办公室无下属预算单位，下设</w:t>
      </w:r>
      <w:r>
        <w:rPr>
          <w:rFonts w:hint="eastAsia" w:ascii="仿宋_GB2312" w:hAnsi="仿宋_GB2312" w:eastAsia="仿宋_GB2312"/>
          <w:sz w:val="32"/>
          <w:lang w:val="en-US" w:eastAsia="zh-CN"/>
        </w:rPr>
        <w:t>0</w:t>
      </w:r>
      <w:r>
        <w:rPr>
          <w:rFonts w:ascii="仿宋_GB2312" w:hAnsi="仿宋_GB2312" w:eastAsia="仿宋_GB2312"/>
          <w:sz w:val="32"/>
        </w:rPr>
        <w:t>个科室，分别是：</w:t>
      </w:r>
      <w:r>
        <w:rPr>
          <w:rFonts w:hint="eastAsia" w:ascii="仿宋_GB2312" w:hAnsi="仿宋_GB2312" w:eastAsia="仿宋_GB2312"/>
          <w:sz w:val="32"/>
          <w:lang w:val="en-US" w:eastAsia="zh-CN"/>
        </w:rPr>
        <w:t>本单位无下设科室</w:t>
      </w:r>
      <w:r>
        <w:rPr>
          <w:rFonts w:ascii="仿宋_GB2312" w:hAnsi="仿宋_GB2312" w:eastAsia="仿宋_GB2312"/>
          <w:sz w:val="32"/>
        </w:rPr>
        <w:t>。</w:t>
      </w:r>
    </w:p>
    <w:p w14:paraId="6C39995F">
      <w:r>
        <w:br w:type="page"/>
      </w:r>
    </w:p>
    <w:p w14:paraId="6EE68915">
      <w:pPr>
        <w:spacing w:line="240" w:lineRule="auto"/>
        <w:jc w:val="center"/>
        <w:outlineLvl w:val="1"/>
      </w:pPr>
      <w:r>
        <w:rPr>
          <w:rFonts w:ascii="黑体" w:hAnsi="黑体" w:eastAsia="黑体"/>
          <w:sz w:val="32"/>
        </w:rPr>
        <w:t>第二部分 部门决算情况说明</w:t>
      </w:r>
    </w:p>
    <w:p w14:paraId="644E5615">
      <w:pPr>
        <w:spacing w:line="640" w:lineRule="exact"/>
        <w:ind w:firstLine="640"/>
        <w:jc w:val="both"/>
        <w:outlineLvl w:val="2"/>
      </w:pPr>
      <w:r>
        <w:rPr>
          <w:rFonts w:ascii="黑体" w:hAnsi="黑体" w:eastAsia="黑体"/>
          <w:sz w:val="32"/>
        </w:rPr>
        <w:t>一、收入支出决算总体情况说明</w:t>
      </w:r>
    </w:p>
    <w:p w14:paraId="54313B0A">
      <w:pPr>
        <w:spacing w:line="580" w:lineRule="exact"/>
        <w:ind w:firstLine="640"/>
        <w:jc w:val="both"/>
      </w:pPr>
      <w:r>
        <w:rPr>
          <w:rFonts w:ascii="仿宋_GB2312" w:hAnsi="仿宋_GB2312" w:eastAsia="仿宋_GB2312"/>
          <w:b/>
          <w:sz w:val="32"/>
        </w:rPr>
        <w:t>2024年度收入总计384.93万元，</w:t>
      </w:r>
      <w:r>
        <w:rPr>
          <w:rFonts w:ascii="仿宋_GB2312" w:hAnsi="仿宋_GB2312" w:eastAsia="仿宋_GB2312"/>
          <w:b w:val="0"/>
          <w:sz w:val="32"/>
        </w:rPr>
        <w:t>其中：本年收入合计380.65万元，使用非财政拨款结余（含专用结余）0.00万元，年初结转和结余4.28万元。</w:t>
      </w:r>
    </w:p>
    <w:p w14:paraId="3CEA4C25">
      <w:pPr>
        <w:spacing w:line="580" w:lineRule="exact"/>
        <w:ind w:firstLine="640"/>
        <w:jc w:val="both"/>
      </w:pPr>
      <w:r>
        <w:rPr>
          <w:rFonts w:ascii="仿宋_GB2312" w:hAnsi="仿宋_GB2312" w:eastAsia="仿宋_GB2312"/>
          <w:b/>
          <w:sz w:val="32"/>
        </w:rPr>
        <w:t>2024年度支出总计384.93万元，</w:t>
      </w:r>
      <w:r>
        <w:rPr>
          <w:rFonts w:ascii="仿宋_GB2312" w:hAnsi="仿宋_GB2312" w:eastAsia="仿宋_GB2312"/>
          <w:b w:val="0"/>
          <w:sz w:val="32"/>
        </w:rPr>
        <w:t>其中：本年支出合计380.94万元，结余分配0.00万元，年末结转和结余3.99万元。</w:t>
      </w:r>
    </w:p>
    <w:p w14:paraId="556EF03D">
      <w:pPr>
        <w:spacing w:line="580" w:lineRule="exact"/>
        <w:ind w:firstLine="640"/>
        <w:jc w:val="both"/>
      </w:pPr>
      <w:r>
        <w:rPr>
          <w:rFonts w:ascii="仿宋_GB2312" w:hAnsi="仿宋_GB2312" w:eastAsia="仿宋_GB2312"/>
          <w:b w:val="0"/>
          <w:sz w:val="32"/>
        </w:rPr>
        <w:t>收入支出总体与上年相比，增加22.84万元，增长6.31%，主要原因是：1.本年在职人员工资调增，社保、公积金基数调增，人员经费增加；2.本年互联网信息软件服务费等项目资金较上年增加。</w:t>
      </w:r>
    </w:p>
    <w:p w14:paraId="50BF8E2C">
      <w:pPr>
        <w:spacing w:line="640" w:lineRule="exact"/>
        <w:ind w:firstLine="640"/>
        <w:jc w:val="both"/>
        <w:outlineLvl w:val="2"/>
      </w:pPr>
      <w:r>
        <w:rPr>
          <w:rFonts w:ascii="黑体" w:hAnsi="黑体" w:eastAsia="黑体"/>
          <w:sz w:val="32"/>
        </w:rPr>
        <w:t>二、收入决算情况说明</w:t>
      </w:r>
    </w:p>
    <w:p w14:paraId="75F32CA9">
      <w:pPr>
        <w:spacing w:line="580" w:lineRule="exact"/>
        <w:ind w:firstLine="640"/>
        <w:jc w:val="both"/>
      </w:pPr>
      <w:r>
        <w:rPr>
          <w:rFonts w:ascii="仿宋_GB2312" w:hAnsi="仿宋_GB2312" w:eastAsia="仿宋_GB2312"/>
          <w:b/>
          <w:sz w:val="32"/>
        </w:rPr>
        <w:t>本年收入380.65万元，</w:t>
      </w:r>
      <w:r>
        <w:rPr>
          <w:rFonts w:ascii="仿宋_GB2312" w:hAnsi="仿宋_GB2312" w:eastAsia="仿宋_GB2312"/>
          <w:b w:val="0"/>
          <w:sz w:val="32"/>
        </w:rPr>
        <w:t>其中：财政拨款收入380.32万元，占99.91%；上级补助收入0.00万元，占0.00%；事业收入0.00万元，占0.00%；经营收入0.00万元，占0.00%；附属单位上缴收入0.00万元，占0.00%；其他收入0.33万元，占0.09%。</w:t>
      </w:r>
    </w:p>
    <w:p w14:paraId="6B08FD02">
      <w:pPr>
        <w:spacing w:line="640" w:lineRule="exact"/>
        <w:ind w:firstLine="640"/>
        <w:jc w:val="both"/>
        <w:outlineLvl w:val="2"/>
      </w:pPr>
      <w:r>
        <w:rPr>
          <w:rFonts w:ascii="黑体" w:hAnsi="黑体" w:eastAsia="黑体"/>
          <w:sz w:val="32"/>
        </w:rPr>
        <w:t>三、支出决算情况说明</w:t>
      </w:r>
    </w:p>
    <w:p w14:paraId="3FBE42DF">
      <w:pPr>
        <w:spacing w:line="580" w:lineRule="exact"/>
        <w:ind w:firstLine="640"/>
        <w:jc w:val="both"/>
      </w:pPr>
      <w:r>
        <w:rPr>
          <w:rFonts w:ascii="仿宋_GB2312" w:hAnsi="仿宋_GB2312" w:eastAsia="仿宋_GB2312"/>
          <w:b/>
          <w:sz w:val="32"/>
        </w:rPr>
        <w:t>本年支出380.94万元，</w:t>
      </w:r>
      <w:r>
        <w:rPr>
          <w:rFonts w:ascii="仿宋_GB2312" w:hAnsi="仿宋_GB2312" w:eastAsia="仿宋_GB2312"/>
          <w:b w:val="0"/>
          <w:sz w:val="32"/>
        </w:rPr>
        <w:t>其中：基本支出363.48万元，占95.42%；项目支出17.46万元，占4.58%；上缴上级支出0.00万元，占0.00%；经营支出0.00万元，占0.00%；对附属单位补助支出0.00万元，占0.00%。</w:t>
      </w:r>
    </w:p>
    <w:p w14:paraId="4F15EA9C">
      <w:pPr>
        <w:spacing w:line="640" w:lineRule="exact"/>
        <w:ind w:firstLine="640"/>
        <w:jc w:val="both"/>
        <w:outlineLvl w:val="2"/>
      </w:pPr>
      <w:r>
        <w:rPr>
          <w:rFonts w:ascii="黑体" w:hAnsi="黑体" w:eastAsia="黑体"/>
          <w:sz w:val="32"/>
        </w:rPr>
        <w:t>四、财政拨款收入支出决算总体情况说明</w:t>
      </w:r>
    </w:p>
    <w:p w14:paraId="71B77F19">
      <w:pPr>
        <w:spacing w:line="580" w:lineRule="exact"/>
        <w:ind w:firstLine="640"/>
        <w:jc w:val="both"/>
      </w:pPr>
      <w:r>
        <w:rPr>
          <w:rFonts w:ascii="仿宋_GB2312" w:hAnsi="仿宋_GB2312" w:eastAsia="仿宋_GB2312"/>
          <w:b/>
          <w:sz w:val="32"/>
        </w:rPr>
        <w:t>2024年度财政拨款收入总计380.32万元，</w:t>
      </w:r>
      <w:r>
        <w:rPr>
          <w:rFonts w:ascii="仿宋_GB2312" w:hAnsi="仿宋_GB2312" w:eastAsia="仿宋_GB2312"/>
          <w:b w:val="0"/>
          <w:sz w:val="32"/>
        </w:rPr>
        <w:t>其中：年初财政拨款结转和结余0.00万元，本年财政拨款收入380.32万元。</w:t>
      </w:r>
      <w:r>
        <w:rPr>
          <w:rFonts w:ascii="仿宋_GB2312" w:hAnsi="仿宋_GB2312" w:eastAsia="仿宋_GB2312"/>
          <w:b/>
          <w:sz w:val="32"/>
        </w:rPr>
        <w:t>财政拨款支出总计380.32万元，</w:t>
      </w:r>
      <w:r>
        <w:rPr>
          <w:rFonts w:ascii="仿宋_GB2312" w:hAnsi="仿宋_GB2312" w:eastAsia="仿宋_GB2312"/>
          <w:b w:val="0"/>
          <w:sz w:val="32"/>
        </w:rPr>
        <w:t>其中：年末财政拨款结转和结余0.00万元，本年财政拨款支出380.32万元。</w:t>
      </w:r>
    </w:p>
    <w:p w14:paraId="6A4A9D7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增加23.53万元，增长6.59%，主要原因是：1.本年在职人员工资调增，社保、公积金基数调增，人员经费增加；2.本年互联网信息软件服务费等项目资金较上年增加。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年初预算数352.28万元，决算数380.32万元，预决算差异率7.96%，主要原因是：年中追加人员工资、社保、公积金基数调增部分资金，导致预决算存在差异。</w:t>
      </w:r>
    </w:p>
    <w:p w14:paraId="712B4326">
      <w:pPr>
        <w:spacing w:line="640" w:lineRule="exact"/>
        <w:ind w:firstLine="640"/>
        <w:jc w:val="both"/>
        <w:outlineLvl w:val="2"/>
      </w:pPr>
      <w:r>
        <w:rPr>
          <w:rFonts w:ascii="黑体" w:hAnsi="黑体" w:eastAsia="黑体"/>
          <w:sz w:val="32"/>
        </w:rPr>
        <w:t>五、一般公共预算财政拨款支出决算情况说明</w:t>
      </w:r>
    </w:p>
    <w:p w14:paraId="0F6780FA">
      <w:pPr>
        <w:spacing w:line="640" w:lineRule="exact"/>
        <w:ind w:firstLine="640"/>
        <w:jc w:val="both"/>
        <w:outlineLvl w:val="3"/>
      </w:pPr>
      <w:r>
        <w:rPr>
          <w:rFonts w:ascii="楷体_GB2312" w:hAnsi="楷体_GB2312" w:eastAsia="楷体_GB2312"/>
          <w:b/>
          <w:sz w:val="32"/>
        </w:rPr>
        <w:t>（一）一般公共预算财政拨款支出决算总体情况</w:t>
      </w:r>
    </w:p>
    <w:p w14:paraId="1C0720D7">
      <w:pPr>
        <w:spacing w:line="580" w:lineRule="exact"/>
        <w:ind w:firstLine="640"/>
        <w:jc w:val="both"/>
      </w:pPr>
      <w:r>
        <w:rPr>
          <w:rFonts w:ascii="仿宋_GB2312" w:hAnsi="仿宋_GB2312" w:eastAsia="仿宋_GB2312"/>
          <w:b/>
          <w:sz w:val="32"/>
        </w:rPr>
        <w:t>2024年度一般公共预算财政拨款支出380.32万元，</w:t>
      </w:r>
      <w:r>
        <w:rPr>
          <w:rFonts w:ascii="仿宋_GB2312" w:hAnsi="仿宋_GB2312" w:eastAsia="仿宋_GB2312"/>
          <w:b w:val="0"/>
          <w:sz w:val="32"/>
        </w:rPr>
        <w:t>占本年支出合计的99.84%。</w:t>
      </w:r>
      <w:r>
        <w:rPr>
          <w:rFonts w:ascii="仿宋_GB2312" w:hAnsi="仿宋_GB2312" w:eastAsia="仿宋_GB2312"/>
          <w:b/>
          <w:sz w:val="32"/>
        </w:rPr>
        <w:t>与上年相比，</w:t>
      </w:r>
      <w:r>
        <w:rPr>
          <w:rFonts w:ascii="仿宋_GB2312" w:hAnsi="仿宋_GB2312" w:eastAsia="仿宋_GB2312"/>
          <w:b w:val="0"/>
          <w:sz w:val="32"/>
        </w:rPr>
        <w:t>增加23.53万元，增长6.59%，主要原因是：1.本年在职人员工资调增，社保、公积金基数调增，人员经费增加；2.本年互联网信息软件服务费等项目资金较上年增加。</w:t>
      </w:r>
      <w:r>
        <w:rPr>
          <w:rFonts w:ascii="仿宋_GB2312" w:hAnsi="仿宋_GB2312" w:eastAsia="仿宋_GB2312"/>
          <w:b/>
          <w:sz w:val="32"/>
        </w:rPr>
        <w:t>与年初预算相比,</w:t>
      </w:r>
      <w:r>
        <w:rPr>
          <w:rFonts w:ascii="仿宋_GB2312" w:hAnsi="仿宋_GB2312" w:eastAsia="仿宋_GB2312"/>
          <w:b w:val="0"/>
          <w:sz w:val="32"/>
        </w:rPr>
        <w:t>年初预算数352.28万元，决算数380.32万元，预决算差异率7.96%，主要原因是：年中追加人员工资、社保、公积金基数调增部分资金，导致预决算存在差异。</w:t>
      </w:r>
    </w:p>
    <w:p w14:paraId="2DE0CD47">
      <w:pPr>
        <w:spacing w:line="640" w:lineRule="exact"/>
        <w:ind w:firstLine="640"/>
        <w:jc w:val="both"/>
        <w:outlineLvl w:val="3"/>
      </w:pPr>
      <w:r>
        <w:rPr>
          <w:rFonts w:ascii="楷体_GB2312" w:hAnsi="楷体_GB2312" w:eastAsia="楷体_GB2312"/>
          <w:b/>
          <w:sz w:val="32"/>
        </w:rPr>
        <w:t>（二）一般公共预算财政拨款支出决算结构情况</w:t>
      </w:r>
    </w:p>
    <w:p w14:paraId="07D9D719">
      <w:pPr>
        <w:spacing w:line="580" w:lineRule="exact"/>
        <w:ind w:firstLine="640"/>
        <w:jc w:val="both"/>
      </w:pPr>
      <w:r>
        <w:rPr>
          <w:rFonts w:ascii="仿宋_GB2312" w:hAnsi="仿宋_GB2312" w:eastAsia="仿宋_GB2312"/>
          <w:b w:val="0"/>
          <w:sz w:val="32"/>
        </w:rPr>
        <w:t>1.一般公共服务支出(类)286.86万元,占75.43%。</w:t>
      </w:r>
    </w:p>
    <w:p w14:paraId="062B66C2">
      <w:pPr>
        <w:spacing w:line="580" w:lineRule="exact"/>
        <w:ind w:firstLine="640"/>
        <w:jc w:val="both"/>
      </w:pPr>
      <w:r>
        <w:rPr>
          <w:rFonts w:ascii="仿宋_GB2312" w:hAnsi="仿宋_GB2312" w:eastAsia="仿宋_GB2312"/>
          <w:b w:val="0"/>
          <w:sz w:val="32"/>
        </w:rPr>
        <w:t>2.科学技术支出(类)4.19万元,占1.10%。</w:t>
      </w:r>
    </w:p>
    <w:p w14:paraId="2D9A51C6">
      <w:pPr>
        <w:spacing w:line="580" w:lineRule="exact"/>
        <w:ind w:firstLine="640"/>
        <w:jc w:val="both"/>
      </w:pPr>
      <w:r>
        <w:rPr>
          <w:rFonts w:ascii="仿宋_GB2312" w:hAnsi="仿宋_GB2312" w:eastAsia="仿宋_GB2312"/>
          <w:b w:val="0"/>
          <w:sz w:val="32"/>
        </w:rPr>
        <w:t>3.社会保障和就业支出(类)48.08万元,占12.64%。</w:t>
      </w:r>
    </w:p>
    <w:p w14:paraId="0D621133">
      <w:pPr>
        <w:spacing w:line="580" w:lineRule="exact"/>
        <w:ind w:firstLine="640"/>
        <w:jc w:val="both"/>
      </w:pPr>
      <w:r>
        <w:rPr>
          <w:rFonts w:ascii="仿宋_GB2312" w:hAnsi="仿宋_GB2312" w:eastAsia="仿宋_GB2312"/>
          <w:b w:val="0"/>
          <w:sz w:val="32"/>
        </w:rPr>
        <w:t>4.卫生健康支出(类)17.24万元,占4.53%。</w:t>
      </w:r>
    </w:p>
    <w:p w14:paraId="3F97BF20">
      <w:pPr>
        <w:spacing w:line="580" w:lineRule="exact"/>
        <w:ind w:firstLine="640"/>
        <w:jc w:val="both"/>
      </w:pPr>
      <w:r>
        <w:rPr>
          <w:rFonts w:ascii="仿宋_GB2312" w:hAnsi="仿宋_GB2312" w:eastAsia="仿宋_GB2312"/>
          <w:b w:val="0"/>
          <w:sz w:val="32"/>
        </w:rPr>
        <w:t>5.住房保障支出(类)23.95万元,占6.30%。</w:t>
      </w:r>
    </w:p>
    <w:p w14:paraId="1543A117">
      <w:pPr>
        <w:spacing w:line="640" w:lineRule="exact"/>
        <w:ind w:firstLine="640"/>
        <w:jc w:val="both"/>
        <w:outlineLvl w:val="3"/>
      </w:pPr>
      <w:r>
        <w:rPr>
          <w:rFonts w:ascii="楷体_GB2312" w:hAnsi="楷体_GB2312" w:eastAsia="楷体_GB2312"/>
          <w:b/>
          <w:sz w:val="32"/>
        </w:rPr>
        <w:t>（三）一般公共预算财政拨款支出决算具体情况</w:t>
      </w:r>
    </w:p>
    <w:p w14:paraId="3E9D0AFF">
      <w:pPr>
        <w:spacing w:line="580" w:lineRule="exact"/>
        <w:ind w:firstLine="640"/>
        <w:jc w:val="both"/>
      </w:pPr>
      <w:r>
        <w:rPr>
          <w:rFonts w:ascii="仿宋_GB2312" w:hAnsi="仿宋_GB2312" w:eastAsia="仿宋_GB2312"/>
          <w:b w:val="0"/>
          <w:sz w:val="32"/>
        </w:rPr>
        <w:t>1.一般公共服务支出(类)网信事务(款)行政运行(项):支出决算数为88.04万元，比上年决算减少9.63万元，下降9.86%,主要原因是：本年度行政人员调出，相关行政经费较上年减少。</w:t>
      </w:r>
    </w:p>
    <w:p w14:paraId="14669A9A">
      <w:pPr>
        <w:spacing w:line="580" w:lineRule="exact"/>
        <w:ind w:firstLine="640"/>
        <w:jc w:val="both"/>
      </w:pPr>
      <w:r>
        <w:rPr>
          <w:rFonts w:ascii="仿宋_GB2312" w:hAnsi="仿宋_GB2312" w:eastAsia="仿宋_GB2312"/>
          <w:b w:val="0"/>
          <w:sz w:val="32"/>
        </w:rPr>
        <w:t>2.一般公共服务支出(类)网信事务(款)信息安全事务(项):支出决算数为15.00万元，比上年决算增加10.16万元，增长209.92%,主要原因是：本年互联网信息软件服务费等项目资金较上年增加。</w:t>
      </w:r>
    </w:p>
    <w:p w14:paraId="43D57890">
      <w:pPr>
        <w:spacing w:line="580" w:lineRule="exact"/>
        <w:ind w:firstLine="640"/>
        <w:jc w:val="both"/>
      </w:pPr>
      <w:r>
        <w:rPr>
          <w:rFonts w:ascii="仿宋_GB2312" w:hAnsi="仿宋_GB2312" w:eastAsia="仿宋_GB2312"/>
          <w:b w:val="0"/>
          <w:sz w:val="32"/>
        </w:rPr>
        <w:t>3.一般公共服务支出(类)网信事务(款)事业运行(项):支出决算数为181.37万元，比上年决算增加6.88万元，增长3.94%,主要原因是：本年在职人员工资调增，导致相关人员经费较上年有所增加。</w:t>
      </w:r>
    </w:p>
    <w:p w14:paraId="5F3F5E97">
      <w:pPr>
        <w:spacing w:line="580" w:lineRule="exact"/>
        <w:ind w:firstLine="640"/>
        <w:jc w:val="both"/>
      </w:pPr>
      <w:r>
        <w:rPr>
          <w:rFonts w:ascii="仿宋_GB2312" w:hAnsi="仿宋_GB2312" w:eastAsia="仿宋_GB2312"/>
          <w:b w:val="0"/>
          <w:sz w:val="32"/>
        </w:rPr>
        <w:t>4.一般公共服务支出(类)网信事务(款)其他网信事务支出(项):支出决算数为2.46万元，比上年决算增加2.46万元，增长100.00%,主要原因是：本年新增wljb奖励资金。</w:t>
      </w:r>
    </w:p>
    <w:p w14:paraId="295A5316">
      <w:pPr>
        <w:spacing w:line="580" w:lineRule="exact"/>
        <w:ind w:firstLine="640"/>
        <w:jc w:val="both"/>
      </w:pPr>
      <w:r>
        <w:rPr>
          <w:rFonts w:ascii="仿宋_GB2312" w:hAnsi="仿宋_GB2312" w:eastAsia="仿宋_GB2312"/>
          <w:b w:val="0"/>
          <w:sz w:val="32"/>
        </w:rPr>
        <w:t>5.科学技术支出(类)科技条件与服务(款)其他科技条件与服务支出(项):支出决算数为4.19万元，比上年决算增加4.19万元，增长100.00%,主要原因是：本年新增购买电脑资金。</w:t>
      </w:r>
    </w:p>
    <w:p w14:paraId="01B5C82A">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31.92万元，比上年决算增加3.34万元，增长11.69%,主要原因是：本年在职人员工资基数调增，养老缴费基数上涨，相应支出增加。</w:t>
      </w:r>
    </w:p>
    <w:p w14:paraId="5EE5B7B2">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7.社会保障和就业支出(类)行政事业单位养老支出(款)机关事业单位职业年金缴费支出(项):支出决算数为16.16万元，比上年决算增加1.93万元，增长13.56%,主要原因是：本年在职人员调出，职业年金支出增加。</w:t>
      </w:r>
    </w:p>
    <w:p w14:paraId="16D90937">
      <w:pPr>
        <w:spacing w:line="580" w:lineRule="exact"/>
        <w:ind w:firstLine="640"/>
        <w:jc w:val="both"/>
      </w:pPr>
      <w:r>
        <w:rPr>
          <w:rFonts w:ascii="仿宋_GB2312" w:hAnsi="仿宋_GB2312" w:eastAsia="仿宋_GB2312"/>
          <w:b w:val="0"/>
          <w:sz w:val="32"/>
        </w:rPr>
        <w:t>8.卫生健康支出(类)行政事业单位医疗(款)行政单位医疗(项):支出决算数为1.65万元，比上年决算减少0.97万元，下降37.02%,主要原因是：本年行政人员调出，行政单位医疗支出减少。</w:t>
      </w:r>
    </w:p>
    <w:p w14:paraId="1B02A660">
      <w:pPr>
        <w:spacing w:line="580" w:lineRule="exact"/>
        <w:ind w:firstLine="640"/>
        <w:jc w:val="both"/>
      </w:pPr>
      <w:r>
        <w:rPr>
          <w:rFonts w:ascii="仿宋_GB2312" w:hAnsi="仿宋_GB2312" w:eastAsia="仿宋_GB2312"/>
          <w:b w:val="0"/>
          <w:sz w:val="32"/>
        </w:rPr>
        <w:t>9.卫生健康支出(类)行政事业单位医疗(款)事业单位医疗(项):支出决算数为14.60万元，比上年决算增加2.65万元，增长22.18%,主要原因是：本年在职人员工资基数调增，医疗缴费基数上涨，相应支出增加。</w:t>
      </w:r>
    </w:p>
    <w:p w14:paraId="0CB0B386">
      <w:pPr>
        <w:spacing w:line="580" w:lineRule="exact"/>
        <w:ind w:firstLine="640"/>
        <w:jc w:val="both"/>
      </w:pPr>
      <w:r>
        <w:rPr>
          <w:rFonts w:ascii="仿宋_GB2312" w:hAnsi="仿宋_GB2312" w:eastAsia="仿宋_GB2312"/>
          <w:b w:val="0"/>
          <w:sz w:val="32"/>
        </w:rPr>
        <w:t>10.卫生健康支出(类)行政事业单位医疗(款)公务员医疗补助(项):支出决算数为1.00万元，比上年决算增加0.11万元，增长12.36%,主要原因是：本年在职人员工资基数调增，医疗缴费基数上涨，相应支出增加。</w:t>
      </w:r>
    </w:p>
    <w:p w14:paraId="136ECF99">
      <w:pPr>
        <w:spacing w:line="580" w:lineRule="exact"/>
        <w:ind w:firstLine="640"/>
        <w:jc w:val="both"/>
      </w:pPr>
      <w:r>
        <w:rPr>
          <w:rFonts w:ascii="仿宋_GB2312" w:hAnsi="仿宋_GB2312" w:eastAsia="仿宋_GB2312"/>
          <w:b w:val="0"/>
          <w:sz w:val="32"/>
        </w:rPr>
        <w:t>11.住房保障支出(类)住房改革支出(款)住房公积金(项):支出决算数为23.95万元，比上年决算增加2.44万元，增长11.34%,主要原因是：本年在职人员工资基数调增，公积金缴费基数上涨，相应支出增加。</w:t>
      </w:r>
    </w:p>
    <w:p w14:paraId="733E5FAD">
      <w:pPr>
        <w:spacing w:line="640" w:lineRule="exact"/>
        <w:ind w:firstLine="640"/>
        <w:jc w:val="both"/>
        <w:outlineLvl w:val="2"/>
      </w:pPr>
      <w:r>
        <w:rPr>
          <w:rFonts w:ascii="黑体" w:hAnsi="黑体" w:eastAsia="黑体"/>
          <w:sz w:val="32"/>
        </w:rPr>
        <w:t>六、一般公共预算财政拨款基本支出决算情况说明</w:t>
      </w:r>
    </w:p>
    <w:p w14:paraId="07B1BBD5">
      <w:pPr>
        <w:spacing w:line="580" w:lineRule="exact"/>
        <w:ind w:firstLine="640"/>
        <w:jc w:val="both"/>
      </w:pPr>
      <w:r>
        <w:rPr>
          <w:rFonts w:ascii="仿宋_GB2312" w:hAnsi="仿宋_GB2312" w:eastAsia="仿宋_GB2312"/>
          <w:b w:val="0"/>
          <w:sz w:val="32"/>
        </w:rPr>
        <w:t>2024年度一般公共预算财政拨款基本支出362.86万元，其中：</w:t>
      </w:r>
      <w:r>
        <w:rPr>
          <w:rFonts w:ascii="仿宋_GB2312" w:hAnsi="仿宋_GB2312" w:eastAsia="仿宋_GB2312"/>
          <w:b/>
          <w:sz w:val="32"/>
        </w:rPr>
        <w:t>人员经费343.65万元，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抚恤金、奖励金、其他对个人和家庭的补助。</w:t>
      </w:r>
    </w:p>
    <w:p w14:paraId="10180D66">
      <w:pPr>
        <w:spacing w:line="580" w:lineRule="exact"/>
        <w:ind w:firstLine="640"/>
        <w:jc w:val="both"/>
      </w:pPr>
      <w:r>
        <w:rPr>
          <w:rFonts w:ascii="仿宋_GB2312" w:hAnsi="仿宋_GB2312" w:eastAsia="仿宋_GB2312"/>
          <w:b/>
          <w:sz w:val="32"/>
        </w:rPr>
        <w:t>公用经费19.21万元，</w:t>
      </w:r>
      <w:r>
        <w:rPr>
          <w:rFonts w:ascii="仿宋_GB2312" w:hAnsi="仿宋_GB2312" w:eastAsia="仿宋_GB2312"/>
          <w:b w:val="0"/>
          <w:sz w:val="32"/>
        </w:rPr>
        <w:t>包括：办公费、邮电费、工会经费、其他交通费用、办公设备购置。</w:t>
      </w:r>
    </w:p>
    <w:p w14:paraId="1F154CFF">
      <w:pPr>
        <w:spacing w:line="640" w:lineRule="exact"/>
        <w:ind w:firstLine="640"/>
        <w:jc w:val="both"/>
        <w:outlineLvl w:val="2"/>
      </w:pPr>
      <w:r>
        <w:rPr>
          <w:rFonts w:ascii="黑体" w:hAnsi="黑体" w:eastAsia="黑体"/>
          <w:sz w:val="32"/>
        </w:rPr>
        <w:t>七、政府性基金预算财政拨款收入支出决算情况说明</w:t>
      </w:r>
    </w:p>
    <w:p w14:paraId="345A193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69F3ED4">
      <w:pPr>
        <w:spacing w:line="640" w:lineRule="exact"/>
        <w:ind w:firstLine="640"/>
        <w:jc w:val="both"/>
        <w:outlineLvl w:val="2"/>
      </w:pPr>
      <w:r>
        <w:rPr>
          <w:rFonts w:ascii="黑体" w:hAnsi="黑体" w:eastAsia="黑体"/>
          <w:sz w:val="32"/>
        </w:rPr>
        <w:t>八、国有资本经营预算财政拨款收入支出决算情况说明</w:t>
      </w:r>
    </w:p>
    <w:p w14:paraId="29774308">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880F4F5">
      <w:pPr>
        <w:spacing w:line="640" w:lineRule="exact"/>
        <w:ind w:firstLine="640"/>
        <w:jc w:val="both"/>
        <w:outlineLvl w:val="2"/>
      </w:pPr>
      <w:r>
        <w:rPr>
          <w:rFonts w:ascii="黑体" w:hAnsi="黑体" w:eastAsia="黑体"/>
          <w:sz w:val="32"/>
        </w:rPr>
        <w:t>九、财政拨款“三公”经费支出决算情况说明</w:t>
      </w:r>
    </w:p>
    <w:p w14:paraId="73E08FBE">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257DF6D">
      <w:pPr>
        <w:spacing w:line="580" w:lineRule="exact"/>
        <w:ind w:firstLine="640"/>
        <w:jc w:val="both"/>
      </w:pPr>
      <w:r>
        <w:rPr>
          <w:rFonts w:ascii="仿宋_GB2312" w:hAnsi="仿宋_GB2312" w:eastAsia="仿宋_GB2312"/>
          <w:b/>
          <w:sz w:val="32"/>
        </w:rPr>
        <w:t>具体情况如下：</w:t>
      </w:r>
    </w:p>
    <w:p w14:paraId="75FAEBB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9CF399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1619DCE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5CB687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66675E22">
      <w:pPr>
        <w:spacing w:line="640" w:lineRule="exact"/>
        <w:ind w:firstLine="640"/>
        <w:jc w:val="both"/>
        <w:outlineLvl w:val="2"/>
      </w:pPr>
      <w:r>
        <w:rPr>
          <w:rFonts w:ascii="黑体" w:hAnsi="黑体" w:eastAsia="黑体"/>
          <w:sz w:val="32"/>
        </w:rPr>
        <w:t>十、其他重要事项的情况说明</w:t>
      </w:r>
    </w:p>
    <w:p w14:paraId="348E792D">
      <w:pPr>
        <w:spacing w:line="640" w:lineRule="exact"/>
        <w:ind w:firstLine="640"/>
        <w:jc w:val="both"/>
        <w:outlineLvl w:val="3"/>
      </w:pPr>
      <w:r>
        <w:rPr>
          <w:rFonts w:ascii="楷体_GB2312" w:hAnsi="楷体_GB2312" w:eastAsia="楷体_GB2312"/>
          <w:b/>
          <w:sz w:val="32"/>
        </w:rPr>
        <w:t>（一）机关运行经费及公用经费支出情况</w:t>
      </w:r>
    </w:p>
    <w:p w14:paraId="3ABE07F9">
      <w:pPr>
        <w:spacing w:line="580" w:lineRule="exact"/>
        <w:ind w:firstLine="640"/>
        <w:jc w:val="both"/>
      </w:pPr>
      <w:r>
        <w:rPr>
          <w:rFonts w:ascii="仿宋_GB2312" w:hAnsi="仿宋_GB2312" w:eastAsia="仿宋_GB2312"/>
          <w:b w:val="0"/>
          <w:sz w:val="32"/>
        </w:rPr>
        <w:t>2024年度吉木萨尔县互联网信息办公室（行政单位和参照公务员法管理事业单位）机关运行经费支出19.21万元，比上年减少8.03万元，下降29.48%，主要原因是：严格控制公用经费，合理节约办公用品，减少不必要开支。</w:t>
      </w:r>
    </w:p>
    <w:p w14:paraId="5B62886E">
      <w:pPr>
        <w:spacing w:line="640" w:lineRule="exact"/>
        <w:ind w:firstLine="640"/>
        <w:jc w:val="both"/>
        <w:outlineLvl w:val="3"/>
      </w:pPr>
      <w:r>
        <w:rPr>
          <w:rFonts w:ascii="楷体_GB2312" w:hAnsi="楷体_GB2312" w:eastAsia="楷体_GB2312"/>
          <w:b/>
          <w:sz w:val="32"/>
        </w:rPr>
        <w:t>（二）政府采购情况</w:t>
      </w:r>
    </w:p>
    <w:p w14:paraId="3EEEE941">
      <w:pPr>
        <w:spacing w:line="580" w:lineRule="exact"/>
        <w:ind w:firstLine="640"/>
        <w:jc w:val="both"/>
      </w:pPr>
      <w:r>
        <w:rPr>
          <w:rFonts w:ascii="仿宋_GB2312" w:hAnsi="仿宋_GB2312" w:eastAsia="仿宋_GB2312"/>
          <w:b w:val="0"/>
          <w:sz w:val="32"/>
        </w:rPr>
        <w:t>2024年度政府采购支出总额3.42万元，其中：政府采购货物支出3.42万元、政府采购工程支出0.00万元、政府采购服务支出0.00万元。</w:t>
      </w:r>
    </w:p>
    <w:p w14:paraId="7291CFC9">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FF4D5F7">
      <w:pPr>
        <w:spacing w:line="640" w:lineRule="exact"/>
        <w:ind w:firstLine="640"/>
        <w:jc w:val="both"/>
        <w:outlineLvl w:val="3"/>
      </w:pPr>
      <w:r>
        <w:rPr>
          <w:rFonts w:ascii="楷体_GB2312" w:hAnsi="楷体_GB2312" w:eastAsia="楷体_GB2312"/>
          <w:b/>
          <w:sz w:val="32"/>
        </w:rPr>
        <w:t>（三）国有资产占用情况说明</w:t>
      </w:r>
    </w:p>
    <w:p w14:paraId="2825D518">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F615821">
      <w:pPr>
        <w:spacing w:line="640" w:lineRule="exact"/>
        <w:ind w:firstLine="640"/>
        <w:jc w:val="both"/>
        <w:outlineLvl w:val="2"/>
      </w:pPr>
      <w:r>
        <w:rPr>
          <w:rFonts w:ascii="黑体" w:hAnsi="黑体" w:eastAsia="黑体"/>
          <w:sz w:val="32"/>
        </w:rPr>
        <w:t>十一、预算绩效的情况说明</w:t>
      </w:r>
    </w:p>
    <w:p w14:paraId="41B3EB0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384.93万元，实际执行总额380.94万元；预算绩效评价项目0个，全年预算数0.00万元，全年执行数0.00万元。预算绩效管理取得的成效：一是坚持党建引领，夯实网信队伍建设。发挥示范引领作用。强化干部监督执纪，以月促效卓有成效；二是加强正面引导，网络传播成效显著。发挥矩阵传播作用。文化润疆扎实有效。舆论引导持续用力；三是坚持管治并重，网络综合治理有力。协调联动管控有力。网络安全保障坚实。引导公众参与治理。发现的问题及原因：一是缺乏同媒体打交道的主动意识，不会灵活运用利用各类新媒体平台进行宣传引导；二是没有抓住互联网新兴领域特点不断丰富活动形式。下一步改进措施：一是持续推动党建工作；二是守正创新深入阐述好习近平总书记关于全面深化改革</w:t>
      </w:r>
      <w:r>
        <w:rPr>
          <w:rFonts w:hint="eastAsia" w:ascii="仿宋_GB2312" w:hAnsi="仿宋_GB2312" w:eastAsia="仿宋_GB2312"/>
          <w:b w:val="0"/>
          <w:sz w:val="32"/>
          <w:lang w:eastAsia="zh-CN"/>
        </w:rPr>
        <w:t>新</w:t>
      </w:r>
      <w:r>
        <w:rPr>
          <w:rFonts w:ascii="仿宋_GB2312" w:hAnsi="仿宋_GB2312" w:eastAsia="仿宋_GB2312"/>
          <w:b w:val="0"/>
          <w:sz w:val="32"/>
        </w:rPr>
        <w:t>思想，新观点、新论断，让党的创新理论通过互联网“飞入寻常百姓家”；二是开展好“网络文化节活动”，讲好吉木萨尔县高质量发展实践故事；三是积极做好数字乡村建设及</w:t>
      </w:r>
      <w:r>
        <w:rPr>
          <w:rFonts w:hint="eastAsia" w:ascii="仿宋_GB2312" w:hAnsi="仿宋_GB2312" w:eastAsia="仿宋_GB2312"/>
          <w:b w:val="0"/>
          <w:sz w:val="32"/>
          <w:lang w:eastAsia="zh-CN"/>
        </w:rPr>
        <w:t>全民</w:t>
      </w:r>
      <w:r>
        <w:rPr>
          <w:rFonts w:ascii="仿宋_GB2312" w:hAnsi="仿宋_GB2312" w:eastAsia="仿宋_GB2312"/>
          <w:b w:val="0"/>
          <w:sz w:val="32"/>
        </w:rPr>
        <w:t>素养提升工作。具体附整体支出绩效自评表。</w:t>
      </w:r>
    </w:p>
    <w:p w14:paraId="6DACC5C4">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3062461">
        <w:tblPrEx>
          <w:tblCellMar>
            <w:top w:w="0" w:type="dxa"/>
            <w:left w:w="108" w:type="dxa"/>
            <w:bottom w:w="0" w:type="dxa"/>
            <w:right w:w="108" w:type="dxa"/>
          </w:tblCellMar>
        </w:tblPrEx>
        <w:tc>
          <w:tcPr>
            <w:tcW w:w="8847" w:type="dxa"/>
            <w:gridSpan w:val="9"/>
            <w:vAlign w:val="center"/>
          </w:tcPr>
          <w:p w14:paraId="1C0879C7">
            <w:pPr>
              <w:jc w:val="center"/>
            </w:pPr>
            <w:r>
              <w:rPr>
                <w:rFonts w:ascii="宋体" w:hAnsi="宋体" w:eastAsia="宋体"/>
                <w:sz w:val="24"/>
              </w:rPr>
              <w:t>单位整体支出绩效自评表</w:t>
            </w:r>
          </w:p>
        </w:tc>
      </w:tr>
      <w:tr w14:paraId="17F9869B">
        <w:tblPrEx>
          <w:tblCellMar>
            <w:top w:w="0" w:type="dxa"/>
            <w:left w:w="108" w:type="dxa"/>
            <w:bottom w:w="0" w:type="dxa"/>
            <w:right w:w="108" w:type="dxa"/>
          </w:tblCellMar>
        </w:tblPrEx>
        <w:tc>
          <w:tcPr>
            <w:tcW w:w="8847" w:type="dxa"/>
            <w:gridSpan w:val="9"/>
            <w:vAlign w:val="center"/>
          </w:tcPr>
          <w:p w14:paraId="14354C43">
            <w:pPr>
              <w:jc w:val="center"/>
            </w:pPr>
            <w:r>
              <w:rPr>
                <w:rFonts w:ascii="宋体" w:hAnsi="宋体" w:eastAsia="宋体"/>
                <w:sz w:val="24"/>
              </w:rPr>
              <w:t>（2024年度）</w:t>
            </w:r>
          </w:p>
        </w:tc>
      </w:tr>
      <w:tr w14:paraId="1446D17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C282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86992CA">
            <w:pPr>
              <w:jc w:val="center"/>
            </w:pPr>
            <w:r>
              <w:rPr>
                <w:rFonts w:ascii="宋体" w:hAnsi="宋体" w:eastAsia="宋体"/>
                <w:sz w:val="16"/>
              </w:rPr>
              <w:t>吉木萨尔县互联网信息办公室</w:t>
            </w:r>
          </w:p>
        </w:tc>
      </w:tr>
      <w:tr w14:paraId="5FC619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03FE9">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0109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A850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B2BF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8A66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021F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70105">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673DD">
            <w:pPr>
              <w:jc w:val="center"/>
            </w:pPr>
            <w:r>
              <w:rPr>
                <w:rFonts w:ascii="宋体" w:hAnsi="宋体" w:eastAsia="宋体"/>
                <w:sz w:val="16"/>
              </w:rPr>
              <w:t>得分</w:t>
            </w:r>
          </w:p>
        </w:tc>
      </w:tr>
      <w:tr w14:paraId="125EC5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B5DF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25825">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FD1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D18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890D6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7C1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96A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54785">
            <w:pPr>
              <w:jc w:val="center"/>
            </w:pPr>
            <w:r>
              <w:rPr>
                <w:rFonts w:ascii="宋体" w:hAnsi="宋体" w:eastAsia="宋体"/>
                <w:sz w:val="16"/>
              </w:rPr>
              <w:t>-</w:t>
            </w:r>
          </w:p>
        </w:tc>
      </w:tr>
      <w:tr w14:paraId="26179D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6B66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43B61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63EEC">
            <w:pPr>
              <w:jc w:val="center"/>
            </w:pPr>
            <w:r>
              <w:rPr>
                <w:rFonts w:ascii="宋体" w:hAnsi="宋体" w:eastAsia="宋体"/>
                <w:sz w:val="16"/>
              </w:rPr>
              <w:t>352.28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7CD2C">
            <w:pPr>
              <w:jc w:val="center"/>
            </w:pPr>
            <w:r>
              <w:rPr>
                <w:rFonts w:ascii="宋体" w:hAnsi="宋体" w:eastAsia="宋体"/>
                <w:sz w:val="16"/>
              </w:rPr>
              <w:t>384.93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1ED66">
            <w:pPr>
              <w:jc w:val="center"/>
            </w:pPr>
            <w:r>
              <w:rPr>
                <w:rFonts w:ascii="宋体" w:hAnsi="宋体" w:eastAsia="宋体"/>
                <w:sz w:val="16"/>
              </w:rPr>
              <w:t>380.94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D1E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1D74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40FC4">
            <w:pPr>
              <w:jc w:val="center"/>
            </w:pPr>
            <w:r>
              <w:rPr>
                <w:rFonts w:ascii="宋体" w:hAnsi="宋体" w:eastAsia="宋体"/>
                <w:sz w:val="16"/>
              </w:rPr>
              <w:t>-</w:t>
            </w:r>
          </w:p>
        </w:tc>
      </w:tr>
      <w:tr w14:paraId="27200E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647A2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45E59">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2BA5C">
            <w:pPr>
              <w:jc w:val="center"/>
            </w:pPr>
            <w:r>
              <w:rPr>
                <w:rFonts w:ascii="宋体" w:hAnsi="宋体" w:eastAsia="宋体"/>
                <w:sz w:val="16"/>
              </w:rPr>
              <w:t>7.09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998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34B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086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A15D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A17B1">
            <w:pPr>
              <w:jc w:val="center"/>
            </w:pPr>
            <w:r>
              <w:rPr>
                <w:rFonts w:ascii="宋体" w:hAnsi="宋体" w:eastAsia="宋体"/>
                <w:sz w:val="16"/>
              </w:rPr>
              <w:t>-</w:t>
            </w:r>
          </w:p>
        </w:tc>
      </w:tr>
      <w:tr w14:paraId="480C52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D60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DCC1B">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5E285">
            <w:pPr>
              <w:jc w:val="center"/>
            </w:pPr>
            <w:r>
              <w:rPr>
                <w:rFonts w:ascii="宋体" w:hAnsi="宋体" w:eastAsia="宋体"/>
                <w:sz w:val="16"/>
              </w:rPr>
              <w:t>359.37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09BE2">
            <w:pPr>
              <w:jc w:val="center"/>
            </w:pPr>
            <w:r>
              <w:rPr>
                <w:rFonts w:ascii="宋体" w:hAnsi="宋体" w:eastAsia="宋体"/>
                <w:sz w:val="16"/>
              </w:rPr>
              <w:t>384.93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7EEFF5">
            <w:pPr>
              <w:jc w:val="center"/>
            </w:pPr>
            <w:r>
              <w:rPr>
                <w:rFonts w:ascii="宋体" w:hAnsi="宋体" w:eastAsia="宋体"/>
                <w:sz w:val="16"/>
              </w:rPr>
              <w:t>380.94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6559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1214D">
            <w:pPr>
              <w:jc w:val="center"/>
            </w:pPr>
            <w:r>
              <w:rPr>
                <w:rFonts w:ascii="宋体" w:hAnsi="宋体" w:eastAsia="宋体"/>
                <w:sz w:val="16"/>
              </w:rPr>
              <w:t>98.96%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DB976">
            <w:pPr>
              <w:jc w:val="center"/>
            </w:pPr>
            <w:r>
              <w:rPr>
                <w:rFonts w:ascii="宋体" w:hAnsi="宋体" w:eastAsia="宋体"/>
                <w:sz w:val="16"/>
              </w:rPr>
              <w:t>9.89</w:t>
            </w:r>
          </w:p>
        </w:tc>
      </w:tr>
      <w:tr w14:paraId="473448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F22BD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09481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946B30C">
            <w:pPr>
              <w:jc w:val="center"/>
            </w:pPr>
            <w:r>
              <w:rPr>
                <w:rFonts w:ascii="宋体" w:hAnsi="宋体" w:eastAsia="宋体"/>
                <w:sz w:val="16"/>
              </w:rPr>
              <w:t>实际完成情况</w:t>
            </w:r>
          </w:p>
        </w:tc>
      </w:tr>
      <w:tr w14:paraId="31C202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691A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41EBB8">
            <w:pPr>
              <w:jc w:val="both"/>
            </w:pPr>
            <w:r>
              <w:rPr>
                <w:rFonts w:hint="eastAsia" w:ascii="宋体" w:hAnsi="宋体"/>
                <w:sz w:val="16"/>
                <w:lang w:eastAsia="zh-CN"/>
              </w:rPr>
              <w:t>1.</w:t>
            </w:r>
            <w:r>
              <w:rPr>
                <w:rFonts w:ascii="宋体" w:hAnsi="宋体" w:eastAsia="宋体"/>
                <w:sz w:val="16"/>
              </w:rPr>
              <w:t>坚持守正创新，发挥矩阵传播优势，壮大主流舆论。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2、坚持底线思维，抓好攻防队伍建设，守好网络空间。</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3、坚持综合治理，加大网络执法力度，打造清朗网络空间。</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4、坚持创新驱动，加强网信人才培养，提升管网水平。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5、坚持党建引领，抓实抓细网络统战，促进融合。</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55B255">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全年预算数为384.93万元，全年实际支出资金380.94万元，预算执行率为98.96%，主要完成</w:t>
            </w:r>
            <w:r>
              <w:rPr>
                <w:rFonts w:hint="eastAsia" w:ascii="宋体" w:hAnsi="宋体"/>
                <w:sz w:val="16"/>
                <w:lang w:eastAsia="zh-CN"/>
              </w:rPr>
              <w:t>以下</w:t>
            </w:r>
            <w:r>
              <w:rPr>
                <w:rFonts w:ascii="宋体" w:hAnsi="宋体" w:eastAsia="宋体"/>
                <w:sz w:val="16"/>
              </w:rPr>
              <w:t>内容其中：</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（一）高位推动高效落实在党委、政府的大力支持下实现了人员力量、技术防控双提升。</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二）科学谋划统筹抓落实。优化业务岗位分工。按照县委常委会会议精神，及时召开干部会议传达落实，召开主任会议5场次，研究2024年网信绩效考核指标，做到主要领导牵头抓总，分管领导具体实施，岗位负责人分头抓落实细化岗位。</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（三）党建示范引领夯基础。加强学习提升工作能力。坚持党管互联网原则，认真抓好机关支部和协会支部党员</w:t>
            </w:r>
            <w:bookmarkStart w:id="0" w:name="_GoBack"/>
            <w:r>
              <w:rPr>
                <w:rFonts w:hint="eastAsia" w:ascii="宋体" w:hAnsi="宋体"/>
                <w:sz w:val="16"/>
                <w:lang w:eastAsia="zh-CN"/>
              </w:rPr>
              <w:t>“三会一课”制度</w:t>
            </w:r>
            <w:bookmarkEnd w:id="0"/>
            <w:r>
              <w:rPr>
                <w:rFonts w:ascii="宋体" w:hAnsi="宋体" w:eastAsia="宋体"/>
                <w:sz w:val="16"/>
              </w:rPr>
              <w:t>落实，累计开展线上线下集中学习、主题党日活动共25场次。丰富活动载体增强动力。走访包联推动网企发展。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（四）正向传播引导守阵地。压实网络平台信息内容主体责任。70载辉煌荣光，凝聚团结奋斗精神力量。</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（五）开展网络文化活动，共建共享网上精神家园。媒体达人“请进来”，无限风光“传出去”。</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（六）提升全民数字素养完成数字乡村建设要求。</w:t>
            </w:r>
          </w:p>
        </w:tc>
      </w:tr>
      <w:tr w14:paraId="515A1E0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C0EB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ADA29">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2E2F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06993">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9E91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CEC7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0E34A">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09998">
            <w:pPr>
              <w:jc w:val="center"/>
            </w:pPr>
            <w:r>
              <w:rPr>
                <w:rFonts w:ascii="宋体" w:hAnsi="宋体" w:eastAsia="宋体"/>
                <w:sz w:val="16"/>
              </w:rPr>
              <w:t>得分</w:t>
            </w:r>
          </w:p>
        </w:tc>
      </w:tr>
      <w:tr w14:paraId="3C3A3B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92EE0">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52193A">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DD71F">
            <w:pPr>
              <w:jc w:val="center"/>
            </w:pPr>
            <w:r>
              <w:rPr>
                <w:rFonts w:ascii="宋体" w:hAnsi="宋体" w:eastAsia="宋体"/>
                <w:sz w:val="16"/>
              </w:rPr>
              <w:t>在职人员数量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87067">
            <w:pPr>
              <w:jc w:val="center"/>
            </w:pPr>
            <w:r>
              <w:rPr>
                <w:rFonts w:ascii="宋体" w:hAnsi="宋体" w:eastAsia="宋体"/>
                <w:sz w:val="16"/>
              </w:rPr>
              <w:t>&gt;=18人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B7B2D">
            <w:pPr>
              <w:jc w:val="center"/>
            </w:pPr>
            <w:r>
              <w:rPr>
                <w:rFonts w:ascii="宋体" w:hAnsi="宋体" w:eastAsia="宋体"/>
                <w:sz w:val="16"/>
              </w:rPr>
              <w:t>关于批复吉木萨尔县互联网信息办公室2024年部门预算批复的函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F6B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3CEFC">
            <w:pPr>
              <w:jc w:val="center"/>
            </w:pPr>
            <w:r>
              <w:rPr>
                <w:rFonts w:ascii="宋体" w:hAnsi="宋体" w:eastAsia="宋体"/>
                <w:sz w:val="16"/>
              </w:rPr>
              <w:t>=18人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A2030">
            <w:pPr>
              <w:jc w:val="center"/>
            </w:pPr>
            <w:r>
              <w:rPr>
                <w:rFonts w:ascii="宋体" w:hAnsi="宋体" w:eastAsia="宋体"/>
                <w:sz w:val="16"/>
              </w:rPr>
              <w:t>10</w:t>
            </w:r>
          </w:p>
        </w:tc>
      </w:tr>
      <w:tr w14:paraId="19C0456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CCAEA">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CEB0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16E81">
            <w:pPr>
              <w:jc w:val="center"/>
            </w:pPr>
            <w:r>
              <w:rPr>
                <w:rFonts w:ascii="宋体" w:hAnsi="宋体" w:eastAsia="宋体"/>
                <w:sz w:val="16"/>
              </w:rPr>
              <w:t>人员数量稳定率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DE6AE">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255DF">
            <w:pPr>
              <w:jc w:val="center"/>
            </w:pPr>
            <w:r>
              <w:rPr>
                <w:rFonts w:ascii="宋体" w:hAnsi="宋体" w:eastAsia="宋体"/>
                <w:sz w:val="16"/>
              </w:rPr>
              <w:t>关于批复吉木萨尔县互联网信息办公室2024年部门预算批复的函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BBB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640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F7345">
            <w:pPr>
              <w:jc w:val="center"/>
            </w:pPr>
            <w:r>
              <w:rPr>
                <w:rFonts w:ascii="宋体" w:hAnsi="宋体" w:eastAsia="宋体"/>
                <w:sz w:val="16"/>
              </w:rPr>
              <w:t>10</w:t>
            </w:r>
          </w:p>
        </w:tc>
      </w:tr>
      <w:tr w14:paraId="661443D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9F22E0">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1714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8111F">
            <w:pPr>
              <w:jc w:val="center"/>
            </w:pPr>
            <w:r>
              <w:rPr>
                <w:rFonts w:ascii="宋体" w:hAnsi="宋体" w:eastAsia="宋体"/>
                <w:sz w:val="16"/>
              </w:rPr>
              <w:t>舆论APP引导反馈率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4F272">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DC6C2">
            <w:pPr>
              <w:jc w:val="center"/>
            </w:pPr>
            <w:r>
              <w:rPr>
                <w:rFonts w:ascii="宋体" w:hAnsi="宋体" w:eastAsia="宋体"/>
                <w:sz w:val="16"/>
              </w:rPr>
              <w:t>吉木萨尔县委网信办年度工作总结及工作计划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772E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1EDF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A6BC7">
            <w:pPr>
              <w:jc w:val="center"/>
            </w:pPr>
            <w:r>
              <w:rPr>
                <w:rFonts w:ascii="宋体" w:hAnsi="宋体" w:eastAsia="宋体"/>
                <w:sz w:val="16"/>
              </w:rPr>
              <w:t>20</w:t>
            </w:r>
          </w:p>
        </w:tc>
      </w:tr>
      <w:tr w14:paraId="6705B6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19C5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5B3F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EAEC2">
            <w:pPr>
              <w:jc w:val="center"/>
            </w:pPr>
            <w:r>
              <w:rPr>
                <w:rFonts w:ascii="宋体" w:hAnsi="宋体" w:eastAsia="宋体"/>
                <w:sz w:val="16"/>
              </w:rPr>
              <w:t>网络党组织组建率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1E08E">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94B5F">
            <w:pPr>
              <w:jc w:val="center"/>
            </w:pPr>
            <w:r>
              <w:rPr>
                <w:rFonts w:ascii="宋体" w:hAnsi="宋体" w:eastAsia="宋体"/>
                <w:sz w:val="16"/>
              </w:rPr>
              <w:t>吉木萨尔县委网信办年度工作总结及工作计划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C0BA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07CA2">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11ADA">
            <w:pPr>
              <w:jc w:val="center"/>
            </w:pPr>
            <w:r>
              <w:rPr>
                <w:rFonts w:ascii="宋体" w:hAnsi="宋体" w:eastAsia="宋体"/>
                <w:sz w:val="16"/>
              </w:rPr>
              <w:t>20</w:t>
            </w:r>
          </w:p>
        </w:tc>
      </w:tr>
      <w:tr w14:paraId="3ECBF0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75CAC">
            <w:pPr>
              <w:jc w:val="center"/>
            </w:pPr>
            <w:r>
              <w:rPr>
                <w:rFonts w:ascii="宋体" w:hAnsi="宋体" w:eastAsia="宋体"/>
                <w:sz w:val="16"/>
              </w:rPr>
              <w:t>社会效益</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A0E87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43B5D">
            <w:pPr>
              <w:jc w:val="center"/>
            </w:pPr>
            <w:r>
              <w:rPr>
                <w:rFonts w:ascii="宋体" w:hAnsi="宋体" w:eastAsia="宋体"/>
                <w:sz w:val="16"/>
              </w:rPr>
              <w:t>信息化发展、数字乡村统筹协调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F97D5">
            <w:pPr>
              <w:jc w:val="center"/>
            </w:pPr>
            <w:r>
              <w:rPr>
                <w:rFonts w:ascii="宋体" w:hAnsi="宋体" w:eastAsia="宋体"/>
                <w:sz w:val="16"/>
              </w:rPr>
              <w:t>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54B45">
            <w:pPr>
              <w:jc w:val="center"/>
            </w:pPr>
            <w:r>
              <w:rPr>
                <w:rFonts w:ascii="宋体" w:hAnsi="宋体" w:eastAsia="宋体"/>
                <w:sz w:val="16"/>
              </w:rPr>
              <w:t>吉木萨尔县委网信办年度工作总结及工作计划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7DC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92754">
            <w:pPr>
              <w:jc w:val="center"/>
            </w:pPr>
            <w:r>
              <w:rPr>
                <w:rFonts w:ascii="宋体" w:hAnsi="宋体" w:eastAsia="宋体"/>
                <w:sz w:val="16"/>
              </w:rPr>
              <w:t>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F02EB">
            <w:pPr>
              <w:jc w:val="center"/>
            </w:pPr>
            <w:r>
              <w:rPr>
                <w:rFonts w:ascii="宋体" w:hAnsi="宋体" w:eastAsia="宋体"/>
                <w:sz w:val="16"/>
              </w:rPr>
              <w:t>10</w:t>
            </w:r>
          </w:p>
        </w:tc>
      </w:tr>
      <w:tr w14:paraId="15CA3E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76533">
            <w:pPr>
              <w:jc w:val="center"/>
            </w:pPr>
            <w:r>
              <w:rPr>
                <w:rFonts w:ascii="宋体" w:hAnsi="宋体" w:eastAsia="宋体"/>
                <w:sz w:val="16"/>
              </w:rPr>
              <w:t>可持续发展能力</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9668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0484C">
            <w:pPr>
              <w:jc w:val="center"/>
            </w:pPr>
            <w:r>
              <w:rPr>
                <w:rFonts w:ascii="宋体" w:hAnsi="宋体" w:eastAsia="宋体"/>
                <w:sz w:val="16"/>
              </w:rPr>
              <w:t>发生网络安全事故发生率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9ABDF">
            <w:pPr>
              <w:jc w:val="center"/>
            </w:pPr>
            <w:r>
              <w:rPr>
                <w:rFonts w:ascii="宋体" w:hAnsi="宋体" w:eastAsia="宋体"/>
                <w:sz w:val="16"/>
              </w:rPr>
              <w:t>&lt;=10%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E44A7">
            <w:pPr>
              <w:jc w:val="center"/>
            </w:pPr>
            <w:r>
              <w:rPr>
                <w:rFonts w:ascii="宋体" w:hAnsi="宋体" w:eastAsia="宋体"/>
                <w:sz w:val="16"/>
              </w:rPr>
              <w:t>吉木萨尔县委网信办年度工作总结及工作计划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D70C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AF4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D7370F">
            <w:pPr>
              <w:jc w:val="center"/>
            </w:pPr>
            <w:r>
              <w:rPr>
                <w:rFonts w:ascii="宋体" w:hAnsi="宋体" w:eastAsia="宋体"/>
                <w:sz w:val="16"/>
              </w:rPr>
              <w:t>10</w:t>
            </w:r>
          </w:p>
        </w:tc>
      </w:tr>
      <w:tr w14:paraId="575916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C66ED">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94E62">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AD0DA">
            <w:pPr>
              <w:jc w:val="center"/>
            </w:pPr>
            <w:r>
              <w:rPr>
                <w:rFonts w:ascii="宋体" w:hAnsi="宋体" w:eastAsia="宋体"/>
                <w:sz w:val="16"/>
              </w:rPr>
              <w:t>社会网络舆情平稳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F3BC1">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721F1">
            <w:pPr>
              <w:jc w:val="center"/>
            </w:pPr>
            <w:r>
              <w:rPr>
                <w:rFonts w:ascii="宋体" w:hAnsi="宋体" w:eastAsia="宋体"/>
                <w:sz w:val="16"/>
              </w:rPr>
              <w:t>吉木萨尔县委网信办年度工作总结及工作计划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C81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2084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E20F5">
            <w:pPr>
              <w:jc w:val="center"/>
            </w:pPr>
            <w:r>
              <w:rPr>
                <w:rFonts w:ascii="宋体" w:hAnsi="宋体" w:eastAsia="宋体"/>
                <w:sz w:val="16"/>
              </w:rPr>
              <w:t>10</w:t>
            </w:r>
          </w:p>
        </w:tc>
      </w:tr>
    </w:tbl>
    <w:p w14:paraId="1430B22D">
      <w:r>
        <w:br w:type="page"/>
      </w:r>
    </w:p>
    <w:p w14:paraId="476C607E">
      <w:pPr>
        <w:spacing w:line="640" w:lineRule="exact"/>
        <w:ind w:firstLine="640"/>
        <w:jc w:val="both"/>
        <w:outlineLvl w:val="2"/>
      </w:pPr>
      <w:r>
        <w:rPr>
          <w:rFonts w:ascii="黑体" w:hAnsi="黑体" w:eastAsia="黑体"/>
          <w:sz w:val="32"/>
        </w:rPr>
        <w:t>十二、其他需说明的事项</w:t>
      </w:r>
    </w:p>
    <w:p w14:paraId="30A74EE7">
      <w:pPr>
        <w:spacing w:line="580" w:lineRule="exact"/>
        <w:ind w:firstLine="640"/>
        <w:jc w:val="both"/>
      </w:pPr>
      <w:r>
        <w:rPr>
          <w:rFonts w:ascii="仿宋_GB2312" w:hAnsi="仿宋_GB2312" w:eastAsia="仿宋_GB2312"/>
          <w:b w:val="0"/>
          <w:sz w:val="32"/>
        </w:rPr>
        <w:t>本年度本单位政府采购为大型企业采购，故授予中小企业合同金额为0.00万元。</w:t>
      </w:r>
    </w:p>
    <w:p w14:paraId="57E9E8DE">
      <w:r>
        <w:br w:type="page"/>
      </w:r>
    </w:p>
    <w:p w14:paraId="47A577D9">
      <w:pPr>
        <w:spacing w:line="240" w:lineRule="auto"/>
        <w:jc w:val="center"/>
        <w:outlineLvl w:val="1"/>
      </w:pPr>
      <w:r>
        <w:rPr>
          <w:rFonts w:ascii="黑体" w:hAnsi="黑体" w:eastAsia="黑体"/>
          <w:sz w:val="32"/>
        </w:rPr>
        <w:t>第三部分 专业名词解释</w:t>
      </w:r>
    </w:p>
    <w:p w14:paraId="5DAD4B0E">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63F52F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878DE8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DEECDF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EAB704A">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18BE59F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258DC1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E31B63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5B6E1F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6F8915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A09C84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3CB1A0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F04AD6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A9C14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3F46498">
      <w:r>
        <w:br w:type="page"/>
      </w:r>
    </w:p>
    <w:p w14:paraId="0FACE5CD">
      <w:pPr>
        <w:spacing w:line="240" w:lineRule="auto"/>
        <w:jc w:val="center"/>
        <w:outlineLvl w:val="1"/>
      </w:pPr>
      <w:r>
        <w:rPr>
          <w:rFonts w:ascii="黑体" w:hAnsi="黑体" w:eastAsia="黑体"/>
          <w:sz w:val="32"/>
        </w:rPr>
        <w:t>第四部分 部门决算报表（见附表）</w:t>
      </w:r>
    </w:p>
    <w:p w14:paraId="354BECE0">
      <w:pPr>
        <w:spacing w:line="240" w:lineRule="auto"/>
        <w:ind w:firstLine="640"/>
        <w:jc w:val="both"/>
      </w:pPr>
      <w:r>
        <w:rPr>
          <w:rFonts w:ascii="仿宋_GB2312" w:hAnsi="仿宋_GB2312" w:eastAsia="仿宋_GB2312"/>
          <w:b w:val="0"/>
          <w:sz w:val="32"/>
        </w:rPr>
        <w:t>一、《收入支出决算总表》</w:t>
      </w:r>
    </w:p>
    <w:p w14:paraId="0752FD8B">
      <w:pPr>
        <w:spacing w:line="240" w:lineRule="auto"/>
        <w:ind w:firstLine="640"/>
        <w:jc w:val="both"/>
      </w:pPr>
      <w:r>
        <w:rPr>
          <w:rFonts w:ascii="仿宋_GB2312" w:hAnsi="仿宋_GB2312" w:eastAsia="仿宋_GB2312"/>
          <w:b w:val="0"/>
          <w:sz w:val="32"/>
        </w:rPr>
        <w:t>二、《收入决算表》</w:t>
      </w:r>
    </w:p>
    <w:p w14:paraId="1F0C0B32">
      <w:pPr>
        <w:spacing w:line="240" w:lineRule="auto"/>
        <w:ind w:firstLine="640"/>
        <w:jc w:val="both"/>
      </w:pPr>
      <w:r>
        <w:rPr>
          <w:rFonts w:ascii="仿宋_GB2312" w:hAnsi="仿宋_GB2312" w:eastAsia="仿宋_GB2312"/>
          <w:b w:val="0"/>
          <w:sz w:val="32"/>
        </w:rPr>
        <w:t>三、《支出决算表》</w:t>
      </w:r>
    </w:p>
    <w:p w14:paraId="3D2A3762">
      <w:pPr>
        <w:spacing w:line="240" w:lineRule="auto"/>
        <w:ind w:firstLine="640"/>
        <w:jc w:val="both"/>
      </w:pPr>
      <w:r>
        <w:rPr>
          <w:rFonts w:ascii="仿宋_GB2312" w:hAnsi="仿宋_GB2312" w:eastAsia="仿宋_GB2312"/>
          <w:b w:val="0"/>
          <w:sz w:val="32"/>
        </w:rPr>
        <w:t>四、《财政拨款收入支出决算总表》</w:t>
      </w:r>
    </w:p>
    <w:p w14:paraId="0DCBC62E">
      <w:pPr>
        <w:spacing w:line="240" w:lineRule="auto"/>
        <w:ind w:firstLine="640"/>
        <w:jc w:val="both"/>
      </w:pPr>
      <w:r>
        <w:rPr>
          <w:rFonts w:ascii="仿宋_GB2312" w:hAnsi="仿宋_GB2312" w:eastAsia="仿宋_GB2312"/>
          <w:b w:val="0"/>
          <w:sz w:val="32"/>
        </w:rPr>
        <w:t>五、《一般公共预算财政拨款支出决算表》</w:t>
      </w:r>
    </w:p>
    <w:p w14:paraId="1E2247D7">
      <w:pPr>
        <w:spacing w:line="240" w:lineRule="auto"/>
        <w:ind w:firstLine="640"/>
        <w:jc w:val="both"/>
      </w:pPr>
      <w:r>
        <w:rPr>
          <w:rFonts w:ascii="仿宋_GB2312" w:hAnsi="仿宋_GB2312" w:eastAsia="仿宋_GB2312"/>
          <w:b w:val="0"/>
          <w:sz w:val="32"/>
        </w:rPr>
        <w:t>六、《一般公共预算财政拨款基本支出决算表》</w:t>
      </w:r>
    </w:p>
    <w:p w14:paraId="51313B59">
      <w:pPr>
        <w:spacing w:line="240" w:lineRule="auto"/>
        <w:ind w:firstLine="640"/>
        <w:jc w:val="both"/>
      </w:pPr>
      <w:r>
        <w:rPr>
          <w:rFonts w:ascii="仿宋_GB2312" w:hAnsi="仿宋_GB2312" w:eastAsia="仿宋_GB2312"/>
          <w:b w:val="0"/>
          <w:sz w:val="32"/>
        </w:rPr>
        <w:t>七、《政府性基金预算财政拨款收入支出决算表》</w:t>
      </w:r>
    </w:p>
    <w:p w14:paraId="6A2A29F2">
      <w:pPr>
        <w:spacing w:line="240" w:lineRule="auto"/>
        <w:ind w:firstLine="640"/>
        <w:jc w:val="both"/>
      </w:pPr>
      <w:r>
        <w:rPr>
          <w:rFonts w:ascii="仿宋_GB2312" w:hAnsi="仿宋_GB2312" w:eastAsia="仿宋_GB2312"/>
          <w:b w:val="0"/>
          <w:sz w:val="32"/>
        </w:rPr>
        <w:t>八、《国有资本经营预算财政拨款收入支出决算表》</w:t>
      </w:r>
    </w:p>
    <w:p w14:paraId="6393EE6B">
      <w:pPr>
        <w:spacing w:line="240" w:lineRule="auto"/>
        <w:ind w:firstLine="640"/>
        <w:jc w:val="both"/>
      </w:pPr>
      <w:r>
        <w:rPr>
          <w:rFonts w:ascii="仿宋_GB2312" w:hAnsi="仿宋_GB2312" w:eastAsia="仿宋_GB2312"/>
          <w:b w:val="0"/>
          <w:sz w:val="32"/>
        </w:rPr>
        <w:t>九、《财政拨款“三公”经费支出决算表》</w:t>
      </w:r>
    </w:p>
    <w:p w14:paraId="663DD0D5">
      <w:pPr>
        <w:spacing w:line="240" w:lineRule="auto"/>
        <w:ind w:firstLine="640"/>
        <w:jc w:val="both"/>
      </w:pPr>
    </w:p>
    <w:p w14:paraId="0102B7D2">
      <w:pPr>
        <w:spacing w:line="240" w:lineRule="auto"/>
        <w:ind w:firstLine="640"/>
        <w:jc w:val="both"/>
      </w:pPr>
    </w:p>
    <w:p w14:paraId="001859B8">
      <w:pPr>
        <w:spacing w:line="240" w:lineRule="auto"/>
        <w:ind w:firstLine="640"/>
        <w:jc w:val="both"/>
      </w:pPr>
    </w:p>
    <w:p w14:paraId="0FE371B1">
      <w:pPr>
        <w:spacing w:line="240" w:lineRule="auto"/>
        <w:ind w:firstLine="640"/>
        <w:jc w:val="both"/>
      </w:pPr>
    </w:p>
    <w:p w14:paraId="2C8A35A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E92A644-1E91-48EC-8264-B71A4F9E2B3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D1A1687-4DB1-44C8-A5DC-6E248A60CA38}"/>
  </w:font>
  <w:font w:name="仿宋_GB2312">
    <w:panose1 w:val="02010609030101010101"/>
    <w:charset w:val="86"/>
    <w:family w:val="modern"/>
    <w:pitch w:val="default"/>
    <w:sig w:usb0="00000001" w:usb1="080E0000" w:usb2="00000000" w:usb3="00000000" w:csb0="00040000" w:csb1="00000000"/>
    <w:embedRegular r:id="rId3" w:fontKey="{78EF9D19-D1FE-4677-B60F-5485E32C4195}"/>
  </w:font>
  <w:font w:name="楷体_GB2312">
    <w:panose1 w:val="02010609030101010101"/>
    <w:charset w:val="86"/>
    <w:family w:val="auto"/>
    <w:pitch w:val="default"/>
    <w:sig w:usb0="00000001" w:usb1="080E0000" w:usb2="00000000" w:usb3="00000000" w:csb0="00040000" w:csb1="00000000"/>
    <w:embedRegular r:id="rId4" w:fontKey="{584BA7C2-C6AA-4057-97C8-7808BB7A0908}"/>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52444CF"/>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4851</Words>
  <Characters>5557</Characters>
  <Lines>0</Lines>
  <Paragraphs>0</Paragraphs>
  <TotalTime>4</TotalTime>
  <ScaleCrop>false</ScaleCrop>
  <LinksUpToDate>false</LinksUpToDate>
  <CharactersWithSpaces>5565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2025-10-13T07:44:27Z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