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5C26E68">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中国共产主义青年团吉木萨尔县委员会</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8EDAB9A">
      <w:r>
        <w:br w:type="page"/>
      </w:r>
    </w:p>
    <w:p w14:paraId="5727B846">
      <w:pPr>
        <w:spacing w:line="640" w:lineRule="exact"/>
        <w:jc w:val="center"/>
        <w:outlineLvl w:val="1"/>
      </w:pPr>
      <w:r>
        <w:rPr>
          <w:rFonts w:ascii="黑体" w:hAnsi="黑体" w:eastAsia="黑体"/>
          <w:sz w:val="32"/>
        </w:rPr>
        <w:t>第一部分 单位概况</w:t>
      </w:r>
    </w:p>
    <w:p w14:paraId="6BBB3C73">
      <w:pPr>
        <w:spacing w:line="640" w:lineRule="exact"/>
        <w:ind w:firstLine="640"/>
        <w:jc w:val="both"/>
        <w:outlineLvl w:val="2"/>
      </w:pPr>
      <w:r>
        <w:rPr>
          <w:rFonts w:ascii="黑体" w:hAnsi="黑体" w:eastAsia="黑体"/>
          <w:sz w:val="32"/>
        </w:rPr>
        <w:t>一、主要职能</w:t>
      </w:r>
    </w:p>
    <w:p w14:paraId="1F14D4C4">
      <w:pPr>
        <w:spacing w:line="580" w:lineRule="exact"/>
        <w:ind w:firstLine="640"/>
        <w:jc w:val="both"/>
      </w:pPr>
      <w:r>
        <w:rPr>
          <w:rFonts w:ascii="仿宋_GB2312" w:hAnsi="仿宋_GB2312" w:eastAsia="仿宋_GB2312"/>
          <w:sz w:val="32"/>
        </w:rPr>
        <w:t>（1）领导全县共青团工作，组织全县共青团组织围绕改革、发展、稳定的大局开展工作，在政治、经济、文化等活动中发挥党的助手作用。</w:t>
      </w:r>
    </w:p>
    <w:p w14:paraId="2F4CAEEC">
      <w:pPr>
        <w:spacing w:line="580" w:lineRule="exact"/>
        <w:ind w:firstLine="640"/>
        <w:jc w:val="both"/>
      </w:pPr>
      <w:r>
        <w:rPr>
          <w:rFonts w:ascii="仿宋_GB2312" w:hAnsi="仿宋_GB2312" w:eastAsia="仿宋_GB2312"/>
          <w:sz w:val="32"/>
        </w:rPr>
        <w:t>（2）负责全县共青团系统外事工作和青少年对外交流工作。</w:t>
      </w:r>
    </w:p>
    <w:p w14:paraId="2CA56B92">
      <w:pPr>
        <w:spacing w:line="580" w:lineRule="exact"/>
        <w:ind w:firstLine="640"/>
        <w:jc w:val="both"/>
      </w:pPr>
      <w:r>
        <w:rPr>
          <w:rFonts w:ascii="仿宋_GB2312" w:hAnsi="仿宋_GB2312" w:eastAsia="仿宋_GB2312"/>
          <w:sz w:val="32"/>
        </w:rPr>
        <w:t>（3）围绕县委、县政府中心工作，推进全县青少年精神文明建设，负责指导并组织实施全县青少年的思想理论教育、宣传文化活动，培养、选拔、推荐、表彰优秀青少年，指导全县志愿者工作的开展。</w:t>
      </w:r>
    </w:p>
    <w:p w14:paraId="1DD878E4">
      <w:pPr>
        <w:spacing w:line="580" w:lineRule="exact"/>
        <w:ind w:firstLine="640"/>
        <w:jc w:val="both"/>
      </w:pPr>
      <w:r>
        <w:rPr>
          <w:rFonts w:ascii="仿宋_GB2312" w:hAnsi="仿宋_GB2312" w:eastAsia="仿宋_GB2312"/>
          <w:sz w:val="32"/>
        </w:rPr>
        <w:t>（4）向县委、县政府反映青少年思想状况，参与协调处理各种与青少年利益相关的工作。</w:t>
      </w:r>
    </w:p>
    <w:p w14:paraId="1C59FBCF">
      <w:pPr>
        <w:spacing w:line="580" w:lineRule="exact"/>
        <w:ind w:firstLine="640"/>
        <w:jc w:val="both"/>
      </w:pPr>
      <w:r>
        <w:rPr>
          <w:rFonts w:ascii="仿宋_GB2312" w:hAnsi="仿宋_GB2312" w:eastAsia="仿宋_GB2312"/>
          <w:sz w:val="32"/>
        </w:rPr>
        <w:t>（5）负责团县委直属企事业单位的管理工作，筹措青少年事业发展经费。</w:t>
      </w:r>
    </w:p>
    <w:p w14:paraId="2D42FDF9">
      <w:pPr>
        <w:spacing w:line="580" w:lineRule="exact"/>
        <w:ind w:firstLine="640"/>
        <w:jc w:val="both"/>
      </w:pPr>
      <w:r>
        <w:rPr>
          <w:rFonts w:ascii="仿宋_GB2312" w:hAnsi="仿宋_GB2312" w:eastAsia="仿宋_GB2312"/>
          <w:sz w:val="32"/>
        </w:rPr>
        <w:t>（6）承办县委、县政府和州团委交办的其他事项。</w:t>
      </w:r>
    </w:p>
    <w:p w14:paraId="04C10866">
      <w:pPr>
        <w:spacing w:line="640" w:lineRule="exact"/>
        <w:ind w:firstLine="640"/>
        <w:jc w:val="both"/>
        <w:outlineLvl w:val="2"/>
      </w:pPr>
      <w:r>
        <w:rPr>
          <w:rFonts w:ascii="黑体" w:hAnsi="黑体" w:eastAsia="黑体"/>
          <w:sz w:val="32"/>
        </w:rPr>
        <w:t>二、机构设置及人员情况</w:t>
      </w:r>
    </w:p>
    <w:p w14:paraId="52E9E7C5">
      <w:pPr>
        <w:spacing w:line="580" w:lineRule="exact"/>
        <w:ind w:firstLine="640"/>
        <w:jc w:val="both"/>
      </w:pPr>
      <w:r>
        <w:rPr>
          <w:rFonts w:ascii="仿宋_GB2312" w:hAnsi="仿宋_GB2312" w:eastAsia="仿宋_GB2312"/>
          <w:sz w:val="32"/>
        </w:rPr>
        <w:t>中国共产主义青年团吉木萨尔县委员会2024年度，实有人数3人，其中：在职人员3人，增加0人；离休人员0人，增加0人；退休人员0人,增加0人。</w:t>
      </w:r>
    </w:p>
    <w:p w14:paraId="154C33D9">
      <w:pPr>
        <w:spacing w:line="580" w:lineRule="exact"/>
        <w:ind w:firstLine="640"/>
        <w:jc w:val="both"/>
      </w:pPr>
      <w:r>
        <w:rPr>
          <w:rFonts w:ascii="仿宋_GB2312" w:hAnsi="仿宋_GB2312" w:eastAsia="仿宋_GB2312"/>
          <w:sz w:val="32"/>
        </w:rPr>
        <w:t>中国共产主义青年团吉木萨尔县委员会无下属预算单位，下设2个科室，分别是：办公室、财务室。</w:t>
      </w:r>
    </w:p>
    <w:p w14:paraId="2319D24D">
      <w:r>
        <w:br w:type="page"/>
      </w:r>
    </w:p>
    <w:p w14:paraId="3BBFDDAA">
      <w:pPr>
        <w:spacing w:line="240" w:lineRule="auto"/>
        <w:jc w:val="center"/>
        <w:outlineLvl w:val="1"/>
      </w:pPr>
      <w:r>
        <w:rPr>
          <w:rFonts w:ascii="黑体" w:hAnsi="黑体" w:eastAsia="黑体"/>
          <w:sz w:val="32"/>
        </w:rPr>
        <w:t>第二部分 部门决算情况说明</w:t>
      </w:r>
    </w:p>
    <w:p w14:paraId="18165577">
      <w:pPr>
        <w:spacing w:line="640" w:lineRule="exact"/>
        <w:ind w:firstLine="640"/>
        <w:jc w:val="both"/>
        <w:outlineLvl w:val="2"/>
      </w:pPr>
      <w:r>
        <w:rPr>
          <w:rFonts w:ascii="黑体" w:hAnsi="黑体" w:eastAsia="黑体"/>
          <w:sz w:val="32"/>
        </w:rPr>
        <w:t>一、收入支出决算总体情况说明</w:t>
      </w:r>
    </w:p>
    <w:p w14:paraId="3B5703F2">
      <w:pPr>
        <w:spacing w:line="580" w:lineRule="exact"/>
        <w:ind w:firstLine="640"/>
        <w:jc w:val="both"/>
      </w:pPr>
      <w:r>
        <w:rPr>
          <w:rFonts w:ascii="仿宋_GB2312" w:hAnsi="仿宋_GB2312" w:eastAsia="仿宋_GB2312"/>
          <w:b/>
          <w:sz w:val="32"/>
        </w:rPr>
        <w:t>2024年度收入总计596.58万元，</w:t>
      </w:r>
      <w:r>
        <w:rPr>
          <w:rFonts w:ascii="仿宋_GB2312" w:hAnsi="仿宋_GB2312" w:eastAsia="仿宋_GB2312"/>
          <w:b w:val="0"/>
          <w:sz w:val="32"/>
        </w:rPr>
        <w:t>其中：本年收入合计565.89万元，使用非财政拨款结余（含专用结余）0.00万元，年初结转和结余30.68万元。</w:t>
      </w:r>
    </w:p>
    <w:p w14:paraId="54717596">
      <w:pPr>
        <w:spacing w:line="580" w:lineRule="exact"/>
        <w:ind w:firstLine="640"/>
        <w:jc w:val="both"/>
      </w:pPr>
      <w:r>
        <w:rPr>
          <w:rFonts w:ascii="仿宋_GB2312" w:hAnsi="仿宋_GB2312" w:eastAsia="仿宋_GB2312"/>
          <w:b/>
          <w:sz w:val="32"/>
        </w:rPr>
        <w:t>2024年度支出总计596.58万元，</w:t>
      </w:r>
      <w:r>
        <w:rPr>
          <w:rFonts w:ascii="仿宋_GB2312" w:hAnsi="仿宋_GB2312" w:eastAsia="仿宋_GB2312"/>
          <w:b w:val="0"/>
          <w:sz w:val="32"/>
        </w:rPr>
        <w:t>其中：本年支出合计570.56万元，结余分配0.00万元，年末结转和结余26.01万元。</w:t>
      </w:r>
    </w:p>
    <w:p w14:paraId="01CACB02">
      <w:pPr>
        <w:spacing w:line="580" w:lineRule="exact"/>
        <w:ind w:firstLine="640"/>
        <w:jc w:val="both"/>
      </w:pPr>
      <w:r>
        <w:rPr>
          <w:rFonts w:ascii="仿宋_GB2312" w:hAnsi="仿宋_GB2312" w:eastAsia="仿宋_GB2312"/>
          <w:b w:val="0"/>
          <w:sz w:val="32"/>
        </w:rPr>
        <w:t>收入支出总体与上年相比，增加330.20万元，增长123.96%，主要原因是：本年援疆资金增加，增加志愿者补助经费，活动经费支出增加，在职人员工资调增，社保、公积金基数调增，人员经费增加。</w:t>
      </w:r>
    </w:p>
    <w:p w14:paraId="4C791DD5">
      <w:pPr>
        <w:spacing w:line="640" w:lineRule="exact"/>
        <w:ind w:firstLine="640"/>
        <w:jc w:val="both"/>
        <w:outlineLvl w:val="2"/>
      </w:pPr>
      <w:r>
        <w:rPr>
          <w:rFonts w:ascii="黑体" w:hAnsi="黑体" w:eastAsia="黑体"/>
          <w:sz w:val="32"/>
        </w:rPr>
        <w:t>二、收入决算情况说明</w:t>
      </w:r>
    </w:p>
    <w:p w14:paraId="53B03EB1">
      <w:pPr>
        <w:spacing w:line="580" w:lineRule="exact"/>
        <w:ind w:firstLine="640"/>
        <w:jc w:val="both"/>
      </w:pPr>
      <w:r>
        <w:rPr>
          <w:rFonts w:ascii="仿宋_GB2312" w:hAnsi="仿宋_GB2312" w:eastAsia="仿宋_GB2312"/>
          <w:b/>
          <w:sz w:val="32"/>
        </w:rPr>
        <w:t>本年收入565.89万元，</w:t>
      </w:r>
      <w:r>
        <w:rPr>
          <w:rFonts w:ascii="仿宋_GB2312" w:hAnsi="仿宋_GB2312" w:eastAsia="仿宋_GB2312"/>
          <w:b w:val="0"/>
          <w:sz w:val="32"/>
        </w:rPr>
        <w:t>其中：财政拨款收入408.32万元，占72.16%；上级补助收入0.00万元，占0.00%；事业收入0.00万元，占0.00%；经营收入0.00万元，占0.00%；附属单位上缴收入0.00万元，占0.00%；其他收入157.57万元，占27.84%。</w:t>
      </w:r>
    </w:p>
    <w:p w14:paraId="513E0AB3">
      <w:pPr>
        <w:spacing w:line="640" w:lineRule="exact"/>
        <w:ind w:firstLine="640"/>
        <w:jc w:val="both"/>
        <w:outlineLvl w:val="2"/>
      </w:pPr>
      <w:r>
        <w:rPr>
          <w:rFonts w:ascii="黑体" w:hAnsi="黑体" w:eastAsia="黑体"/>
          <w:sz w:val="32"/>
        </w:rPr>
        <w:t>三、支出决算情况说明</w:t>
      </w:r>
    </w:p>
    <w:p w14:paraId="364D26ED">
      <w:pPr>
        <w:spacing w:line="580" w:lineRule="exact"/>
        <w:ind w:firstLine="640"/>
        <w:jc w:val="both"/>
      </w:pPr>
      <w:r>
        <w:rPr>
          <w:rFonts w:ascii="仿宋_GB2312" w:hAnsi="仿宋_GB2312" w:eastAsia="仿宋_GB2312"/>
          <w:b/>
          <w:sz w:val="32"/>
        </w:rPr>
        <w:t>本年支出570.56万元，</w:t>
      </w:r>
      <w:r>
        <w:rPr>
          <w:rFonts w:ascii="仿宋_GB2312" w:hAnsi="仿宋_GB2312" w:eastAsia="仿宋_GB2312"/>
          <w:b w:val="0"/>
          <w:sz w:val="32"/>
        </w:rPr>
        <w:t>其中：基本支出498.70万元，占87.41%；项目支出71.86万元，占12.59%；上缴上级支出0.00万元，占0.00%；经营支出0.00万元，占0.00%；对附属单位补助支出0.00万元，占0.00%。</w:t>
      </w:r>
    </w:p>
    <w:p w14:paraId="5A4A44D7">
      <w:pPr>
        <w:spacing w:line="640" w:lineRule="exact"/>
        <w:ind w:firstLine="640"/>
        <w:jc w:val="both"/>
        <w:outlineLvl w:val="2"/>
      </w:pPr>
      <w:r>
        <w:rPr>
          <w:rFonts w:ascii="黑体" w:hAnsi="黑体" w:eastAsia="黑体"/>
          <w:sz w:val="32"/>
        </w:rPr>
        <w:t>四、财政拨款收入支出决算总体情况说明</w:t>
      </w:r>
    </w:p>
    <w:p w14:paraId="6D60B08F">
      <w:pPr>
        <w:spacing w:line="580" w:lineRule="exact"/>
        <w:ind w:firstLine="640"/>
        <w:jc w:val="both"/>
      </w:pPr>
      <w:r>
        <w:rPr>
          <w:rFonts w:ascii="仿宋_GB2312" w:hAnsi="仿宋_GB2312" w:eastAsia="仿宋_GB2312"/>
          <w:b/>
          <w:sz w:val="32"/>
        </w:rPr>
        <w:t>2024年度财政拨款收入总计408.32万元，</w:t>
      </w:r>
      <w:r>
        <w:rPr>
          <w:rFonts w:ascii="仿宋_GB2312" w:hAnsi="仿宋_GB2312" w:eastAsia="仿宋_GB2312"/>
          <w:b w:val="0"/>
          <w:sz w:val="32"/>
        </w:rPr>
        <w:t>其中：年初财政拨款结转和结余0.00万元，本年财政拨款收入408.32万元。</w:t>
      </w:r>
      <w:r>
        <w:rPr>
          <w:rFonts w:ascii="仿宋_GB2312" w:hAnsi="仿宋_GB2312" w:eastAsia="仿宋_GB2312"/>
          <w:b/>
          <w:sz w:val="32"/>
        </w:rPr>
        <w:t>财政拨款支出总计408.32万元，</w:t>
      </w:r>
      <w:r>
        <w:rPr>
          <w:rFonts w:ascii="仿宋_GB2312" w:hAnsi="仿宋_GB2312" w:eastAsia="仿宋_GB2312"/>
          <w:b w:val="0"/>
          <w:sz w:val="32"/>
        </w:rPr>
        <w:t>其中：年末财政拨款结转和结余0.00万元，本年财政拨款支出408.32万元。</w:t>
      </w:r>
    </w:p>
    <w:p w14:paraId="23095967">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增加217.77万元，增长114.28%，主要原因是：本年增加志愿者补助经费，活动经费支出增加，在职人员工资调增，社保、公积金基数调增，人员经费增加。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年初预算数120.22万元，决算数408.32万元，预决算差异率239.64%，主要原因是：年中追加志愿者补助经费及活动经费，在职人员工资调增，社保、公积金基数调增，年中追加相关人员经费，导致预决算存在差异。</w:t>
      </w:r>
    </w:p>
    <w:p w14:paraId="789C83C3">
      <w:pPr>
        <w:spacing w:line="640" w:lineRule="exact"/>
        <w:ind w:firstLine="640"/>
        <w:jc w:val="both"/>
        <w:outlineLvl w:val="2"/>
      </w:pPr>
      <w:r>
        <w:rPr>
          <w:rFonts w:ascii="黑体" w:hAnsi="黑体" w:eastAsia="黑体"/>
          <w:sz w:val="32"/>
        </w:rPr>
        <w:t>五、一般公共预算财政拨款支出决算情况说明</w:t>
      </w:r>
    </w:p>
    <w:p w14:paraId="7452165C">
      <w:pPr>
        <w:spacing w:line="640" w:lineRule="exact"/>
        <w:ind w:firstLine="640"/>
        <w:jc w:val="both"/>
        <w:outlineLvl w:val="3"/>
      </w:pPr>
      <w:r>
        <w:rPr>
          <w:rFonts w:ascii="楷体_GB2312" w:hAnsi="楷体_GB2312" w:eastAsia="楷体_GB2312"/>
          <w:b/>
          <w:sz w:val="32"/>
        </w:rPr>
        <w:t>（一）一般公共预算财政拨款支出决算总体情况</w:t>
      </w:r>
    </w:p>
    <w:p w14:paraId="7EEEFB85">
      <w:pPr>
        <w:spacing w:line="580" w:lineRule="exact"/>
        <w:ind w:firstLine="640"/>
        <w:jc w:val="both"/>
      </w:pPr>
      <w:r>
        <w:rPr>
          <w:rFonts w:ascii="仿宋_GB2312" w:hAnsi="仿宋_GB2312" w:eastAsia="仿宋_GB2312"/>
          <w:b/>
          <w:sz w:val="32"/>
        </w:rPr>
        <w:t>2024年度一般公共预算财政拨款支出408.32万元，</w:t>
      </w:r>
      <w:r>
        <w:rPr>
          <w:rFonts w:ascii="仿宋_GB2312" w:hAnsi="仿宋_GB2312" w:eastAsia="仿宋_GB2312"/>
          <w:b w:val="0"/>
          <w:sz w:val="32"/>
        </w:rPr>
        <w:t>占本年支出合计的71.56%。</w:t>
      </w:r>
      <w:r>
        <w:rPr>
          <w:rFonts w:ascii="仿宋_GB2312" w:hAnsi="仿宋_GB2312" w:eastAsia="仿宋_GB2312"/>
          <w:b/>
          <w:sz w:val="32"/>
        </w:rPr>
        <w:t>与上年相比，</w:t>
      </w:r>
      <w:r>
        <w:rPr>
          <w:rFonts w:ascii="仿宋_GB2312" w:hAnsi="仿宋_GB2312" w:eastAsia="仿宋_GB2312"/>
          <w:b w:val="0"/>
          <w:sz w:val="32"/>
        </w:rPr>
        <w:t>增加217.77万元，增长114.28%，主要原因是：本年增加志愿者补助经费，活动经费支出增加，在职人员工资调增，社保、公积金基数调增，人员经费增加。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年初预算数120.22万元，决算数408.32万元，预决算差异率239.64%，主要原因是：年中追加志愿者补助经费及活动经费，在职人员工资调增，社保、公积金基数调增，年中追加相关人员经费，导致预决算存在差异。</w:t>
      </w:r>
    </w:p>
    <w:p w14:paraId="55317F46">
      <w:pPr>
        <w:spacing w:line="640" w:lineRule="exact"/>
        <w:ind w:firstLine="640"/>
        <w:jc w:val="both"/>
        <w:outlineLvl w:val="3"/>
      </w:pPr>
      <w:r>
        <w:rPr>
          <w:rFonts w:ascii="楷体_GB2312" w:hAnsi="楷体_GB2312" w:eastAsia="楷体_GB2312"/>
          <w:b/>
          <w:sz w:val="32"/>
        </w:rPr>
        <w:t>（二）一般公共预算财政拨款支出决算结构情况</w:t>
      </w:r>
    </w:p>
    <w:p w14:paraId="77F568E8">
      <w:pPr>
        <w:spacing w:line="580" w:lineRule="exact"/>
        <w:ind w:firstLine="640"/>
        <w:jc w:val="both"/>
      </w:pPr>
      <w:r>
        <w:rPr>
          <w:rFonts w:ascii="仿宋_GB2312" w:hAnsi="仿宋_GB2312" w:eastAsia="仿宋_GB2312"/>
          <w:b w:val="0"/>
          <w:sz w:val="32"/>
        </w:rPr>
        <w:t>1.一般公共服务支出(类)392.26万元,占96.07%。</w:t>
      </w:r>
    </w:p>
    <w:p w14:paraId="2F589AC6">
      <w:pPr>
        <w:spacing w:line="580" w:lineRule="exact"/>
        <w:ind w:firstLine="640"/>
        <w:jc w:val="both"/>
      </w:pPr>
      <w:r>
        <w:rPr>
          <w:rFonts w:ascii="仿宋_GB2312" w:hAnsi="仿宋_GB2312" w:eastAsia="仿宋_GB2312"/>
          <w:b w:val="0"/>
          <w:sz w:val="32"/>
        </w:rPr>
        <w:t>2.科学技术支出(类)1.80万元,占0.44%。</w:t>
      </w:r>
    </w:p>
    <w:p w14:paraId="69F100F7">
      <w:pPr>
        <w:spacing w:line="580" w:lineRule="exact"/>
        <w:ind w:firstLine="640"/>
        <w:jc w:val="both"/>
      </w:pPr>
      <w:r>
        <w:rPr>
          <w:rFonts w:ascii="仿宋_GB2312" w:hAnsi="仿宋_GB2312" w:eastAsia="仿宋_GB2312"/>
          <w:b w:val="0"/>
          <w:sz w:val="32"/>
        </w:rPr>
        <w:t>3.社会保障和就业支出(类)7.32万元,占1.79%。</w:t>
      </w:r>
    </w:p>
    <w:p w14:paraId="3CE950C5">
      <w:pPr>
        <w:spacing w:line="580" w:lineRule="exact"/>
        <w:ind w:firstLine="640"/>
        <w:jc w:val="both"/>
      </w:pPr>
      <w:r>
        <w:rPr>
          <w:rFonts w:ascii="仿宋_GB2312" w:hAnsi="仿宋_GB2312" w:eastAsia="仿宋_GB2312"/>
          <w:b w:val="0"/>
          <w:sz w:val="32"/>
        </w:rPr>
        <w:t>4.卫生健康支出(类)3.33万元,占0.82%。</w:t>
      </w:r>
    </w:p>
    <w:p w14:paraId="4BB3B344">
      <w:pPr>
        <w:spacing w:line="580" w:lineRule="exact"/>
        <w:ind w:firstLine="640"/>
        <w:jc w:val="both"/>
      </w:pPr>
      <w:r>
        <w:rPr>
          <w:rFonts w:ascii="仿宋_GB2312" w:hAnsi="仿宋_GB2312" w:eastAsia="仿宋_GB2312"/>
          <w:b w:val="0"/>
          <w:sz w:val="32"/>
        </w:rPr>
        <w:t>5.住房保障支出(类)3.61万元,占0.88%。</w:t>
      </w:r>
    </w:p>
    <w:p w14:paraId="6DCC073F">
      <w:pPr>
        <w:spacing w:line="640" w:lineRule="exact"/>
        <w:ind w:firstLine="640"/>
        <w:jc w:val="both"/>
        <w:outlineLvl w:val="3"/>
      </w:pPr>
      <w:r>
        <w:rPr>
          <w:rFonts w:ascii="楷体_GB2312" w:hAnsi="楷体_GB2312" w:eastAsia="楷体_GB2312"/>
          <w:b/>
          <w:sz w:val="32"/>
        </w:rPr>
        <w:t>（三）一般公共预算财政拨款支出决算具体情况</w:t>
      </w:r>
    </w:p>
    <w:p w14:paraId="6F12EDF2">
      <w:pPr>
        <w:spacing w:line="580" w:lineRule="exact"/>
        <w:ind w:firstLine="640"/>
        <w:jc w:val="both"/>
      </w:pPr>
      <w:r>
        <w:rPr>
          <w:rFonts w:ascii="仿宋_GB2312" w:hAnsi="仿宋_GB2312" w:eastAsia="仿宋_GB2312"/>
          <w:b w:val="0"/>
          <w:sz w:val="32"/>
        </w:rPr>
        <w:t>1.一般公共服务支出(类)群众团体事务(款)行政运行(项):支出决算数为320.40万元，比上年决算增加246.58万元，增长334.03%,主要原因是：本年功能科目调整，志愿者补助经费由一般行政管理事务列支调整至主科目列支，导致经费较上年增加；本年增加志愿者补助经费，活动经费支出增加，在职人员工资调增，相关人员经费增加。</w:t>
      </w:r>
    </w:p>
    <w:p w14:paraId="25C07FCA">
      <w:pPr>
        <w:spacing w:line="580" w:lineRule="exact"/>
        <w:ind w:firstLine="640"/>
        <w:jc w:val="both"/>
      </w:pPr>
      <w:r>
        <w:rPr>
          <w:rFonts w:ascii="仿宋_GB2312" w:hAnsi="仿宋_GB2312" w:eastAsia="仿宋_GB2312"/>
          <w:b w:val="0"/>
          <w:sz w:val="32"/>
        </w:rPr>
        <w:t>2.一般公共服务支出(类)群众团体事务(款)一般行政管理事务(项):支出决算数为71.86万元，比上年决算减少25.77万元，下降26.40%,主要原因是：本年功能科目调整，志愿者补助经费本年调整至主科目列支，导致经费较上年减少。</w:t>
      </w:r>
    </w:p>
    <w:p w14:paraId="78EB745A">
      <w:pPr>
        <w:spacing w:line="580" w:lineRule="exact"/>
        <w:ind w:firstLine="640"/>
        <w:jc w:val="both"/>
      </w:pPr>
      <w:r>
        <w:rPr>
          <w:rFonts w:ascii="仿宋_GB2312" w:hAnsi="仿宋_GB2312" w:eastAsia="仿宋_GB2312"/>
          <w:b w:val="0"/>
          <w:sz w:val="32"/>
        </w:rPr>
        <w:t>3.一般公共服务支出(类)其他一般公共服务支出(款)其他一般公共服务支出(项):支出决算数为0.00万元，比上年决算减少7.02万元，下降100.00%,主要原因是：本年未安排2021年西部计划中央补助资金。</w:t>
      </w:r>
    </w:p>
    <w:p w14:paraId="5CC85CAC">
      <w:pPr>
        <w:spacing w:line="580" w:lineRule="exact"/>
        <w:ind w:firstLine="640"/>
        <w:jc w:val="both"/>
      </w:pPr>
      <w:r>
        <w:rPr>
          <w:rFonts w:ascii="仿宋_GB2312" w:hAnsi="仿宋_GB2312" w:eastAsia="仿宋_GB2312"/>
          <w:b w:val="0"/>
          <w:sz w:val="32"/>
        </w:rPr>
        <w:t>4.科学技术支出(类)科技条件与服务(款)其他科技条件与服务支出(项):支出决算数为1.80万元，比上年决算增加1.80万元，增长100.00%,主要原因是：本年增加购买电脑、打印机经费。</w:t>
      </w:r>
    </w:p>
    <w:p w14:paraId="1EC4D1AB">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5.08万元，比上年决算增加0.86万元，增长20.38%,主要原因是：本年在职人员工资基数调增，养老缴费基数上涨，相应支出增加。</w:t>
      </w:r>
    </w:p>
    <w:p w14:paraId="1BD839DC">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2.23万元，比上年决算增加0.12万元，增长5.69%,主要原因是：本年在职人员工资基数调增，职业年金缴费支出增加。</w:t>
      </w:r>
    </w:p>
    <w:p w14:paraId="4D72A808">
      <w:pPr>
        <w:spacing w:line="580" w:lineRule="exact"/>
        <w:ind w:firstLine="640"/>
        <w:jc w:val="both"/>
      </w:pPr>
      <w:r>
        <w:rPr>
          <w:rFonts w:ascii="仿宋_GB2312" w:hAnsi="仿宋_GB2312" w:eastAsia="仿宋_GB2312"/>
          <w:b w:val="0"/>
          <w:sz w:val="32"/>
        </w:rPr>
        <w:t>7.卫生健康支出(类)行政事业单位医疗(款)行政单位医疗(项):支出决算数为2.76万元，比上年决算增加0.52万元，增长23.21%,主要原因是：本年在职人员工资基数调增，医疗缴费基数上涨，相应支出增加。</w:t>
      </w:r>
    </w:p>
    <w:p w14:paraId="67565690">
      <w:pPr>
        <w:spacing w:line="580" w:lineRule="exact"/>
        <w:ind w:firstLine="640"/>
        <w:jc w:val="both"/>
      </w:pPr>
      <w:r>
        <w:rPr>
          <w:rFonts w:ascii="仿宋_GB2312" w:hAnsi="仿宋_GB2312" w:eastAsia="仿宋_GB2312"/>
          <w:b w:val="0"/>
          <w:sz w:val="32"/>
        </w:rPr>
        <w:t>8.卫生健康支出(类)行政事业单位医疗(款)公务员医疗补助(项):支出决算数为0.57万元，比上年决算增加0.44万元，增长338.46%,主要原因是：本年在职人员工资基数调增，医疗缴费基数上涨，相应支出增加。</w:t>
      </w:r>
    </w:p>
    <w:p w14:paraId="0176A32A">
      <w:pPr>
        <w:spacing w:line="580" w:lineRule="exact"/>
        <w:ind w:firstLine="640"/>
        <w:jc w:val="both"/>
      </w:pPr>
      <w:r>
        <w:rPr>
          <w:rFonts w:ascii="仿宋_GB2312" w:hAnsi="仿宋_GB2312" w:eastAsia="仿宋_GB2312"/>
          <w:b w:val="0"/>
          <w:sz w:val="32"/>
        </w:rPr>
        <w:t>9.住房保障支出(类)住房改革支出(款)住房公积金(项):支出决算数为3.61万元，比上年决算增加0.22万元，增长6.49%,主要原因是：本年在职人员工资基数调增，公积金缴费基数上涨，相应支出增加。</w:t>
      </w:r>
    </w:p>
    <w:p w14:paraId="6F799DEA">
      <w:pPr>
        <w:spacing w:line="640" w:lineRule="exact"/>
        <w:ind w:firstLine="640"/>
        <w:jc w:val="both"/>
        <w:outlineLvl w:val="2"/>
      </w:pPr>
      <w:r>
        <w:rPr>
          <w:rFonts w:ascii="黑体" w:hAnsi="黑体" w:eastAsia="黑体"/>
          <w:sz w:val="32"/>
        </w:rPr>
        <w:t>六、一般公共预算财政拨款基本支出决算情况说明</w:t>
      </w:r>
    </w:p>
    <w:p w14:paraId="0B04391A">
      <w:pPr>
        <w:spacing w:line="580" w:lineRule="exact"/>
        <w:ind w:firstLine="640"/>
        <w:jc w:val="both"/>
      </w:pPr>
      <w:r>
        <w:rPr>
          <w:rFonts w:ascii="仿宋_GB2312" w:hAnsi="仿宋_GB2312" w:eastAsia="仿宋_GB2312"/>
          <w:b w:val="0"/>
          <w:sz w:val="32"/>
        </w:rPr>
        <w:t>2024年度一般公共预算财政拨款基本支出336.46万元，其中：</w:t>
      </w:r>
      <w:r>
        <w:rPr>
          <w:rFonts w:ascii="仿宋_GB2312" w:hAnsi="仿宋_GB2312" w:eastAsia="仿宋_GB2312"/>
          <w:b/>
          <w:sz w:val="32"/>
        </w:rPr>
        <w:t>人员经费280.36万元，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包括：基本工资、津贴补贴、奖金、机关事业单位基本养老保险缴费、职业年金缴费、职工基本医疗保险缴费、公务员医疗补助缴费、其他社会保障缴费、住房公积金、其他工资福利支出、生活补助。</w:t>
      </w:r>
    </w:p>
    <w:p w14:paraId="1750D262">
      <w:pPr>
        <w:spacing w:line="580" w:lineRule="exact"/>
        <w:ind w:firstLine="640"/>
        <w:jc w:val="both"/>
      </w:pPr>
      <w:r>
        <w:rPr>
          <w:rFonts w:ascii="仿宋_GB2312" w:hAnsi="仿宋_GB2312" w:eastAsia="仿宋_GB2312"/>
          <w:b/>
          <w:sz w:val="32"/>
        </w:rPr>
        <w:t>公用经费56.10万元，</w:t>
      </w:r>
      <w:r>
        <w:rPr>
          <w:rFonts w:ascii="仿宋_GB2312" w:hAnsi="仿宋_GB2312" w:eastAsia="仿宋_GB2312"/>
          <w:b w:val="0"/>
          <w:sz w:val="32"/>
        </w:rPr>
        <w:t>包括：办公费、印刷费、邮电费、差旅费、维修（护）费、租赁费、委托业务费、工会经费、公务用车运行维护费、其他商品和服务支出。</w:t>
      </w:r>
    </w:p>
    <w:p w14:paraId="1BDEA835">
      <w:pPr>
        <w:spacing w:line="640" w:lineRule="exact"/>
        <w:ind w:firstLine="640"/>
        <w:jc w:val="both"/>
        <w:outlineLvl w:val="2"/>
      </w:pPr>
      <w:r>
        <w:rPr>
          <w:rFonts w:ascii="黑体" w:hAnsi="黑体" w:eastAsia="黑体"/>
          <w:sz w:val="32"/>
        </w:rPr>
        <w:t>七、政府性基金预算财政拨款收入支出决算情况说明</w:t>
      </w:r>
    </w:p>
    <w:p w14:paraId="598B2D7C">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4EAA46A1">
      <w:pPr>
        <w:spacing w:line="640" w:lineRule="exact"/>
        <w:ind w:firstLine="640"/>
        <w:jc w:val="both"/>
        <w:outlineLvl w:val="2"/>
      </w:pPr>
      <w:r>
        <w:rPr>
          <w:rFonts w:ascii="黑体" w:hAnsi="黑体" w:eastAsia="黑体"/>
          <w:sz w:val="32"/>
        </w:rPr>
        <w:t>八、国有资本经营预算财政拨款收入支出决算情况说明</w:t>
      </w:r>
    </w:p>
    <w:p w14:paraId="51F62ED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6723690">
      <w:pPr>
        <w:spacing w:line="640" w:lineRule="exact"/>
        <w:ind w:firstLine="640"/>
        <w:jc w:val="both"/>
        <w:outlineLvl w:val="2"/>
      </w:pPr>
      <w:r>
        <w:rPr>
          <w:rFonts w:ascii="黑体" w:hAnsi="黑体" w:eastAsia="黑体"/>
          <w:sz w:val="32"/>
        </w:rPr>
        <w:t>九、财政拨款“三公”经费支出决算情况说明</w:t>
      </w:r>
    </w:p>
    <w:p w14:paraId="76CEFB22">
      <w:pPr>
        <w:spacing w:line="580" w:lineRule="exact"/>
        <w:ind w:firstLine="640"/>
        <w:jc w:val="both"/>
      </w:pPr>
      <w:r>
        <w:rPr>
          <w:rFonts w:ascii="仿宋_GB2312" w:hAnsi="仿宋_GB2312" w:eastAsia="仿宋_GB2312"/>
          <w:b/>
          <w:sz w:val="32"/>
        </w:rPr>
        <w:t>2024年度财政拨款“三公”经费支出0.20万元，</w:t>
      </w:r>
      <w:r>
        <w:rPr>
          <w:rFonts w:ascii="仿宋_GB2312" w:hAnsi="仿宋_GB2312" w:eastAsia="仿宋_GB2312"/>
          <w:b w:val="0"/>
          <w:sz w:val="32"/>
        </w:rPr>
        <w:t>比上年减少0.03万元，下降13.04%，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0.20万元，占100.00%，比上年减少0.03万元，下降13.04%，主要原因是：严格落实中央八项规定精神，厉行节约，减少公务用车运行维护费。公务接待费支出0.00万元，占0.00%，比上年增加0.00万元，增长0.00%，主要原因是：2023年与2024年均未安排公务接待费支出。</w:t>
      </w:r>
    </w:p>
    <w:p w14:paraId="47843E6A">
      <w:pPr>
        <w:spacing w:line="580" w:lineRule="exact"/>
        <w:ind w:firstLine="640"/>
        <w:jc w:val="both"/>
      </w:pPr>
      <w:r>
        <w:rPr>
          <w:rFonts w:ascii="仿宋_GB2312" w:hAnsi="仿宋_GB2312" w:eastAsia="仿宋_GB2312"/>
          <w:b/>
          <w:sz w:val="32"/>
        </w:rPr>
        <w:t>具体情况如下：</w:t>
      </w:r>
    </w:p>
    <w:p w14:paraId="2162BA4C">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79509962">
      <w:pPr>
        <w:spacing w:line="580" w:lineRule="exact"/>
        <w:ind w:firstLine="640"/>
        <w:jc w:val="both"/>
      </w:pPr>
      <w:r>
        <w:rPr>
          <w:rFonts w:ascii="仿宋_GB2312" w:hAnsi="仿宋_GB2312" w:eastAsia="仿宋_GB2312"/>
          <w:b w:val="0"/>
          <w:sz w:val="32"/>
        </w:rPr>
        <w:t>公务用车购置及运行维护费0.20万元，其中：公务用车购置费0.00万元，公务用车运行维护费0.20万元。公务用车运行维护费开支内容包括公务用车燃油费、维修费用等。公务用车购置数0辆，公务用车保有量1辆。国有资产占用情况中固定资产车辆1辆，与公务用车保有量差异原因是：本单位固定资产车辆与公务用车保有量一致无差异。</w:t>
      </w:r>
    </w:p>
    <w:p w14:paraId="0B9BC251">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4C7BB7F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0.20万元，决算数0.20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0.20万元，决算数0.20万元，预决算差异率0.00%，主要原因是：严格按照预算执行，预决算无差异。公务接待费全年预算数0.00万元，决算数0.00万元，预决算差异率0.00%，主要原因是：本单位无公务接待费。</w:t>
      </w:r>
    </w:p>
    <w:p w14:paraId="675E689B">
      <w:pPr>
        <w:spacing w:line="640" w:lineRule="exact"/>
        <w:ind w:firstLine="640"/>
        <w:jc w:val="both"/>
        <w:outlineLvl w:val="2"/>
      </w:pPr>
      <w:r>
        <w:rPr>
          <w:rFonts w:ascii="黑体" w:hAnsi="黑体" w:eastAsia="黑体"/>
          <w:sz w:val="32"/>
        </w:rPr>
        <w:t>十、其他重要事项的情况说明</w:t>
      </w:r>
    </w:p>
    <w:p w14:paraId="19D3DA10">
      <w:pPr>
        <w:spacing w:line="640" w:lineRule="exact"/>
        <w:ind w:firstLine="640"/>
        <w:jc w:val="both"/>
        <w:outlineLvl w:val="3"/>
      </w:pPr>
      <w:r>
        <w:rPr>
          <w:rFonts w:ascii="楷体_GB2312" w:hAnsi="楷体_GB2312" w:eastAsia="楷体_GB2312"/>
          <w:b/>
          <w:sz w:val="32"/>
        </w:rPr>
        <w:t>（一）机关运行经费及公用经费支出情况</w:t>
      </w:r>
    </w:p>
    <w:p w14:paraId="0580FD5C">
      <w:pPr>
        <w:spacing w:line="580" w:lineRule="exact"/>
        <w:ind w:firstLine="640"/>
        <w:jc w:val="both"/>
      </w:pPr>
      <w:r>
        <w:rPr>
          <w:rFonts w:ascii="仿宋_GB2312" w:hAnsi="仿宋_GB2312" w:eastAsia="仿宋_GB2312"/>
          <w:b w:val="0"/>
          <w:sz w:val="32"/>
        </w:rPr>
        <w:t>2024年度中国共产主义青年团吉木萨尔县委员会（行政单位和参照公务员法管理事业单位）机关运行经费支出56.10万元，比上年增加33.18万元，增长144.76%，主要原因是：本年增加购买电脑、打印机费用，志愿者补助经费增加。</w:t>
      </w:r>
    </w:p>
    <w:p w14:paraId="68E7E045">
      <w:pPr>
        <w:spacing w:line="640" w:lineRule="exact"/>
        <w:ind w:firstLine="640"/>
        <w:jc w:val="both"/>
        <w:outlineLvl w:val="3"/>
      </w:pPr>
      <w:r>
        <w:rPr>
          <w:rFonts w:ascii="楷体_GB2312" w:hAnsi="楷体_GB2312" w:eastAsia="楷体_GB2312"/>
          <w:b/>
          <w:sz w:val="32"/>
        </w:rPr>
        <w:t>（二）政府采购情况</w:t>
      </w:r>
    </w:p>
    <w:p w14:paraId="0FDE48DD">
      <w:pPr>
        <w:spacing w:line="580" w:lineRule="exact"/>
        <w:ind w:firstLine="640"/>
        <w:jc w:val="both"/>
      </w:pPr>
      <w:r>
        <w:rPr>
          <w:rFonts w:ascii="仿宋_GB2312" w:hAnsi="仿宋_GB2312" w:eastAsia="仿宋_GB2312"/>
          <w:b w:val="0"/>
          <w:sz w:val="32"/>
        </w:rPr>
        <w:t>2024年度政府采购支出总额7.64万元，其中：政府采购货物支出7.64万元、政府采购工程支出0.00万元、政府采购服务支出0.00万元。</w:t>
      </w:r>
    </w:p>
    <w:p w14:paraId="72E5CC9C">
      <w:pPr>
        <w:spacing w:line="580" w:lineRule="exact"/>
        <w:ind w:firstLine="640"/>
        <w:jc w:val="both"/>
      </w:pPr>
      <w:r>
        <w:rPr>
          <w:rFonts w:ascii="仿宋_GB2312" w:hAnsi="仿宋_GB2312" w:eastAsia="仿宋_GB2312"/>
          <w:b w:val="0"/>
          <w:sz w:val="32"/>
        </w:rPr>
        <w:t>授予中小企业合同金额4.94万元，占政府采购支出总额的64.66%，其中：授予小微企业合同金额4.94万元，占政府采购支出总额的64.66%。</w:t>
      </w:r>
    </w:p>
    <w:p w14:paraId="1D9833F6">
      <w:pPr>
        <w:spacing w:line="640" w:lineRule="exact"/>
        <w:ind w:firstLine="640"/>
        <w:jc w:val="both"/>
        <w:outlineLvl w:val="3"/>
      </w:pPr>
      <w:r>
        <w:rPr>
          <w:rFonts w:ascii="楷体_GB2312" w:hAnsi="楷体_GB2312" w:eastAsia="楷体_GB2312"/>
          <w:b/>
          <w:sz w:val="32"/>
        </w:rPr>
        <w:t>（三）国有资产占用情况说明</w:t>
      </w:r>
    </w:p>
    <w:p w14:paraId="5C9266A8">
      <w:pPr>
        <w:spacing w:line="580" w:lineRule="exact"/>
        <w:ind w:firstLine="640"/>
        <w:jc w:val="both"/>
      </w:pPr>
      <w:r>
        <w:rPr>
          <w:rFonts w:ascii="仿宋_GB2312" w:hAnsi="仿宋_GB2312" w:eastAsia="仿宋_GB2312"/>
          <w:b w:val="0"/>
          <w:sz w:val="32"/>
        </w:rPr>
        <w:t>截至2024年12月31日，房屋0.00平方米，价值0.00万元。车辆1辆，价值10.11万元，其中：副部（省）级及以上领导用车0辆、主要负责人用车0辆、机要通信用车0辆、应急保障用车0辆、执法执勤用车0辆、特种专业技术用车0辆、离退休干部服务用车0辆、其他用车1辆，其他用车主要是：单位一般公务用车。单价100万元（含）以上设备（不含车辆）0台（套）。</w:t>
      </w:r>
    </w:p>
    <w:p w14:paraId="2EAA61CD">
      <w:pPr>
        <w:spacing w:line="640" w:lineRule="exact"/>
        <w:ind w:firstLine="640"/>
        <w:jc w:val="both"/>
        <w:outlineLvl w:val="2"/>
      </w:pPr>
      <w:r>
        <w:rPr>
          <w:rFonts w:ascii="黑体" w:hAnsi="黑体" w:eastAsia="黑体"/>
          <w:sz w:val="32"/>
        </w:rPr>
        <w:t>十一、预算绩效的情况说明</w:t>
      </w:r>
    </w:p>
    <w:p w14:paraId="1961FCE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596.58万元，实际执行总额570.56万元；预算绩效评价项目1个，全年预算数71.86万元，全年执行数71.86万元。预算绩效管理取得的成效：一是青年工作联席会议机制和青年发展规划体系不断健全，党管青年各部门协同促进青年发展的工作格局逐步实现。二是围绕“返乡未就业大学生”，常态化开展</w:t>
      </w:r>
      <w:bookmarkStart w:id="0" w:name="_GoBack"/>
      <w:r>
        <w:rPr>
          <w:rFonts w:ascii="仿宋_GB2312" w:hAnsi="仿宋_GB2312" w:eastAsia="仿宋_GB2312"/>
          <w:b w:val="0"/>
          <w:sz w:val="32"/>
        </w:rPr>
        <w:t>招聘</w:t>
      </w:r>
      <w:bookmarkEnd w:id="0"/>
      <w:r>
        <w:rPr>
          <w:rFonts w:ascii="仿宋_GB2312" w:hAnsi="仿宋_GB2312" w:eastAsia="仿宋_GB2312"/>
          <w:b w:val="0"/>
          <w:sz w:val="32"/>
        </w:rPr>
        <w:t>活动4场次；举办返乡大学生座谈交流会1场次。发现的问题及原因：一是抓改革的思路还有局限，更多</w:t>
      </w:r>
      <w:r>
        <w:rPr>
          <w:rFonts w:hint="eastAsia" w:ascii="仿宋_GB2312" w:hAnsi="仿宋_GB2312" w:eastAsia="仿宋_GB2312"/>
          <w:b w:val="0"/>
          <w:sz w:val="32"/>
          <w:lang w:eastAsia="zh-CN"/>
        </w:rPr>
        <w:t>地</w:t>
      </w:r>
      <w:r>
        <w:rPr>
          <w:rFonts w:ascii="仿宋_GB2312" w:hAnsi="仿宋_GB2312" w:eastAsia="仿宋_GB2312"/>
          <w:b w:val="0"/>
          <w:sz w:val="32"/>
        </w:rPr>
        <w:t>注重内部用力，忽视了党建对团建的引领和各方力量的统筹。二是在两新团组织建设方面，只是简单做到了有形覆盖，但在有效覆盖方面还有一定差距。三是在向社会筹措资源上缺办法、缺思路，没能让更多的社会资源转化为工作资源。下一步改进措施：一是做实“青年有话说”主题活动，倾听广大团员青年对共青团改革发展和我县社会经济高质量发展的意见建议，进一步在县域社会经济高质量发展上贡献青年智慧和力量，充分展现大家在各领域昂扬奋进、建功立业的精神风貌。二是建立引进人才发现机制，通过招聘、考试、竞争上岗、挂职、轮岗等多种形式选拔和发现人才，激发团员青年活力，加强基层工作力量，提升工作效率，保持团的工作的连续性。三是加大推进力度，整合资源，根据改革指标，严格落实，扎实推进，抓好改革的主攻方向，改革一项、做实一项，确保县域共青团改革重点任务得到扎实有效</w:t>
      </w:r>
      <w:r>
        <w:rPr>
          <w:rFonts w:hint="eastAsia" w:ascii="仿宋_GB2312" w:hAnsi="仿宋_GB2312" w:eastAsia="仿宋_GB2312"/>
          <w:b w:val="0"/>
          <w:sz w:val="32"/>
          <w:lang w:eastAsia="zh-CN"/>
        </w:rPr>
        <w:t>地</w:t>
      </w:r>
      <w:r>
        <w:rPr>
          <w:rFonts w:ascii="仿宋_GB2312" w:hAnsi="仿宋_GB2312" w:eastAsia="仿宋_GB2312"/>
          <w:b w:val="0"/>
          <w:sz w:val="32"/>
        </w:rPr>
        <w:t>落实。同时，面向社会积极寻求资源，充分发挥桥梁作用，充分利用、整合社会资源，借助全社会的力量，推动团的改革工作发展。具体附整体支出绩效自评表，项目支出绩效自评表。</w:t>
      </w:r>
    </w:p>
    <w:p w14:paraId="284EFC25">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9FB4417">
        <w:tblPrEx>
          <w:tblCellMar>
            <w:top w:w="0" w:type="dxa"/>
            <w:left w:w="108" w:type="dxa"/>
            <w:bottom w:w="0" w:type="dxa"/>
            <w:right w:w="108" w:type="dxa"/>
          </w:tblCellMar>
        </w:tblPrEx>
        <w:tc>
          <w:tcPr>
            <w:tcW w:w="8847" w:type="dxa"/>
            <w:gridSpan w:val="9"/>
            <w:vAlign w:val="center"/>
          </w:tcPr>
          <w:p w14:paraId="584284EC">
            <w:pPr>
              <w:jc w:val="center"/>
            </w:pPr>
            <w:r>
              <w:rPr>
                <w:rFonts w:ascii="宋体" w:hAnsi="宋体" w:eastAsia="宋体"/>
                <w:sz w:val="24"/>
              </w:rPr>
              <w:t>单位整体支出绩效自评表</w:t>
            </w:r>
          </w:p>
        </w:tc>
      </w:tr>
      <w:tr w14:paraId="24B152B9">
        <w:tblPrEx>
          <w:tblCellMar>
            <w:top w:w="0" w:type="dxa"/>
            <w:left w:w="108" w:type="dxa"/>
            <w:bottom w:w="0" w:type="dxa"/>
            <w:right w:w="108" w:type="dxa"/>
          </w:tblCellMar>
        </w:tblPrEx>
        <w:tc>
          <w:tcPr>
            <w:tcW w:w="8847" w:type="dxa"/>
            <w:gridSpan w:val="9"/>
            <w:vAlign w:val="center"/>
          </w:tcPr>
          <w:p w14:paraId="019DD64F">
            <w:pPr>
              <w:jc w:val="center"/>
            </w:pPr>
            <w:r>
              <w:rPr>
                <w:rFonts w:ascii="宋体" w:hAnsi="宋体" w:eastAsia="宋体"/>
                <w:sz w:val="24"/>
              </w:rPr>
              <w:t>（2024年度）</w:t>
            </w:r>
          </w:p>
        </w:tc>
      </w:tr>
      <w:tr w14:paraId="363EC19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6D166">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7757B0B">
            <w:pPr>
              <w:jc w:val="center"/>
            </w:pPr>
            <w:r>
              <w:rPr>
                <w:rFonts w:ascii="宋体" w:hAnsi="宋体" w:eastAsia="宋体"/>
                <w:sz w:val="16"/>
              </w:rPr>
              <w:t>中国共产主义青年团吉木萨尔县委员会</w:t>
            </w:r>
          </w:p>
        </w:tc>
      </w:tr>
      <w:tr w14:paraId="7DCE352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4527BD">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C155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2D87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671B3">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850A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C124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6A59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BE3AB">
            <w:pPr>
              <w:jc w:val="center"/>
            </w:pPr>
            <w:r>
              <w:rPr>
                <w:rFonts w:ascii="宋体" w:hAnsi="宋体" w:eastAsia="宋体"/>
                <w:sz w:val="16"/>
              </w:rPr>
              <w:t>得分</w:t>
            </w:r>
          </w:p>
        </w:tc>
      </w:tr>
      <w:tr w14:paraId="7ABD2A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41EF9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F46BE">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EA05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4F6F1B">
            <w:pPr>
              <w:jc w:val="center"/>
            </w:pPr>
            <w:r>
              <w:rPr>
                <w:rFonts w:ascii="宋体" w:hAnsi="宋体" w:eastAsia="宋体"/>
                <w:sz w:val="16"/>
              </w:rPr>
              <w:t>71.86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ADB1C">
            <w:pPr>
              <w:jc w:val="center"/>
            </w:pPr>
            <w:r>
              <w:rPr>
                <w:rFonts w:ascii="宋体" w:hAnsi="宋体" w:eastAsia="宋体"/>
                <w:sz w:val="16"/>
              </w:rPr>
              <w:t>71.86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549F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9EA5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CCEBF">
            <w:pPr>
              <w:jc w:val="center"/>
            </w:pPr>
            <w:r>
              <w:rPr>
                <w:rFonts w:ascii="宋体" w:hAnsi="宋体" w:eastAsia="宋体"/>
                <w:sz w:val="16"/>
              </w:rPr>
              <w:t>-</w:t>
            </w:r>
          </w:p>
        </w:tc>
      </w:tr>
      <w:tr w14:paraId="241256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A5244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D793E">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731B1">
            <w:pPr>
              <w:jc w:val="center"/>
            </w:pPr>
            <w:r>
              <w:rPr>
                <w:rFonts w:ascii="宋体" w:hAnsi="宋体" w:eastAsia="宋体"/>
                <w:sz w:val="16"/>
              </w:rPr>
              <w:t>120.22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749D0">
            <w:pPr>
              <w:jc w:val="center"/>
            </w:pPr>
            <w:r>
              <w:rPr>
                <w:rFonts w:ascii="宋体" w:hAnsi="宋体" w:eastAsia="宋体"/>
                <w:sz w:val="16"/>
              </w:rPr>
              <w:t>524.72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5A503">
            <w:pPr>
              <w:jc w:val="center"/>
            </w:pPr>
            <w:r>
              <w:rPr>
                <w:rFonts w:ascii="宋体" w:hAnsi="宋体" w:eastAsia="宋体"/>
                <w:sz w:val="16"/>
              </w:rPr>
              <w:t>498.70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483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F1C3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75E8E">
            <w:pPr>
              <w:jc w:val="center"/>
            </w:pPr>
            <w:r>
              <w:rPr>
                <w:rFonts w:ascii="宋体" w:hAnsi="宋体" w:eastAsia="宋体"/>
                <w:sz w:val="16"/>
              </w:rPr>
              <w:t>-</w:t>
            </w:r>
          </w:p>
        </w:tc>
      </w:tr>
      <w:tr w14:paraId="3A84B2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0C437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62CBA">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057C3">
            <w:pPr>
              <w:jc w:val="center"/>
            </w:pPr>
            <w:r>
              <w:rPr>
                <w:rFonts w:ascii="宋体" w:hAnsi="宋体" w:eastAsia="宋体"/>
                <w:sz w:val="16"/>
              </w:rPr>
              <w:t>173.04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CD13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E5AC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A1EE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6A14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CF10E">
            <w:pPr>
              <w:jc w:val="center"/>
            </w:pPr>
            <w:r>
              <w:rPr>
                <w:rFonts w:ascii="宋体" w:hAnsi="宋体" w:eastAsia="宋体"/>
                <w:sz w:val="16"/>
              </w:rPr>
              <w:t>-</w:t>
            </w:r>
          </w:p>
        </w:tc>
      </w:tr>
      <w:tr w14:paraId="6B22E7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3505E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86C6CA">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14AE1">
            <w:pPr>
              <w:jc w:val="center"/>
            </w:pPr>
            <w:r>
              <w:rPr>
                <w:rFonts w:ascii="宋体" w:hAnsi="宋体" w:eastAsia="宋体"/>
                <w:sz w:val="16"/>
              </w:rPr>
              <w:t>293.26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A5B30">
            <w:pPr>
              <w:jc w:val="center"/>
            </w:pPr>
            <w:r>
              <w:rPr>
                <w:rFonts w:ascii="宋体" w:hAnsi="宋体" w:eastAsia="宋体"/>
                <w:sz w:val="16"/>
              </w:rPr>
              <w:t>596.58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7AF59">
            <w:pPr>
              <w:jc w:val="center"/>
            </w:pPr>
            <w:r>
              <w:rPr>
                <w:rFonts w:ascii="宋体" w:hAnsi="宋体" w:eastAsia="宋体"/>
                <w:sz w:val="16"/>
              </w:rPr>
              <w:t>570.56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2441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B0163">
            <w:pPr>
              <w:jc w:val="center"/>
            </w:pPr>
            <w:r>
              <w:rPr>
                <w:rFonts w:ascii="宋体" w:hAnsi="宋体" w:eastAsia="宋体"/>
                <w:sz w:val="16"/>
              </w:rPr>
              <w:t>95.64%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ED448">
            <w:pPr>
              <w:jc w:val="center"/>
            </w:pPr>
            <w:r>
              <w:rPr>
                <w:rFonts w:ascii="宋体" w:hAnsi="宋体" w:eastAsia="宋体"/>
                <w:sz w:val="16"/>
              </w:rPr>
              <w:t>9.56</w:t>
            </w:r>
          </w:p>
        </w:tc>
      </w:tr>
      <w:tr w14:paraId="30A76D1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64F0B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7988F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7B78A2">
            <w:pPr>
              <w:jc w:val="center"/>
            </w:pPr>
            <w:r>
              <w:rPr>
                <w:rFonts w:ascii="宋体" w:hAnsi="宋体" w:eastAsia="宋体"/>
                <w:sz w:val="16"/>
              </w:rPr>
              <w:t>实际完成情况</w:t>
            </w:r>
          </w:p>
        </w:tc>
      </w:tr>
      <w:tr w14:paraId="30AFC5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FBF4F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E890C0">
            <w:pPr>
              <w:jc w:val="both"/>
            </w:pPr>
            <w:r>
              <w:rPr>
                <w:rFonts w:ascii="宋体" w:hAnsi="宋体" w:eastAsia="宋体"/>
                <w:sz w:val="16"/>
              </w:rPr>
              <w:t>保障本单位在职人员工资、津贴、社保、医疗、住房公积金和政府购买</w:t>
            </w:r>
            <w:r>
              <w:rPr>
                <w:rFonts w:hint="eastAsia" w:ascii="宋体" w:hAnsi="宋体"/>
                <w:sz w:val="16"/>
                <w:lang w:eastAsia="zh-CN"/>
              </w:rPr>
              <w:t>岗位</w:t>
            </w:r>
            <w:r>
              <w:rPr>
                <w:rFonts w:ascii="宋体" w:hAnsi="宋体" w:eastAsia="宋体"/>
                <w:sz w:val="16"/>
              </w:rPr>
              <w:t>服务工资、社保、医疗；保障本单位办公费、车辆运行维护费、公务接待费、工会经费等行政运行费用正常运转；保障西部计划志愿者生活补助专项资金按时发放到位。</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956424">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596.58万元，全年执行数为570.56万元，主要完成任务内容如下：1.实际完成保障本单位在职人员工资、津贴、社保、医疗、住房公积金和政府购买岗服务工资、社保、医疗；2.实际完成保障本单位办公费、车辆运行维护费、工会经费等行政运行费用正常运转；3.实际完成西部计划志愿者生活补助专项资金按时发放到位。</w:t>
            </w:r>
          </w:p>
        </w:tc>
      </w:tr>
      <w:tr w14:paraId="2F93506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B9D3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FDBD1">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17E4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36784">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2F86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CFCA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EEC5B">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CF992">
            <w:pPr>
              <w:jc w:val="center"/>
            </w:pPr>
            <w:r>
              <w:rPr>
                <w:rFonts w:ascii="宋体" w:hAnsi="宋体" w:eastAsia="宋体"/>
                <w:sz w:val="16"/>
              </w:rPr>
              <w:t>得分</w:t>
            </w:r>
          </w:p>
        </w:tc>
      </w:tr>
      <w:tr w14:paraId="57ABD02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BFB558">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CD6D11">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056AF">
            <w:pPr>
              <w:jc w:val="center"/>
            </w:pPr>
            <w:r>
              <w:rPr>
                <w:rFonts w:ascii="宋体" w:hAnsi="宋体" w:eastAsia="宋体"/>
                <w:sz w:val="16"/>
              </w:rPr>
              <w:t>开展青年之家活动次数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3D0B2">
            <w:pPr>
              <w:jc w:val="center"/>
            </w:pPr>
            <w:r>
              <w:rPr>
                <w:rFonts w:ascii="宋体" w:hAnsi="宋体" w:eastAsia="宋体"/>
                <w:sz w:val="16"/>
              </w:rPr>
              <w:t>&gt;=200次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0E590">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0485D">
            <w:pPr>
              <w:jc w:val="center"/>
            </w:pPr>
            <w:r>
              <w:rPr>
                <w:rFonts w:ascii="宋体" w:hAnsi="宋体" w:eastAsia="宋体"/>
                <w:sz w:val="16"/>
              </w:rPr>
              <w:t>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359CB">
            <w:pPr>
              <w:jc w:val="center"/>
            </w:pPr>
            <w:r>
              <w:rPr>
                <w:rFonts w:ascii="宋体" w:hAnsi="宋体" w:eastAsia="宋体"/>
                <w:sz w:val="16"/>
              </w:rPr>
              <w:t>=200次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A2115">
            <w:pPr>
              <w:jc w:val="center"/>
            </w:pPr>
            <w:r>
              <w:rPr>
                <w:rFonts w:ascii="宋体" w:hAnsi="宋体" w:eastAsia="宋体"/>
                <w:sz w:val="16"/>
              </w:rPr>
              <w:t>28</w:t>
            </w:r>
          </w:p>
        </w:tc>
      </w:tr>
      <w:tr w14:paraId="26CBA4F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31D4E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8C991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DC41E">
            <w:pPr>
              <w:jc w:val="center"/>
            </w:pPr>
            <w:r>
              <w:rPr>
                <w:rFonts w:ascii="宋体" w:hAnsi="宋体" w:eastAsia="宋体"/>
                <w:sz w:val="16"/>
              </w:rPr>
              <w:t>开展共青团“爱心生日会”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5064B">
            <w:pPr>
              <w:jc w:val="center"/>
            </w:pPr>
            <w:r>
              <w:rPr>
                <w:rFonts w:ascii="宋体" w:hAnsi="宋体" w:eastAsia="宋体"/>
                <w:sz w:val="16"/>
              </w:rPr>
              <w:t>&gt;=100次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99FCB">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358965">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12FE0">
            <w:pPr>
              <w:jc w:val="center"/>
            </w:pPr>
            <w:r>
              <w:rPr>
                <w:rFonts w:ascii="宋体" w:hAnsi="宋体" w:eastAsia="宋体"/>
                <w:sz w:val="16"/>
              </w:rPr>
              <w:t>=100次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1D67C">
            <w:pPr>
              <w:jc w:val="center"/>
            </w:pPr>
            <w:r>
              <w:rPr>
                <w:rFonts w:ascii="宋体" w:hAnsi="宋体" w:eastAsia="宋体"/>
                <w:sz w:val="16"/>
              </w:rPr>
              <w:t>25</w:t>
            </w:r>
          </w:p>
        </w:tc>
      </w:tr>
      <w:tr w14:paraId="03A127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FB18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05500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D9DBC">
            <w:pPr>
              <w:jc w:val="center"/>
            </w:pPr>
            <w:r>
              <w:rPr>
                <w:rFonts w:ascii="宋体" w:hAnsi="宋体" w:eastAsia="宋体"/>
                <w:sz w:val="16"/>
              </w:rPr>
              <w:t>开展基础团务培训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CB63B">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C50A7">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99E7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4A6CEF">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DE921">
            <w:pPr>
              <w:jc w:val="center"/>
            </w:pPr>
            <w:r>
              <w:rPr>
                <w:rFonts w:ascii="宋体" w:hAnsi="宋体" w:eastAsia="宋体"/>
                <w:sz w:val="16"/>
              </w:rPr>
              <w:t>18</w:t>
            </w:r>
          </w:p>
        </w:tc>
      </w:tr>
      <w:tr w14:paraId="6C0CA9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2AE9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B29D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BCB7C7">
            <w:pPr>
              <w:jc w:val="center"/>
            </w:pPr>
            <w:r>
              <w:rPr>
                <w:rFonts w:ascii="宋体" w:hAnsi="宋体" w:eastAsia="宋体"/>
                <w:sz w:val="16"/>
              </w:rPr>
              <w:t>少先队辅导员培训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28394">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2E927">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63B35">
            <w:pPr>
              <w:jc w:val="center"/>
            </w:pPr>
            <w:r>
              <w:rPr>
                <w:rFonts w:ascii="宋体" w:hAnsi="宋体" w:eastAsia="宋体"/>
                <w:sz w:val="16"/>
              </w:rPr>
              <w:t>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31A607">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5FD7D">
            <w:pPr>
              <w:jc w:val="center"/>
            </w:pPr>
            <w:r>
              <w:rPr>
                <w:rFonts w:ascii="宋体" w:hAnsi="宋体" w:eastAsia="宋体"/>
                <w:sz w:val="16"/>
              </w:rPr>
              <w:t>19</w:t>
            </w:r>
          </w:p>
        </w:tc>
      </w:tr>
    </w:tbl>
    <w:p w14:paraId="4814294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32"/>
      </w:tblGrid>
      <w:tr w14:paraId="5B519BCF">
        <w:tblPrEx>
          <w:tblCellMar>
            <w:top w:w="0" w:type="dxa"/>
            <w:left w:w="108" w:type="dxa"/>
            <w:bottom w:w="0" w:type="dxa"/>
            <w:right w:w="108" w:type="dxa"/>
          </w:tblCellMar>
        </w:tblPrEx>
        <w:tc>
          <w:tcPr>
            <w:tcW w:w="8848" w:type="dxa"/>
            <w:gridSpan w:val="14"/>
            <w:vAlign w:val="center"/>
          </w:tcPr>
          <w:p w14:paraId="2C5783EB">
            <w:pPr>
              <w:jc w:val="center"/>
            </w:pPr>
            <w:r>
              <w:rPr>
                <w:rFonts w:ascii="宋体" w:hAnsi="宋体" w:eastAsia="宋体"/>
                <w:sz w:val="24"/>
              </w:rPr>
              <w:t>项目支出绩效自评表</w:t>
            </w:r>
          </w:p>
        </w:tc>
      </w:tr>
      <w:tr w14:paraId="6E8BB5CB">
        <w:tblPrEx>
          <w:tblCellMar>
            <w:top w:w="0" w:type="dxa"/>
            <w:left w:w="108" w:type="dxa"/>
            <w:bottom w:w="0" w:type="dxa"/>
            <w:right w:w="108" w:type="dxa"/>
          </w:tblCellMar>
        </w:tblPrEx>
        <w:tc>
          <w:tcPr>
            <w:tcW w:w="8848" w:type="dxa"/>
            <w:gridSpan w:val="14"/>
            <w:vAlign w:val="center"/>
          </w:tcPr>
          <w:p w14:paraId="76638242">
            <w:pPr>
              <w:jc w:val="center"/>
            </w:pPr>
            <w:r>
              <w:rPr>
                <w:rFonts w:ascii="宋体" w:hAnsi="宋体" w:eastAsia="宋体"/>
                <w:sz w:val="24"/>
              </w:rPr>
              <w:t>(2024年度)</w:t>
            </w:r>
          </w:p>
        </w:tc>
      </w:tr>
      <w:tr w14:paraId="2514C3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92F9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FABEDAC">
            <w:pPr>
              <w:jc w:val="center"/>
            </w:pPr>
            <w:r>
              <w:rPr>
                <w:rFonts w:ascii="宋体" w:hAnsi="宋体" w:eastAsia="宋体"/>
                <w:sz w:val="16"/>
              </w:rPr>
              <w:t>关于提前下达2024年大学生志愿服务西部计划中央补助资金预算的通知</w:t>
            </w:r>
          </w:p>
        </w:tc>
      </w:tr>
      <w:tr w14:paraId="0FA8A2D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532F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8C228D">
            <w:pPr>
              <w:jc w:val="center"/>
            </w:pPr>
            <w:r>
              <w:rPr>
                <w:rFonts w:ascii="宋体" w:hAnsi="宋体" w:eastAsia="宋体"/>
                <w:sz w:val="16"/>
              </w:rPr>
              <w:t>中国共产主义青年团吉木萨尔县委员会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D1F1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242B85E">
            <w:pPr>
              <w:jc w:val="center"/>
            </w:pPr>
            <w:r>
              <w:rPr>
                <w:rFonts w:ascii="宋体" w:hAnsi="宋体" w:eastAsia="宋体"/>
                <w:sz w:val="16"/>
              </w:rPr>
              <w:t>中国共产主义青年团吉木萨尔县委员会</w:t>
            </w:r>
          </w:p>
        </w:tc>
      </w:tr>
      <w:tr w14:paraId="081E9F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4691A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44E1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984B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435DD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2D087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6FF5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5E2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BCAC5">
            <w:pPr>
              <w:jc w:val="center"/>
            </w:pPr>
            <w:r>
              <w:rPr>
                <w:rFonts w:ascii="宋体" w:hAnsi="宋体" w:eastAsia="宋体"/>
                <w:sz w:val="16"/>
              </w:rPr>
              <w:t>得分</w:t>
            </w:r>
          </w:p>
        </w:tc>
      </w:tr>
      <w:tr w14:paraId="5856E7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A204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F8D4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4C9A3">
            <w:pPr>
              <w:jc w:val="center"/>
            </w:pPr>
            <w:r>
              <w:rPr>
                <w:rFonts w:ascii="宋体" w:hAnsi="宋体" w:eastAsia="宋体"/>
                <w:sz w:val="16"/>
              </w:rPr>
              <w:t>37.04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6D9179">
            <w:pPr>
              <w:jc w:val="center"/>
            </w:pPr>
            <w:r>
              <w:rPr>
                <w:rFonts w:ascii="宋体" w:hAnsi="宋体" w:eastAsia="宋体"/>
                <w:sz w:val="16"/>
              </w:rPr>
              <w:t>71.86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F5870">
            <w:pPr>
              <w:jc w:val="center"/>
            </w:pPr>
            <w:r>
              <w:rPr>
                <w:rFonts w:ascii="宋体" w:hAnsi="宋体" w:eastAsia="宋体"/>
                <w:sz w:val="16"/>
              </w:rPr>
              <w:t>71.86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D61F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A81B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CB286">
            <w:pPr>
              <w:jc w:val="center"/>
            </w:pPr>
            <w:r>
              <w:rPr>
                <w:rFonts w:ascii="宋体" w:hAnsi="宋体" w:eastAsia="宋体"/>
                <w:sz w:val="16"/>
              </w:rPr>
              <w:t>10.00</w:t>
            </w:r>
          </w:p>
        </w:tc>
      </w:tr>
      <w:tr w14:paraId="578493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2D21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6B53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D7CD5">
            <w:pPr>
              <w:jc w:val="center"/>
            </w:pPr>
            <w:r>
              <w:rPr>
                <w:rFonts w:ascii="宋体" w:hAnsi="宋体" w:eastAsia="宋体"/>
                <w:sz w:val="16"/>
              </w:rPr>
              <w:t>37.04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0B5DA">
            <w:pPr>
              <w:jc w:val="center"/>
            </w:pPr>
            <w:r>
              <w:rPr>
                <w:rFonts w:ascii="宋体" w:hAnsi="宋体" w:eastAsia="宋体"/>
                <w:sz w:val="16"/>
              </w:rPr>
              <w:t>71.86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7606A">
            <w:pPr>
              <w:jc w:val="center"/>
            </w:pPr>
            <w:r>
              <w:rPr>
                <w:rFonts w:ascii="宋体" w:hAnsi="宋体" w:eastAsia="宋体"/>
                <w:sz w:val="16"/>
              </w:rPr>
              <w:t>71.86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A499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EE6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32087">
            <w:pPr>
              <w:jc w:val="center"/>
            </w:pPr>
            <w:r>
              <w:rPr>
                <w:rFonts w:ascii="宋体" w:hAnsi="宋体" w:eastAsia="宋体"/>
                <w:sz w:val="16"/>
              </w:rPr>
              <w:t>—</w:t>
            </w:r>
          </w:p>
        </w:tc>
      </w:tr>
      <w:tr w14:paraId="6DDB74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D3C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64CE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6DF9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390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D65C7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2F8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4150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5173D">
            <w:pPr>
              <w:jc w:val="center"/>
            </w:pPr>
            <w:r>
              <w:rPr>
                <w:rFonts w:ascii="宋体" w:hAnsi="宋体" w:eastAsia="宋体"/>
                <w:sz w:val="16"/>
              </w:rPr>
              <w:t>—</w:t>
            </w:r>
          </w:p>
        </w:tc>
      </w:tr>
      <w:tr w14:paraId="3CFD76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6CD4F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5E45C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2872CDA">
            <w:pPr>
              <w:jc w:val="center"/>
            </w:pPr>
            <w:r>
              <w:rPr>
                <w:rFonts w:ascii="宋体" w:hAnsi="宋体" w:eastAsia="宋体"/>
                <w:sz w:val="16"/>
              </w:rPr>
              <w:t>实际完成情况</w:t>
            </w:r>
          </w:p>
        </w:tc>
      </w:tr>
      <w:tr w14:paraId="1428DE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17130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63F2E2">
            <w:pPr>
              <w:jc w:val="both"/>
            </w:pPr>
            <w:r>
              <w:rPr>
                <w:rFonts w:ascii="宋体" w:hAnsi="宋体" w:eastAsia="宋体"/>
                <w:sz w:val="16"/>
              </w:rPr>
              <w:t>保障全县44名西部计划志愿者全年生活补贴、社保、医保按月发放到位，大学生志愿者工资及社保人均补助金额3万元/人，提升大学生志愿服务社会能力持续年限，增加西部计划志愿者留疆率、留县率。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5331C65">
            <w:pPr>
              <w:jc w:val="both"/>
            </w:pPr>
            <w:r>
              <w:rPr>
                <w:rFonts w:hint="eastAsia" w:ascii="宋体" w:hAnsi="宋体"/>
                <w:sz w:val="16"/>
                <w:lang w:eastAsia="zh-CN"/>
              </w:rPr>
              <w:t>截至2024</w:t>
            </w:r>
            <w:r>
              <w:rPr>
                <w:rFonts w:ascii="宋体" w:hAnsi="宋体" w:eastAsia="宋体"/>
                <w:sz w:val="16"/>
              </w:rPr>
              <w:t>年12月31日，项目实际支出71.86万元，预算执行率为100%,保障全县44名西部计划志愿者全年生活补贴、社保、医保按月发放到位，大学生志愿者工资及社保人均补助金额3万元/人，提升大学生志愿服务社会能力持续年限，增加西部计划志愿者留疆率、留县率。</w:t>
            </w:r>
          </w:p>
        </w:tc>
      </w:tr>
      <w:tr w14:paraId="06C491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4AE6B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ED30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C383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7BCA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7C7D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49F2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51E9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9DF8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96066">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E44C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17D9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CA0C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0DE0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12E14">
            <w:pPr>
              <w:jc w:val="center"/>
            </w:pPr>
            <w:r>
              <w:rPr>
                <w:rFonts w:ascii="宋体" w:hAnsi="宋体" w:eastAsia="宋体"/>
                <w:sz w:val="16"/>
              </w:rPr>
              <w:t>偏差原因分析及改进措施</w:t>
            </w:r>
          </w:p>
        </w:tc>
      </w:tr>
      <w:tr w14:paraId="4EADBA0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95AE8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B09F3D">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B85D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1CCB9">
            <w:pPr>
              <w:jc w:val="center"/>
            </w:pPr>
            <w:r>
              <w:rPr>
                <w:rFonts w:ascii="宋体" w:hAnsi="宋体" w:eastAsia="宋体"/>
                <w:sz w:val="16"/>
              </w:rPr>
              <w:t>西部计划志愿者全年生活补贴发放人数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602A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0FC73">
            <w:pPr>
              <w:jc w:val="center"/>
            </w:pPr>
            <w:r>
              <w:rPr>
                <w:rFonts w:ascii="宋体" w:hAnsi="宋体" w:eastAsia="宋体"/>
                <w:sz w:val="16"/>
              </w:rPr>
              <w:t>&gt;=44人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DBB72">
            <w:pPr>
              <w:jc w:val="center"/>
            </w:pPr>
            <w:r>
              <w:rPr>
                <w:rFonts w:ascii="宋体" w:hAnsi="宋体" w:eastAsia="宋体"/>
                <w:sz w:val="16"/>
              </w:rPr>
              <w:t>=44人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348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F77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5D3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2F9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9A5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FBB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D9A35">
            <w:pPr>
              <w:jc w:val="center"/>
            </w:pPr>
          </w:p>
        </w:tc>
      </w:tr>
      <w:tr w14:paraId="5922BD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BB9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1BA2F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72D6D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F45F8">
            <w:pPr>
              <w:jc w:val="center"/>
            </w:pPr>
            <w:r>
              <w:rPr>
                <w:rFonts w:ascii="宋体" w:hAnsi="宋体" w:eastAsia="宋体"/>
                <w:sz w:val="16"/>
              </w:rPr>
              <w:t>工资按时发放率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DA7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D03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C32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CA0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4C77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C72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7EB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C0B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B117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FFDF1">
            <w:pPr>
              <w:jc w:val="center"/>
            </w:pPr>
          </w:p>
        </w:tc>
      </w:tr>
      <w:tr w14:paraId="1C40CB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48FC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28DD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3AA7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EA243">
            <w:pPr>
              <w:jc w:val="center"/>
            </w:pPr>
            <w:r>
              <w:rPr>
                <w:rFonts w:ascii="宋体" w:hAnsi="宋体" w:eastAsia="宋体"/>
                <w:sz w:val="16"/>
              </w:rPr>
              <w:t>社保按时缴纳完成率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D0DF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774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6BA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1F0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569A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9BD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7BC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339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0C6A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EF431">
            <w:pPr>
              <w:jc w:val="center"/>
            </w:pPr>
          </w:p>
        </w:tc>
      </w:tr>
      <w:tr w14:paraId="414131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058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653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CF7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46922">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A83C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9E3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495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740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A5C7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9F6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2BA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C4B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C843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F0DF8">
            <w:pPr>
              <w:jc w:val="center"/>
            </w:pPr>
          </w:p>
        </w:tc>
      </w:tr>
      <w:tr w14:paraId="0FAA17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3CC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8F58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8633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080DF">
            <w:pPr>
              <w:jc w:val="center"/>
            </w:pPr>
            <w:r>
              <w:rPr>
                <w:rFonts w:ascii="宋体" w:hAnsi="宋体" w:eastAsia="宋体"/>
                <w:sz w:val="16"/>
              </w:rPr>
              <w:t>大学生志愿者工资及社保人均补助金额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692C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6993A">
            <w:pPr>
              <w:jc w:val="center"/>
            </w:pPr>
            <w:r>
              <w:rPr>
                <w:rFonts w:ascii="宋体" w:hAnsi="宋体" w:eastAsia="宋体"/>
                <w:sz w:val="16"/>
              </w:rPr>
              <w:t>&lt;=3万元/人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25312">
            <w:pPr>
              <w:jc w:val="center"/>
            </w:pPr>
            <w:r>
              <w:rPr>
                <w:rFonts w:ascii="宋体" w:hAnsi="宋体" w:eastAsia="宋体"/>
                <w:sz w:val="16"/>
              </w:rPr>
              <w:t>=3万元/人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BAB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D0C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CFA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9E0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42A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B8AB1">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43D48">
            <w:pPr>
              <w:jc w:val="center"/>
            </w:pPr>
          </w:p>
        </w:tc>
      </w:tr>
      <w:tr w14:paraId="2E8E79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64A2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291D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B641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096FF">
            <w:pPr>
              <w:jc w:val="center"/>
            </w:pPr>
            <w:r>
              <w:rPr>
                <w:rFonts w:ascii="宋体" w:hAnsi="宋体" w:eastAsia="宋体"/>
                <w:sz w:val="16"/>
              </w:rPr>
              <w:t>提升大学生志愿者留疆率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786A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2716D">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C5A85">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70D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F205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5F61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4B68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DC8E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154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76DA0">
            <w:pPr>
              <w:jc w:val="center"/>
            </w:pPr>
          </w:p>
        </w:tc>
      </w:tr>
      <w:tr w14:paraId="1D7382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9F2D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485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93B1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12F32">
            <w:pPr>
              <w:jc w:val="center"/>
            </w:pPr>
            <w:r>
              <w:rPr>
                <w:rFonts w:ascii="宋体" w:hAnsi="宋体" w:eastAsia="宋体"/>
                <w:sz w:val="16"/>
              </w:rPr>
              <w:t>大学生志愿者满意度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2FD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EC66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FC93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7A1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3B5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C3C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304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4E45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AAE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04A5D">
            <w:pPr>
              <w:jc w:val="center"/>
            </w:pPr>
          </w:p>
        </w:tc>
      </w:tr>
      <w:tr w14:paraId="21A87F5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5155E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A6F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4836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DD80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A098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73CC3">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A98F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D3E1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9BE4E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3FAB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FBF6C3"/>
        </w:tc>
      </w:tr>
    </w:tbl>
    <w:p w14:paraId="79D53729">
      <w:r>
        <w:br w:type="page"/>
      </w:r>
    </w:p>
    <w:p w14:paraId="582E959B">
      <w:pPr>
        <w:spacing w:line="640" w:lineRule="exact"/>
        <w:ind w:firstLine="640"/>
        <w:jc w:val="both"/>
        <w:outlineLvl w:val="2"/>
      </w:pPr>
      <w:r>
        <w:rPr>
          <w:rFonts w:ascii="黑体" w:hAnsi="黑体" w:eastAsia="黑体"/>
          <w:sz w:val="32"/>
        </w:rPr>
        <w:t>十二、其他需说明的事项</w:t>
      </w:r>
    </w:p>
    <w:p w14:paraId="26EDF806">
      <w:pPr>
        <w:spacing w:line="580" w:lineRule="exact"/>
        <w:ind w:firstLine="640"/>
        <w:jc w:val="both"/>
      </w:pPr>
      <w:r>
        <w:rPr>
          <w:rFonts w:ascii="仿宋_GB2312" w:hAnsi="仿宋_GB2312" w:eastAsia="仿宋_GB2312"/>
          <w:b w:val="0"/>
          <w:sz w:val="32"/>
        </w:rPr>
        <w:t>本单位无其他需说明的事项。</w:t>
      </w:r>
    </w:p>
    <w:p w14:paraId="5358EB70">
      <w:r>
        <w:br w:type="page"/>
      </w:r>
    </w:p>
    <w:p w14:paraId="14CBBB46">
      <w:pPr>
        <w:spacing w:line="240" w:lineRule="auto"/>
        <w:jc w:val="center"/>
        <w:outlineLvl w:val="1"/>
      </w:pPr>
      <w:r>
        <w:rPr>
          <w:rFonts w:ascii="黑体" w:hAnsi="黑体" w:eastAsia="黑体"/>
          <w:sz w:val="32"/>
        </w:rPr>
        <w:t>第三部分 专业名词解释</w:t>
      </w:r>
    </w:p>
    <w:p w14:paraId="711046D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F1826B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32D2FB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00490D5">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86881E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8D4F21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DAE50FC">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8E47F8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A1C44D9">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79B9DB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98561A8">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1EBCC4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148579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465BFC0">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08D309A">
      <w:r>
        <w:br w:type="page"/>
      </w:r>
    </w:p>
    <w:p w14:paraId="1BF1CB2F">
      <w:pPr>
        <w:spacing w:line="240" w:lineRule="auto"/>
        <w:jc w:val="center"/>
        <w:outlineLvl w:val="1"/>
      </w:pPr>
      <w:r>
        <w:rPr>
          <w:rFonts w:ascii="黑体" w:hAnsi="黑体" w:eastAsia="黑体"/>
          <w:sz w:val="32"/>
        </w:rPr>
        <w:t>第四部分 部门决算报表（见附表）</w:t>
      </w:r>
    </w:p>
    <w:p w14:paraId="40A7647C">
      <w:pPr>
        <w:spacing w:line="240" w:lineRule="auto"/>
        <w:ind w:firstLine="640"/>
        <w:jc w:val="both"/>
      </w:pPr>
      <w:r>
        <w:rPr>
          <w:rFonts w:ascii="仿宋_GB2312" w:hAnsi="仿宋_GB2312" w:eastAsia="仿宋_GB2312"/>
          <w:b w:val="0"/>
          <w:sz w:val="32"/>
        </w:rPr>
        <w:t>一、《收入支出决算总表》</w:t>
      </w:r>
    </w:p>
    <w:p w14:paraId="757F03DF">
      <w:pPr>
        <w:spacing w:line="240" w:lineRule="auto"/>
        <w:ind w:firstLine="640"/>
        <w:jc w:val="both"/>
      </w:pPr>
      <w:r>
        <w:rPr>
          <w:rFonts w:ascii="仿宋_GB2312" w:hAnsi="仿宋_GB2312" w:eastAsia="仿宋_GB2312"/>
          <w:b w:val="0"/>
          <w:sz w:val="32"/>
        </w:rPr>
        <w:t>二、《收入决算表》</w:t>
      </w:r>
    </w:p>
    <w:p w14:paraId="7795D7EF">
      <w:pPr>
        <w:spacing w:line="240" w:lineRule="auto"/>
        <w:ind w:firstLine="640"/>
        <w:jc w:val="both"/>
      </w:pPr>
      <w:r>
        <w:rPr>
          <w:rFonts w:ascii="仿宋_GB2312" w:hAnsi="仿宋_GB2312" w:eastAsia="仿宋_GB2312"/>
          <w:b w:val="0"/>
          <w:sz w:val="32"/>
        </w:rPr>
        <w:t>三、《支出决算表》</w:t>
      </w:r>
    </w:p>
    <w:p w14:paraId="6162FF1E">
      <w:pPr>
        <w:spacing w:line="240" w:lineRule="auto"/>
        <w:ind w:firstLine="640"/>
        <w:jc w:val="both"/>
      </w:pPr>
      <w:r>
        <w:rPr>
          <w:rFonts w:ascii="仿宋_GB2312" w:hAnsi="仿宋_GB2312" w:eastAsia="仿宋_GB2312"/>
          <w:b w:val="0"/>
          <w:sz w:val="32"/>
        </w:rPr>
        <w:t>四、《财政拨款收入支出决算总表》</w:t>
      </w:r>
    </w:p>
    <w:p w14:paraId="629BC844">
      <w:pPr>
        <w:spacing w:line="240" w:lineRule="auto"/>
        <w:ind w:firstLine="640"/>
        <w:jc w:val="both"/>
      </w:pPr>
      <w:r>
        <w:rPr>
          <w:rFonts w:ascii="仿宋_GB2312" w:hAnsi="仿宋_GB2312" w:eastAsia="仿宋_GB2312"/>
          <w:b w:val="0"/>
          <w:sz w:val="32"/>
        </w:rPr>
        <w:t>五、《一般公共预算财政拨款支出决算表》</w:t>
      </w:r>
    </w:p>
    <w:p w14:paraId="066C8057">
      <w:pPr>
        <w:spacing w:line="240" w:lineRule="auto"/>
        <w:ind w:firstLine="640"/>
        <w:jc w:val="both"/>
      </w:pPr>
      <w:r>
        <w:rPr>
          <w:rFonts w:ascii="仿宋_GB2312" w:hAnsi="仿宋_GB2312" w:eastAsia="仿宋_GB2312"/>
          <w:b w:val="0"/>
          <w:sz w:val="32"/>
        </w:rPr>
        <w:t>六、《一般公共预算财政拨款基本支出决算表》</w:t>
      </w:r>
    </w:p>
    <w:p w14:paraId="47AB6688">
      <w:pPr>
        <w:spacing w:line="240" w:lineRule="auto"/>
        <w:ind w:firstLine="640"/>
        <w:jc w:val="both"/>
      </w:pPr>
      <w:r>
        <w:rPr>
          <w:rFonts w:ascii="仿宋_GB2312" w:hAnsi="仿宋_GB2312" w:eastAsia="仿宋_GB2312"/>
          <w:b w:val="0"/>
          <w:sz w:val="32"/>
        </w:rPr>
        <w:t>七、《政府性基金预算财政拨款收入支出决算表》</w:t>
      </w:r>
    </w:p>
    <w:p w14:paraId="1DDC9308">
      <w:pPr>
        <w:spacing w:line="240" w:lineRule="auto"/>
        <w:ind w:firstLine="640"/>
        <w:jc w:val="both"/>
      </w:pPr>
      <w:r>
        <w:rPr>
          <w:rFonts w:ascii="仿宋_GB2312" w:hAnsi="仿宋_GB2312" w:eastAsia="仿宋_GB2312"/>
          <w:b w:val="0"/>
          <w:sz w:val="32"/>
        </w:rPr>
        <w:t>八、《国有资本经营预算财政拨款收入支出决算表》</w:t>
      </w:r>
    </w:p>
    <w:p w14:paraId="4247C2EE">
      <w:pPr>
        <w:spacing w:line="240" w:lineRule="auto"/>
        <w:ind w:firstLine="640"/>
        <w:jc w:val="both"/>
      </w:pPr>
      <w:r>
        <w:rPr>
          <w:rFonts w:ascii="仿宋_GB2312" w:hAnsi="仿宋_GB2312" w:eastAsia="仿宋_GB2312"/>
          <w:b w:val="0"/>
          <w:sz w:val="32"/>
        </w:rPr>
        <w:t>九、《财政拨款“三公”经费支出决算表》</w:t>
      </w:r>
    </w:p>
    <w:p w14:paraId="45124183">
      <w:pPr>
        <w:spacing w:line="240" w:lineRule="auto"/>
        <w:ind w:firstLine="640"/>
        <w:jc w:val="both"/>
      </w:pPr>
    </w:p>
    <w:p w14:paraId="25E707D0">
      <w:pPr>
        <w:spacing w:line="240" w:lineRule="auto"/>
        <w:ind w:firstLine="640"/>
        <w:jc w:val="both"/>
      </w:pPr>
    </w:p>
    <w:p w14:paraId="473F873C">
      <w:pPr>
        <w:spacing w:line="240" w:lineRule="auto"/>
        <w:ind w:firstLine="640"/>
        <w:jc w:val="both"/>
      </w:pPr>
    </w:p>
    <w:p w14:paraId="359A883F">
      <w:pPr>
        <w:spacing w:line="240" w:lineRule="auto"/>
        <w:ind w:firstLine="640"/>
        <w:jc w:val="both"/>
      </w:pPr>
    </w:p>
    <w:p w14:paraId="2058226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894EE57-DFA1-483F-B115-64D0C3B0864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0B0723B-337D-4116-9527-5532DA78CBB5}"/>
  </w:font>
  <w:font w:name="仿宋_GB2312">
    <w:panose1 w:val="02010609030101010101"/>
    <w:charset w:val="86"/>
    <w:family w:val="modern"/>
    <w:pitch w:val="default"/>
    <w:sig w:usb0="00000001" w:usb1="080E0000" w:usb2="00000000" w:usb3="00000000" w:csb0="00040000" w:csb1="00000000"/>
    <w:embedRegular r:id="rId3" w:fontKey="{9E92AC1F-B892-4206-ABCD-B2A69672A558}"/>
  </w:font>
  <w:font w:name="楷体_GB2312">
    <w:panose1 w:val="02010609030101010101"/>
    <w:charset w:val="86"/>
    <w:family w:val="auto"/>
    <w:pitch w:val="default"/>
    <w:sig w:usb0="00000001" w:usb1="080E0000" w:usb2="00000000" w:usb3="00000000" w:csb0="00040000" w:csb1="00000000"/>
    <w:embedRegular r:id="rId4" w:fontKey="{3E3B08C7-07F3-412C-B022-361D1EB5E83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1C5EF1"/>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CD4168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5636</Words>
  <Characters>6425</Characters>
  <Lines>0</Lines>
  <Paragraphs>0</Paragraphs>
  <TotalTime>2</TotalTime>
  <ScaleCrop>false</ScaleCrop>
  <LinksUpToDate>false</LinksUpToDate>
  <CharactersWithSpaces>6433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2025-10-14T02:57:56Z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eyJoZGlkIjoiZTEwMTFjZmI3NWUwMGRmYWEyNzFiMzQ2OTlkZWE5ODAiLCJ1c2VySWQiOiIzNzI2MDMzNTYifQ==</vt:lpwstr>
  </property>
</Properties>
</file>