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中共吉木萨尔县委员会老干部局2024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A1386D">
      <w:r>
        <w:br w:type="page"/>
      </w:r>
    </w:p>
    <w:p w14:paraId="461ACE0F">
      <w:pPr>
        <w:spacing w:line="640" w:lineRule="exact"/>
        <w:jc w:val="center"/>
        <w:outlineLvl w:val="1"/>
      </w:pPr>
      <w:r>
        <w:rPr>
          <w:rFonts w:ascii="黑体" w:hAnsi="黑体" w:eastAsia="黑体"/>
          <w:sz w:val="32"/>
        </w:rPr>
        <w:t>第一部分 单位概况</w:t>
      </w:r>
    </w:p>
    <w:p w14:paraId="2F7D19C8">
      <w:pPr>
        <w:spacing w:line="640" w:lineRule="exact"/>
        <w:ind w:firstLine="640"/>
        <w:jc w:val="both"/>
        <w:outlineLvl w:val="2"/>
      </w:pPr>
      <w:r>
        <w:rPr>
          <w:rFonts w:ascii="黑体" w:hAnsi="黑体" w:eastAsia="黑体"/>
          <w:sz w:val="32"/>
        </w:rPr>
        <w:t>一、主要职能</w:t>
      </w:r>
    </w:p>
    <w:p w14:paraId="7B9E8E3B">
      <w:pPr>
        <w:spacing w:line="580" w:lineRule="exact"/>
        <w:ind w:firstLine="640"/>
        <w:jc w:val="both"/>
      </w:pPr>
      <w:r>
        <w:rPr>
          <w:rFonts w:ascii="仿宋_GB2312" w:hAnsi="仿宋_GB2312" w:eastAsia="仿宋_GB2312"/>
          <w:sz w:val="32"/>
        </w:rPr>
        <w:t>①负责贯彻落实党中央、国务院和上级部门关于老干部工作的方针、政策、规定；向上级报告全县老干部工作情况，并提出意见和建议；协助</w:t>
      </w:r>
      <w:r>
        <w:rPr>
          <w:rFonts w:hint="eastAsia" w:ascii="仿宋_GB2312" w:hAnsi="仿宋_GB2312" w:eastAsia="仿宋_GB2312"/>
          <w:sz w:val="32"/>
          <w:lang w:eastAsia="zh-CN"/>
        </w:rPr>
        <w:t>县委、县政府</w:t>
      </w:r>
      <w:r>
        <w:rPr>
          <w:rFonts w:ascii="仿宋_GB2312" w:hAnsi="仿宋_GB2312" w:eastAsia="仿宋_GB2312"/>
          <w:sz w:val="32"/>
        </w:rPr>
        <w:t>制定、完善本县老干部工作的政策、规定。</w:t>
      </w:r>
    </w:p>
    <w:p w14:paraId="4BA38EE4">
      <w:pPr>
        <w:spacing w:line="580" w:lineRule="exact"/>
        <w:ind w:firstLine="640"/>
        <w:jc w:val="both"/>
      </w:pPr>
      <w:r>
        <w:rPr>
          <w:rFonts w:ascii="仿宋_GB2312" w:hAnsi="仿宋_GB2312" w:eastAsia="仿宋_GB2312"/>
          <w:sz w:val="32"/>
        </w:rPr>
        <w:t>②指导全县各单位落实老干部工作的方针、政策、规定，并对具体预算情况进行督促、检查。</w:t>
      </w:r>
    </w:p>
    <w:p w14:paraId="65FBCFCA">
      <w:pPr>
        <w:spacing w:line="580" w:lineRule="exact"/>
        <w:ind w:firstLine="640"/>
        <w:jc w:val="both"/>
      </w:pPr>
      <w:r>
        <w:rPr>
          <w:rFonts w:ascii="仿宋_GB2312" w:hAnsi="仿宋_GB2312" w:eastAsia="仿宋_GB2312"/>
          <w:sz w:val="32"/>
        </w:rPr>
        <w:t>③调查研究落实老干部政治待遇和生活待遇工作中存在的问题，并协调有关部门提出解决办法。</w:t>
      </w:r>
    </w:p>
    <w:p w14:paraId="15217FA0">
      <w:pPr>
        <w:spacing w:line="580" w:lineRule="exact"/>
        <w:ind w:firstLine="640"/>
        <w:jc w:val="both"/>
      </w:pPr>
      <w:r>
        <w:rPr>
          <w:rFonts w:ascii="仿宋_GB2312" w:hAnsi="仿宋_GB2312" w:eastAsia="仿宋_GB2312"/>
          <w:sz w:val="32"/>
        </w:rPr>
        <w:t>④指导老干部党支部建设和老干部思想政治工作。负责宣传老干部的历史功绩、现实作用和先进事迹，以及老干部工作的重要意义；引导老干部在新形势下发挥作用。</w:t>
      </w:r>
    </w:p>
    <w:p w14:paraId="2E54653A">
      <w:pPr>
        <w:spacing w:line="580" w:lineRule="exact"/>
        <w:ind w:firstLine="640"/>
        <w:jc w:val="both"/>
      </w:pPr>
      <w:r>
        <w:rPr>
          <w:rFonts w:ascii="仿宋_GB2312" w:hAnsi="仿宋_GB2312" w:eastAsia="仿宋_GB2312"/>
          <w:sz w:val="32"/>
        </w:rPr>
        <w:t>⑤总结老干部工作经验，表彰优秀老干部和老干部先进机构及个人。</w:t>
      </w:r>
    </w:p>
    <w:p w14:paraId="16F895CD">
      <w:pPr>
        <w:spacing w:line="580" w:lineRule="exact"/>
        <w:ind w:firstLine="640"/>
        <w:jc w:val="both"/>
      </w:pPr>
      <w:r>
        <w:rPr>
          <w:rFonts w:ascii="仿宋_GB2312" w:hAnsi="仿宋_GB2312" w:eastAsia="仿宋_GB2312"/>
          <w:sz w:val="32"/>
        </w:rPr>
        <w:t>⑥组织、指导老干部开展健康科学的文化健身、健康休养、参观我县建设成就等活动。</w:t>
      </w:r>
    </w:p>
    <w:p w14:paraId="21FDC9F5">
      <w:pPr>
        <w:spacing w:line="580" w:lineRule="exact"/>
        <w:ind w:firstLine="640"/>
        <w:jc w:val="both"/>
      </w:pPr>
      <w:r>
        <w:rPr>
          <w:rFonts w:ascii="仿宋_GB2312" w:hAnsi="仿宋_GB2312" w:eastAsia="仿宋_GB2312"/>
          <w:sz w:val="32"/>
        </w:rPr>
        <w:t>⑦处理老干部来信来访；报告老干部工作信息。</w:t>
      </w:r>
    </w:p>
    <w:p w14:paraId="5ADD8D51">
      <w:pPr>
        <w:spacing w:line="580" w:lineRule="exact"/>
        <w:ind w:firstLine="640"/>
        <w:jc w:val="both"/>
      </w:pPr>
      <w:r>
        <w:rPr>
          <w:rFonts w:ascii="仿宋_GB2312" w:hAnsi="仿宋_GB2312" w:eastAsia="仿宋_GB2312"/>
          <w:sz w:val="32"/>
        </w:rPr>
        <w:t>⑧负责易地安置的老干部的服务和管理工作。</w:t>
      </w:r>
    </w:p>
    <w:p w14:paraId="7E82739A">
      <w:pPr>
        <w:spacing w:line="580" w:lineRule="exact"/>
        <w:ind w:firstLine="640"/>
        <w:jc w:val="both"/>
      </w:pPr>
      <w:r>
        <w:rPr>
          <w:rFonts w:ascii="仿宋_GB2312" w:hAnsi="仿宋_GB2312" w:eastAsia="仿宋_GB2312"/>
          <w:sz w:val="32"/>
        </w:rPr>
        <w:t>⑨抓好本县老干部工作队伍的自身建设。</w:t>
      </w:r>
    </w:p>
    <w:p w14:paraId="724E9D95">
      <w:pPr>
        <w:spacing w:line="580" w:lineRule="exact"/>
        <w:ind w:firstLine="640"/>
        <w:jc w:val="both"/>
      </w:pPr>
      <w:r>
        <w:rPr>
          <w:rFonts w:ascii="仿宋_GB2312" w:hAnsi="仿宋_GB2312" w:eastAsia="仿宋_GB2312"/>
          <w:sz w:val="32"/>
        </w:rPr>
        <w:t>⑩承办上级和上级有关部门交办的其他事项。</w:t>
      </w:r>
    </w:p>
    <w:p w14:paraId="385B44D6">
      <w:pPr>
        <w:spacing w:line="640" w:lineRule="exact"/>
        <w:ind w:firstLine="640"/>
        <w:jc w:val="both"/>
        <w:outlineLvl w:val="2"/>
      </w:pPr>
      <w:r>
        <w:rPr>
          <w:rFonts w:ascii="黑体" w:hAnsi="黑体" w:eastAsia="黑体"/>
          <w:sz w:val="32"/>
        </w:rPr>
        <w:t>二、机构设置及人员情况</w:t>
      </w:r>
    </w:p>
    <w:p w14:paraId="756A73D4">
      <w:pPr>
        <w:spacing w:line="580" w:lineRule="exact"/>
        <w:ind w:firstLine="640"/>
        <w:jc w:val="both"/>
      </w:pPr>
      <w:r>
        <w:rPr>
          <w:rFonts w:ascii="仿宋_GB2312" w:hAnsi="仿宋_GB2312" w:eastAsia="仿宋_GB2312"/>
          <w:sz w:val="32"/>
        </w:rPr>
        <w:t>中共吉木萨尔县委员会老干部局2024年度，实有人数14人，其中：在职人员5人，减少4人；离休人员0人，增加0人；退休人员9人,增加0人。</w:t>
      </w:r>
    </w:p>
    <w:p w14:paraId="737DA054">
      <w:pPr>
        <w:spacing w:line="580" w:lineRule="exact"/>
        <w:ind w:firstLine="640"/>
        <w:jc w:val="both"/>
      </w:pPr>
      <w:r>
        <w:rPr>
          <w:rFonts w:ascii="仿宋_GB2312" w:hAnsi="仿宋_GB2312" w:eastAsia="仿宋_GB2312"/>
          <w:sz w:val="32"/>
        </w:rPr>
        <w:t>中共吉木萨尔县委员会老干部局无下属预算单位，下设3个科室，分别是：办公室、综合办、财务室。</w:t>
      </w:r>
    </w:p>
    <w:p w14:paraId="611CAAEC">
      <w:r>
        <w:br w:type="page"/>
      </w:r>
    </w:p>
    <w:p w14:paraId="0706D413">
      <w:pPr>
        <w:spacing w:line="240" w:lineRule="auto"/>
        <w:jc w:val="center"/>
        <w:outlineLvl w:val="1"/>
      </w:pPr>
      <w:r>
        <w:rPr>
          <w:rFonts w:ascii="黑体" w:hAnsi="黑体" w:eastAsia="黑体"/>
          <w:sz w:val="32"/>
        </w:rPr>
        <w:t>第二部分 部门决算情况说明</w:t>
      </w:r>
    </w:p>
    <w:p w14:paraId="366B89C1">
      <w:pPr>
        <w:spacing w:line="640" w:lineRule="exact"/>
        <w:ind w:firstLine="640"/>
        <w:jc w:val="both"/>
        <w:outlineLvl w:val="2"/>
      </w:pPr>
      <w:r>
        <w:rPr>
          <w:rFonts w:ascii="黑体" w:hAnsi="黑体" w:eastAsia="黑体"/>
          <w:sz w:val="32"/>
        </w:rPr>
        <w:t>一、收入支出决算总体情况说明</w:t>
      </w:r>
    </w:p>
    <w:p w14:paraId="161BCA5B">
      <w:pPr>
        <w:spacing w:line="580" w:lineRule="exact"/>
        <w:ind w:firstLine="640"/>
        <w:jc w:val="both"/>
      </w:pPr>
      <w:r>
        <w:rPr>
          <w:rFonts w:ascii="仿宋_GB2312" w:hAnsi="仿宋_GB2312" w:eastAsia="仿宋_GB2312"/>
          <w:b/>
          <w:sz w:val="32"/>
        </w:rPr>
        <w:t>2024年度收入总计466.49万元，</w:t>
      </w:r>
      <w:r>
        <w:rPr>
          <w:rFonts w:ascii="仿宋_GB2312" w:hAnsi="仿宋_GB2312" w:eastAsia="仿宋_GB2312"/>
          <w:b w:val="0"/>
          <w:sz w:val="32"/>
        </w:rPr>
        <w:t>其中：本年收入合计463.45万元，使用非财政拨款结余（含专用结余）0.00万元，年初结转和结余3.05万元。</w:t>
      </w:r>
    </w:p>
    <w:p w14:paraId="4C821F06">
      <w:pPr>
        <w:spacing w:line="580" w:lineRule="exact"/>
        <w:ind w:firstLine="640"/>
        <w:jc w:val="both"/>
      </w:pPr>
      <w:r>
        <w:rPr>
          <w:rFonts w:ascii="仿宋_GB2312" w:hAnsi="仿宋_GB2312" w:eastAsia="仿宋_GB2312"/>
          <w:b/>
          <w:sz w:val="32"/>
        </w:rPr>
        <w:t>2024年度支出总计466.49万元，</w:t>
      </w:r>
      <w:r>
        <w:rPr>
          <w:rFonts w:ascii="仿宋_GB2312" w:hAnsi="仿宋_GB2312" w:eastAsia="仿宋_GB2312"/>
          <w:b w:val="0"/>
          <w:sz w:val="32"/>
        </w:rPr>
        <w:t>其中：本年支出合计463.46万元，结余分配0.00万元，年末结转和结余3.04万元。</w:t>
      </w:r>
    </w:p>
    <w:p w14:paraId="0900F157">
      <w:pPr>
        <w:spacing w:line="580" w:lineRule="exact"/>
        <w:ind w:firstLine="640"/>
        <w:jc w:val="both"/>
      </w:pPr>
      <w:r>
        <w:rPr>
          <w:rFonts w:ascii="仿宋_GB2312" w:hAnsi="仿宋_GB2312" w:eastAsia="仿宋_GB2312"/>
          <w:b w:val="0"/>
          <w:sz w:val="32"/>
        </w:rPr>
        <w:t>收入支出总体与上年相比，增加111.65万元，增长31.46%，主要原因是：本年增加老干部活动中心装修项目和购置功能设施资金、自治区老干部参观学习费用、国产电脑购置经费。</w:t>
      </w:r>
    </w:p>
    <w:p w14:paraId="60539711">
      <w:pPr>
        <w:spacing w:line="640" w:lineRule="exact"/>
        <w:ind w:firstLine="640"/>
        <w:jc w:val="both"/>
        <w:outlineLvl w:val="2"/>
      </w:pPr>
      <w:r>
        <w:rPr>
          <w:rFonts w:ascii="黑体" w:hAnsi="黑体" w:eastAsia="黑体"/>
          <w:sz w:val="32"/>
        </w:rPr>
        <w:t>二、收入决算情况说明</w:t>
      </w:r>
    </w:p>
    <w:p w14:paraId="51F19A0D">
      <w:pPr>
        <w:spacing w:line="580" w:lineRule="exact"/>
        <w:ind w:firstLine="640"/>
        <w:jc w:val="both"/>
      </w:pPr>
      <w:r>
        <w:rPr>
          <w:rFonts w:ascii="仿宋_GB2312" w:hAnsi="仿宋_GB2312" w:eastAsia="仿宋_GB2312"/>
          <w:b/>
          <w:sz w:val="32"/>
        </w:rPr>
        <w:t>本年收入463.45万元，</w:t>
      </w:r>
      <w:r>
        <w:rPr>
          <w:rFonts w:ascii="仿宋_GB2312" w:hAnsi="仿宋_GB2312" w:eastAsia="仿宋_GB2312"/>
          <w:b w:val="0"/>
          <w:sz w:val="32"/>
        </w:rPr>
        <w:t>其中：财政拨款收入463.45万元，占100.00%；上级补助收入0.00万元，占0.00%；事业收入0.00万元，占0.00%；经营收入0.00万元，占0.00%；附属单位上缴收入0.00万元，占0.00%；其他收入0.00万元，占0.00%。</w:t>
      </w:r>
    </w:p>
    <w:p w14:paraId="312B34E1">
      <w:pPr>
        <w:spacing w:line="640" w:lineRule="exact"/>
        <w:ind w:firstLine="640"/>
        <w:jc w:val="both"/>
        <w:outlineLvl w:val="2"/>
      </w:pPr>
      <w:r>
        <w:rPr>
          <w:rFonts w:ascii="黑体" w:hAnsi="黑体" w:eastAsia="黑体"/>
          <w:sz w:val="32"/>
        </w:rPr>
        <w:t>三、支出决算情况说明</w:t>
      </w:r>
    </w:p>
    <w:p w14:paraId="35AA9692">
      <w:pPr>
        <w:spacing w:line="580" w:lineRule="exact"/>
        <w:ind w:firstLine="640"/>
        <w:jc w:val="both"/>
      </w:pPr>
      <w:r>
        <w:rPr>
          <w:rFonts w:ascii="仿宋_GB2312" w:hAnsi="仿宋_GB2312" w:eastAsia="仿宋_GB2312"/>
          <w:b/>
          <w:sz w:val="32"/>
        </w:rPr>
        <w:t>本年支出463.46万元，</w:t>
      </w:r>
      <w:r>
        <w:rPr>
          <w:rFonts w:ascii="仿宋_GB2312" w:hAnsi="仿宋_GB2312" w:eastAsia="仿宋_GB2312"/>
          <w:b w:val="0"/>
          <w:sz w:val="32"/>
        </w:rPr>
        <w:t>其中：基本支出349.80万元，占75.48%；项目支出113.65万元，占24.52%；上缴上级支出0.00万元，占0.00%；经营支出0.00万元，占0.00%；对附属单位补助支出0.00万元，占0.00%。</w:t>
      </w:r>
    </w:p>
    <w:p w14:paraId="40C5E971">
      <w:pPr>
        <w:spacing w:line="640" w:lineRule="exact"/>
        <w:ind w:firstLine="640"/>
        <w:jc w:val="both"/>
        <w:outlineLvl w:val="2"/>
      </w:pPr>
      <w:r>
        <w:rPr>
          <w:rFonts w:ascii="黑体" w:hAnsi="黑体" w:eastAsia="黑体"/>
          <w:sz w:val="32"/>
        </w:rPr>
        <w:t>四、财政拨款收入支出决算总体情况说明</w:t>
      </w:r>
    </w:p>
    <w:p w14:paraId="5CEAE23B">
      <w:pPr>
        <w:spacing w:line="580" w:lineRule="exact"/>
        <w:ind w:firstLine="640"/>
        <w:jc w:val="both"/>
      </w:pPr>
      <w:r>
        <w:rPr>
          <w:rFonts w:ascii="仿宋_GB2312" w:hAnsi="仿宋_GB2312" w:eastAsia="仿宋_GB2312"/>
          <w:b/>
          <w:sz w:val="32"/>
        </w:rPr>
        <w:t>2024年度财政拨款收入总计463.45万元，</w:t>
      </w:r>
      <w:r>
        <w:rPr>
          <w:rFonts w:ascii="仿宋_GB2312" w:hAnsi="仿宋_GB2312" w:eastAsia="仿宋_GB2312"/>
          <w:b w:val="0"/>
          <w:sz w:val="32"/>
        </w:rPr>
        <w:t>其中：年初财政拨款结转和结余0.00万元，本年财政拨款收入463.45万元。</w:t>
      </w:r>
      <w:r>
        <w:rPr>
          <w:rFonts w:ascii="仿宋_GB2312" w:hAnsi="仿宋_GB2312" w:eastAsia="仿宋_GB2312"/>
          <w:b/>
          <w:sz w:val="32"/>
        </w:rPr>
        <w:t>财政拨款支出总计463.45万元，</w:t>
      </w:r>
      <w:r>
        <w:rPr>
          <w:rFonts w:ascii="仿宋_GB2312" w:hAnsi="仿宋_GB2312" w:eastAsia="仿宋_GB2312"/>
          <w:b w:val="0"/>
          <w:sz w:val="32"/>
        </w:rPr>
        <w:t>其中：年末财政拨款结转和结余0.00万元，本年财政拨款支出463.45万元。</w:t>
      </w:r>
    </w:p>
    <w:p w14:paraId="6282C10A">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增加128.42万元，增长38.33%，主要原因是：本年增加老干部活动中心装修项目和购置功能设施资金、自治区老干部参观学习费用、国产电脑购置经费。</w:t>
      </w:r>
      <w:r>
        <w:rPr>
          <w:rFonts w:ascii="仿宋_GB2312" w:hAnsi="仿宋_GB2312" w:eastAsia="仿宋_GB2312"/>
          <w:b/>
          <w:sz w:val="32"/>
        </w:rPr>
        <w:t>与年初预算相比，</w:t>
      </w:r>
      <w:r>
        <w:rPr>
          <w:rFonts w:ascii="仿宋_GB2312" w:hAnsi="仿宋_GB2312" w:eastAsia="仿宋_GB2312"/>
          <w:b w:val="0"/>
          <w:sz w:val="32"/>
        </w:rPr>
        <w:t>年初预算数528.67万元，决算数463.45万元，预决算差异率-12.34%，主要原因是：本年因机构改革，部分人员调出至组织部和社工部，年中调减离休干部医疗费</w:t>
      </w:r>
      <w:r>
        <w:rPr>
          <w:rFonts w:hint="eastAsia" w:ascii="仿宋_GB2312" w:hAnsi="仿宋_GB2312" w:eastAsia="仿宋_GB2312"/>
          <w:b w:val="0"/>
          <w:sz w:val="32"/>
          <w:lang w:val="en-US" w:eastAsia="zh-CN"/>
        </w:rPr>
        <w:t>及人员经费</w:t>
      </w:r>
      <w:r>
        <w:rPr>
          <w:rFonts w:ascii="仿宋_GB2312" w:hAnsi="仿宋_GB2312" w:eastAsia="仿宋_GB2312"/>
          <w:b w:val="0"/>
          <w:sz w:val="32"/>
        </w:rPr>
        <w:t>，导致预决算存在差异。</w:t>
      </w:r>
    </w:p>
    <w:p w14:paraId="162C84AF">
      <w:pPr>
        <w:spacing w:line="640" w:lineRule="exact"/>
        <w:ind w:firstLine="640"/>
        <w:jc w:val="both"/>
        <w:outlineLvl w:val="2"/>
      </w:pPr>
      <w:r>
        <w:rPr>
          <w:rFonts w:ascii="黑体" w:hAnsi="黑体" w:eastAsia="黑体"/>
          <w:sz w:val="32"/>
        </w:rPr>
        <w:t>五、一般公共预算财政拨款支出决算情况说明</w:t>
      </w:r>
    </w:p>
    <w:p w14:paraId="015D67DF">
      <w:pPr>
        <w:spacing w:line="640" w:lineRule="exact"/>
        <w:ind w:firstLine="640"/>
        <w:jc w:val="both"/>
        <w:outlineLvl w:val="3"/>
      </w:pPr>
      <w:r>
        <w:rPr>
          <w:rFonts w:ascii="楷体_GB2312" w:hAnsi="楷体_GB2312" w:eastAsia="楷体_GB2312"/>
          <w:b/>
          <w:sz w:val="32"/>
        </w:rPr>
        <w:t>（一）一般公共预算财政拨款支出决算总体情况</w:t>
      </w:r>
    </w:p>
    <w:p w14:paraId="5BA518BB">
      <w:pPr>
        <w:spacing w:line="580" w:lineRule="exact"/>
        <w:ind w:firstLine="640"/>
        <w:jc w:val="both"/>
      </w:pPr>
      <w:r>
        <w:rPr>
          <w:rFonts w:ascii="仿宋_GB2312" w:hAnsi="仿宋_GB2312" w:eastAsia="仿宋_GB2312"/>
          <w:b/>
          <w:sz w:val="32"/>
        </w:rPr>
        <w:t>2024年度一般公共预算财政拨款支出463.45万元，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增加128.42万元，增长38.33%，主要原因是：本年增加老干部活动中心装修项目和购置功能设施资金、自治区老干部参观学习费用、国产电脑购置经费。</w:t>
      </w:r>
      <w:r>
        <w:rPr>
          <w:rFonts w:ascii="仿宋_GB2312" w:hAnsi="仿宋_GB2312" w:eastAsia="仿宋_GB2312"/>
          <w:b/>
          <w:sz w:val="32"/>
        </w:rPr>
        <w:t>与年初预算相比,</w:t>
      </w:r>
      <w:r>
        <w:rPr>
          <w:rFonts w:ascii="仿宋_GB2312" w:hAnsi="仿宋_GB2312" w:eastAsia="仿宋_GB2312"/>
          <w:b w:val="0"/>
          <w:sz w:val="32"/>
        </w:rPr>
        <w:t>年初预算数528.67万元，决算数463.45万元，预决算差异率-12.34%，主要原因是：本年因机构改革，部分人员调出至组织部和社工部，年中调减离休干部医疗费</w:t>
      </w:r>
      <w:r>
        <w:rPr>
          <w:rFonts w:hint="eastAsia" w:ascii="仿宋_GB2312" w:hAnsi="仿宋_GB2312" w:eastAsia="仿宋_GB2312"/>
          <w:b w:val="0"/>
          <w:sz w:val="32"/>
          <w:lang w:val="en-US" w:eastAsia="zh-CN"/>
        </w:rPr>
        <w:t>及人员经费</w:t>
      </w:r>
      <w:r>
        <w:rPr>
          <w:rFonts w:ascii="仿宋_GB2312" w:hAnsi="仿宋_GB2312" w:eastAsia="仿宋_GB2312"/>
          <w:b w:val="0"/>
          <w:sz w:val="32"/>
        </w:rPr>
        <w:t>，导致预决算存在差异。</w:t>
      </w:r>
    </w:p>
    <w:p w14:paraId="72764336">
      <w:pPr>
        <w:spacing w:line="640" w:lineRule="exact"/>
        <w:ind w:firstLine="640"/>
        <w:jc w:val="both"/>
        <w:outlineLvl w:val="3"/>
      </w:pPr>
      <w:r>
        <w:rPr>
          <w:rFonts w:ascii="楷体_GB2312" w:hAnsi="楷体_GB2312" w:eastAsia="楷体_GB2312"/>
          <w:b/>
          <w:sz w:val="32"/>
        </w:rPr>
        <w:t>（二）一般公共预算财政拨款支出决算结构情况</w:t>
      </w:r>
    </w:p>
    <w:p w14:paraId="341B9B96">
      <w:pPr>
        <w:spacing w:line="580" w:lineRule="exact"/>
        <w:ind w:firstLine="640"/>
        <w:jc w:val="both"/>
      </w:pPr>
      <w:r>
        <w:rPr>
          <w:rFonts w:ascii="仿宋_GB2312" w:hAnsi="仿宋_GB2312" w:eastAsia="仿宋_GB2312"/>
          <w:b w:val="0"/>
          <w:sz w:val="32"/>
        </w:rPr>
        <w:t>1.科学技术支出(类)1.80万元,占0.39%。</w:t>
      </w:r>
    </w:p>
    <w:p w14:paraId="3E54EE75">
      <w:pPr>
        <w:spacing w:line="580" w:lineRule="exact"/>
        <w:ind w:firstLine="640"/>
        <w:jc w:val="both"/>
      </w:pPr>
      <w:r>
        <w:rPr>
          <w:rFonts w:ascii="仿宋_GB2312" w:hAnsi="仿宋_GB2312" w:eastAsia="仿宋_GB2312"/>
          <w:b w:val="0"/>
          <w:sz w:val="32"/>
        </w:rPr>
        <w:t>2.社会保障和就业支出(类)445.56万元,占96.14%。</w:t>
      </w:r>
    </w:p>
    <w:p w14:paraId="0716A46E">
      <w:pPr>
        <w:spacing w:line="580" w:lineRule="exact"/>
        <w:ind w:firstLine="640"/>
        <w:jc w:val="both"/>
      </w:pPr>
      <w:r>
        <w:rPr>
          <w:rFonts w:ascii="仿宋_GB2312" w:hAnsi="仿宋_GB2312" w:eastAsia="仿宋_GB2312"/>
          <w:b w:val="0"/>
          <w:sz w:val="32"/>
        </w:rPr>
        <w:t>3.卫生健康支出(类)6.54万元,占1.41%。</w:t>
      </w:r>
    </w:p>
    <w:p w14:paraId="2DE9B7B2">
      <w:pPr>
        <w:spacing w:line="580" w:lineRule="exact"/>
        <w:ind w:firstLine="640"/>
        <w:jc w:val="both"/>
      </w:pPr>
      <w:r>
        <w:rPr>
          <w:rFonts w:ascii="仿宋_GB2312" w:hAnsi="仿宋_GB2312" w:eastAsia="仿宋_GB2312"/>
          <w:b w:val="0"/>
          <w:sz w:val="32"/>
        </w:rPr>
        <w:t>4.住房保障支出(类)9.55万元,占2.06%。</w:t>
      </w:r>
    </w:p>
    <w:p w14:paraId="48C354B3">
      <w:pPr>
        <w:spacing w:line="640" w:lineRule="exact"/>
        <w:ind w:firstLine="640"/>
        <w:jc w:val="both"/>
        <w:outlineLvl w:val="3"/>
      </w:pPr>
      <w:r>
        <w:rPr>
          <w:rFonts w:ascii="楷体_GB2312" w:hAnsi="楷体_GB2312" w:eastAsia="楷体_GB2312"/>
          <w:b/>
          <w:sz w:val="32"/>
        </w:rPr>
        <w:t>（三）一般公共预算财政拨款支出决算具体情况</w:t>
      </w:r>
    </w:p>
    <w:p w14:paraId="72EB8570">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1.科学技术支出(类)科技条件与服务(款)其他科技条件与服务支出(项):支出决算数为1.80万元，比上年决算增加1.80万元，增长100.00%,主要原因是：本年增加国产电脑购置经费。</w:t>
      </w:r>
    </w:p>
    <w:p w14:paraId="518562CF">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2.社会保障和就业支出(类)行政事业单位养老支出(款)行政单位离退休(项):支出决算数为6.31万元，比上年决算增加4.06万元，增长180.44%,主要原因是：本年增加退休人员基础绩效奖，退休费支出增加。</w:t>
      </w:r>
    </w:p>
    <w:p w14:paraId="63853B97">
      <w:pPr>
        <w:spacing w:line="580" w:lineRule="exact"/>
        <w:ind w:firstLine="640"/>
        <w:jc w:val="both"/>
      </w:pPr>
      <w:r>
        <w:rPr>
          <w:rFonts w:ascii="仿宋_GB2312" w:hAnsi="仿宋_GB2312" w:eastAsia="仿宋_GB2312"/>
          <w:b w:val="0"/>
          <w:sz w:val="32"/>
        </w:rPr>
        <w:t>3.社会保障和就业支出(类)行政事业单位养老支出(款)离退休人员管理机构(项):支出决算数为304.02万元，比上年决算增加12.59万元，增长4.32%,主要原因是：本年增加老干部活动中心运行经费。</w:t>
      </w:r>
    </w:p>
    <w:p w14:paraId="69D9A1FD">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12.13万元，比上年决算减少2.51万元，下降17.14%,主要原因是：本年因机构改革，部分人员调出至组织部和社工部，单位基本养老保险缴费较上年减少。</w:t>
      </w:r>
    </w:p>
    <w:p w14:paraId="57A6D6AC">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5.社会保障和就业支出(类)行政事业单位养老支出(款)机关事业单位职业年金缴费支出(项):支出决算数为9.45万元，比上年决算增加2.13万元，增长29.10%,主要原因是：本年在职人员工资调增，导致职业年金缴费增加。</w:t>
      </w:r>
    </w:p>
    <w:p w14:paraId="68A5D1D8">
      <w:pPr>
        <w:spacing w:line="580" w:lineRule="exact"/>
        <w:ind w:firstLine="640"/>
        <w:jc w:val="both"/>
      </w:pPr>
      <w:r>
        <w:rPr>
          <w:rFonts w:ascii="仿宋_GB2312" w:hAnsi="仿宋_GB2312" w:eastAsia="仿宋_GB2312"/>
          <w:b w:val="0"/>
          <w:sz w:val="32"/>
        </w:rPr>
        <w:t>6.社会保障和就业支出(类)行政事业单位养老支出(款)其他行政事业单位养老支出(项):支出决算数为113.65万元，比上年决算增加113.65万元，增长100.00%,主要原因是：本年增加老干部活动中心装修项目和购置功能设施资金、自治区老干部参观学习费用。</w:t>
      </w:r>
    </w:p>
    <w:p w14:paraId="0F936FD6">
      <w:pPr>
        <w:spacing w:line="580" w:lineRule="exact"/>
        <w:ind w:firstLine="640"/>
        <w:jc w:val="both"/>
      </w:pPr>
      <w:r>
        <w:rPr>
          <w:rFonts w:ascii="仿宋_GB2312" w:hAnsi="仿宋_GB2312" w:eastAsia="仿宋_GB2312"/>
          <w:b w:val="0"/>
          <w:sz w:val="32"/>
        </w:rPr>
        <w:t>7.卫生健康支出(类)行政事业单位医疗(款)行政单位医疗(项):支出决算数为6.07万元，比上年决算减少1.25万元，下降17.08%,主要原因是：本年因机构改革，部分人员调出至组织部和社工部，行政单位医疗支出较上年减少。</w:t>
      </w:r>
    </w:p>
    <w:p w14:paraId="65CE6229">
      <w:pPr>
        <w:spacing w:line="580" w:lineRule="exact"/>
        <w:ind w:firstLine="640"/>
        <w:jc w:val="both"/>
      </w:pPr>
      <w:r>
        <w:rPr>
          <w:rFonts w:ascii="仿宋_GB2312" w:hAnsi="仿宋_GB2312" w:eastAsia="仿宋_GB2312"/>
          <w:b w:val="0"/>
          <w:sz w:val="32"/>
        </w:rPr>
        <w:t>8.卫生健康支出(类)行政事业单位医疗(款)公务员医疗补助(项):支出决算数为0.46万元，比上年决算增加0.00万元，增长0.00%,主要原因是：本年公务员医疗补助与上年一致，无变化。</w:t>
      </w:r>
    </w:p>
    <w:p w14:paraId="2D09862D">
      <w:pPr>
        <w:spacing w:line="580" w:lineRule="exact"/>
        <w:ind w:firstLine="640"/>
        <w:jc w:val="both"/>
      </w:pPr>
      <w:r>
        <w:rPr>
          <w:rFonts w:ascii="仿宋_GB2312" w:hAnsi="仿宋_GB2312" w:eastAsia="仿宋_GB2312"/>
          <w:b w:val="0"/>
          <w:sz w:val="32"/>
        </w:rPr>
        <w:t>9.住房保障支出(类)住房改革支出(款)住房公积金(项):支出决算数为9.55万元，比上年决算减少2.07万元，下降17.81%,主要原因是：本年因机构改革，部分人员调出至组织部和社工部，住房公积金缴费较上年减少。</w:t>
      </w:r>
    </w:p>
    <w:p w14:paraId="7DD8B3FD">
      <w:pPr>
        <w:spacing w:line="640" w:lineRule="exact"/>
        <w:ind w:firstLine="640"/>
        <w:jc w:val="both"/>
        <w:outlineLvl w:val="2"/>
      </w:pPr>
      <w:r>
        <w:rPr>
          <w:rFonts w:ascii="黑体" w:hAnsi="黑体" w:eastAsia="黑体"/>
          <w:sz w:val="32"/>
        </w:rPr>
        <w:t>六、一般公共预算财政拨款基本支出决算情况说明</w:t>
      </w:r>
    </w:p>
    <w:p w14:paraId="72673BE6">
      <w:pPr>
        <w:spacing w:line="580" w:lineRule="exact"/>
        <w:ind w:firstLine="640"/>
        <w:jc w:val="both"/>
      </w:pPr>
      <w:r>
        <w:rPr>
          <w:rFonts w:ascii="仿宋_GB2312" w:hAnsi="仿宋_GB2312" w:eastAsia="仿宋_GB2312"/>
          <w:b w:val="0"/>
          <w:sz w:val="32"/>
        </w:rPr>
        <w:t>2024年度一般公共预算财政拨款基本支出349.80万元，其中：</w:t>
      </w:r>
      <w:r>
        <w:rPr>
          <w:rFonts w:ascii="仿宋_GB2312" w:hAnsi="仿宋_GB2312" w:eastAsia="仿宋_GB2312"/>
          <w:b/>
          <w:sz w:val="32"/>
        </w:rPr>
        <w:t>人员经费237.32万元，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医疗费补助、奖励金。</w:t>
      </w:r>
    </w:p>
    <w:p w14:paraId="33B754C7">
      <w:pPr>
        <w:spacing w:line="580" w:lineRule="exact"/>
        <w:ind w:firstLine="640"/>
        <w:jc w:val="both"/>
      </w:pPr>
      <w:r>
        <w:rPr>
          <w:rFonts w:ascii="仿宋_GB2312" w:hAnsi="仿宋_GB2312" w:eastAsia="仿宋_GB2312"/>
          <w:b/>
          <w:sz w:val="32"/>
        </w:rPr>
        <w:t>公用经费112.48万元，</w:t>
      </w:r>
      <w:r>
        <w:rPr>
          <w:rFonts w:ascii="仿宋_GB2312" w:hAnsi="仿宋_GB2312" w:eastAsia="仿宋_GB2312"/>
          <w:b w:val="0"/>
          <w:sz w:val="32"/>
        </w:rPr>
        <w:t>包括：办公费、印刷费、水费、电费、邮电费、差旅费、维修（护）费、培训费、劳务费、委托业务费、工会经费、公务用车运行维护费、其他商品和服务支出、办公设备购置。</w:t>
      </w:r>
    </w:p>
    <w:p w14:paraId="353360F1">
      <w:pPr>
        <w:spacing w:line="640" w:lineRule="exact"/>
        <w:ind w:firstLine="640"/>
        <w:jc w:val="both"/>
        <w:outlineLvl w:val="2"/>
      </w:pPr>
      <w:r>
        <w:rPr>
          <w:rFonts w:ascii="黑体" w:hAnsi="黑体" w:eastAsia="黑体"/>
          <w:sz w:val="32"/>
        </w:rPr>
        <w:t>七、政府性基金预算财政拨款收入支出决算情况说明</w:t>
      </w:r>
    </w:p>
    <w:p w14:paraId="216481B2">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F64577B">
      <w:pPr>
        <w:spacing w:line="640" w:lineRule="exact"/>
        <w:ind w:firstLine="640"/>
        <w:jc w:val="both"/>
        <w:outlineLvl w:val="2"/>
      </w:pPr>
      <w:r>
        <w:rPr>
          <w:rFonts w:ascii="黑体" w:hAnsi="黑体" w:eastAsia="黑体"/>
          <w:sz w:val="32"/>
        </w:rPr>
        <w:t>八、国有资本经营预算财政拨款收入支出决算情况说明</w:t>
      </w:r>
    </w:p>
    <w:p w14:paraId="6192016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633C5A57">
      <w:pPr>
        <w:spacing w:line="640" w:lineRule="exact"/>
        <w:ind w:firstLine="640"/>
        <w:jc w:val="both"/>
        <w:outlineLvl w:val="2"/>
      </w:pPr>
      <w:r>
        <w:rPr>
          <w:rFonts w:ascii="黑体" w:hAnsi="黑体" w:eastAsia="黑体"/>
          <w:sz w:val="32"/>
        </w:rPr>
        <w:t>九、财政拨款“三公”经费支出决算情况说明</w:t>
      </w:r>
    </w:p>
    <w:p w14:paraId="7C670F06">
      <w:pPr>
        <w:spacing w:line="580" w:lineRule="exact"/>
        <w:ind w:firstLine="640"/>
        <w:jc w:val="both"/>
      </w:pPr>
      <w:r>
        <w:rPr>
          <w:rFonts w:ascii="仿宋_GB2312" w:hAnsi="仿宋_GB2312" w:eastAsia="仿宋_GB2312"/>
          <w:b/>
          <w:sz w:val="32"/>
        </w:rPr>
        <w:t>2024年度财政拨款“三公”经费支出1.99万元，</w:t>
      </w:r>
      <w:r>
        <w:rPr>
          <w:rFonts w:ascii="仿宋_GB2312" w:hAnsi="仿宋_GB2312" w:eastAsia="仿宋_GB2312"/>
          <w:b w:val="0"/>
          <w:sz w:val="32"/>
        </w:rPr>
        <w:t>比上年增加0.08万元，增长4.19%，主要原因是：因服务自治区老干部来我县参观学习，用车次数增加，燃油费增加，导致公务用车运行维护费较上年增加。其中：因公出国（境）费支出0.00万元，占0.00%，比上年增加0.00万元，增长0.00%，主要原因是：2023年与2024年均未安排因公出国（境）费支出。公务用车购置及运行维护费支出1.99万元，占100.00%，比上年增加0.15万元，增长8.15%，主要原因是：因服务自治区老干部来我县参观学习，用车次数增加，燃油费增加，导致公务用车运行维护费较上年增加。公务接待费支出0.00万元，占0.00%，比上年减少0.07万元，下降100.00%，主要原因是：严格落实中央八项规定精神，厉行节约，减少公务接待费。</w:t>
      </w:r>
    </w:p>
    <w:p w14:paraId="5043EA01">
      <w:pPr>
        <w:spacing w:line="580" w:lineRule="exact"/>
        <w:ind w:firstLine="640"/>
        <w:jc w:val="both"/>
      </w:pPr>
      <w:r>
        <w:rPr>
          <w:rFonts w:ascii="仿宋_GB2312" w:hAnsi="仿宋_GB2312" w:eastAsia="仿宋_GB2312"/>
          <w:b/>
          <w:sz w:val="32"/>
        </w:rPr>
        <w:t>具体情况如下：</w:t>
      </w:r>
    </w:p>
    <w:p w14:paraId="2BCC14FB">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6F164427">
      <w:pPr>
        <w:spacing w:line="580" w:lineRule="exact"/>
        <w:ind w:firstLine="640"/>
        <w:jc w:val="both"/>
      </w:pPr>
      <w:r>
        <w:rPr>
          <w:rFonts w:ascii="仿宋_GB2312" w:hAnsi="仿宋_GB2312" w:eastAsia="仿宋_GB2312"/>
          <w:b w:val="0"/>
          <w:sz w:val="32"/>
        </w:rPr>
        <w:t>公务用车购置及运行维护费1.99万元，其中：公务用车购置费0.00万元，公务用车运行维护费1.99万元。公务用车运行维护费开支内容包括车辆加油费、维修费、保险费、审车费、过路费等。公务用车购置数0辆，公务用车保有量1辆。国有资产占用情况中固定资产车辆0辆，与公务用车保有量差异原因是：借用机关事务服务中心单位车辆，车辆费用由本单位支付。</w:t>
      </w:r>
    </w:p>
    <w:p w14:paraId="38E4896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EF3255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2.00万元，决算数1.99万元，预决算差异率-0.50%，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1.99万元，预决算差异率-0.50%，主要原因是：严格落实中央八项规定精神，厉行节约，减少公务用车运行维护费。公务接待费全年预算数0.00万元，决算数0.00万元，预决算差异率0.00%，主要原因是：本单位无公务接待费。</w:t>
      </w:r>
    </w:p>
    <w:p w14:paraId="6CBE8B0A">
      <w:pPr>
        <w:spacing w:line="640" w:lineRule="exact"/>
        <w:ind w:firstLine="640"/>
        <w:jc w:val="both"/>
        <w:outlineLvl w:val="2"/>
      </w:pPr>
      <w:r>
        <w:rPr>
          <w:rFonts w:ascii="黑体" w:hAnsi="黑体" w:eastAsia="黑体"/>
          <w:sz w:val="32"/>
        </w:rPr>
        <w:t>十、其他重要事项的情况说明</w:t>
      </w:r>
    </w:p>
    <w:p w14:paraId="0F9357EB">
      <w:pPr>
        <w:spacing w:line="640" w:lineRule="exact"/>
        <w:ind w:firstLine="640"/>
        <w:jc w:val="both"/>
        <w:outlineLvl w:val="3"/>
      </w:pPr>
      <w:r>
        <w:rPr>
          <w:rFonts w:ascii="楷体_GB2312" w:hAnsi="楷体_GB2312" w:eastAsia="楷体_GB2312"/>
          <w:b/>
          <w:sz w:val="32"/>
        </w:rPr>
        <w:t>（一）机关运行经费及公用经费支出情况</w:t>
      </w:r>
    </w:p>
    <w:p w14:paraId="4B52F20A">
      <w:pPr>
        <w:spacing w:line="580" w:lineRule="exact"/>
        <w:ind w:firstLine="640"/>
        <w:jc w:val="both"/>
      </w:pPr>
      <w:r>
        <w:rPr>
          <w:rFonts w:ascii="仿宋_GB2312" w:hAnsi="仿宋_GB2312" w:eastAsia="仿宋_GB2312"/>
          <w:b w:val="0"/>
          <w:sz w:val="32"/>
        </w:rPr>
        <w:t>2024年度中共吉木萨尔县委员会老干部局（行政单位和参照公务员法管理事业单位）机关运行经费支出112.48万元，比上年增加83.47万元，增长287.73%，主要原因是：本年增加老干部活动中心运行经费、国产电脑购置经费等，导致机关运行经费较上年增加。</w:t>
      </w:r>
    </w:p>
    <w:p w14:paraId="0F74C6B6">
      <w:pPr>
        <w:spacing w:line="640" w:lineRule="exact"/>
        <w:ind w:firstLine="640"/>
        <w:jc w:val="both"/>
        <w:outlineLvl w:val="3"/>
      </w:pPr>
      <w:r>
        <w:rPr>
          <w:rFonts w:ascii="楷体_GB2312" w:hAnsi="楷体_GB2312" w:eastAsia="楷体_GB2312"/>
          <w:b/>
          <w:sz w:val="32"/>
        </w:rPr>
        <w:t>（二）政府采购情况</w:t>
      </w:r>
    </w:p>
    <w:p w14:paraId="74CA55E3">
      <w:pPr>
        <w:spacing w:line="580" w:lineRule="exact"/>
        <w:ind w:firstLine="640"/>
        <w:jc w:val="both"/>
      </w:pPr>
      <w:r>
        <w:rPr>
          <w:rFonts w:ascii="仿宋_GB2312" w:hAnsi="仿宋_GB2312" w:eastAsia="仿宋_GB2312"/>
          <w:b w:val="0"/>
          <w:sz w:val="32"/>
        </w:rPr>
        <w:t>2024年度政府采购支出总额118.11万元，其中：政府采购货物支出23.71万元、政府采购工程支出94.12万元、政府采购服务支出0.28万元。</w:t>
      </w:r>
    </w:p>
    <w:p w14:paraId="5FA7512C">
      <w:pPr>
        <w:spacing w:line="580" w:lineRule="exact"/>
        <w:ind w:firstLine="640"/>
        <w:jc w:val="both"/>
      </w:pPr>
      <w:r>
        <w:rPr>
          <w:rFonts w:ascii="仿宋_GB2312" w:hAnsi="仿宋_GB2312" w:eastAsia="仿宋_GB2312"/>
          <w:b w:val="0"/>
          <w:sz w:val="32"/>
        </w:rPr>
        <w:t>授予中小企业合同金额113.00万元，占政府采购支出总额的95.67%，其中：授予小微企业合同金额112.86万元，占政府采购支出总额的95.55%。</w:t>
      </w:r>
    </w:p>
    <w:p w14:paraId="08FFA1AC">
      <w:pPr>
        <w:spacing w:line="640" w:lineRule="exact"/>
        <w:ind w:firstLine="640"/>
        <w:jc w:val="both"/>
        <w:outlineLvl w:val="3"/>
      </w:pPr>
      <w:r>
        <w:rPr>
          <w:rFonts w:ascii="楷体_GB2312" w:hAnsi="楷体_GB2312" w:eastAsia="楷体_GB2312"/>
          <w:b/>
          <w:sz w:val="32"/>
        </w:rPr>
        <w:t>（三）国有资产占用情况说明</w:t>
      </w:r>
    </w:p>
    <w:p w14:paraId="4E618369">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2FF8B7A6">
      <w:pPr>
        <w:spacing w:line="640" w:lineRule="exact"/>
        <w:ind w:firstLine="640"/>
        <w:jc w:val="both"/>
        <w:outlineLvl w:val="2"/>
      </w:pPr>
      <w:r>
        <w:rPr>
          <w:rFonts w:ascii="黑体" w:hAnsi="黑体" w:eastAsia="黑体"/>
          <w:sz w:val="32"/>
        </w:rPr>
        <w:t>十一、预算绩效的情况说明</w:t>
      </w:r>
    </w:p>
    <w:p w14:paraId="490F5C77">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466.49万元，实际执行总额463.45万元；预算绩效评价项目0个，全年预算数0.00万元，全年执行数0.00万元。预算绩效管理取得的成效：本单位无项目绩效自评表。发现的问题及原因：本单位无项目绩效自评表。下一步改进措施：本单位无项目绩效自评表。具体附整体支出绩效自评表。</w:t>
      </w:r>
    </w:p>
    <w:p w14:paraId="12A19E5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504D0A9">
        <w:tblPrEx>
          <w:tblCellMar>
            <w:top w:w="0" w:type="dxa"/>
            <w:left w:w="108" w:type="dxa"/>
            <w:bottom w:w="0" w:type="dxa"/>
            <w:right w:w="108" w:type="dxa"/>
          </w:tblCellMar>
        </w:tblPrEx>
        <w:tc>
          <w:tcPr>
            <w:tcW w:w="8847" w:type="dxa"/>
            <w:gridSpan w:val="9"/>
            <w:vAlign w:val="center"/>
          </w:tcPr>
          <w:p w14:paraId="49E3FC2A">
            <w:pPr>
              <w:jc w:val="center"/>
            </w:pPr>
            <w:r>
              <w:rPr>
                <w:rFonts w:ascii="宋体" w:hAnsi="宋体" w:eastAsia="宋体"/>
                <w:sz w:val="24"/>
              </w:rPr>
              <w:t>单位整体支出绩效自评表</w:t>
            </w:r>
          </w:p>
        </w:tc>
      </w:tr>
      <w:tr w14:paraId="00281808">
        <w:tblPrEx>
          <w:tblCellMar>
            <w:top w:w="0" w:type="dxa"/>
            <w:left w:w="108" w:type="dxa"/>
            <w:bottom w:w="0" w:type="dxa"/>
            <w:right w:w="108" w:type="dxa"/>
          </w:tblCellMar>
        </w:tblPrEx>
        <w:tc>
          <w:tcPr>
            <w:tcW w:w="8847" w:type="dxa"/>
            <w:gridSpan w:val="9"/>
            <w:vAlign w:val="center"/>
          </w:tcPr>
          <w:p w14:paraId="18CFA673">
            <w:pPr>
              <w:jc w:val="center"/>
            </w:pPr>
            <w:r>
              <w:rPr>
                <w:rFonts w:ascii="宋体" w:hAnsi="宋体" w:eastAsia="宋体"/>
                <w:sz w:val="24"/>
              </w:rPr>
              <w:t>（2024年度）</w:t>
            </w:r>
          </w:p>
        </w:tc>
      </w:tr>
      <w:tr w14:paraId="594407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A1043">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BD7BB55">
            <w:pPr>
              <w:jc w:val="center"/>
            </w:pPr>
            <w:r>
              <w:rPr>
                <w:rFonts w:ascii="宋体" w:hAnsi="宋体" w:eastAsia="宋体"/>
                <w:sz w:val="16"/>
              </w:rPr>
              <w:t>中共吉木萨尔县委员会老干部局</w:t>
            </w:r>
          </w:p>
        </w:tc>
      </w:tr>
      <w:tr w14:paraId="3A77EC5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A14B28">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68AD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C23C5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C609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8577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8CAC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88EFA">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FBE7F">
            <w:pPr>
              <w:jc w:val="center"/>
            </w:pPr>
            <w:r>
              <w:rPr>
                <w:rFonts w:ascii="宋体" w:hAnsi="宋体" w:eastAsia="宋体"/>
                <w:sz w:val="16"/>
              </w:rPr>
              <w:t>得分</w:t>
            </w:r>
          </w:p>
        </w:tc>
      </w:tr>
      <w:tr w14:paraId="52063C9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AECE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F73402">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15E0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902E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D5A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CA94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D542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82871">
            <w:pPr>
              <w:jc w:val="center"/>
            </w:pPr>
            <w:r>
              <w:rPr>
                <w:rFonts w:ascii="宋体" w:hAnsi="宋体" w:eastAsia="宋体"/>
                <w:sz w:val="16"/>
              </w:rPr>
              <w:t>-</w:t>
            </w:r>
          </w:p>
        </w:tc>
      </w:tr>
      <w:tr w14:paraId="562233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A2ECB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7B9391">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0B220">
            <w:pPr>
              <w:jc w:val="center"/>
            </w:pPr>
            <w:r>
              <w:rPr>
                <w:rFonts w:ascii="宋体" w:hAnsi="宋体" w:eastAsia="宋体"/>
                <w:sz w:val="16"/>
              </w:rPr>
              <w:t>528.67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9AF12">
            <w:pPr>
              <w:jc w:val="center"/>
            </w:pPr>
            <w:r>
              <w:rPr>
                <w:rFonts w:ascii="宋体" w:hAnsi="宋体" w:eastAsia="宋体"/>
                <w:sz w:val="16"/>
              </w:rPr>
              <w:t>463.45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A5F14">
            <w:pPr>
              <w:jc w:val="center"/>
            </w:pPr>
            <w:r>
              <w:rPr>
                <w:rFonts w:ascii="宋体" w:hAnsi="宋体" w:eastAsia="宋体"/>
                <w:sz w:val="16"/>
              </w:rPr>
              <w:t>463.45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642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F46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47A50">
            <w:pPr>
              <w:jc w:val="center"/>
            </w:pPr>
            <w:r>
              <w:rPr>
                <w:rFonts w:ascii="宋体" w:hAnsi="宋体" w:eastAsia="宋体"/>
                <w:sz w:val="16"/>
              </w:rPr>
              <w:t>-</w:t>
            </w:r>
          </w:p>
        </w:tc>
      </w:tr>
      <w:tr w14:paraId="678BBD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D00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2943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CF2F7">
            <w:pPr>
              <w:jc w:val="center"/>
            </w:pPr>
            <w:r>
              <w:rPr>
                <w:rFonts w:ascii="宋体" w:hAnsi="宋体" w:eastAsia="宋体"/>
                <w:sz w:val="16"/>
              </w:rPr>
              <w:t>16.13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ED0FA">
            <w:pPr>
              <w:jc w:val="center"/>
            </w:pPr>
            <w:r>
              <w:rPr>
                <w:rFonts w:ascii="宋体" w:hAnsi="宋体" w:eastAsia="宋体"/>
                <w:sz w:val="16"/>
              </w:rPr>
              <w:t>3.04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8CFD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FE7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F21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D28BC">
            <w:pPr>
              <w:jc w:val="center"/>
            </w:pPr>
            <w:r>
              <w:rPr>
                <w:rFonts w:ascii="宋体" w:hAnsi="宋体" w:eastAsia="宋体"/>
                <w:sz w:val="16"/>
              </w:rPr>
              <w:t>-</w:t>
            </w:r>
          </w:p>
        </w:tc>
      </w:tr>
      <w:tr w14:paraId="07515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84E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EE4EE">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02F012">
            <w:pPr>
              <w:jc w:val="center"/>
            </w:pPr>
            <w:r>
              <w:rPr>
                <w:rFonts w:ascii="宋体" w:hAnsi="宋体" w:eastAsia="宋体"/>
                <w:sz w:val="16"/>
              </w:rPr>
              <w:t>544.80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4138C">
            <w:pPr>
              <w:jc w:val="center"/>
            </w:pPr>
            <w:r>
              <w:rPr>
                <w:rFonts w:ascii="宋体" w:hAnsi="宋体" w:eastAsia="宋体"/>
                <w:sz w:val="16"/>
              </w:rPr>
              <w:t>466.49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C3B4A">
            <w:pPr>
              <w:jc w:val="center"/>
            </w:pPr>
            <w:r>
              <w:rPr>
                <w:rFonts w:ascii="宋体" w:hAnsi="宋体" w:eastAsia="宋体"/>
                <w:sz w:val="16"/>
              </w:rPr>
              <w:t>463.45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D5D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29274">
            <w:pPr>
              <w:jc w:val="center"/>
            </w:pPr>
            <w:r>
              <w:rPr>
                <w:rFonts w:ascii="宋体" w:hAnsi="宋体" w:eastAsia="宋体"/>
                <w:sz w:val="16"/>
              </w:rPr>
              <w:t>99.35%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8447E">
            <w:pPr>
              <w:jc w:val="center"/>
            </w:pPr>
            <w:r>
              <w:rPr>
                <w:rFonts w:ascii="宋体" w:hAnsi="宋体" w:eastAsia="宋体"/>
                <w:sz w:val="16"/>
              </w:rPr>
              <w:t>9.99</w:t>
            </w:r>
          </w:p>
        </w:tc>
      </w:tr>
      <w:tr w14:paraId="4718503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D590B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E3C2A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63DDCE">
            <w:pPr>
              <w:jc w:val="center"/>
            </w:pPr>
            <w:r>
              <w:rPr>
                <w:rFonts w:ascii="宋体" w:hAnsi="宋体" w:eastAsia="宋体"/>
                <w:sz w:val="16"/>
              </w:rPr>
              <w:t>实际完成情况</w:t>
            </w:r>
          </w:p>
        </w:tc>
      </w:tr>
      <w:tr w14:paraId="6A7118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5ED16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9F0B58">
            <w:pPr>
              <w:jc w:val="both"/>
            </w:pPr>
            <w:r>
              <w:rPr>
                <w:rFonts w:ascii="宋体" w:hAnsi="宋体" w:eastAsia="宋体"/>
                <w:sz w:val="16"/>
              </w:rPr>
              <w:t>一是负责全县离退休老干部管理工作，保障单位在职人员和退休人员、编外人员的工资、奖金、绩效、社会保险缴费、住房公积金正常发放和缴纳，稳定干部职工队伍；二是确保</w:t>
            </w:r>
            <w:r>
              <w:rPr>
                <w:rFonts w:hint="eastAsia" w:ascii="宋体" w:hAnsi="宋体"/>
                <w:sz w:val="16"/>
                <w:lang w:eastAsia="zh-CN"/>
              </w:rPr>
              <w:t>本单位</w:t>
            </w:r>
            <w:r>
              <w:rPr>
                <w:rFonts w:ascii="宋体" w:hAnsi="宋体" w:eastAsia="宋体"/>
                <w:sz w:val="16"/>
              </w:rPr>
              <w:t>日常工作运行，其中包含办公费、邮电费、差旅费、公务用车运行费、工会经费、劳务费等，使</w:t>
            </w:r>
            <w:r>
              <w:rPr>
                <w:rFonts w:hint="eastAsia" w:ascii="宋体" w:hAnsi="宋体"/>
                <w:sz w:val="16"/>
                <w:lang w:eastAsia="zh-CN"/>
              </w:rPr>
              <w:t>本单位</w:t>
            </w:r>
            <w:r>
              <w:rPr>
                <w:rFonts w:ascii="宋体" w:hAnsi="宋体" w:eastAsia="宋体"/>
                <w:sz w:val="16"/>
              </w:rPr>
              <w:t>各项业务正常开展。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F11E2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为466.49万元，全年执行数为463.46万元，主要完成任务内容如下：1.实际完成本单位14名在职人员工资、津贴、社保、医疗、住房公积金缴纳和本单位办公费、公务用车运行维护费、工会经费等，提供了完成各项工作任务的基本保障；2.加强离退休干部思想政治建设，举办离退休干部</w:t>
            </w:r>
            <w:r>
              <w:rPr>
                <w:rFonts w:hint="eastAsia" w:ascii="宋体" w:hAnsi="宋体"/>
                <w:sz w:val="16"/>
                <w:lang w:eastAsia="zh-CN"/>
              </w:rPr>
              <w:t>党纪学</w:t>
            </w:r>
            <w:bookmarkStart w:id="0" w:name="_GoBack"/>
            <w:r>
              <w:rPr>
                <w:rFonts w:hint="eastAsia" w:ascii="宋体" w:hAnsi="宋体"/>
                <w:sz w:val="16"/>
                <w:lang w:eastAsia="zh-CN"/>
              </w:rPr>
              <w:t>习教育</w:t>
            </w:r>
            <w:bookmarkEnd w:id="0"/>
            <w:r>
              <w:rPr>
                <w:rFonts w:ascii="宋体" w:hAnsi="宋体" w:eastAsia="宋体"/>
                <w:sz w:val="16"/>
              </w:rPr>
              <w:t>培训班5天，累计培训280人次，开展出国（境）审批、离退休后从业、党的政治纪律、社团兼职等集中性纪律教育，举办离退休干部“对党忠诚”专题培训班；3.推进离退休干部党建工作提质增效，推动光明网格党支部创建自治区离退休干部“五个好”党支部，举办党支部书记培训班2期，将离退休干部党建与做好老干部工作统筹结合，4.引导离退休干部发挥优势和作用，丰富“增添正能量·共筑中国梦”活动，以“支部+”为主要载体，动员离退休干部积极参与老干部宣讲团、老干部志愿服务队、“五老”工作室、老党员驿站等公益服务组织，积极参与体育健身、文化下乡、基层治理、关心下一代等志愿服务活动800余场次，参与老干部3600人次；5.关工服务大局，凭借壹基金儿童服务站，组织开展各民族青少年课后托管以及节假日、寒暑假的日常照料工作，并精心开设心理辅导、假期安全教育、书法等多元课程，培育青少年的爱国主义情怀与热爱家乡之情。</w:t>
            </w:r>
          </w:p>
        </w:tc>
      </w:tr>
      <w:tr w14:paraId="271BD7E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33F8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3F43D">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F492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37932">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83A0C">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8A9BC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4819A">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3BC45">
            <w:pPr>
              <w:jc w:val="center"/>
            </w:pPr>
            <w:r>
              <w:rPr>
                <w:rFonts w:ascii="宋体" w:hAnsi="宋体" w:eastAsia="宋体"/>
                <w:sz w:val="16"/>
              </w:rPr>
              <w:t>得分</w:t>
            </w:r>
          </w:p>
        </w:tc>
      </w:tr>
      <w:tr w14:paraId="04BBB7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EB453B">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7BFF4A">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5DE9D">
            <w:pPr>
              <w:jc w:val="center"/>
            </w:pPr>
            <w:r>
              <w:rPr>
                <w:rFonts w:ascii="宋体" w:hAnsi="宋体" w:eastAsia="宋体"/>
                <w:sz w:val="16"/>
              </w:rPr>
              <w:t>老干部局在职在编人员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651C1">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88B0D">
            <w:pPr>
              <w:jc w:val="center"/>
            </w:pPr>
            <w:r>
              <w:rPr>
                <w:rFonts w:ascii="宋体" w:hAnsi="宋体" w:eastAsia="宋体"/>
                <w:sz w:val="16"/>
              </w:rPr>
              <w:t>政府部门决算报表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259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00E9DC">
            <w:pPr>
              <w:jc w:val="center"/>
            </w:pPr>
            <w:r>
              <w:rPr>
                <w:rFonts w:ascii="宋体" w:hAnsi="宋体" w:eastAsia="宋体"/>
                <w:sz w:val="16"/>
              </w:rPr>
              <w:t>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CAEA1">
            <w:pPr>
              <w:jc w:val="center"/>
            </w:pPr>
            <w:r>
              <w:rPr>
                <w:rFonts w:ascii="宋体" w:hAnsi="宋体" w:eastAsia="宋体"/>
                <w:sz w:val="16"/>
              </w:rPr>
              <w:t>6</w:t>
            </w:r>
          </w:p>
        </w:tc>
      </w:tr>
      <w:tr w14:paraId="63BD5E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367E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6F58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CF4027">
            <w:pPr>
              <w:jc w:val="center"/>
            </w:pPr>
            <w:r>
              <w:rPr>
                <w:rFonts w:ascii="宋体" w:hAnsi="宋体" w:eastAsia="宋体"/>
                <w:sz w:val="16"/>
              </w:rPr>
              <w:t>老干部局政府购买岗人数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FA55A">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76C93">
            <w:pPr>
              <w:jc w:val="center"/>
            </w:pPr>
            <w:r>
              <w:rPr>
                <w:rFonts w:ascii="宋体" w:hAnsi="宋体" w:eastAsia="宋体"/>
                <w:sz w:val="16"/>
              </w:rPr>
              <w:t>政府部门决算报表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C8EA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48094">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F31BA">
            <w:pPr>
              <w:jc w:val="center"/>
            </w:pPr>
            <w:r>
              <w:rPr>
                <w:rFonts w:ascii="宋体" w:hAnsi="宋体" w:eastAsia="宋体"/>
                <w:sz w:val="16"/>
              </w:rPr>
              <w:t>6</w:t>
            </w:r>
          </w:p>
        </w:tc>
      </w:tr>
      <w:tr w14:paraId="27A85F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DF41C">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0614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11D4F">
            <w:pPr>
              <w:jc w:val="center"/>
            </w:pPr>
            <w:r>
              <w:rPr>
                <w:rFonts w:ascii="宋体" w:hAnsi="宋体" w:eastAsia="宋体"/>
                <w:sz w:val="16"/>
              </w:rPr>
              <w:t>保障公务用车正常运行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423CE">
            <w:pPr>
              <w:jc w:val="center"/>
            </w:pPr>
            <w:r>
              <w:rPr>
                <w:rFonts w:ascii="宋体" w:hAnsi="宋体" w:eastAsia="宋体"/>
                <w:sz w:val="16"/>
              </w:rPr>
              <w:t>&gt;=1辆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227BE">
            <w:pPr>
              <w:jc w:val="center"/>
            </w:pPr>
            <w:r>
              <w:rPr>
                <w:rFonts w:ascii="宋体" w:hAnsi="宋体" w:eastAsia="宋体"/>
                <w:sz w:val="16"/>
              </w:rPr>
              <w:t>政府部门决算报表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F3405">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1BEDB">
            <w:pPr>
              <w:jc w:val="center"/>
            </w:pPr>
            <w:r>
              <w:rPr>
                <w:rFonts w:ascii="宋体" w:hAnsi="宋体" w:eastAsia="宋体"/>
                <w:sz w:val="16"/>
              </w:rPr>
              <w: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A5B38">
            <w:pPr>
              <w:jc w:val="center"/>
            </w:pPr>
            <w:r>
              <w:rPr>
                <w:rFonts w:ascii="宋体" w:hAnsi="宋体" w:eastAsia="宋体"/>
                <w:sz w:val="16"/>
              </w:rPr>
              <w:t>8</w:t>
            </w:r>
          </w:p>
        </w:tc>
      </w:tr>
      <w:tr w14:paraId="4E6A1DA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035A74">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1927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460E1">
            <w:pPr>
              <w:jc w:val="center"/>
            </w:pPr>
            <w:r>
              <w:rPr>
                <w:rFonts w:ascii="宋体" w:hAnsi="宋体" w:eastAsia="宋体"/>
                <w:sz w:val="16"/>
              </w:rPr>
              <w:t>开展社区老干部文体活动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DA0A53">
            <w:pPr>
              <w:jc w:val="center"/>
            </w:pPr>
            <w:r>
              <w:rPr>
                <w:rFonts w:ascii="宋体" w:hAnsi="宋体" w:eastAsia="宋体"/>
                <w:sz w:val="16"/>
              </w:rPr>
              <w:t>&gt;=10次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697AE">
            <w:pPr>
              <w:jc w:val="center"/>
            </w:pPr>
            <w:r>
              <w:rPr>
                <w:rFonts w:ascii="宋体" w:hAnsi="宋体" w:eastAsia="宋体"/>
                <w:sz w:val="16"/>
              </w:rPr>
              <w:t>县委老干部局领导班子工作总结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E64D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DD42C">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88D03">
            <w:pPr>
              <w:jc w:val="center"/>
            </w:pPr>
            <w:r>
              <w:rPr>
                <w:rFonts w:ascii="宋体" w:hAnsi="宋体" w:eastAsia="宋体"/>
                <w:sz w:val="16"/>
              </w:rPr>
              <w:t>20</w:t>
            </w:r>
          </w:p>
        </w:tc>
      </w:tr>
      <w:tr w14:paraId="2042D1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3A70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5BFA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D3F65">
            <w:pPr>
              <w:jc w:val="center"/>
            </w:pPr>
            <w:r>
              <w:rPr>
                <w:rFonts w:ascii="宋体" w:hAnsi="宋体" w:eastAsia="宋体"/>
                <w:sz w:val="16"/>
              </w:rPr>
              <w:t>开展社区老干部座谈会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D6D95">
            <w:pPr>
              <w:jc w:val="center"/>
            </w:pPr>
            <w:r>
              <w:rPr>
                <w:rFonts w:ascii="宋体" w:hAnsi="宋体" w:eastAsia="宋体"/>
                <w:sz w:val="16"/>
              </w:rPr>
              <w:t>&gt;=2次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022F5">
            <w:pPr>
              <w:jc w:val="center"/>
            </w:pPr>
            <w:r>
              <w:rPr>
                <w:rFonts w:ascii="宋体" w:hAnsi="宋体" w:eastAsia="宋体"/>
                <w:sz w:val="16"/>
              </w:rPr>
              <w:t>县委老干部局领导班子工作总结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9F3F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BD242">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F94C6">
            <w:pPr>
              <w:jc w:val="center"/>
            </w:pPr>
            <w:r>
              <w:rPr>
                <w:rFonts w:ascii="宋体" w:hAnsi="宋体" w:eastAsia="宋体"/>
                <w:sz w:val="16"/>
              </w:rPr>
              <w:t>10</w:t>
            </w:r>
          </w:p>
        </w:tc>
      </w:tr>
      <w:tr w14:paraId="292A3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99524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550CB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FA807">
            <w:pPr>
              <w:jc w:val="center"/>
            </w:pPr>
            <w:r>
              <w:rPr>
                <w:rFonts w:ascii="宋体" w:hAnsi="宋体" w:eastAsia="宋体"/>
                <w:sz w:val="16"/>
              </w:rPr>
              <w:t>电话联系、入户走访离退休老干部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ED488B">
            <w:pPr>
              <w:jc w:val="center"/>
            </w:pPr>
            <w:r>
              <w:rPr>
                <w:rFonts w:ascii="宋体" w:hAnsi="宋体" w:eastAsia="宋体"/>
                <w:sz w:val="16"/>
              </w:rPr>
              <w:t>&gt;=400人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1B540">
            <w:pPr>
              <w:jc w:val="center"/>
            </w:pPr>
            <w:r>
              <w:rPr>
                <w:rFonts w:ascii="宋体" w:hAnsi="宋体" w:eastAsia="宋体"/>
                <w:sz w:val="16"/>
              </w:rPr>
              <w:t>县委老干部局领导班子工作总结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1EDCA">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94390">
            <w:pPr>
              <w:jc w:val="center"/>
            </w:pPr>
            <w:r>
              <w:rPr>
                <w:rFonts w:ascii="宋体" w:hAnsi="宋体" w:eastAsia="宋体"/>
                <w:sz w:val="16"/>
              </w:rPr>
              <w:t>400人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A3613">
            <w:pPr>
              <w:jc w:val="center"/>
            </w:pPr>
            <w:r>
              <w:rPr>
                <w:rFonts w:ascii="宋体" w:hAnsi="宋体" w:eastAsia="宋体"/>
                <w:sz w:val="16"/>
              </w:rPr>
              <w:t>15</w:t>
            </w:r>
          </w:p>
        </w:tc>
      </w:tr>
      <w:tr w14:paraId="5632AD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394F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48C4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793C6C">
            <w:pPr>
              <w:jc w:val="center"/>
            </w:pPr>
            <w:r>
              <w:rPr>
                <w:rFonts w:ascii="宋体" w:hAnsi="宋体" w:eastAsia="宋体"/>
                <w:sz w:val="16"/>
              </w:rPr>
              <w:t>全县退休干部全覆盖慰问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996A46">
            <w:pPr>
              <w:jc w:val="center"/>
            </w:pPr>
            <w:r>
              <w:rPr>
                <w:rFonts w:ascii="宋体" w:hAnsi="宋体" w:eastAsia="宋体"/>
                <w:sz w:val="16"/>
              </w:rPr>
              <w:t>=2553人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C197A">
            <w:pPr>
              <w:jc w:val="center"/>
            </w:pPr>
            <w:r>
              <w:rPr>
                <w:rFonts w:ascii="宋体" w:hAnsi="宋体" w:eastAsia="宋体"/>
                <w:sz w:val="16"/>
              </w:rPr>
              <w:t>县委老干部局领导班子工作总结</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F83A0">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A7D48">
            <w:pPr>
              <w:jc w:val="center"/>
            </w:pPr>
            <w:r>
              <w:rPr>
                <w:rFonts w:ascii="宋体" w:hAnsi="宋体" w:eastAsia="宋体"/>
                <w:sz w:val="16"/>
              </w:rPr>
              <w:t>2553人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F78D4">
            <w:pPr>
              <w:jc w:val="center"/>
            </w:pPr>
            <w:r>
              <w:rPr>
                <w:rFonts w:ascii="宋体" w:hAnsi="宋体" w:eastAsia="宋体"/>
                <w:sz w:val="16"/>
              </w:rPr>
              <w:t>25</w:t>
            </w:r>
          </w:p>
        </w:tc>
      </w:tr>
    </w:tbl>
    <w:p w14:paraId="670D9E2F">
      <w:r>
        <w:br w:type="page"/>
      </w:r>
    </w:p>
    <w:p w14:paraId="20D19C80">
      <w:pPr>
        <w:spacing w:line="640" w:lineRule="exact"/>
        <w:ind w:firstLine="640"/>
        <w:jc w:val="both"/>
        <w:outlineLvl w:val="2"/>
      </w:pPr>
      <w:r>
        <w:rPr>
          <w:rFonts w:ascii="黑体" w:hAnsi="黑体" w:eastAsia="黑体"/>
          <w:sz w:val="32"/>
        </w:rPr>
        <w:t>十二、其他需说明的事项</w:t>
      </w:r>
    </w:p>
    <w:p w14:paraId="1A356192">
      <w:pPr>
        <w:spacing w:line="580" w:lineRule="exact"/>
        <w:ind w:firstLine="640"/>
        <w:jc w:val="both"/>
      </w:pPr>
      <w:r>
        <w:rPr>
          <w:rFonts w:ascii="仿宋_GB2312" w:hAnsi="仿宋_GB2312" w:eastAsia="仿宋_GB2312"/>
          <w:b w:val="0"/>
          <w:sz w:val="32"/>
        </w:rPr>
        <w:t>本单位无其他需说明的事项。</w:t>
      </w:r>
    </w:p>
    <w:p w14:paraId="400A5B46">
      <w:r>
        <w:br w:type="page"/>
      </w:r>
    </w:p>
    <w:p w14:paraId="2001AF5B">
      <w:pPr>
        <w:spacing w:line="240" w:lineRule="auto"/>
        <w:jc w:val="center"/>
        <w:outlineLvl w:val="1"/>
      </w:pPr>
      <w:r>
        <w:rPr>
          <w:rFonts w:ascii="黑体" w:hAnsi="黑体" w:eastAsia="黑体"/>
          <w:sz w:val="32"/>
        </w:rPr>
        <w:t>第三部分 专业名词解释</w:t>
      </w:r>
    </w:p>
    <w:p w14:paraId="3737FF6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C0F0EE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734CD4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7588632">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7C014EE">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7DD0F3">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6AE60C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3F0708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F824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A21BE0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267A042">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5B9D2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4ADA0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9D703B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618D9B">
      <w:r>
        <w:br w:type="page"/>
      </w:r>
    </w:p>
    <w:p w14:paraId="5CFC372A">
      <w:pPr>
        <w:spacing w:line="240" w:lineRule="auto"/>
        <w:jc w:val="center"/>
        <w:outlineLvl w:val="1"/>
      </w:pPr>
      <w:r>
        <w:rPr>
          <w:rFonts w:ascii="黑体" w:hAnsi="黑体" w:eastAsia="黑体"/>
          <w:sz w:val="32"/>
        </w:rPr>
        <w:t>第四部分 部门决算报表（见附表）</w:t>
      </w:r>
    </w:p>
    <w:p w14:paraId="11333393">
      <w:pPr>
        <w:spacing w:line="240" w:lineRule="auto"/>
        <w:ind w:firstLine="640"/>
        <w:jc w:val="both"/>
      </w:pPr>
      <w:r>
        <w:rPr>
          <w:rFonts w:ascii="仿宋_GB2312" w:hAnsi="仿宋_GB2312" w:eastAsia="仿宋_GB2312"/>
          <w:b w:val="0"/>
          <w:sz w:val="32"/>
        </w:rPr>
        <w:t>一、《收入支出决算总表》</w:t>
      </w:r>
    </w:p>
    <w:p w14:paraId="5F4F1000">
      <w:pPr>
        <w:spacing w:line="240" w:lineRule="auto"/>
        <w:ind w:firstLine="640"/>
        <w:jc w:val="both"/>
      </w:pPr>
      <w:r>
        <w:rPr>
          <w:rFonts w:ascii="仿宋_GB2312" w:hAnsi="仿宋_GB2312" w:eastAsia="仿宋_GB2312"/>
          <w:b w:val="0"/>
          <w:sz w:val="32"/>
        </w:rPr>
        <w:t>二、《收入决算表》</w:t>
      </w:r>
    </w:p>
    <w:p w14:paraId="5DF29FE7">
      <w:pPr>
        <w:spacing w:line="240" w:lineRule="auto"/>
        <w:ind w:firstLine="640"/>
        <w:jc w:val="both"/>
      </w:pPr>
      <w:r>
        <w:rPr>
          <w:rFonts w:ascii="仿宋_GB2312" w:hAnsi="仿宋_GB2312" w:eastAsia="仿宋_GB2312"/>
          <w:b w:val="0"/>
          <w:sz w:val="32"/>
        </w:rPr>
        <w:t>三、《支出决算表》</w:t>
      </w:r>
    </w:p>
    <w:p w14:paraId="2AF691E8">
      <w:pPr>
        <w:spacing w:line="240" w:lineRule="auto"/>
        <w:ind w:firstLine="640"/>
        <w:jc w:val="both"/>
      </w:pPr>
      <w:r>
        <w:rPr>
          <w:rFonts w:ascii="仿宋_GB2312" w:hAnsi="仿宋_GB2312" w:eastAsia="仿宋_GB2312"/>
          <w:b w:val="0"/>
          <w:sz w:val="32"/>
        </w:rPr>
        <w:t>四、《财政拨款收入支出决算总表》</w:t>
      </w:r>
    </w:p>
    <w:p w14:paraId="7FBDC7BB">
      <w:pPr>
        <w:spacing w:line="240" w:lineRule="auto"/>
        <w:ind w:firstLine="640"/>
        <w:jc w:val="both"/>
      </w:pPr>
      <w:r>
        <w:rPr>
          <w:rFonts w:ascii="仿宋_GB2312" w:hAnsi="仿宋_GB2312" w:eastAsia="仿宋_GB2312"/>
          <w:b w:val="0"/>
          <w:sz w:val="32"/>
        </w:rPr>
        <w:t>五、《一般公共预算财政拨款支出决算表》</w:t>
      </w:r>
    </w:p>
    <w:p w14:paraId="3AA35D0A">
      <w:pPr>
        <w:spacing w:line="240" w:lineRule="auto"/>
        <w:ind w:firstLine="640"/>
        <w:jc w:val="both"/>
      </w:pPr>
      <w:r>
        <w:rPr>
          <w:rFonts w:ascii="仿宋_GB2312" w:hAnsi="仿宋_GB2312" w:eastAsia="仿宋_GB2312"/>
          <w:b w:val="0"/>
          <w:sz w:val="32"/>
        </w:rPr>
        <w:t>六、《一般公共预算财政拨款基本支出决算表》</w:t>
      </w:r>
    </w:p>
    <w:p w14:paraId="2BC55E82">
      <w:pPr>
        <w:spacing w:line="240" w:lineRule="auto"/>
        <w:ind w:firstLine="640"/>
        <w:jc w:val="both"/>
      </w:pPr>
      <w:r>
        <w:rPr>
          <w:rFonts w:ascii="仿宋_GB2312" w:hAnsi="仿宋_GB2312" w:eastAsia="仿宋_GB2312"/>
          <w:b w:val="0"/>
          <w:sz w:val="32"/>
        </w:rPr>
        <w:t>七、《政府性基金预算财政拨款收入支出决算表》</w:t>
      </w:r>
    </w:p>
    <w:p w14:paraId="36977905">
      <w:pPr>
        <w:spacing w:line="240" w:lineRule="auto"/>
        <w:ind w:firstLine="640"/>
        <w:jc w:val="both"/>
      </w:pPr>
      <w:r>
        <w:rPr>
          <w:rFonts w:ascii="仿宋_GB2312" w:hAnsi="仿宋_GB2312" w:eastAsia="仿宋_GB2312"/>
          <w:b w:val="0"/>
          <w:sz w:val="32"/>
        </w:rPr>
        <w:t>八、《国有资本经营预算财政拨款收入支出决算表》</w:t>
      </w:r>
    </w:p>
    <w:p w14:paraId="0340703A">
      <w:pPr>
        <w:spacing w:line="240" w:lineRule="auto"/>
        <w:ind w:firstLine="640"/>
        <w:jc w:val="both"/>
      </w:pPr>
      <w:r>
        <w:rPr>
          <w:rFonts w:ascii="仿宋_GB2312" w:hAnsi="仿宋_GB2312" w:eastAsia="仿宋_GB2312"/>
          <w:b w:val="0"/>
          <w:sz w:val="32"/>
        </w:rPr>
        <w:t>九、《财政拨款“三公”经费支出决算表》</w:t>
      </w:r>
    </w:p>
    <w:p w14:paraId="1DE221AE">
      <w:pPr>
        <w:spacing w:line="240" w:lineRule="auto"/>
        <w:ind w:firstLine="640"/>
        <w:jc w:val="both"/>
      </w:pPr>
    </w:p>
    <w:p w14:paraId="5FE3A687">
      <w:pPr>
        <w:spacing w:line="240" w:lineRule="auto"/>
        <w:ind w:firstLine="640"/>
        <w:jc w:val="both"/>
      </w:pPr>
    </w:p>
    <w:p w14:paraId="59085A29">
      <w:pPr>
        <w:spacing w:line="240" w:lineRule="auto"/>
        <w:ind w:firstLine="640"/>
        <w:jc w:val="both"/>
      </w:pPr>
    </w:p>
    <w:p w14:paraId="5E369FEB">
      <w:pPr>
        <w:spacing w:line="240" w:lineRule="auto"/>
        <w:ind w:firstLine="640"/>
        <w:jc w:val="both"/>
      </w:pPr>
    </w:p>
    <w:p w14:paraId="352B5AC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D549954-A4C1-4FA2-9086-507E374E399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B5EEEA1-8559-4DC5-8173-5F5177CE824A}"/>
  </w:font>
  <w:font w:name="仿宋_GB2312">
    <w:altName w:val="仿宋"/>
    <w:panose1 w:val="02010609030101010101"/>
    <w:charset w:val="86"/>
    <w:family w:val="modern"/>
    <w:pitch w:val="default"/>
    <w:sig w:usb0="00000000" w:usb1="00000000" w:usb2="00000000" w:usb3="00000000" w:csb0="00040000" w:csb1="00000000"/>
    <w:embedRegular r:id="rId3" w:fontKey="{B8299DF8-EA35-4BB5-A2AB-198A4E2629F3}"/>
  </w:font>
  <w:font w:name="楷体_GB2312">
    <w:altName w:val="楷体"/>
    <w:panose1 w:val="00000000000000000000"/>
    <w:charset w:val="00"/>
    <w:family w:val="auto"/>
    <w:pitch w:val="default"/>
    <w:sig w:usb0="00000000" w:usb1="00000000" w:usb2="00000000" w:usb3="00000000" w:csb0="00000000" w:csb1="00000000"/>
    <w:embedRegular r:id="rId4" w:fontKey="{AB616512-9A56-43E6-841B-4FC664FF617C}"/>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3C780F"/>
    <w:rsid w:val="4B4C0111"/>
    <w:rsid w:val="4BB23021"/>
    <w:rsid w:val="4F3F074E"/>
    <w:rsid w:val="50DB5F45"/>
    <w:rsid w:val="52F92565"/>
    <w:rsid w:val="543D17CB"/>
    <w:rsid w:val="55DA564E"/>
    <w:rsid w:val="567509E4"/>
    <w:rsid w:val="56E07045"/>
    <w:rsid w:val="57B478F7"/>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4777</Words>
  <Characters>5443</Characters>
  <Lines>0</Lines>
  <Paragraphs>0</Paragraphs>
  <TotalTime>2</TotalTime>
  <ScaleCrop>false</ScaleCrop>
  <LinksUpToDate>false</LinksUpToDate>
  <CharactersWithSpaces>5451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2025-10-14T03:05:29Z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