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10E1377">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中共吉木萨尔县委员会统一战线工作部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3FE8E91">
      <w:r>
        <w:br w:type="page"/>
      </w:r>
    </w:p>
    <w:p w14:paraId="72D037CF">
      <w:pPr>
        <w:spacing w:line="640" w:lineRule="exact"/>
        <w:jc w:val="center"/>
        <w:outlineLvl w:val="1"/>
      </w:pPr>
      <w:r>
        <w:rPr>
          <w:rFonts w:ascii="黑体" w:hAnsi="黑体" w:eastAsia="黑体"/>
          <w:sz w:val="32"/>
        </w:rPr>
        <w:t>第一部分 单位概况</w:t>
      </w:r>
    </w:p>
    <w:p w14:paraId="37DBE7DD">
      <w:pPr>
        <w:spacing w:line="640" w:lineRule="exact"/>
        <w:ind w:firstLine="640"/>
        <w:jc w:val="both"/>
        <w:outlineLvl w:val="2"/>
      </w:pPr>
      <w:r>
        <w:rPr>
          <w:rFonts w:ascii="黑体" w:hAnsi="黑体" w:eastAsia="黑体"/>
          <w:sz w:val="32"/>
        </w:rPr>
        <w:t>一、主要职能</w:t>
      </w:r>
    </w:p>
    <w:p w14:paraId="5C1B4755">
      <w:pPr>
        <w:spacing w:line="580" w:lineRule="exact"/>
        <w:ind w:firstLine="640"/>
        <w:jc w:val="both"/>
      </w:pPr>
      <w:r>
        <w:rPr>
          <w:rFonts w:ascii="仿宋_GB2312" w:hAnsi="仿宋_GB2312" w:eastAsia="仿宋_GB2312"/>
          <w:sz w:val="32"/>
        </w:rPr>
        <w:t>1、贯彻落实自治区、自治州、县委关于统一战线的部署要求和重大举措，了解情况、掌握政策、协调关系、安排人事、增进共识、加强团结，巩固壮大最广泛的统一战线。</w:t>
      </w:r>
    </w:p>
    <w:p w14:paraId="24063509">
      <w:pPr>
        <w:spacing w:line="580" w:lineRule="exact"/>
        <w:ind w:firstLine="640"/>
        <w:jc w:val="both"/>
      </w:pPr>
      <w:r>
        <w:rPr>
          <w:rFonts w:ascii="仿宋_GB2312" w:hAnsi="仿宋_GB2312" w:eastAsia="仿宋_GB2312"/>
          <w:sz w:val="32"/>
        </w:rPr>
        <w:t>2、贯彻执行新疆统一战线工作的政策和法律法规。调查研究统一战线工作情况并向县委报告、提出意见，统一协调指导乡镇和部门的统战工作。</w:t>
      </w:r>
    </w:p>
    <w:p w14:paraId="16E1A3D6">
      <w:pPr>
        <w:spacing w:line="580" w:lineRule="exact"/>
        <w:ind w:firstLine="640"/>
        <w:jc w:val="both"/>
      </w:pPr>
      <w:r>
        <w:rPr>
          <w:rFonts w:ascii="仿宋_GB2312" w:hAnsi="仿宋_GB2312" w:eastAsia="仿宋_GB2312"/>
          <w:sz w:val="32"/>
        </w:rPr>
        <w:t>3、负责发现、培养党外代表人士，会同有关部门做好党外代表人士的政治安排和担任政府和司法机关等领导职务的工作。</w:t>
      </w:r>
    </w:p>
    <w:p w14:paraId="37D14E24">
      <w:pPr>
        <w:spacing w:line="580" w:lineRule="exact"/>
        <w:ind w:firstLine="640"/>
        <w:jc w:val="both"/>
      </w:pPr>
      <w:r>
        <w:rPr>
          <w:rFonts w:ascii="仿宋_GB2312" w:hAnsi="仿宋_GB2312" w:eastAsia="仿宋_GB2312"/>
          <w:sz w:val="32"/>
        </w:rPr>
        <w:t>4、贯彻落实党的宣传工作，统筹做好统一战线宣传工作。</w:t>
      </w:r>
    </w:p>
    <w:p w14:paraId="27BBCCA3">
      <w:pPr>
        <w:spacing w:line="580" w:lineRule="exact"/>
        <w:ind w:firstLine="640"/>
        <w:jc w:val="both"/>
      </w:pPr>
      <w:r>
        <w:rPr>
          <w:rFonts w:ascii="仿宋_GB2312" w:hAnsi="仿宋_GB2312" w:eastAsia="仿宋_GB2312"/>
          <w:sz w:val="32"/>
        </w:rPr>
        <w:t>5、参与制定、推动落实鼓励支持引导非公有制经济发展的政策措施，调查研究非公有制经济人士情况并提出政策建议。</w:t>
      </w:r>
    </w:p>
    <w:p w14:paraId="14B259C8">
      <w:pPr>
        <w:spacing w:line="580" w:lineRule="exact"/>
        <w:ind w:firstLine="640"/>
        <w:jc w:val="both"/>
      </w:pPr>
      <w:r>
        <w:rPr>
          <w:rFonts w:ascii="仿宋_GB2312" w:hAnsi="仿宋_GB2312" w:eastAsia="仿宋_GB2312"/>
          <w:sz w:val="32"/>
        </w:rPr>
        <w:t>6、贯彻落实党的侨务工作方针政策，组织实施侨务工作政策和规划并协调督促检查落实，管理侨务行政事务。</w:t>
      </w:r>
    </w:p>
    <w:p w14:paraId="03514EBB">
      <w:pPr>
        <w:spacing w:line="640" w:lineRule="exact"/>
        <w:ind w:firstLine="640"/>
        <w:jc w:val="both"/>
        <w:outlineLvl w:val="2"/>
      </w:pPr>
      <w:r>
        <w:rPr>
          <w:rFonts w:ascii="黑体" w:hAnsi="黑体" w:eastAsia="黑体"/>
          <w:sz w:val="32"/>
        </w:rPr>
        <w:t>二、机构设置及人员情况</w:t>
      </w:r>
    </w:p>
    <w:p w14:paraId="1391269F">
      <w:pPr>
        <w:spacing w:line="580" w:lineRule="exact"/>
        <w:ind w:firstLine="640"/>
        <w:jc w:val="both"/>
      </w:pPr>
      <w:r>
        <w:rPr>
          <w:rFonts w:ascii="仿宋_GB2312" w:hAnsi="仿宋_GB2312" w:eastAsia="仿宋_GB2312"/>
          <w:sz w:val="32"/>
        </w:rPr>
        <w:t>中共吉木萨尔县委员会统一战线工作部2024年度，实有人数25人，其中：在职人员18人，增加4人；离休人员0人，增加0人；退休人员7人,增加0人。</w:t>
      </w:r>
    </w:p>
    <w:p w14:paraId="247D94E2">
      <w:pPr>
        <w:spacing w:line="580" w:lineRule="exact"/>
        <w:ind w:firstLine="640"/>
        <w:jc w:val="both"/>
      </w:pPr>
      <w:r>
        <w:rPr>
          <w:rFonts w:ascii="仿宋_GB2312" w:hAnsi="仿宋_GB2312" w:eastAsia="仿宋_GB2312"/>
          <w:sz w:val="32"/>
        </w:rPr>
        <w:t>中共吉木萨尔县委员会统一战线工作部无下属预算单位，下设3个科室，分别是：行政科、民宗科、铸牢科。</w:t>
      </w:r>
    </w:p>
    <w:p w14:paraId="135C457D">
      <w:r>
        <w:br w:type="page"/>
      </w:r>
    </w:p>
    <w:p w14:paraId="50ED8C51">
      <w:pPr>
        <w:spacing w:line="240" w:lineRule="auto"/>
        <w:jc w:val="center"/>
        <w:outlineLvl w:val="1"/>
      </w:pPr>
      <w:r>
        <w:rPr>
          <w:rFonts w:ascii="黑体" w:hAnsi="黑体" w:eastAsia="黑体"/>
          <w:sz w:val="32"/>
        </w:rPr>
        <w:t>第二部分 部门决算情况说明</w:t>
      </w:r>
    </w:p>
    <w:p w14:paraId="471F8205">
      <w:pPr>
        <w:spacing w:line="640" w:lineRule="exact"/>
        <w:ind w:firstLine="640"/>
        <w:jc w:val="both"/>
        <w:outlineLvl w:val="2"/>
      </w:pPr>
      <w:r>
        <w:rPr>
          <w:rFonts w:ascii="黑体" w:hAnsi="黑体" w:eastAsia="黑体"/>
          <w:sz w:val="32"/>
        </w:rPr>
        <w:t>一、收入支出决算总体情况说明</w:t>
      </w:r>
    </w:p>
    <w:p w14:paraId="44C21B42">
      <w:pPr>
        <w:spacing w:line="580" w:lineRule="exact"/>
        <w:ind w:firstLine="640"/>
        <w:jc w:val="both"/>
      </w:pPr>
      <w:r>
        <w:rPr>
          <w:rFonts w:ascii="仿宋_GB2312" w:hAnsi="仿宋_GB2312" w:eastAsia="仿宋_GB2312"/>
          <w:b/>
          <w:sz w:val="32"/>
        </w:rPr>
        <w:t>2024年度收入总计588.72万元，</w:t>
      </w:r>
      <w:r>
        <w:rPr>
          <w:rFonts w:ascii="仿宋_GB2312" w:hAnsi="仿宋_GB2312" w:eastAsia="仿宋_GB2312"/>
          <w:b w:val="0"/>
          <w:sz w:val="32"/>
        </w:rPr>
        <w:t>其中：本年收入合计561.97万元，使用非财政拨款结余（含专用结余）0.00万元，年初结转和结余26.75万元。</w:t>
      </w:r>
    </w:p>
    <w:p w14:paraId="3D4B8BFB">
      <w:pPr>
        <w:spacing w:line="580" w:lineRule="exact"/>
        <w:ind w:firstLine="640"/>
        <w:jc w:val="both"/>
      </w:pPr>
      <w:r>
        <w:rPr>
          <w:rFonts w:ascii="仿宋_GB2312" w:hAnsi="仿宋_GB2312" w:eastAsia="仿宋_GB2312"/>
          <w:b/>
          <w:sz w:val="32"/>
        </w:rPr>
        <w:t>2024年度支出总计588.72万元，</w:t>
      </w:r>
      <w:r>
        <w:rPr>
          <w:rFonts w:ascii="仿宋_GB2312" w:hAnsi="仿宋_GB2312" w:eastAsia="仿宋_GB2312"/>
          <w:b w:val="0"/>
          <w:sz w:val="32"/>
        </w:rPr>
        <w:t>其中：本年支出合计563.68万元，结余分配0.00万元，年末结转和结余25.04万元。</w:t>
      </w:r>
    </w:p>
    <w:p w14:paraId="3C19E4F5">
      <w:pPr>
        <w:spacing w:line="580" w:lineRule="exact"/>
        <w:ind w:firstLine="640"/>
        <w:jc w:val="both"/>
      </w:pPr>
      <w:r>
        <w:rPr>
          <w:rFonts w:ascii="仿宋_GB2312" w:hAnsi="仿宋_GB2312" w:eastAsia="仿宋_GB2312"/>
          <w:b w:val="0"/>
          <w:sz w:val="32"/>
        </w:rPr>
        <w:t>收入支出总体与上年相比，减少18.44万元，下降3.04%，主要原因是：本年民宗类工作经费资金较上年减少。</w:t>
      </w:r>
    </w:p>
    <w:p w14:paraId="6838CD56">
      <w:pPr>
        <w:spacing w:line="640" w:lineRule="exact"/>
        <w:ind w:firstLine="640"/>
        <w:jc w:val="both"/>
        <w:outlineLvl w:val="2"/>
      </w:pPr>
      <w:r>
        <w:rPr>
          <w:rFonts w:ascii="黑体" w:hAnsi="黑体" w:eastAsia="黑体"/>
          <w:sz w:val="32"/>
        </w:rPr>
        <w:t>二、收入决算情况说明</w:t>
      </w:r>
    </w:p>
    <w:p w14:paraId="0B417720">
      <w:pPr>
        <w:spacing w:line="580" w:lineRule="exact"/>
        <w:ind w:firstLine="640"/>
        <w:jc w:val="both"/>
      </w:pPr>
      <w:r>
        <w:rPr>
          <w:rFonts w:ascii="仿宋_GB2312" w:hAnsi="仿宋_GB2312" w:eastAsia="仿宋_GB2312"/>
          <w:b/>
          <w:sz w:val="32"/>
        </w:rPr>
        <w:t>本年收入561.97万元，</w:t>
      </w:r>
      <w:r>
        <w:rPr>
          <w:rFonts w:ascii="仿宋_GB2312" w:hAnsi="仿宋_GB2312" w:eastAsia="仿宋_GB2312"/>
          <w:b w:val="0"/>
          <w:sz w:val="32"/>
        </w:rPr>
        <w:t>其中：财政拨款收入553.97万元，占98.58%；上级补助收入0.00万元，占0.00%；事业收入0.00万元，占0.00%；经营收入0.00万元，占0.00%；附属单位上缴收入0.00万元，占0.00%；其他收入8.00万元，占1.42%。</w:t>
      </w:r>
    </w:p>
    <w:p w14:paraId="1B8BC0A5">
      <w:pPr>
        <w:spacing w:line="640" w:lineRule="exact"/>
        <w:ind w:firstLine="640"/>
        <w:jc w:val="both"/>
        <w:outlineLvl w:val="2"/>
      </w:pPr>
      <w:r>
        <w:rPr>
          <w:rFonts w:ascii="黑体" w:hAnsi="黑体" w:eastAsia="黑体"/>
          <w:sz w:val="32"/>
        </w:rPr>
        <w:t>三、支出决算情况说明</w:t>
      </w:r>
    </w:p>
    <w:p w14:paraId="387C5178">
      <w:pPr>
        <w:spacing w:line="580" w:lineRule="exact"/>
        <w:ind w:firstLine="640"/>
        <w:jc w:val="both"/>
      </w:pPr>
      <w:r>
        <w:rPr>
          <w:rFonts w:ascii="仿宋_GB2312" w:hAnsi="仿宋_GB2312" w:eastAsia="仿宋_GB2312"/>
          <w:b/>
          <w:sz w:val="32"/>
        </w:rPr>
        <w:t>本年支出563.68万元，</w:t>
      </w:r>
      <w:r>
        <w:rPr>
          <w:rFonts w:ascii="仿宋_GB2312" w:hAnsi="仿宋_GB2312" w:eastAsia="仿宋_GB2312"/>
          <w:b w:val="0"/>
          <w:sz w:val="32"/>
        </w:rPr>
        <w:t>其中：基本支出453.55万元，占80.46%；项目支出110.13万元，占19.54%；上缴上级支出0.00万元，占0.00%；经营支出0.00万元，占0.00%；对附属单位补助支出0.00万元，占0.00%。</w:t>
      </w:r>
    </w:p>
    <w:p w14:paraId="351A3654">
      <w:pPr>
        <w:spacing w:line="640" w:lineRule="exact"/>
        <w:ind w:firstLine="640"/>
        <w:jc w:val="both"/>
        <w:outlineLvl w:val="2"/>
      </w:pPr>
      <w:r>
        <w:rPr>
          <w:rFonts w:ascii="黑体" w:hAnsi="黑体" w:eastAsia="黑体"/>
          <w:sz w:val="32"/>
        </w:rPr>
        <w:t>四、财政拨款收入支出决算总体情况说明</w:t>
      </w:r>
    </w:p>
    <w:p w14:paraId="2EFA2F11">
      <w:pPr>
        <w:spacing w:line="580" w:lineRule="exact"/>
        <w:ind w:firstLine="640"/>
        <w:jc w:val="both"/>
      </w:pPr>
      <w:r>
        <w:rPr>
          <w:rFonts w:ascii="仿宋_GB2312" w:hAnsi="仿宋_GB2312" w:eastAsia="仿宋_GB2312"/>
          <w:b/>
          <w:sz w:val="32"/>
        </w:rPr>
        <w:t>2024年度财政拨款收入总计553.97万元，</w:t>
      </w:r>
      <w:r>
        <w:rPr>
          <w:rFonts w:ascii="仿宋_GB2312" w:hAnsi="仿宋_GB2312" w:eastAsia="仿宋_GB2312"/>
          <w:b w:val="0"/>
          <w:sz w:val="32"/>
        </w:rPr>
        <w:t>其中：年初财政拨款结转和结余0.00万元，本年财政拨款收入553.97万元。</w:t>
      </w:r>
      <w:r>
        <w:rPr>
          <w:rFonts w:ascii="仿宋_GB2312" w:hAnsi="仿宋_GB2312" w:eastAsia="仿宋_GB2312"/>
          <w:b/>
          <w:sz w:val="32"/>
        </w:rPr>
        <w:t>财政拨款支出总计553.97万元，</w:t>
      </w:r>
      <w:r>
        <w:rPr>
          <w:rFonts w:ascii="仿宋_GB2312" w:hAnsi="仿宋_GB2312" w:eastAsia="仿宋_GB2312"/>
          <w:b w:val="0"/>
          <w:sz w:val="32"/>
        </w:rPr>
        <w:t>其中：年末财政拨款结转和结余0.00万元，本年财政拨款支出553.97万元。</w:t>
      </w:r>
    </w:p>
    <w:p w14:paraId="23F21B3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减少22.40万元，下降3.89%，主要原因是：本年民宗类工作经费资金较上年减少。</w:t>
      </w:r>
      <w:r>
        <w:rPr>
          <w:rFonts w:ascii="仿宋_GB2312" w:hAnsi="仿宋_GB2312" w:eastAsia="仿宋_GB2312"/>
          <w:b/>
          <w:sz w:val="32"/>
        </w:rPr>
        <w:t>与年初预算相比，</w:t>
      </w:r>
      <w:r>
        <w:rPr>
          <w:rFonts w:ascii="仿宋_GB2312" w:hAnsi="仿宋_GB2312" w:eastAsia="仿宋_GB2312"/>
          <w:b w:val="0"/>
          <w:sz w:val="32"/>
        </w:rPr>
        <w:t>年初预算数508.92万元，决算数553.97万元，预决算差异率8.85%，主要原因是：一是本年在职人员增加，年中追加人员经费及人员工资、社保、公积金基数调增部分资金，导致预决算存在差异。二是年中追加民宗类工作经费。</w:t>
      </w:r>
    </w:p>
    <w:p w14:paraId="4CD4E83B">
      <w:pPr>
        <w:spacing w:line="640" w:lineRule="exact"/>
        <w:ind w:firstLine="640"/>
        <w:jc w:val="both"/>
        <w:outlineLvl w:val="2"/>
      </w:pPr>
      <w:r>
        <w:rPr>
          <w:rFonts w:ascii="黑体" w:hAnsi="黑体" w:eastAsia="黑体"/>
          <w:sz w:val="32"/>
        </w:rPr>
        <w:t>五、一般公共预算财政拨款支出决算情况说明</w:t>
      </w:r>
    </w:p>
    <w:p w14:paraId="477087D6">
      <w:pPr>
        <w:spacing w:line="640" w:lineRule="exact"/>
        <w:ind w:firstLine="640"/>
        <w:jc w:val="both"/>
        <w:outlineLvl w:val="3"/>
      </w:pPr>
      <w:r>
        <w:rPr>
          <w:rFonts w:ascii="楷体_GB2312" w:hAnsi="楷体_GB2312" w:eastAsia="楷体_GB2312"/>
          <w:b/>
          <w:sz w:val="32"/>
        </w:rPr>
        <w:t>（一）一般公共预算财政拨款支出决算总体情况</w:t>
      </w:r>
    </w:p>
    <w:p w14:paraId="20BD403E">
      <w:pPr>
        <w:spacing w:line="580" w:lineRule="exact"/>
        <w:ind w:firstLine="640"/>
        <w:jc w:val="both"/>
      </w:pPr>
      <w:r>
        <w:rPr>
          <w:rFonts w:ascii="仿宋_GB2312" w:hAnsi="仿宋_GB2312" w:eastAsia="仿宋_GB2312"/>
          <w:b/>
          <w:sz w:val="32"/>
        </w:rPr>
        <w:t>2024年度一般公共预算财政拨款支出553.97万元，</w:t>
      </w:r>
      <w:r>
        <w:rPr>
          <w:rFonts w:ascii="仿宋_GB2312" w:hAnsi="仿宋_GB2312" w:eastAsia="仿宋_GB2312"/>
          <w:b w:val="0"/>
          <w:sz w:val="32"/>
        </w:rPr>
        <w:t>占本年支出合计的98.28%。</w:t>
      </w:r>
      <w:r>
        <w:rPr>
          <w:rFonts w:ascii="仿宋_GB2312" w:hAnsi="仿宋_GB2312" w:eastAsia="仿宋_GB2312"/>
          <w:b/>
          <w:sz w:val="32"/>
        </w:rPr>
        <w:t>与上年相比，</w:t>
      </w:r>
      <w:r>
        <w:rPr>
          <w:rFonts w:ascii="仿宋_GB2312" w:hAnsi="仿宋_GB2312" w:eastAsia="仿宋_GB2312"/>
          <w:b w:val="0"/>
          <w:sz w:val="32"/>
        </w:rPr>
        <w:t>减少22.40万元，下降3.89%，主要原因是：本年民宗类工作经费资金较上年减少。</w:t>
      </w:r>
      <w:r>
        <w:rPr>
          <w:rFonts w:ascii="仿宋_GB2312" w:hAnsi="仿宋_GB2312" w:eastAsia="仿宋_GB2312"/>
          <w:b/>
          <w:sz w:val="32"/>
        </w:rPr>
        <w:t>与年初预算相比,</w:t>
      </w:r>
      <w:r>
        <w:rPr>
          <w:rFonts w:ascii="仿宋_GB2312" w:hAnsi="仿宋_GB2312" w:eastAsia="仿宋_GB2312"/>
          <w:b w:val="0"/>
          <w:sz w:val="32"/>
        </w:rPr>
        <w:t>年初预算数508.92万元，决算数553.97万元，预决算差异率8.85%，主要原因是：一是本年在职人员增加，年中追加人员经费及人员工资、社保、公积金基数调增部分资金，导致预决算存在差异。二是年中追加民宗类工作经费。</w:t>
      </w:r>
    </w:p>
    <w:p w14:paraId="366E9BC2">
      <w:pPr>
        <w:spacing w:line="640" w:lineRule="exact"/>
        <w:ind w:firstLine="640"/>
        <w:jc w:val="both"/>
        <w:outlineLvl w:val="3"/>
      </w:pPr>
      <w:r>
        <w:rPr>
          <w:rFonts w:ascii="楷体_GB2312" w:hAnsi="楷体_GB2312" w:eastAsia="楷体_GB2312"/>
          <w:b/>
          <w:sz w:val="32"/>
        </w:rPr>
        <w:t>（二）一般公共预算财政拨款支出决算结构情况</w:t>
      </w:r>
    </w:p>
    <w:p w14:paraId="243EA70E">
      <w:pPr>
        <w:spacing w:line="580" w:lineRule="exact"/>
        <w:ind w:firstLine="640"/>
        <w:jc w:val="both"/>
      </w:pPr>
      <w:r>
        <w:rPr>
          <w:rFonts w:ascii="仿宋_GB2312" w:hAnsi="仿宋_GB2312" w:eastAsia="仿宋_GB2312"/>
          <w:b w:val="0"/>
          <w:sz w:val="32"/>
        </w:rPr>
        <w:t>1.一般公共服务支出(类)466.38万元,占84.19%。</w:t>
      </w:r>
    </w:p>
    <w:p w14:paraId="268F12E9">
      <w:pPr>
        <w:spacing w:line="580" w:lineRule="exact"/>
        <w:ind w:firstLine="640"/>
        <w:jc w:val="both"/>
      </w:pPr>
      <w:r>
        <w:rPr>
          <w:rFonts w:ascii="仿宋_GB2312" w:hAnsi="仿宋_GB2312" w:eastAsia="仿宋_GB2312"/>
          <w:b w:val="0"/>
          <w:sz w:val="32"/>
        </w:rPr>
        <w:t>2.科学技术支出(类)1.80万元,占0.32%。</w:t>
      </w:r>
    </w:p>
    <w:p w14:paraId="5F9D1FC5">
      <w:pPr>
        <w:spacing w:line="580" w:lineRule="exact"/>
        <w:ind w:firstLine="640"/>
        <w:jc w:val="both"/>
      </w:pPr>
      <w:r>
        <w:rPr>
          <w:rFonts w:ascii="仿宋_GB2312" w:hAnsi="仿宋_GB2312" w:eastAsia="仿宋_GB2312"/>
          <w:b w:val="0"/>
          <w:sz w:val="32"/>
        </w:rPr>
        <w:t>3.社会保障和就业支出(类)45.10万元,占8.14%。</w:t>
      </w:r>
    </w:p>
    <w:p w14:paraId="6A848994">
      <w:pPr>
        <w:spacing w:line="580" w:lineRule="exact"/>
        <w:ind w:firstLine="640"/>
        <w:jc w:val="both"/>
      </w:pPr>
      <w:r>
        <w:rPr>
          <w:rFonts w:ascii="仿宋_GB2312" w:hAnsi="仿宋_GB2312" w:eastAsia="仿宋_GB2312"/>
          <w:b w:val="0"/>
          <w:sz w:val="32"/>
        </w:rPr>
        <w:t>4.卫生健康支出(类)14.11万元,占2.55%。</w:t>
      </w:r>
    </w:p>
    <w:p w14:paraId="73AC5190">
      <w:pPr>
        <w:spacing w:line="580" w:lineRule="exact"/>
        <w:ind w:firstLine="640"/>
        <w:jc w:val="both"/>
      </w:pPr>
      <w:r>
        <w:rPr>
          <w:rFonts w:ascii="仿宋_GB2312" w:hAnsi="仿宋_GB2312" w:eastAsia="仿宋_GB2312"/>
          <w:b w:val="0"/>
          <w:sz w:val="32"/>
        </w:rPr>
        <w:t>5.农林水支出(类)5.00万元,占0.90%。</w:t>
      </w:r>
    </w:p>
    <w:p w14:paraId="07226F28">
      <w:pPr>
        <w:spacing w:line="580" w:lineRule="exact"/>
        <w:ind w:firstLine="640"/>
        <w:jc w:val="both"/>
      </w:pPr>
      <w:r>
        <w:rPr>
          <w:rFonts w:ascii="仿宋_GB2312" w:hAnsi="仿宋_GB2312" w:eastAsia="仿宋_GB2312"/>
          <w:b w:val="0"/>
          <w:sz w:val="32"/>
        </w:rPr>
        <w:t>6.住房保障支出(类)21.57万元,占3.89%。</w:t>
      </w:r>
    </w:p>
    <w:p w14:paraId="44F4CF2D">
      <w:pPr>
        <w:spacing w:line="640" w:lineRule="exact"/>
        <w:ind w:firstLine="640"/>
        <w:jc w:val="both"/>
        <w:outlineLvl w:val="3"/>
      </w:pPr>
      <w:r>
        <w:rPr>
          <w:rFonts w:ascii="楷体_GB2312" w:hAnsi="楷体_GB2312" w:eastAsia="楷体_GB2312"/>
          <w:b/>
          <w:sz w:val="32"/>
        </w:rPr>
        <w:t>（三）一般公共预算财政拨款支出决算具体情况</w:t>
      </w:r>
    </w:p>
    <w:p w14:paraId="10AC35D0">
      <w:pPr>
        <w:spacing w:line="580" w:lineRule="exact"/>
        <w:ind w:firstLine="640"/>
        <w:jc w:val="both"/>
      </w:pPr>
      <w:r>
        <w:rPr>
          <w:rFonts w:ascii="仿宋_GB2312" w:hAnsi="仿宋_GB2312" w:eastAsia="仿宋_GB2312"/>
          <w:b w:val="0"/>
          <w:sz w:val="32"/>
        </w:rPr>
        <w:t>1.一般公共服务支出(类)统战事务(款)行政运行(项):支出决算数为262.76万元，比上年决算减少71.01万元，下降21.28%,主要原因是：本年功能科目调整，统战人员工作经费上年在行政运行科目列支，本年在其他统战事务支出科目列支，导致经费减少。</w:t>
      </w:r>
    </w:p>
    <w:p w14:paraId="2C6172E9">
      <w:pPr>
        <w:spacing w:line="580" w:lineRule="exact"/>
        <w:ind w:firstLine="640"/>
        <w:jc w:val="both"/>
      </w:pPr>
      <w:r>
        <w:rPr>
          <w:rFonts w:ascii="仿宋_GB2312" w:hAnsi="仿宋_GB2312" w:eastAsia="仿宋_GB2312"/>
          <w:b w:val="0"/>
          <w:sz w:val="32"/>
        </w:rPr>
        <w:t>2.一般公共服务支出(类)统战事务(款)宗教事务(项):支出决算数为68.63万元，比上年决算减少10.30万元，下降13.05%,主要原因是：本年</w:t>
      </w:r>
      <w:r>
        <w:rPr>
          <w:rFonts w:hint="eastAsia" w:ascii="仿宋_GB2312" w:hAnsi="仿宋_GB2312" w:eastAsia="仿宋_GB2312"/>
          <w:b w:val="0"/>
          <w:sz w:val="32"/>
          <w:lang w:eastAsia="zh-CN"/>
        </w:rPr>
        <w:t>为民办实事</w:t>
      </w:r>
      <w:r>
        <w:rPr>
          <w:rFonts w:ascii="仿宋_GB2312" w:hAnsi="仿宋_GB2312" w:eastAsia="仿宋_GB2312"/>
          <w:b w:val="0"/>
          <w:sz w:val="32"/>
        </w:rPr>
        <w:t>人员经费、工作经费较上年减少。</w:t>
      </w:r>
    </w:p>
    <w:p w14:paraId="761EAE31">
      <w:pPr>
        <w:spacing w:line="580" w:lineRule="exact"/>
        <w:ind w:firstLine="640"/>
        <w:jc w:val="both"/>
      </w:pPr>
      <w:r>
        <w:rPr>
          <w:rFonts w:ascii="仿宋_GB2312" w:hAnsi="仿宋_GB2312" w:eastAsia="仿宋_GB2312"/>
          <w:b w:val="0"/>
          <w:sz w:val="32"/>
        </w:rPr>
        <w:t>3.一般公共服务支出(类)统战事务(款)事业运行(项):支出决算数为98.50万元，比上年决算增加31.33万元，增长46.64%,主要原因是：本年在职人员工资调增，导致相关人员经费较上年有所增加。</w:t>
      </w:r>
    </w:p>
    <w:p w14:paraId="2A38F54A">
      <w:pPr>
        <w:spacing w:line="580" w:lineRule="exact"/>
        <w:ind w:firstLine="640"/>
        <w:jc w:val="both"/>
      </w:pPr>
      <w:r>
        <w:rPr>
          <w:rFonts w:ascii="仿宋_GB2312" w:hAnsi="仿宋_GB2312" w:eastAsia="仿宋_GB2312"/>
          <w:b w:val="0"/>
          <w:sz w:val="32"/>
        </w:rPr>
        <w:t>4.一般公共服务支出(类)统战事务(款)其他统战事务支出(项):支出决算数为36.50万元，比上年决算增加11.30万元，增长44.84%,主要原因是：本年功能科目调整，统战人员工作经费上年在行政运行科目列支，本年在其他统战事务支出科目列支，导致经费增加。</w:t>
      </w:r>
    </w:p>
    <w:p w14:paraId="51B5003E">
      <w:pPr>
        <w:spacing w:line="580" w:lineRule="exact"/>
        <w:ind w:firstLine="640"/>
        <w:jc w:val="both"/>
      </w:pPr>
      <w:r>
        <w:rPr>
          <w:rFonts w:ascii="仿宋_GB2312" w:hAnsi="仿宋_GB2312" w:eastAsia="仿宋_GB2312"/>
          <w:b w:val="0"/>
          <w:sz w:val="32"/>
        </w:rPr>
        <w:t>5.科学技术支出(类)科技条件与服务(款)其他科技条件与服务支出(项):支出决算数为1.80万元，比上年决算增加1.80万元，增长100.00%,主要原因是：本年增加正版化软件费用。</w:t>
      </w:r>
    </w:p>
    <w:p w14:paraId="759161B1">
      <w:pPr>
        <w:spacing w:line="580" w:lineRule="exact"/>
        <w:ind w:firstLine="640"/>
        <w:jc w:val="both"/>
      </w:pPr>
      <w:r>
        <w:rPr>
          <w:rFonts w:ascii="仿宋_GB2312" w:hAnsi="仿宋_GB2312" w:eastAsia="仿宋_GB2312"/>
          <w:b w:val="0"/>
          <w:sz w:val="32"/>
        </w:rPr>
        <w:t>6.社会保障和就业支出(类)行政事业单位养老支出(款)行政单位离退休(项):支出决算数为5.09万元，比上年决算增加3.14万元，增长161.03%,主要原因是：本年增加退休人员基础绩效奖，退休费支出增加。</w:t>
      </w:r>
    </w:p>
    <w:p w14:paraId="2A6FD80B">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26.53万元，比上年决算增加4.47万元，增长20.26%,主要原因是：本年在职人员工资基数调增，养老缴费基数上涨，相应支出增加。</w:t>
      </w:r>
    </w:p>
    <w:p w14:paraId="007FC298">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13.48万元，比上年决算减少0.65万元，下降4.60%,主要原因是：本年新增调出人员较上年减少，职业年金缴费较上年减少。</w:t>
      </w:r>
    </w:p>
    <w:p w14:paraId="3C45B44C">
      <w:pPr>
        <w:spacing w:line="580" w:lineRule="exact"/>
        <w:ind w:firstLine="640"/>
        <w:jc w:val="both"/>
      </w:pPr>
      <w:r>
        <w:rPr>
          <w:rFonts w:ascii="仿宋_GB2312" w:hAnsi="仿宋_GB2312" w:eastAsia="仿宋_GB2312"/>
          <w:b w:val="0"/>
          <w:sz w:val="32"/>
        </w:rPr>
        <w:t>9.卫生健康支出(类)行政事业单位医疗(款)行政单位医疗(项):支出决算数为7.47万元，比上年决算减少3.28万元，下降30.51%,主要原因是：本年在职人员调入调出，人员职级不同，缴费基数不同，导致行政单位医疗较上年减少。</w:t>
      </w:r>
    </w:p>
    <w:p w14:paraId="6DA47672">
      <w:pPr>
        <w:spacing w:line="580" w:lineRule="exact"/>
        <w:ind w:firstLine="640"/>
        <w:jc w:val="both"/>
      </w:pPr>
      <w:r>
        <w:rPr>
          <w:rFonts w:ascii="仿宋_GB2312" w:hAnsi="仿宋_GB2312" w:eastAsia="仿宋_GB2312"/>
          <w:b w:val="0"/>
          <w:sz w:val="32"/>
        </w:rPr>
        <w:t>10.卫生健康支出(类)行政事业单位医疗(款)事业单位医疗(项):支出决算数为5.80万元，比上年决算增加1.54万元，增长36.15%,主要原因是：本年在职人员工资基数调增，医疗缴费基数上涨，相应支出增加。</w:t>
      </w:r>
    </w:p>
    <w:p w14:paraId="70B9FC25">
      <w:pPr>
        <w:spacing w:line="580" w:lineRule="exact"/>
        <w:ind w:firstLine="640"/>
        <w:jc w:val="both"/>
      </w:pPr>
      <w:r>
        <w:rPr>
          <w:rFonts w:ascii="仿宋_GB2312" w:hAnsi="仿宋_GB2312" w:eastAsia="仿宋_GB2312"/>
          <w:b w:val="0"/>
          <w:sz w:val="32"/>
        </w:rPr>
        <w:t>11.卫生健康支出(类)行政事业单位医疗(款)公务员医疗补助(项):支出决算数为0.85万元，比上年决算减少0.08万元，下降8.60%,主要原因是：本年在职人员调入调出，人员职级不同，缴费基数不同，导致公务员医疗补助较上年减少。</w:t>
      </w:r>
    </w:p>
    <w:p w14:paraId="48F18E04">
      <w:pPr>
        <w:spacing w:line="580" w:lineRule="exact"/>
        <w:ind w:firstLine="640"/>
        <w:jc w:val="both"/>
      </w:pPr>
      <w:r>
        <w:rPr>
          <w:rFonts w:ascii="仿宋_GB2312" w:hAnsi="仿宋_GB2312" w:eastAsia="仿宋_GB2312"/>
          <w:b w:val="0"/>
          <w:sz w:val="32"/>
        </w:rPr>
        <w:t>12.农林水支出(类)巩固脱贫攻坚成果衔接乡村振兴(款)其他巩固脱贫攻坚成果衔接乡村振兴支出(项):支出决算数为5.00万元，比上年决算增加5.00万元，增长100.00%,主要原因是：本年新增巩固脱贫攻坚成果衔接乡村振兴边销茶项目资金。</w:t>
      </w:r>
    </w:p>
    <w:p w14:paraId="6DDFE7FF">
      <w:pPr>
        <w:spacing w:line="580" w:lineRule="exact"/>
        <w:ind w:firstLine="640"/>
        <w:jc w:val="both"/>
      </w:pPr>
      <w:r>
        <w:rPr>
          <w:rFonts w:ascii="仿宋_GB2312" w:hAnsi="仿宋_GB2312" w:eastAsia="仿宋_GB2312"/>
          <w:b w:val="0"/>
          <w:sz w:val="32"/>
        </w:rPr>
        <w:t>13.住房保障支出(类)住房改革支出(款)住房公积金(项):支出决算数为21.57万元，比上年决算增加4.35万元，增长25.26%,主要原因是：本年在职人员工资基数调增，公积金缴费基数上涨，相应支出增加。</w:t>
      </w:r>
    </w:p>
    <w:p w14:paraId="49CD0BD3">
      <w:pPr>
        <w:spacing w:line="640" w:lineRule="exact"/>
        <w:ind w:firstLine="640"/>
        <w:jc w:val="both"/>
        <w:outlineLvl w:val="2"/>
      </w:pPr>
      <w:r>
        <w:rPr>
          <w:rFonts w:ascii="黑体" w:hAnsi="黑体" w:eastAsia="黑体"/>
          <w:sz w:val="32"/>
        </w:rPr>
        <w:t>六、一般公共预算财政拨款基本支出决算情况说明</w:t>
      </w:r>
    </w:p>
    <w:p w14:paraId="22F9A10F">
      <w:pPr>
        <w:spacing w:line="580" w:lineRule="exact"/>
        <w:ind w:firstLine="640"/>
        <w:jc w:val="both"/>
      </w:pPr>
      <w:r>
        <w:rPr>
          <w:rFonts w:ascii="仿宋_GB2312" w:hAnsi="仿宋_GB2312" w:eastAsia="仿宋_GB2312"/>
          <w:b w:val="0"/>
          <w:sz w:val="32"/>
        </w:rPr>
        <w:t>2024年度一般公共预算财政拨款基本支出443.84万元，其中：</w:t>
      </w:r>
      <w:r>
        <w:rPr>
          <w:rFonts w:ascii="仿宋_GB2312" w:hAnsi="仿宋_GB2312" w:eastAsia="仿宋_GB2312"/>
          <w:b/>
          <w:sz w:val="32"/>
        </w:rPr>
        <w:t>人员经费383.09万元，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w:t>
      </w:r>
    </w:p>
    <w:p w14:paraId="59452FC4">
      <w:pPr>
        <w:spacing w:line="580" w:lineRule="exact"/>
        <w:ind w:firstLine="640"/>
        <w:jc w:val="both"/>
      </w:pPr>
      <w:r>
        <w:rPr>
          <w:rFonts w:ascii="仿宋_GB2312" w:hAnsi="仿宋_GB2312" w:eastAsia="仿宋_GB2312"/>
          <w:b/>
          <w:sz w:val="32"/>
        </w:rPr>
        <w:t>公用经费60.76万元，</w:t>
      </w:r>
      <w:r>
        <w:rPr>
          <w:rFonts w:ascii="仿宋_GB2312" w:hAnsi="仿宋_GB2312" w:eastAsia="仿宋_GB2312"/>
          <w:b w:val="0"/>
          <w:sz w:val="32"/>
        </w:rPr>
        <w:t>包括：办公费、印刷费、邮电费、差旅费、租赁费、公务接待费、劳务费、工会经费、公务用车运行维护费、其他商品和服务支出。</w:t>
      </w:r>
    </w:p>
    <w:p w14:paraId="2957AE20">
      <w:pPr>
        <w:spacing w:line="640" w:lineRule="exact"/>
        <w:ind w:firstLine="640"/>
        <w:jc w:val="both"/>
        <w:outlineLvl w:val="2"/>
      </w:pPr>
      <w:r>
        <w:rPr>
          <w:rFonts w:ascii="黑体" w:hAnsi="黑体" w:eastAsia="黑体"/>
          <w:sz w:val="32"/>
        </w:rPr>
        <w:t>七、政府性基金预算财政拨款收入支出决算情况说明</w:t>
      </w:r>
    </w:p>
    <w:p w14:paraId="6AF87BC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61AA014F">
      <w:pPr>
        <w:spacing w:line="640" w:lineRule="exact"/>
        <w:ind w:firstLine="640"/>
        <w:jc w:val="both"/>
        <w:outlineLvl w:val="2"/>
      </w:pPr>
      <w:r>
        <w:rPr>
          <w:rFonts w:ascii="黑体" w:hAnsi="黑体" w:eastAsia="黑体"/>
          <w:sz w:val="32"/>
        </w:rPr>
        <w:t>八、国有资本经营预算财政拨款收入支出决算情况说明</w:t>
      </w:r>
    </w:p>
    <w:p w14:paraId="30508BA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F10A9ED">
      <w:pPr>
        <w:spacing w:line="640" w:lineRule="exact"/>
        <w:ind w:firstLine="640"/>
        <w:jc w:val="both"/>
        <w:outlineLvl w:val="2"/>
      </w:pPr>
      <w:r>
        <w:rPr>
          <w:rFonts w:ascii="黑体" w:hAnsi="黑体" w:eastAsia="黑体"/>
          <w:sz w:val="32"/>
        </w:rPr>
        <w:t>九、财政拨款“三公”经费支出决算情况说明</w:t>
      </w:r>
    </w:p>
    <w:p w14:paraId="2473E8ED">
      <w:pPr>
        <w:spacing w:line="580" w:lineRule="exact"/>
        <w:ind w:firstLine="640"/>
        <w:jc w:val="both"/>
      </w:pPr>
      <w:r>
        <w:rPr>
          <w:rFonts w:ascii="仿宋_GB2312" w:hAnsi="仿宋_GB2312" w:eastAsia="仿宋_GB2312"/>
          <w:b/>
          <w:sz w:val="32"/>
        </w:rPr>
        <w:t>2024年度财政拨款“三公”经费支出8.57万元，</w:t>
      </w:r>
      <w:r>
        <w:rPr>
          <w:rFonts w:ascii="仿宋_GB2312" w:hAnsi="仿宋_GB2312" w:eastAsia="仿宋_GB2312"/>
          <w:b w:val="0"/>
          <w:sz w:val="32"/>
        </w:rPr>
        <w:t>比上年减少0.24万元，下降2.72%，主要原因是：严格落实中央八项规定精神，厉行节约，减少公务用车运行维护费、公务接待费。其中：因公出国（境）费支出0.00万元，占0.00%，比上年增加0.00万元，增长0.00%，主要原因是：2023年与2024年均未安排因公出国（境）费支出。公务用车购置及运行维护费支出8.00万元，占93.35%，比上年减少0.23万元，下降2.79%，主要原因是：严格落实中央八项规定精神，厉行节约，减少公务用车运行维护费。公务接待费支出0.57万元，占6.65%，比上年减少0.01万元，下降1.72%，主要原因是：严格落实中央八项规定精神，厉行节约，减少公务接待费。</w:t>
      </w:r>
    </w:p>
    <w:p w14:paraId="3A696473">
      <w:pPr>
        <w:spacing w:line="580" w:lineRule="exact"/>
        <w:ind w:firstLine="640"/>
        <w:jc w:val="both"/>
      </w:pPr>
      <w:r>
        <w:rPr>
          <w:rFonts w:ascii="仿宋_GB2312" w:hAnsi="仿宋_GB2312" w:eastAsia="仿宋_GB2312"/>
          <w:b/>
          <w:sz w:val="32"/>
        </w:rPr>
        <w:t>具体情况如下：</w:t>
      </w:r>
    </w:p>
    <w:p w14:paraId="201CF02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AD3E7F0">
      <w:pPr>
        <w:spacing w:line="580" w:lineRule="exact"/>
        <w:ind w:firstLine="640"/>
        <w:jc w:val="both"/>
      </w:pPr>
      <w:r>
        <w:rPr>
          <w:rFonts w:ascii="仿宋_GB2312" w:hAnsi="仿宋_GB2312" w:eastAsia="仿宋_GB2312"/>
          <w:b w:val="0"/>
          <w:sz w:val="32"/>
        </w:rPr>
        <w:t>公务用车购置及运行维护费8.00万元，其中：公务用车购置费0.00万元，公务用车运行维护费8.00万元。公务用车运行维护费开支内容包括车辆加油费、维修费、保险费、审车费、过路费等。公务用车购置数0辆，公务用车保有量2辆。国有资产占用情况中固定资产车辆0辆，与公务用车保有量差异原因是：借用其他单位车辆，车辆费用由本单位支付。</w:t>
      </w:r>
    </w:p>
    <w:p w14:paraId="0A7DA64F">
      <w:pPr>
        <w:spacing w:line="580" w:lineRule="exact"/>
        <w:ind w:firstLine="640"/>
        <w:jc w:val="both"/>
      </w:pPr>
      <w:r>
        <w:rPr>
          <w:rFonts w:ascii="仿宋_GB2312" w:hAnsi="仿宋_GB2312" w:eastAsia="仿宋_GB2312"/>
          <w:b w:val="0"/>
          <w:sz w:val="32"/>
        </w:rPr>
        <w:t>公务接待费0.57万元，开支内容包括接待上级领导检查、督导组检查、工作小组考察学习产生的就餐费。单位全年安排的国内公务接待4批次，57人次。</w:t>
      </w:r>
    </w:p>
    <w:p w14:paraId="24189D1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8.60万元，决算数8.57万元，预决算差异率-0.35%，主要原因是：严格落实中央八项规定精神，厉行节约，减少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8.00万元，决算数8.00万元，预决算差异率0.00%，主要原因是：严格按照预算执行，预决算无差异。公务接待费全年预算数0.60万元，决算数0.57万元，预决算差异率-5.00%，主要原因是：严格控制公务接待活动，认真执行经费开支标准，减少公务接待运行成本费用。</w:t>
      </w:r>
    </w:p>
    <w:p w14:paraId="540F62C1">
      <w:pPr>
        <w:spacing w:line="640" w:lineRule="exact"/>
        <w:ind w:firstLine="640"/>
        <w:jc w:val="both"/>
        <w:outlineLvl w:val="2"/>
      </w:pPr>
      <w:r>
        <w:rPr>
          <w:rFonts w:ascii="黑体" w:hAnsi="黑体" w:eastAsia="黑体"/>
          <w:sz w:val="32"/>
        </w:rPr>
        <w:t>十、其他重要事项的情况说明</w:t>
      </w:r>
    </w:p>
    <w:p w14:paraId="05C50DCF">
      <w:pPr>
        <w:spacing w:line="640" w:lineRule="exact"/>
        <w:ind w:firstLine="640"/>
        <w:jc w:val="both"/>
        <w:outlineLvl w:val="3"/>
      </w:pPr>
      <w:r>
        <w:rPr>
          <w:rFonts w:ascii="楷体_GB2312" w:hAnsi="楷体_GB2312" w:eastAsia="楷体_GB2312"/>
          <w:b/>
          <w:sz w:val="32"/>
        </w:rPr>
        <w:t>（一）机关运行经费及公用经费支出情况</w:t>
      </w:r>
    </w:p>
    <w:p w14:paraId="70906A25">
      <w:pPr>
        <w:spacing w:line="580" w:lineRule="exact"/>
        <w:ind w:firstLine="640"/>
        <w:jc w:val="both"/>
      </w:pPr>
      <w:r>
        <w:rPr>
          <w:rFonts w:ascii="仿宋_GB2312" w:hAnsi="仿宋_GB2312" w:eastAsia="仿宋_GB2312"/>
          <w:b w:val="0"/>
          <w:sz w:val="32"/>
        </w:rPr>
        <w:t>2024年度中共吉木萨尔县委员会统一战线工作部（行政单位和参照公务员法管理事业单位）机关运行经费支出60.76万元，比上年减少62.73万元，下降50.80%，主要原因是：本年制作民族宣传版面经费减少，导致机关运行经费支出较上年减少。</w:t>
      </w:r>
    </w:p>
    <w:p w14:paraId="47E2CBA7">
      <w:pPr>
        <w:spacing w:line="640" w:lineRule="exact"/>
        <w:ind w:firstLine="640"/>
        <w:jc w:val="both"/>
        <w:outlineLvl w:val="3"/>
      </w:pPr>
      <w:r>
        <w:rPr>
          <w:rFonts w:ascii="楷体_GB2312" w:hAnsi="楷体_GB2312" w:eastAsia="楷体_GB2312"/>
          <w:b/>
          <w:sz w:val="32"/>
        </w:rPr>
        <w:t>（二）政府采购情况</w:t>
      </w:r>
    </w:p>
    <w:p w14:paraId="5684AD08">
      <w:pPr>
        <w:spacing w:line="580" w:lineRule="exact"/>
        <w:ind w:firstLine="640"/>
        <w:jc w:val="both"/>
      </w:pPr>
      <w:r>
        <w:rPr>
          <w:rFonts w:ascii="仿宋_GB2312" w:hAnsi="仿宋_GB2312" w:eastAsia="仿宋_GB2312"/>
          <w:b w:val="0"/>
          <w:sz w:val="32"/>
        </w:rPr>
        <w:t>2024年度政府采购支出总额3.54万元，其中：政府采购货物支出1.16万元、政府采购工程支出0.00万元、政府采购服务支出2.39万元。</w:t>
      </w:r>
    </w:p>
    <w:p w14:paraId="00B08069">
      <w:pPr>
        <w:spacing w:line="580" w:lineRule="exact"/>
        <w:ind w:firstLine="640"/>
        <w:jc w:val="both"/>
      </w:pPr>
      <w:r>
        <w:rPr>
          <w:rFonts w:ascii="仿宋_GB2312" w:hAnsi="仿宋_GB2312" w:eastAsia="仿宋_GB2312"/>
          <w:b w:val="0"/>
          <w:sz w:val="32"/>
        </w:rPr>
        <w:t>授予中小企业合同金额3.15万元，占政府采购支出总额的88.98%，其中：授予小微企业合同金额3.15万元，占政府采购支出总额的88.98%。</w:t>
      </w:r>
    </w:p>
    <w:p w14:paraId="05E9713D">
      <w:pPr>
        <w:spacing w:line="640" w:lineRule="exact"/>
        <w:ind w:firstLine="640"/>
        <w:jc w:val="both"/>
        <w:outlineLvl w:val="3"/>
      </w:pPr>
      <w:r>
        <w:rPr>
          <w:rFonts w:ascii="楷体_GB2312" w:hAnsi="楷体_GB2312" w:eastAsia="楷体_GB2312"/>
          <w:b/>
          <w:sz w:val="32"/>
        </w:rPr>
        <w:t>（三）国有资产占用情况说明</w:t>
      </w:r>
    </w:p>
    <w:p w14:paraId="16EC4F8B">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w:t>
      </w:r>
      <w:r>
        <w:rPr>
          <w:rFonts w:hint="eastAsia" w:ascii="仿宋_GB2312" w:hAnsi="仿宋_GB2312" w:eastAsia="仿宋_GB2312"/>
          <w:b w:val="0"/>
          <w:sz w:val="32"/>
          <w:lang w:eastAsia="zh-CN"/>
        </w:rPr>
        <w:t>本单位</w:t>
      </w:r>
      <w:r>
        <w:rPr>
          <w:rFonts w:ascii="仿宋_GB2312" w:hAnsi="仿宋_GB2312" w:eastAsia="仿宋_GB2312"/>
          <w:b w:val="0"/>
          <w:sz w:val="32"/>
        </w:rPr>
        <w:t>无其他用车。单价100万元（含）以上设备（不含车辆）0台（套）。</w:t>
      </w:r>
    </w:p>
    <w:p w14:paraId="019876C6">
      <w:pPr>
        <w:spacing w:line="640" w:lineRule="exact"/>
        <w:ind w:firstLine="640"/>
        <w:jc w:val="both"/>
        <w:outlineLvl w:val="2"/>
      </w:pPr>
      <w:r>
        <w:rPr>
          <w:rFonts w:ascii="黑体" w:hAnsi="黑体" w:eastAsia="黑体"/>
          <w:sz w:val="32"/>
        </w:rPr>
        <w:t>十一、预算绩效的情况说明</w:t>
      </w:r>
    </w:p>
    <w:p w14:paraId="2A9AFE52">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588.72万元，实际执行总额563.68万元；预算绩效评价项目3个，全年预算数117.99万元，全年执行数117.99万元。预算绩效管理取得的成效：一是确保资金的高效使用，切实发挥财政资金的使用效果。二是严格按照工作职责和相关文件依据，确保专款专用。三是严格控制资金的流出方向，确保资金的合规性。发现的问题及原因：一是预算编制中目标管理不到位</w:t>
      </w:r>
      <w:r>
        <w:rPr>
          <w:rFonts w:hint="eastAsia" w:ascii="仿宋_GB2312" w:hAnsi="仿宋_GB2312" w:eastAsia="仿宋_GB2312"/>
          <w:b w:val="0"/>
          <w:sz w:val="32"/>
          <w:lang w:eastAsia="zh-CN"/>
        </w:rPr>
        <w:t>，在</w:t>
      </w:r>
      <w:r>
        <w:rPr>
          <w:rFonts w:ascii="仿宋_GB2312" w:hAnsi="仿宋_GB2312" w:eastAsia="仿宋_GB2312"/>
          <w:b w:val="0"/>
          <w:sz w:val="32"/>
        </w:rPr>
        <w:t>部门整体支出的资金安排和使用上具有不可预见性，资金实际使用与预算有差异；二是需要进一步加强预算执行进度、政府采购政策和程序的学习。下一步改进措施：一是细化预算编制。提高预测分析能力、资金使用效率，减少预算调整。进一步提高预算编制的科学性、合理性、完整性、可执行性；二是改进预算财务管理，严格按照有关财务管理制度规定进行账务的核算工作，通过加强预算收支管理，不断建立健全内部管理制度，使部门整体支出管理水平得到提升；三是加强绩效评价的应用，将绩效评价运用到改进业务管理、财务管理和资金管理等方面，提高财政资金的有效性和科学性。具体附整体支出绩效自评表，项目支出绩效自评表。</w:t>
      </w:r>
    </w:p>
    <w:p w14:paraId="29D5D47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F407435">
        <w:tblPrEx>
          <w:tblCellMar>
            <w:top w:w="0" w:type="dxa"/>
            <w:left w:w="108" w:type="dxa"/>
            <w:bottom w:w="0" w:type="dxa"/>
            <w:right w:w="108" w:type="dxa"/>
          </w:tblCellMar>
        </w:tblPrEx>
        <w:tc>
          <w:tcPr>
            <w:tcW w:w="8847" w:type="dxa"/>
            <w:gridSpan w:val="9"/>
            <w:vAlign w:val="center"/>
          </w:tcPr>
          <w:p w14:paraId="65D85B42">
            <w:pPr>
              <w:jc w:val="center"/>
            </w:pPr>
            <w:r>
              <w:rPr>
                <w:rFonts w:ascii="宋体" w:hAnsi="宋体" w:eastAsia="宋体"/>
                <w:sz w:val="24"/>
              </w:rPr>
              <w:t>单位整体支出绩效自评表</w:t>
            </w:r>
          </w:p>
        </w:tc>
      </w:tr>
      <w:tr w14:paraId="5A55A697">
        <w:tblPrEx>
          <w:tblCellMar>
            <w:top w:w="0" w:type="dxa"/>
            <w:left w:w="108" w:type="dxa"/>
            <w:bottom w:w="0" w:type="dxa"/>
            <w:right w:w="108" w:type="dxa"/>
          </w:tblCellMar>
        </w:tblPrEx>
        <w:tc>
          <w:tcPr>
            <w:tcW w:w="8847" w:type="dxa"/>
            <w:gridSpan w:val="9"/>
            <w:vAlign w:val="center"/>
          </w:tcPr>
          <w:p w14:paraId="16AF55DB">
            <w:pPr>
              <w:jc w:val="center"/>
            </w:pPr>
            <w:r>
              <w:rPr>
                <w:rFonts w:ascii="宋体" w:hAnsi="宋体" w:eastAsia="宋体"/>
                <w:sz w:val="24"/>
              </w:rPr>
              <w:t>（2024年度）</w:t>
            </w:r>
          </w:p>
        </w:tc>
      </w:tr>
      <w:tr w14:paraId="47DE09D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9354A">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A1E5C7C">
            <w:pPr>
              <w:jc w:val="center"/>
            </w:pPr>
            <w:r>
              <w:rPr>
                <w:rFonts w:ascii="宋体" w:hAnsi="宋体" w:eastAsia="宋体"/>
                <w:sz w:val="16"/>
              </w:rPr>
              <w:t>中共吉木萨尔县委员会统一战线工作部</w:t>
            </w:r>
          </w:p>
        </w:tc>
      </w:tr>
      <w:tr w14:paraId="00CFF8F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1F5DAD">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210D5D">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674E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8CA2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5F780">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4DDC2">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8E04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C85EA">
            <w:pPr>
              <w:jc w:val="center"/>
            </w:pPr>
            <w:r>
              <w:rPr>
                <w:rFonts w:ascii="宋体" w:hAnsi="宋体" w:eastAsia="宋体"/>
                <w:sz w:val="16"/>
              </w:rPr>
              <w:t>得分</w:t>
            </w:r>
          </w:p>
        </w:tc>
      </w:tr>
      <w:tr w14:paraId="0F658F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371AB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0F0E3">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1458B">
            <w:pPr>
              <w:jc w:val="center"/>
            </w:pPr>
            <w:r>
              <w:rPr>
                <w:rFonts w:ascii="宋体" w:hAnsi="宋体" w:eastAsia="宋体"/>
                <w:sz w:val="16"/>
              </w:rPr>
              <w:t>61.49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37438">
            <w:pPr>
              <w:jc w:val="center"/>
            </w:pPr>
            <w:r>
              <w:rPr>
                <w:rFonts w:ascii="宋体" w:hAnsi="宋体" w:eastAsia="宋体"/>
                <w:sz w:val="16"/>
              </w:rPr>
              <w:t>73.63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CBA23">
            <w:pPr>
              <w:jc w:val="center"/>
            </w:pPr>
            <w:r>
              <w:rPr>
                <w:rFonts w:ascii="宋体" w:hAnsi="宋体" w:eastAsia="宋体"/>
                <w:sz w:val="16"/>
              </w:rPr>
              <w:t>73.63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E798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D6E7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766B1">
            <w:pPr>
              <w:jc w:val="center"/>
            </w:pPr>
            <w:r>
              <w:rPr>
                <w:rFonts w:ascii="宋体" w:hAnsi="宋体" w:eastAsia="宋体"/>
                <w:sz w:val="16"/>
              </w:rPr>
              <w:t>-</w:t>
            </w:r>
          </w:p>
        </w:tc>
      </w:tr>
      <w:tr w14:paraId="78F3AA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4F791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F12B0E">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1CEFF">
            <w:pPr>
              <w:jc w:val="center"/>
            </w:pPr>
            <w:r>
              <w:rPr>
                <w:rFonts w:ascii="宋体" w:hAnsi="宋体" w:eastAsia="宋体"/>
                <w:sz w:val="16"/>
              </w:rPr>
              <w:t>447.43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6E304">
            <w:pPr>
              <w:jc w:val="center"/>
            </w:pPr>
            <w:r>
              <w:rPr>
                <w:rFonts w:ascii="宋体" w:hAnsi="宋体" w:eastAsia="宋体"/>
                <w:sz w:val="16"/>
              </w:rPr>
              <w:t>515.09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420A1">
            <w:pPr>
              <w:jc w:val="center"/>
            </w:pPr>
            <w:r>
              <w:rPr>
                <w:rFonts w:ascii="宋体" w:hAnsi="宋体" w:eastAsia="宋体"/>
                <w:sz w:val="16"/>
              </w:rPr>
              <w:t>490.05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9AE5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5AE2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274F9">
            <w:pPr>
              <w:jc w:val="center"/>
            </w:pPr>
            <w:r>
              <w:rPr>
                <w:rFonts w:ascii="宋体" w:hAnsi="宋体" w:eastAsia="宋体"/>
                <w:sz w:val="16"/>
              </w:rPr>
              <w:t>-</w:t>
            </w:r>
          </w:p>
        </w:tc>
      </w:tr>
      <w:tr w14:paraId="04C0E0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7D11B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42B4B">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AB93A">
            <w:pPr>
              <w:jc w:val="center"/>
            </w:pPr>
            <w:r>
              <w:rPr>
                <w:rFonts w:ascii="宋体" w:hAnsi="宋体" w:eastAsia="宋体"/>
                <w:sz w:val="16"/>
              </w:rPr>
              <w:t>47.39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88EF3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6CF8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FCB0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4D2C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1252A">
            <w:pPr>
              <w:jc w:val="center"/>
            </w:pPr>
            <w:r>
              <w:rPr>
                <w:rFonts w:ascii="宋体" w:hAnsi="宋体" w:eastAsia="宋体"/>
                <w:sz w:val="16"/>
              </w:rPr>
              <w:t>-</w:t>
            </w:r>
          </w:p>
        </w:tc>
      </w:tr>
      <w:tr w14:paraId="765034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849CA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55601">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B2B481">
            <w:pPr>
              <w:jc w:val="center"/>
            </w:pPr>
            <w:r>
              <w:rPr>
                <w:rFonts w:ascii="宋体" w:hAnsi="宋体" w:eastAsia="宋体"/>
                <w:sz w:val="16"/>
              </w:rPr>
              <w:t>556.31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F94036">
            <w:pPr>
              <w:jc w:val="center"/>
            </w:pPr>
            <w:r>
              <w:rPr>
                <w:rFonts w:ascii="宋体" w:hAnsi="宋体" w:eastAsia="宋体"/>
                <w:sz w:val="16"/>
              </w:rPr>
              <w:t>588.72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4B27D">
            <w:pPr>
              <w:jc w:val="center"/>
            </w:pPr>
            <w:r>
              <w:rPr>
                <w:rFonts w:ascii="宋体" w:hAnsi="宋体" w:eastAsia="宋体"/>
                <w:sz w:val="16"/>
              </w:rPr>
              <w:t>563.68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EE5A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AA8BA">
            <w:pPr>
              <w:jc w:val="center"/>
            </w:pPr>
            <w:r>
              <w:rPr>
                <w:rFonts w:ascii="宋体" w:hAnsi="宋体" w:eastAsia="宋体"/>
                <w:sz w:val="16"/>
              </w:rPr>
              <w:t>95.75%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683D5">
            <w:pPr>
              <w:jc w:val="center"/>
            </w:pPr>
            <w:r>
              <w:rPr>
                <w:rFonts w:ascii="宋体" w:hAnsi="宋体" w:eastAsia="宋体"/>
                <w:sz w:val="16"/>
              </w:rPr>
              <w:t>9.58</w:t>
            </w:r>
          </w:p>
        </w:tc>
      </w:tr>
      <w:tr w14:paraId="416FDF7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3FBA8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00B728C">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283980B">
            <w:pPr>
              <w:jc w:val="center"/>
            </w:pPr>
            <w:r>
              <w:rPr>
                <w:rFonts w:ascii="宋体" w:hAnsi="宋体" w:eastAsia="宋体"/>
                <w:sz w:val="16"/>
              </w:rPr>
              <w:t>实际完成情况</w:t>
            </w:r>
          </w:p>
        </w:tc>
      </w:tr>
      <w:tr w14:paraId="495684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B77AA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28E914">
            <w:pPr>
              <w:jc w:val="both"/>
            </w:pPr>
            <w:r>
              <w:rPr>
                <w:rFonts w:ascii="宋体" w:hAnsi="宋体" w:eastAsia="宋体"/>
                <w:sz w:val="16"/>
              </w:rPr>
              <w:t>1、发挥统战工作职能，加强“三支队伍”建设，不断提升能力，促进政党关系、民族关系、阶层关系和谐。2、贯彻落实《新疆维吾尔自治区民族团结进步模范区创建条例》，争创区、州、县级民族团结进步创建示范区、示范单位。</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B83DD9">
            <w:pPr>
              <w:jc w:val="both"/>
            </w:pPr>
            <w:r>
              <w:rPr>
                <w:rFonts w:hint="eastAsia" w:ascii="宋体" w:hAnsi="宋体"/>
                <w:sz w:val="16"/>
                <w:lang w:eastAsia="zh-CN"/>
              </w:rPr>
              <w:t>截至</w:t>
            </w:r>
            <w:r>
              <w:rPr>
                <w:rFonts w:ascii="宋体" w:hAnsi="宋体" w:eastAsia="宋体"/>
                <w:sz w:val="16"/>
              </w:rPr>
              <w:t>2024年12月31日，</w:t>
            </w:r>
            <w:r>
              <w:rPr>
                <w:rFonts w:hint="eastAsia" w:ascii="宋体" w:hAnsi="宋体"/>
                <w:sz w:val="16"/>
                <w:lang w:eastAsia="zh-CN"/>
              </w:rPr>
              <w:t>本单位</w:t>
            </w:r>
            <w:r>
              <w:rPr>
                <w:rFonts w:ascii="宋体" w:hAnsi="宋体" w:eastAsia="宋体"/>
                <w:sz w:val="16"/>
              </w:rPr>
              <w:t>全年预算数588.72万元，全年执行数为563.68万元，主要完成任务内容如下：今年以来，吉木萨尔县坚持以习近平新时代中国特色社会主义思想为指引，认真贯彻落实习近平总书记关于做好新时代党的统一战线工作的重要思想，在铸牢中华民族共同体意识上聚焦“五个坚持”筑基，在坚持我国××中国化方向上突出“五个强化”发力，努力寻求最大公约数、画出最大同心圆，持续推动民族和睦、××和顺、社会和谐。</w:t>
            </w:r>
          </w:p>
        </w:tc>
      </w:tr>
      <w:tr w14:paraId="5198010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4359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CED40">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ACEF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2A90C">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73587">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9378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A37A7">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11499">
            <w:pPr>
              <w:jc w:val="center"/>
            </w:pPr>
            <w:r>
              <w:rPr>
                <w:rFonts w:ascii="宋体" w:hAnsi="宋体" w:eastAsia="宋体"/>
                <w:sz w:val="16"/>
              </w:rPr>
              <w:t>得分</w:t>
            </w:r>
          </w:p>
        </w:tc>
      </w:tr>
      <w:tr w14:paraId="212F114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CA88F5">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459EAC">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CA626">
            <w:pPr>
              <w:jc w:val="center"/>
            </w:pPr>
            <w:r>
              <w:rPr>
                <w:rFonts w:ascii="宋体" w:hAnsi="宋体" w:eastAsia="宋体"/>
                <w:sz w:val="16"/>
              </w:rPr>
              <w:t>开展宗教人士专题政治培训次数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33182">
            <w:pPr>
              <w:jc w:val="center"/>
            </w:pPr>
            <w:r>
              <w:rPr>
                <w:rFonts w:ascii="宋体" w:hAnsi="宋体" w:eastAsia="宋体"/>
                <w:sz w:val="16"/>
              </w:rPr>
              <w:t>&gt;=6场次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258D3">
            <w:pPr>
              <w:jc w:val="center"/>
            </w:pPr>
            <w:r>
              <w:rPr>
                <w:rFonts w:ascii="宋体" w:hAnsi="宋体" w:eastAsia="宋体"/>
                <w:sz w:val="16"/>
              </w:rPr>
              <w:t>2024年重点工作任务清单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28884">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232DC">
            <w:pPr>
              <w:jc w:val="center"/>
            </w:pPr>
            <w:r>
              <w:rPr>
                <w:rFonts w:ascii="宋体" w:hAnsi="宋体" w:eastAsia="宋体"/>
                <w:sz w:val="16"/>
              </w:rPr>
              <w:t>=6场次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E7745">
            <w:pPr>
              <w:jc w:val="center"/>
            </w:pPr>
            <w:r>
              <w:rPr>
                <w:rFonts w:ascii="宋体" w:hAnsi="宋体" w:eastAsia="宋体"/>
                <w:sz w:val="16"/>
              </w:rPr>
              <w:t>12</w:t>
            </w:r>
          </w:p>
        </w:tc>
      </w:tr>
      <w:tr w14:paraId="3F993A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8ACA6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8B2D3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439381">
            <w:pPr>
              <w:jc w:val="center"/>
            </w:pPr>
            <w:r>
              <w:rPr>
                <w:rFonts w:ascii="宋体" w:hAnsi="宋体" w:eastAsia="宋体"/>
                <w:sz w:val="16"/>
              </w:rPr>
              <w:t>“三爱”教育“走出去”培训人次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98877">
            <w:pPr>
              <w:jc w:val="center"/>
            </w:pPr>
            <w:r>
              <w:rPr>
                <w:rFonts w:ascii="宋体" w:hAnsi="宋体" w:eastAsia="宋体"/>
                <w:sz w:val="16"/>
              </w:rPr>
              <w:t>&gt;=10人次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F7E05">
            <w:pPr>
              <w:jc w:val="center"/>
            </w:pPr>
            <w:r>
              <w:rPr>
                <w:rFonts w:ascii="宋体" w:hAnsi="宋体" w:eastAsia="宋体"/>
                <w:sz w:val="16"/>
              </w:rPr>
              <w:t>2024年重点工作任务清单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62A4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88738">
            <w:pPr>
              <w:jc w:val="center"/>
            </w:pPr>
            <w:r>
              <w:rPr>
                <w:rFonts w:ascii="宋体" w:hAnsi="宋体" w:eastAsia="宋体"/>
                <w:sz w:val="16"/>
              </w:rPr>
              <w:t>=10人次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1A0867">
            <w:pPr>
              <w:jc w:val="center"/>
            </w:pPr>
            <w:r>
              <w:rPr>
                <w:rFonts w:ascii="宋体" w:hAnsi="宋体" w:eastAsia="宋体"/>
                <w:sz w:val="16"/>
              </w:rPr>
              <w:t>10</w:t>
            </w:r>
          </w:p>
        </w:tc>
      </w:tr>
      <w:tr w14:paraId="351384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A9953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142CC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6888E">
            <w:pPr>
              <w:jc w:val="center"/>
            </w:pPr>
            <w:r>
              <w:rPr>
                <w:rFonts w:ascii="宋体" w:hAnsi="宋体" w:eastAsia="宋体"/>
                <w:sz w:val="16"/>
              </w:rPr>
              <w:t>开展乡（镇）、村两级统战民宗干部培训人次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58B74">
            <w:pPr>
              <w:jc w:val="center"/>
            </w:pPr>
            <w:r>
              <w:rPr>
                <w:rFonts w:ascii="宋体" w:hAnsi="宋体" w:eastAsia="宋体"/>
                <w:sz w:val="16"/>
              </w:rPr>
              <w:t>&gt;=120人次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7182E">
            <w:pPr>
              <w:jc w:val="center"/>
            </w:pPr>
            <w:r>
              <w:rPr>
                <w:rFonts w:ascii="宋体" w:hAnsi="宋体" w:eastAsia="宋体"/>
                <w:sz w:val="16"/>
              </w:rPr>
              <w:t>2024年重点工作任务清单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C8A99">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5328A">
            <w:pPr>
              <w:jc w:val="center"/>
            </w:pPr>
            <w:r>
              <w:rPr>
                <w:rFonts w:ascii="宋体" w:hAnsi="宋体" w:eastAsia="宋体"/>
                <w:sz w:val="16"/>
              </w:rPr>
              <w:t>=120人次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F094D">
            <w:pPr>
              <w:jc w:val="center"/>
            </w:pPr>
            <w:r>
              <w:rPr>
                <w:rFonts w:ascii="宋体" w:hAnsi="宋体" w:eastAsia="宋体"/>
                <w:sz w:val="16"/>
              </w:rPr>
              <w:t>12</w:t>
            </w:r>
          </w:p>
        </w:tc>
      </w:tr>
      <w:tr w14:paraId="67C997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0110B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786C0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0867DF">
            <w:pPr>
              <w:jc w:val="center"/>
            </w:pPr>
            <w:r>
              <w:rPr>
                <w:rFonts w:ascii="宋体" w:hAnsi="宋体" w:eastAsia="宋体"/>
                <w:sz w:val="16"/>
              </w:rPr>
              <w:t>组织</w:t>
            </w:r>
            <w:r>
              <w:rPr>
                <w:rFonts w:hint="eastAsia" w:ascii="宋体" w:hAnsi="宋体"/>
                <w:sz w:val="16"/>
                <w:lang w:eastAsia="zh-CN"/>
              </w:rPr>
              <w:t>沃</w:t>
            </w:r>
            <w:r>
              <w:rPr>
                <w:rFonts w:ascii="宋体" w:hAnsi="宋体" w:eastAsia="宋体"/>
                <w:sz w:val="16"/>
              </w:rPr>
              <w:t>尔兹演讲比赛场次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E83D8">
            <w:pPr>
              <w:jc w:val="center"/>
            </w:pPr>
            <w:r>
              <w:rPr>
                <w:rFonts w:ascii="宋体" w:hAnsi="宋体" w:eastAsia="宋体"/>
                <w:sz w:val="16"/>
              </w:rPr>
              <w:t>&gt;=2场次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46CBD">
            <w:pPr>
              <w:jc w:val="center"/>
            </w:pPr>
            <w:r>
              <w:rPr>
                <w:rFonts w:ascii="宋体" w:hAnsi="宋体" w:eastAsia="宋体"/>
                <w:sz w:val="16"/>
              </w:rPr>
              <w:t>2024年重点工作任务清单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1DD0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2A1EF">
            <w:pPr>
              <w:jc w:val="center"/>
            </w:pPr>
            <w:r>
              <w:rPr>
                <w:rFonts w:ascii="宋体" w:hAnsi="宋体" w:eastAsia="宋体"/>
                <w:sz w:val="16"/>
              </w:rPr>
              <w:t>=2场次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418E3">
            <w:pPr>
              <w:jc w:val="center"/>
            </w:pPr>
            <w:r>
              <w:rPr>
                <w:rFonts w:ascii="宋体" w:hAnsi="宋体" w:eastAsia="宋体"/>
                <w:sz w:val="16"/>
              </w:rPr>
              <w:t>8</w:t>
            </w:r>
          </w:p>
        </w:tc>
      </w:tr>
      <w:tr w14:paraId="4CB887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D0746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680CA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FB8C3C">
            <w:pPr>
              <w:jc w:val="center"/>
            </w:pPr>
            <w:r>
              <w:rPr>
                <w:rFonts w:ascii="宋体" w:hAnsi="宋体" w:eastAsia="宋体"/>
                <w:sz w:val="16"/>
              </w:rPr>
              <w:t>申创县级民族团结进步创建示范区和示范单位个数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3F32F">
            <w:pPr>
              <w:jc w:val="center"/>
            </w:pPr>
            <w:r>
              <w:rPr>
                <w:rFonts w:ascii="宋体" w:hAnsi="宋体" w:eastAsia="宋体"/>
                <w:sz w:val="16"/>
              </w:rPr>
              <w:t>&gt;=20个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D4C70">
            <w:pPr>
              <w:jc w:val="center"/>
            </w:pPr>
            <w:r>
              <w:rPr>
                <w:rFonts w:ascii="宋体" w:hAnsi="宋体" w:eastAsia="宋体"/>
                <w:sz w:val="16"/>
              </w:rPr>
              <w:t>2024年重点工作任务清单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6B5B0">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AAF7A">
            <w:pPr>
              <w:jc w:val="center"/>
            </w:pPr>
            <w:r>
              <w:rPr>
                <w:rFonts w:ascii="宋体" w:hAnsi="宋体" w:eastAsia="宋体"/>
                <w:sz w:val="16"/>
              </w:rPr>
              <w:t>=20个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10DCE">
            <w:pPr>
              <w:jc w:val="center"/>
            </w:pPr>
            <w:r>
              <w:rPr>
                <w:rFonts w:ascii="宋体" w:hAnsi="宋体" w:eastAsia="宋体"/>
                <w:sz w:val="16"/>
              </w:rPr>
              <w:t>11</w:t>
            </w:r>
          </w:p>
        </w:tc>
      </w:tr>
      <w:tr w14:paraId="20493E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5E9A4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104DA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1B37EA">
            <w:pPr>
              <w:jc w:val="center"/>
            </w:pPr>
            <w:r>
              <w:rPr>
                <w:rFonts w:ascii="宋体" w:hAnsi="宋体" w:eastAsia="宋体"/>
                <w:sz w:val="16"/>
              </w:rPr>
              <w:t>争创州级民族团结进步创建示范区和示范单位个数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23D76B">
            <w:pPr>
              <w:jc w:val="center"/>
            </w:pPr>
            <w:r>
              <w:rPr>
                <w:rFonts w:ascii="宋体" w:hAnsi="宋体" w:eastAsia="宋体"/>
                <w:sz w:val="16"/>
              </w:rPr>
              <w:t>&gt;=10个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DDD13">
            <w:pPr>
              <w:jc w:val="center"/>
            </w:pPr>
            <w:r>
              <w:rPr>
                <w:rFonts w:ascii="宋体" w:hAnsi="宋体" w:eastAsia="宋体"/>
                <w:sz w:val="16"/>
              </w:rPr>
              <w:t>2024年重点工作任务清单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D71DC6">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B8A531">
            <w:pPr>
              <w:jc w:val="center"/>
            </w:pPr>
            <w:r>
              <w:rPr>
                <w:rFonts w:ascii="宋体" w:hAnsi="宋体" w:eastAsia="宋体"/>
                <w:sz w:val="16"/>
              </w:rPr>
              <w:t>=10个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F89E7">
            <w:pPr>
              <w:jc w:val="center"/>
            </w:pPr>
            <w:r>
              <w:rPr>
                <w:rFonts w:ascii="宋体" w:hAnsi="宋体" w:eastAsia="宋体"/>
                <w:sz w:val="16"/>
              </w:rPr>
              <w:t>11</w:t>
            </w:r>
          </w:p>
        </w:tc>
      </w:tr>
      <w:tr w14:paraId="690522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07F6A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6084F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EE3C8">
            <w:pPr>
              <w:jc w:val="center"/>
            </w:pPr>
            <w:r>
              <w:rPr>
                <w:rFonts w:ascii="宋体" w:hAnsi="宋体" w:eastAsia="宋体"/>
                <w:sz w:val="16"/>
              </w:rPr>
              <w:t>争创区级民族团结进步创建示范区和示范单位个数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67D08">
            <w:pPr>
              <w:jc w:val="center"/>
            </w:pPr>
            <w:r>
              <w:rPr>
                <w:rFonts w:ascii="宋体" w:hAnsi="宋体" w:eastAsia="宋体"/>
                <w:sz w:val="16"/>
              </w:rPr>
              <w:t>&gt;=1个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D9A53">
            <w:pPr>
              <w:jc w:val="center"/>
            </w:pPr>
            <w:r>
              <w:rPr>
                <w:rFonts w:ascii="宋体" w:hAnsi="宋体" w:eastAsia="宋体"/>
                <w:sz w:val="16"/>
              </w:rPr>
              <w:t>2024年重点工作任务清单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E269C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9082C">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A6685">
            <w:pPr>
              <w:jc w:val="center"/>
            </w:pPr>
            <w:r>
              <w:rPr>
                <w:rFonts w:ascii="宋体" w:hAnsi="宋体" w:eastAsia="宋体"/>
                <w:sz w:val="16"/>
              </w:rPr>
              <w:t>10</w:t>
            </w:r>
          </w:p>
        </w:tc>
      </w:tr>
      <w:tr w14:paraId="5A0122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A2D5D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74050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95A1D">
            <w:pPr>
              <w:jc w:val="center"/>
            </w:pPr>
            <w:r>
              <w:rPr>
                <w:rFonts w:ascii="宋体" w:hAnsi="宋体" w:eastAsia="宋体"/>
                <w:sz w:val="16"/>
              </w:rPr>
              <w:t>新联会开展联谊交友、社会公益等活动次数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C49141">
            <w:pPr>
              <w:jc w:val="center"/>
            </w:pPr>
            <w:r>
              <w:rPr>
                <w:rFonts w:ascii="宋体" w:hAnsi="宋体" w:eastAsia="宋体"/>
                <w:sz w:val="16"/>
              </w:rPr>
              <w:t>&gt;=6次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A5979">
            <w:pPr>
              <w:jc w:val="center"/>
            </w:pPr>
            <w:r>
              <w:rPr>
                <w:rFonts w:ascii="宋体" w:hAnsi="宋体" w:eastAsia="宋体"/>
                <w:sz w:val="16"/>
              </w:rPr>
              <w:t>2024年重点工作任务清单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86AC5">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5A187">
            <w:pPr>
              <w:jc w:val="center"/>
            </w:pPr>
            <w:r>
              <w:rPr>
                <w:rFonts w:ascii="宋体" w:hAnsi="宋体" w:eastAsia="宋体"/>
                <w:sz w:val="16"/>
              </w:rPr>
              <w:t>=6次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C433F">
            <w:pPr>
              <w:jc w:val="center"/>
            </w:pPr>
            <w:r>
              <w:rPr>
                <w:rFonts w:ascii="宋体" w:hAnsi="宋体" w:eastAsia="宋体"/>
                <w:sz w:val="16"/>
              </w:rPr>
              <w:t>12</w:t>
            </w:r>
          </w:p>
        </w:tc>
      </w:tr>
      <w:tr w14:paraId="552D69B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CEEDB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0B485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3BC7E">
            <w:pPr>
              <w:jc w:val="center"/>
            </w:pPr>
            <w:r>
              <w:rPr>
                <w:rFonts w:ascii="宋体" w:hAnsi="宋体" w:eastAsia="宋体"/>
                <w:sz w:val="16"/>
              </w:rPr>
              <w:t>新联会组织学习次数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EB839">
            <w:pPr>
              <w:jc w:val="center"/>
            </w:pPr>
            <w:r>
              <w:rPr>
                <w:rFonts w:ascii="宋体" w:hAnsi="宋体" w:eastAsia="宋体"/>
                <w:sz w:val="16"/>
              </w:rPr>
              <w:t>&gt;=4次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417D0">
            <w:pPr>
              <w:jc w:val="center"/>
            </w:pPr>
            <w:r>
              <w:rPr>
                <w:rFonts w:ascii="宋体" w:hAnsi="宋体" w:eastAsia="宋体"/>
                <w:sz w:val="16"/>
              </w:rPr>
              <w:t>2024年重点工作任务清单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84A2A">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A092E">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6290F">
            <w:pPr>
              <w:jc w:val="center"/>
            </w:pPr>
            <w:r>
              <w:rPr>
                <w:rFonts w:ascii="宋体" w:hAnsi="宋体" w:eastAsia="宋体"/>
                <w:sz w:val="16"/>
              </w:rPr>
              <w:t>4</w:t>
            </w:r>
          </w:p>
        </w:tc>
      </w:tr>
    </w:tbl>
    <w:p w14:paraId="22C666A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32"/>
        <w:gridCol w:w="632"/>
        <w:gridCol w:w="632"/>
        <w:gridCol w:w="632"/>
        <w:gridCol w:w="632"/>
        <w:gridCol w:w="632"/>
      </w:tblGrid>
      <w:tr w14:paraId="3405801A">
        <w:tblPrEx>
          <w:tblCellMar>
            <w:top w:w="0" w:type="dxa"/>
            <w:left w:w="108" w:type="dxa"/>
            <w:bottom w:w="0" w:type="dxa"/>
            <w:right w:w="108" w:type="dxa"/>
          </w:tblCellMar>
        </w:tblPrEx>
        <w:tc>
          <w:tcPr>
            <w:tcW w:w="8848" w:type="dxa"/>
            <w:gridSpan w:val="14"/>
            <w:vAlign w:val="center"/>
          </w:tcPr>
          <w:p w14:paraId="2BFD23E0">
            <w:pPr>
              <w:jc w:val="center"/>
            </w:pPr>
            <w:r>
              <w:rPr>
                <w:rFonts w:ascii="宋体" w:hAnsi="宋体" w:eastAsia="宋体"/>
                <w:sz w:val="24"/>
              </w:rPr>
              <w:t>项目支出绩效自评表</w:t>
            </w:r>
          </w:p>
        </w:tc>
      </w:tr>
      <w:tr w14:paraId="7FA9F3BA">
        <w:tblPrEx>
          <w:tblCellMar>
            <w:top w:w="0" w:type="dxa"/>
            <w:left w:w="108" w:type="dxa"/>
            <w:bottom w:w="0" w:type="dxa"/>
            <w:right w:w="108" w:type="dxa"/>
          </w:tblCellMar>
        </w:tblPrEx>
        <w:tc>
          <w:tcPr>
            <w:tcW w:w="8848" w:type="dxa"/>
            <w:gridSpan w:val="14"/>
            <w:vAlign w:val="center"/>
          </w:tcPr>
          <w:p w14:paraId="6903C782">
            <w:pPr>
              <w:jc w:val="center"/>
            </w:pPr>
            <w:r>
              <w:rPr>
                <w:rFonts w:ascii="宋体" w:hAnsi="宋体" w:eastAsia="宋体"/>
                <w:sz w:val="24"/>
              </w:rPr>
              <w:t>(2024年度)</w:t>
            </w:r>
          </w:p>
        </w:tc>
      </w:tr>
      <w:tr w14:paraId="3A52DEE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AB66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74E649">
            <w:pPr>
              <w:jc w:val="center"/>
            </w:pPr>
            <w:r>
              <w:rPr>
                <w:rFonts w:ascii="宋体" w:hAnsi="宋体" w:eastAsia="宋体"/>
                <w:sz w:val="16"/>
              </w:rPr>
              <w:t>2024年吉木萨尔县铸牢中华民族共同体意识、民族团结宣传教育工作经费</w:t>
            </w:r>
          </w:p>
        </w:tc>
      </w:tr>
      <w:tr w14:paraId="3C19258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96FE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5D5B72">
            <w:pPr>
              <w:jc w:val="center"/>
            </w:pPr>
            <w:r>
              <w:rPr>
                <w:rFonts w:ascii="宋体" w:hAnsi="宋体" w:eastAsia="宋体"/>
                <w:sz w:val="16"/>
              </w:rPr>
              <w:t>中共吉木萨尔县委员会统一战线工作部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20F2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327E203">
            <w:pPr>
              <w:jc w:val="center"/>
            </w:pPr>
            <w:r>
              <w:rPr>
                <w:rFonts w:ascii="宋体" w:hAnsi="宋体" w:eastAsia="宋体"/>
                <w:sz w:val="16"/>
              </w:rPr>
              <w:t>中共吉木萨尔县委员会统一战线工作部</w:t>
            </w:r>
          </w:p>
        </w:tc>
      </w:tr>
      <w:tr w14:paraId="7B738A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BA617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2FA6C8">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3D88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5BD5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62BA3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B7B9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05F3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4460A">
            <w:pPr>
              <w:jc w:val="center"/>
            </w:pPr>
            <w:r>
              <w:rPr>
                <w:rFonts w:ascii="宋体" w:hAnsi="宋体" w:eastAsia="宋体"/>
                <w:sz w:val="16"/>
              </w:rPr>
              <w:t>得分</w:t>
            </w:r>
          </w:p>
        </w:tc>
      </w:tr>
      <w:tr w14:paraId="40CCD8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EAD1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5050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53547">
            <w:pPr>
              <w:jc w:val="center"/>
            </w:pPr>
            <w:r>
              <w:rPr>
                <w:rFonts w:ascii="宋体" w:hAnsi="宋体" w:eastAsia="宋体"/>
                <w:sz w:val="16"/>
              </w:rPr>
              <w:t>43.50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91E83">
            <w:pPr>
              <w:jc w:val="center"/>
            </w:pPr>
            <w:r>
              <w:rPr>
                <w:rFonts w:ascii="宋体" w:hAnsi="宋体" w:eastAsia="宋体"/>
                <w:sz w:val="16"/>
              </w:rPr>
              <w:t>43.50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CB221B">
            <w:pPr>
              <w:jc w:val="center"/>
            </w:pPr>
            <w:r>
              <w:rPr>
                <w:rFonts w:ascii="宋体" w:hAnsi="宋体" w:eastAsia="宋体"/>
                <w:sz w:val="16"/>
              </w:rPr>
              <w:t>43.50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5A3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1011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175C5">
            <w:pPr>
              <w:jc w:val="center"/>
            </w:pPr>
            <w:r>
              <w:rPr>
                <w:rFonts w:ascii="宋体" w:hAnsi="宋体" w:eastAsia="宋体"/>
                <w:sz w:val="16"/>
              </w:rPr>
              <w:t>10.00</w:t>
            </w:r>
          </w:p>
        </w:tc>
      </w:tr>
      <w:tr w14:paraId="666025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FDA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A99C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0C16D">
            <w:pPr>
              <w:jc w:val="center"/>
            </w:pPr>
            <w:r>
              <w:rPr>
                <w:rFonts w:ascii="宋体" w:hAnsi="宋体" w:eastAsia="宋体"/>
                <w:sz w:val="16"/>
              </w:rPr>
              <w:t>43.50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39943">
            <w:pPr>
              <w:jc w:val="center"/>
            </w:pPr>
            <w:r>
              <w:rPr>
                <w:rFonts w:ascii="宋体" w:hAnsi="宋体" w:eastAsia="宋体"/>
                <w:sz w:val="16"/>
              </w:rPr>
              <w:t>43.50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18EE03">
            <w:pPr>
              <w:jc w:val="center"/>
            </w:pPr>
            <w:r>
              <w:rPr>
                <w:rFonts w:ascii="宋体" w:hAnsi="宋体" w:eastAsia="宋体"/>
                <w:sz w:val="16"/>
              </w:rPr>
              <w:t>43.50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E465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22139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FFC40">
            <w:pPr>
              <w:jc w:val="center"/>
            </w:pPr>
            <w:r>
              <w:rPr>
                <w:rFonts w:ascii="宋体" w:hAnsi="宋体" w:eastAsia="宋体"/>
                <w:sz w:val="16"/>
              </w:rPr>
              <w:t>—</w:t>
            </w:r>
          </w:p>
        </w:tc>
      </w:tr>
      <w:tr w14:paraId="3A365A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8A37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7876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CAAB5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97CA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0CEC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C47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BC0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14337">
            <w:pPr>
              <w:jc w:val="center"/>
            </w:pPr>
            <w:r>
              <w:rPr>
                <w:rFonts w:ascii="宋体" w:hAnsi="宋体" w:eastAsia="宋体"/>
                <w:sz w:val="16"/>
              </w:rPr>
              <w:t>—</w:t>
            </w:r>
          </w:p>
        </w:tc>
      </w:tr>
      <w:tr w14:paraId="18A3B1E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6C715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6A13A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DF0CDB">
            <w:pPr>
              <w:jc w:val="center"/>
            </w:pPr>
            <w:r>
              <w:rPr>
                <w:rFonts w:ascii="宋体" w:hAnsi="宋体" w:eastAsia="宋体"/>
                <w:sz w:val="16"/>
              </w:rPr>
              <w:t>实际完成情况</w:t>
            </w:r>
          </w:p>
        </w:tc>
      </w:tr>
      <w:tr w14:paraId="7CFB93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6311A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49510F">
            <w:pPr>
              <w:jc w:val="both"/>
            </w:pPr>
            <w:r>
              <w:rPr>
                <w:rFonts w:ascii="宋体" w:hAnsi="宋体" w:eastAsia="宋体"/>
                <w:sz w:val="16"/>
              </w:rPr>
              <w:t>本项目主要实施内容为开展以“铸牢中华民族共同体意识”为主题的培训、宣讲、“百名书记话铸牢”活动，打造铸牢中华民族共同体意识小广场、小游园10个，项目总投资43.5万元，项目计划于2024年11月完成。通过本项目的实施，有形有感有效铸牢中华民族共同体意识，促进各民族交往交流交融，待项目完成后，争取使参与培训人员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0E014D">
            <w:pPr>
              <w:jc w:val="both"/>
            </w:pPr>
            <w:r>
              <w:rPr>
                <w:rFonts w:ascii="宋体" w:hAnsi="宋体" w:eastAsia="宋体"/>
                <w:sz w:val="16"/>
              </w:rPr>
              <w:t xml:space="preserve"> </w:t>
            </w:r>
            <w:r>
              <w:rPr>
                <w:rFonts w:hint="eastAsia" w:ascii="宋体" w:hAnsi="宋体"/>
                <w:sz w:val="16"/>
                <w:lang w:eastAsia="zh-CN"/>
              </w:rPr>
              <w:t>截至2024</w:t>
            </w:r>
            <w:r>
              <w:rPr>
                <w:rFonts w:ascii="宋体" w:hAnsi="宋体" w:eastAsia="宋体"/>
                <w:sz w:val="16"/>
              </w:rPr>
              <w:t>年12月31日，本项目实际支出资金43.5万元，预算执行率为100%，实际已完成以“铸牢中华民族共同体意识”为主题的培训2场次、宣讲2场次、“百名书记话铸牢”活动，打造铸牢中华民族共同体意识小广场、小游园10个。通过本项目的实施，有形有感有效铸牢中华民族共同体意识，促进各民族交往交流交融。</w:t>
            </w:r>
          </w:p>
        </w:tc>
      </w:tr>
      <w:tr w14:paraId="1A5608F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C9D37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1AEF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C99A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8443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AEBD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54CD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DB2C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C85F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59E4A">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CDDE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C2BF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186D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5B5F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D2941">
            <w:pPr>
              <w:jc w:val="center"/>
            </w:pPr>
            <w:r>
              <w:rPr>
                <w:rFonts w:ascii="宋体" w:hAnsi="宋体" w:eastAsia="宋体"/>
                <w:sz w:val="16"/>
              </w:rPr>
              <w:t>偏差原因分析及改进措施</w:t>
            </w:r>
          </w:p>
        </w:tc>
      </w:tr>
      <w:tr w14:paraId="14D2E41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A7301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1DC09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FDE8C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95F56">
            <w:pPr>
              <w:jc w:val="center"/>
            </w:pPr>
            <w:r>
              <w:rPr>
                <w:rFonts w:ascii="宋体" w:hAnsi="宋体" w:eastAsia="宋体"/>
                <w:sz w:val="16"/>
              </w:rPr>
              <w:t>开展以“铸牢中华民族共同体意识”为主题的培训场次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BC2D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52F02">
            <w:pPr>
              <w:jc w:val="center"/>
            </w:pPr>
            <w:r>
              <w:rPr>
                <w:rFonts w:ascii="宋体" w:hAnsi="宋体" w:eastAsia="宋体"/>
                <w:sz w:val="16"/>
              </w:rPr>
              <w:t>&gt;=1场次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56C92">
            <w:pPr>
              <w:jc w:val="center"/>
            </w:pPr>
            <w:r>
              <w:rPr>
                <w:rFonts w:ascii="宋体" w:hAnsi="宋体" w:eastAsia="宋体"/>
                <w:sz w:val="16"/>
              </w:rPr>
              <w:t>=2场次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1A6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118D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DE1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CF03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598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A3E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452C2">
            <w:pPr>
              <w:jc w:val="center"/>
            </w:pPr>
          </w:p>
        </w:tc>
      </w:tr>
      <w:tr w14:paraId="23883F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7FB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1A2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333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033F6">
            <w:pPr>
              <w:jc w:val="center"/>
            </w:pPr>
            <w:r>
              <w:rPr>
                <w:rFonts w:ascii="宋体" w:hAnsi="宋体" w:eastAsia="宋体"/>
                <w:sz w:val="16"/>
              </w:rPr>
              <w:t>开展以“铸牢中华民族共同体意识”为主题的宣讲场次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BAFF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C9479">
            <w:pPr>
              <w:jc w:val="center"/>
            </w:pPr>
            <w:r>
              <w:rPr>
                <w:rFonts w:ascii="宋体" w:hAnsi="宋体" w:eastAsia="宋体"/>
                <w:sz w:val="16"/>
              </w:rPr>
              <w:t>&gt;=1场次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507FA">
            <w:pPr>
              <w:jc w:val="center"/>
            </w:pPr>
            <w:r>
              <w:rPr>
                <w:rFonts w:ascii="宋体" w:hAnsi="宋体" w:eastAsia="宋体"/>
                <w:sz w:val="16"/>
              </w:rPr>
              <w:t>=2场次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C79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1090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6B5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28C6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79B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B522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1E9D7">
            <w:pPr>
              <w:jc w:val="center"/>
            </w:pPr>
          </w:p>
        </w:tc>
      </w:tr>
      <w:tr w14:paraId="23E7F5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CF4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3A93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A713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3DA06">
            <w:pPr>
              <w:jc w:val="center"/>
            </w:pPr>
            <w:r>
              <w:rPr>
                <w:rFonts w:ascii="宋体" w:hAnsi="宋体" w:eastAsia="宋体"/>
                <w:sz w:val="16"/>
              </w:rPr>
              <w:t>打造铸牢中华民族共同体意识小广场、小游园个数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FE3C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07B76">
            <w:pPr>
              <w:jc w:val="center"/>
            </w:pPr>
            <w:r>
              <w:rPr>
                <w:rFonts w:ascii="宋体" w:hAnsi="宋体" w:eastAsia="宋体"/>
                <w:sz w:val="16"/>
              </w:rPr>
              <w:t>&gt;=10个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C8396">
            <w:pPr>
              <w:jc w:val="center"/>
            </w:pPr>
            <w:r>
              <w:rPr>
                <w:rFonts w:ascii="宋体" w:hAnsi="宋体" w:eastAsia="宋体"/>
                <w:sz w:val="16"/>
              </w:rPr>
              <w:t>=10个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C42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A74C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F79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003E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D35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404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801DC">
            <w:pPr>
              <w:jc w:val="center"/>
            </w:pPr>
          </w:p>
        </w:tc>
      </w:tr>
      <w:tr w14:paraId="6655A5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228F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7377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F31D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537F6">
            <w:pPr>
              <w:jc w:val="center"/>
            </w:pPr>
            <w:r>
              <w:rPr>
                <w:rFonts w:ascii="宋体" w:hAnsi="宋体" w:eastAsia="宋体"/>
                <w:sz w:val="16"/>
              </w:rPr>
              <w:t>“百名书记话铸牢”活动人数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2F23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BBCA2">
            <w:pPr>
              <w:jc w:val="center"/>
            </w:pPr>
            <w:r>
              <w:rPr>
                <w:rFonts w:ascii="宋体" w:hAnsi="宋体" w:eastAsia="宋体"/>
                <w:sz w:val="16"/>
              </w:rPr>
              <w:t>&gt;=100名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F445D">
            <w:pPr>
              <w:jc w:val="center"/>
            </w:pPr>
            <w:r>
              <w:rPr>
                <w:rFonts w:ascii="宋体" w:hAnsi="宋体" w:eastAsia="宋体"/>
                <w:sz w:val="16"/>
              </w:rPr>
              <w:t>=142名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4154F">
            <w:pPr>
              <w:jc w:val="center"/>
            </w:pPr>
            <w:r>
              <w:rPr>
                <w:rFonts w:ascii="宋体" w:hAnsi="宋体" w:eastAsia="宋体"/>
                <w:sz w:val="16"/>
              </w:rPr>
              <w:t>143%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6A6A0">
            <w:pPr>
              <w:jc w:val="center"/>
            </w:pPr>
            <w:r>
              <w:rPr>
                <w:rFonts w:ascii="宋体" w:hAnsi="宋体" w:eastAsia="宋体"/>
                <w:sz w:val="16"/>
              </w:rPr>
              <w:t>4.56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04EA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191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E47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BDD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56FBF">
            <w:pPr>
              <w:jc w:val="center"/>
            </w:pPr>
            <w:r>
              <w:rPr>
                <w:rFonts w:ascii="宋体" w:hAnsi="宋体" w:eastAsia="宋体"/>
                <w:sz w:val="16"/>
              </w:rPr>
              <w:t>由于目标设置不精准，导致超额完成。</w:t>
            </w:r>
          </w:p>
        </w:tc>
      </w:tr>
      <w:tr w14:paraId="115D85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EC08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2C7A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9E24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39BA8">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65DF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B75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14F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37CD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215F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F1E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463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2843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532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310D2">
            <w:pPr>
              <w:jc w:val="center"/>
            </w:pPr>
          </w:p>
        </w:tc>
      </w:tr>
      <w:tr w14:paraId="7FDA4F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ABD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607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15F7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D89DC">
            <w:pPr>
              <w:jc w:val="center"/>
            </w:pPr>
            <w:r>
              <w:rPr>
                <w:rFonts w:ascii="宋体" w:hAnsi="宋体" w:eastAsia="宋体"/>
                <w:sz w:val="16"/>
              </w:rPr>
              <w:t>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C07F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9F72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53A3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C65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42A3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AE1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694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2EF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B00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FC508">
            <w:pPr>
              <w:jc w:val="center"/>
            </w:pPr>
          </w:p>
        </w:tc>
      </w:tr>
      <w:tr w14:paraId="3A592E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9D1A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B99B9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AD3B4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6481A">
            <w:pPr>
              <w:jc w:val="center"/>
            </w:pPr>
            <w:r>
              <w:rPr>
                <w:rFonts w:ascii="宋体" w:hAnsi="宋体" w:eastAsia="宋体"/>
                <w:sz w:val="16"/>
              </w:rPr>
              <w:t>开展以“铸牢中华民族共同体意识”为主题的培训费用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E248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A01C7">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11A03">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078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022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1F5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1C1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7C9C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AFA74">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F0562">
            <w:pPr>
              <w:jc w:val="center"/>
            </w:pPr>
          </w:p>
        </w:tc>
      </w:tr>
      <w:tr w14:paraId="146E2C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3849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601A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2140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58159">
            <w:pPr>
              <w:jc w:val="center"/>
            </w:pPr>
            <w:r>
              <w:rPr>
                <w:rFonts w:ascii="宋体" w:hAnsi="宋体" w:eastAsia="宋体"/>
                <w:sz w:val="16"/>
              </w:rPr>
              <w:t>开展以“铸牢中华民族共同体意识”为主题的宣讲费用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CF7B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034E9">
            <w:pPr>
              <w:jc w:val="center"/>
            </w:pPr>
            <w:r>
              <w:rPr>
                <w:rFonts w:ascii="宋体" w:hAnsi="宋体" w:eastAsia="宋体"/>
                <w:sz w:val="16"/>
              </w:rPr>
              <w:t>&lt;=1.50万元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9A6A9">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AAF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344E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50A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1E2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EBC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57698">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B4A5D1">
            <w:pPr>
              <w:jc w:val="center"/>
            </w:pPr>
          </w:p>
        </w:tc>
      </w:tr>
      <w:tr w14:paraId="0925A0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A89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0DE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F3C4B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CFF06">
            <w:pPr>
              <w:jc w:val="center"/>
            </w:pPr>
            <w:r>
              <w:rPr>
                <w:rFonts w:ascii="宋体" w:hAnsi="宋体" w:eastAsia="宋体"/>
                <w:sz w:val="16"/>
              </w:rPr>
              <w:t>“百名书记话铸牢”活动费用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4E5E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5E79C">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F91F3">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BF7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322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0A36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8C3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26E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3BDC7">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E03C0">
            <w:pPr>
              <w:jc w:val="center"/>
            </w:pPr>
          </w:p>
        </w:tc>
      </w:tr>
      <w:tr w14:paraId="6122D3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43BE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3AEF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715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3C82E">
            <w:pPr>
              <w:jc w:val="center"/>
            </w:pPr>
            <w:r>
              <w:rPr>
                <w:rFonts w:ascii="宋体" w:hAnsi="宋体" w:eastAsia="宋体"/>
                <w:sz w:val="16"/>
              </w:rPr>
              <w:t>打造铸牢中华民族共同体意识小广场、小游园费用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504C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53072">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571AD">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BD5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7B1D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8F7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CDB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FE6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B8495">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B4455">
            <w:pPr>
              <w:jc w:val="center"/>
            </w:pPr>
          </w:p>
        </w:tc>
      </w:tr>
      <w:tr w14:paraId="404D4C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7489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DA107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594B1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FB307">
            <w:pPr>
              <w:jc w:val="center"/>
            </w:pPr>
            <w:r>
              <w:rPr>
                <w:rFonts w:ascii="宋体" w:hAnsi="宋体" w:eastAsia="宋体"/>
                <w:sz w:val="16"/>
              </w:rPr>
              <w:t>铸牢中华民族共同体意识不断增强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9DF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ACC87">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42DCE">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576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BA7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FCC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732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3EF2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A64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22228">
            <w:pPr>
              <w:jc w:val="center"/>
            </w:pPr>
          </w:p>
        </w:tc>
      </w:tr>
      <w:tr w14:paraId="36237B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F18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C51B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26B6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222CE">
            <w:pPr>
              <w:jc w:val="center"/>
            </w:pPr>
            <w:r>
              <w:rPr>
                <w:rFonts w:ascii="宋体" w:hAnsi="宋体" w:eastAsia="宋体"/>
                <w:sz w:val="16"/>
              </w:rPr>
              <w:t>加强各民族交往交流交融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A7E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E54BB">
            <w:pPr>
              <w:jc w:val="center"/>
            </w:pPr>
            <w:r>
              <w:rPr>
                <w:rFonts w:ascii="宋体" w:hAnsi="宋体" w:eastAsia="宋体"/>
                <w:sz w:val="16"/>
              </w:rPr>
              <w:t>不断加强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E7800">
            <w:pPr>
              <w:jc w:val="center"/>
            </w:pPr>
            <w:r>
              <w:rPr>
                <w:rFonts w:ascii="宋体" w:hAnsi="宋体" w:eastAsia="宋体"/>
                <w:sz w:val="16"/>
              </w:rPr>
              <w:t>不断加强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52A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32C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356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BE7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5E3B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88B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64551">
            <w:pPr>
              <w:jc w:val="center"/>
            </w:pPr>
          </w:p>
        </w:tc>
      </w:tr>
      <w:tr w14:paraId="6597F6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262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91A3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809F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859B6">
            <w:pPr>
              <w:jc w:val="center"/>
            </w:pPr>
            <w:r>
              <w:rPr>
                <w:rFonts w:ascii="宋体" w:hAnsi="宋体" w:eastAsia="宋体"/>
                <w:sz w:val="16"/>
              </w:rPr>
              <w:t>参与培训人员满意度（%）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D0B9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198C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D3CE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6B64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D95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157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FB38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B7B0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199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F2658B">
            <w:pPr>
              <w:jc w:val="center"/>
            </w:pPr>
          </w:p>
        </w:tc>
      </w:tr>
      <w:tr w14:paraId="26AB878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943AEC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778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1D167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9B5D7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E8224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317F2">
            <w:pPr>
              <w:jc w:val="center"/>
            </w:pPr>
            <w:r>
              <w:rPr>
                <w:rFonts w:ascii="宋体" w:hAnsi="宋体" w:eastAsia="宋体"/>
                <w:sz w:val="16"/>
              </w:rPr>
              <w:t>96.56分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BFD6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08923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A6FE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E0CCB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00E9E5"/>
        </w:tc>
      </w:tr>
    </w:tbl>
    <w:p w14:paraId="45BF5513">
      <w:r>
        <w:br w:type="page"/>
      </w:r>
    </w:p>
    <w:tbl>
      <w:tblPr>
        <w:tblStyle w:val="9"/>
        <w:tblW w:w="0" w:type="auto"/>
        <w:tblInd w:w="0" w:type="dxa"/>
        <w:tblLayout w:type="autofit"/>
        <w:tblCellMar>
          <w:top w:w="0" w:type="dxa"/>
          <w:left w:w="108" w:type="dxa"/>
          <w:bottom w:w="0" w:type="dxa"/>
          <w:right w:w="108" w:type="dxa"/>
        </w:tblCellMar>
      </w:tblPr>
      <w:tblGrid>
        <w:gridCol w:w="624"/>
        <w:gridCol w:w="613"/>
        <w:gridCol w:w="614"/>
        <w:gridCol w:w="614"/>
        <w:gridCol w:w="619"/>
        <w:gridCol w:w="856"/>
        <w:gridCol w:w="776"/>
        <w:gridCol w:w="625"/>
        <w:gridCol w:w="631"/>
        <w:gridCol w:w="614"/>
        <w:gridCol w:w="614"/>
        <w:gridCol w:w="615"/>
        <w:gridCol w:w="614"/>
        <w:gridCol w:w="631"/>
      </w:tblGrid>
      <w:tr w14:paraId="4179AFEA">
        <w:tblPrEx>
          <w:tblCellMar>
            <w:top w:w="0" w:type="dxa"/>
            <w:left w:w="108" w:type="dxa"/>
            <w:bottom w:w="0" w:type="dxa"/>
            <w:right w:w="108" w:type="dxa"/>
          </w:tblCellMar>
        </w:tblPrEx>
        <w:tc>
          <w:tcPr>
            <w:tcW w:w="8848" w:type="dxa"/>
            <w:gridSpan w:val="14"/>
            <w:vAlign w:val="center"/>
          </w:tcPr>
          <w:p w14:paraId="2E72FDE0">
            <w:pPr>
              <w:jc w:val="center"/>
            </w:pPr>
            <w:r>
              <w:rPr>
                <w:rFonts w:ascii="宋体" w:hAnsi="宋体" w:eastAsia="宋体"/>
                <w:sz w:val="24"/>
              </w:rPr>
              <w:t>项目支出绩效自评表</w:t>
            </w:r>
          </w:p>
        </w:tc>
      </w:tr>
      <w:tr w14:paraId="2C5D3FF5">
        <w:tblPrEx>
          <w:tblCellMar>
            <w:top w:w="0" w:type="dxa"/>
            <w:left w:w="108" w:type="dxa"/>
            <w:bottom w:w="0" w:type="dxa"/>
            <w:right w:w="108" w:type="dxa"/>
          </w:tblCellMar>
        </w:tblPrEx>
        <w:tc>
          <w:tcPr>
            <w:tcW w:w="8848" w:type="dxa"/>
            <w:gridSpan w:val="14"/>
            <w:vAlign w:val="center"/>
          </w:tcPr>
          <w:p w14:paraId="53285A90">
            <w:pPr>
              <w:jc w:val="center"/>
            </w:pPr>
            <w:r>
              <w:rPr>
                <w:rFonts w:ascii="宋体" w:hAnsi="宋体" w:eastAsia="宋体"/>
                <w:sz w:val="24"/>
              </w:rPr>
              <w:t>(2024年度)</w:t>
            </w:r>
          </w:p>
        </w:tc>
      </w:tr>
      <w:tr w14:paraId="1545F84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373B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EC7B05A">
            <w:pPr>
              <w:jc w:val="center"/>
            </w:pPr>
            <w:r>
              <w:rPr>
                <w:rFonts w:ascii="宋体" w:hAnsi="宋体" w:eastAsia="宋体"/>
                <w:sz w:val="16"/>
              </w:rPr>
              <w:t>2024年宗教教职人员生活补贴资金</w:t>
            </w:r>
          </w:p>
        </w:tc>
      </w:tr>
      <w:tr w14:paraId="2A12EC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3F0E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F7E9ED">
            <w:pPr>
              <w:jc w:val="center"/>
            </w:pPr>
            <w:r>
              <w:rPr>
                <w:rFonts w:ascii="宋体" w:hAnsi="宋体" w:eastAsia="宋体"/>
                <w:sz w:val="16"/>
              </w:rPr>
              <w:t>中共吉木萨尔县委员会统一战线工作部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4E59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C71296">
            <w:pPr>
              <w:jc w:val="center"/>
            </w:pPr>
            <w:r>
              <w:rPr>
                <w:rFonts w:ascii="宋体" w:hAnsi="宋体" w:eastAsia="宋体"/>
                <w:sz w:val="16"/>
              </w:rPr>
              <w:t>中共吉木萨尔县委员会统一战线工作部</w:t>
            </w:r>
          </w:p>
        </w:tc>
      </w:tr>
      <w:tr w14:paraId="3A897D0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6C8DB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0A1D8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7341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C7B1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97A4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F8B70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02F3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915A13">
            <w:pPr>
              <w:jc w:val="center"/>
            </w:pPr>
            <w:r>
              <w:rPr>
                <w:rFonts w:ascii="宋体" w:hAnsi="宋体" w:eastAsia="宋体"/>
                <w:sz w:val="16"/>
              </w:rPr>
              <w:t>得分</w:t>
            </w:r>
          </w:p>
        </w:tc>
      </w:tr>
      <w:tr w14:paraId="58F6DA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2B3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580B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CC2A5E">
            <w:pPr>
              <w:jc w:val="center"/>
            </w:pPr>
            <w:r>
              <w:rPr>
                <w:rFonts w:ascii="宋体" w:hAnsi="宋体" w:eastAsia="宋体"/>
                <w:sz w:val="16"/>
              </w:rPr>
              <w:t>61.49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BD221">
            <w:pPr>
              <w:jc w:val="center"/>
            </w:pPr>
            <w:r>
              <w:rPr>
                <w:rFonts w:ascii="宋体" w:hAnsi="宋体" w:eastAsia="宋体"/>
                <w:sz w:val="16"/>
              </w:rPr>
              <w:t>61.49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0A9B8">
            <w:pPr>
              <w:jc w:val="center"/>
            </w:pPr>
            <w:r>
              <w:rPr>
                <w:rFonts w:ascii="宋体" w:hAnsi="宋体" w:eastAsia="宋体"/>
                <w:sz w:val="16"/>
              </w:rPr>
              <w:t>61.49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D6F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5731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D2557">
            <w:pPr>
              <w:jc w:val="center"/>
            </w:pPr>
            <w:r>
              <w:rPr>
                <w:rFonts w:ascii="宋体" w:hAnsi="宋体" w:eastAsia="宋体"/>
                <w:sz w:val="16"/>
              </w:rPr>
              <w:t>10.00</w:t>
            </w:r>
          </w:p>
        </w:tc>
      </w:tr>
      <w:tr w14:paraId="189328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84327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6CF5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07462">
            <w:pPr>
              <w:jc w:val="center"/>
            </w:pPr>
            <w:r>
              <w:rPr>
                <w:rFonts w:ascii="宋体" w:hAnsi="宋体" w:eastAsia="宋体"/>
                <w:sz w:val="16"/>
              </w:rPr>
              <w:t>61.49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A74B45">
            <w:pPr>
              <w:jc w:val="center"/>
            </w:pPr>
            <w:r>
              <w:rPr>
                <w:rFonts w:ascii="宋体" w:hAnsi="宋体" w:eastAsia="宋体"/>
                <w:sz w:val="16"/>
              </w:rPr>
              <w:t>61.49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97FA1">
            <w:pPr>
              <w:jc w:val="center"/>
            </w:pPr>
            <w:r>
              <w:rPr>
                <w:rFonts w:ascii="宋体" w:hAnsi="宋体" w:eastAsia="宋体"/>
                <w:sz w:val="16"/>
              </w:rPr>
              <w:t>61.49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EA6F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F090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52BF1">
            <w:pPr>
              <w:jc w:val="center"/>
            </w:pPr>
            <w:r>
              <w:rPr>
                <w:rFonts w:ascii="宋体" w:hAnsi="宋体" w:eastAsia="宋体"/>
                <w:sz w:val="16"/>
              </w:rPr>
              <w:t>—</w:t>
            </w:r>
          </w:p>
        </w:tc>
      </w:tr>
      <w:tr w14:paraId="72F1D8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6B4C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4A81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29E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5264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ADF5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B282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D9E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42162">
            <w:pPr>
              <w:jc w:val="center"/>
            </w:pPr>
            <w:r>
              <w:rPr>
                <w:rFonts w:ascii="宋体" w:hAnsi="宋体" w:eastAsia="宋体"/>
                <w:sz w:val="16"/>
              </w:rPr>
              <w:t>—</w:t>
            </w:r>
          </w:p>
        </w:tc>
      </w:tr>
      <w:tr w14:paraId="088A02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1CB33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59EBE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C3FFBB7">
            <w:pPr>
              <w:jc w:val="center"/>
            </w:pPr>
            <w:r>
              <w:rPr>
                <w:rFonts w:ascii="宋体" w:hAnsi="宋体" w:eastAsia="宋体"/>
                <w:sz w:val="16"/>
              </w:rPr>
              <w:t>实际完成情况</w:t>
            </w:r>
          </w:p>
        </w:tc>
      </w:tr>
      <w:tr w14:paraId="359774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6E9BE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30FE31">
            <w:pPr>
              <w:jc w:val="both"/>
            </w:pPr>
            <w:r>
              <w:rPr>
                <w:rFonts w:ascii="宋体" w:hAnsi="宋体" w:eastAsia="宋体"/>
                <w:sz w:val="16"/>
              </w:rPr>
              <w:t>按月支付</w:t>
            </w:r>
            <w:bookmarkStart w:id="0" w:name="_GoBack"/>
            <w:r>
              <w:rPr>
                <w:rFonts w:ascii="宋体" w:hAnsi="宋体" w:eastAsia="宋体"/>
                <w:sz w:val="16"/>
              </w:rPr>
              <w:t>宗教</w:t>
            </w:r>
            <w:bookmarkEnd w:id="0"/>
            <w:r>
              <w:rPr>
                <w:rFonts w:ascii="宋体" w:hAnsi="宋体" w:eastAsia="宋体"/>
                <w:sz w:val="16"/>
              </w:rPr>
              <w:t>人士生活补助。建立健全宗教教职人员日常管理和考核评议办法，充分发挥资金使用效益，加强宣传教育，引导宗教教职人员争做爱国爱教、遵纪守法、民族团结、向上向善、促进和谐的模范。</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B89D8C">
            <w:pPr>
              <w:jc w:val="both"/>
            </w:pPr>
            <w:r>
              <w:rPr>
                <w:rFonts w:hint="eastAsia" w:ascii="宋体" w:hAnsi="宋体"/>
                <w:sz w:val="16"/>
                <w:lang w:eastAsia="zh-CN"/>
              </w:rPr>
              <w:t>截至</w:t>
            </w:r>
            <w:r>
              <w:rPr>
                <w:rFonts w:ascii="宋体" w:hAnsi="宋体" w:eastAsia="宋体"/>
                <w:sz w:val="16"/>
              </w:rPr>
              <w:t>2024年12月31日，本项目实际支出资金61.49万元，预算执行率为100%，实际已完成按时发放2024年1</w:t>
            </w:r>
            <w:r>
              <w:rPr>
                <w:rFonts w:hint="eastAsia" w:ascii="宋体" w:hAnsi="宋体"/>
                <w:sz w:val="16"/>
                <w:lang w:eastAsia="zh-CN"/>
              </w:rPr>
              <w:t>—</w:t>
            </w:r>
            <w:r>
              <w:rPr>
                <w:rFonts w:ascii="宋体" w:hAnsi="宋体" w:eastAsia="宋体"/>
                <w:sz w:val="16"/>
              </w:rPr>
              <w:t>12月宗教人士生活补助，通过实施本项目，健全了宗教教职人员日常管理和考核评议，充分发挥了资金使用效益，引导宗教教职人员争做爱国爱教、遵纪守法、民族团结、向上向善、促进和谐的模范。</w:t>
            </w:r>
          </w:p>
        </w:tc>
      </w:tr>
      <w:tr w14:paraId="0E3D95B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C40B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CCAA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8954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9B914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6299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B6D4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39EE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C988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A9EA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1948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3A96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B2AC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0504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10310">
            <w:pPr>
              <w:jc w:val="center"/>
            </w:pPr>
            <w:r>
              <w:rPr>
                <w:rFonts w:ascii="宋体" w:hAnsi="宋体" w:eastAsia="宋体"/>
                <w:sz w:val="16"/>
              </w:rPr>
              <w:t>偏差原因分析及改进措施</w:t>
            </w:r>
          </w:p>
        </w:tc>
      </w:tr>
      <w:tr w14:paraId="39F5368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41E09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6B9D9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1432E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2D6ED">
            <w:pPr>
              <w:jc w:val="center"/>
            </w:pPr>
            <w:r>
              <w:rPr>
                <w:rFonts w:ascii="宋体" w:hAnsi="宋体" w:eastAsia="宋体"/>
                <w:sz w:val="16"/>
              </w:rPr>
              <w:t>宗教人士补助人数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BD7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586DA">
            <w:pPr>
              <w:jc w:val="center"/>
            </w:pPr>
            <w:r>
              <w:rPr>
                <w:rFonts w:ascii="宋体" w:hAnsi="宋体" w:eastAsia="宋体"/>
                <w:sz w:val="16"/>
              </w:rPr>
              <w:t>&lt;=40人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471B7">
            <w:pPr>
              <w:jc w:val="center"/>
            </w:pPr>
            <w:r>
              <w:rPr>
                <w:rFonts w:ascii="宋体" w:hAnsi="宋体" w:eastAsia="宋体"/>
                <w:sz w:val="16"/>
              </w:rPr>
              <w:t>=39人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44D35">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ED8B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FC1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102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D1E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593D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5F719">
            <w:pPr>
              <w:jc w:val="center"/>
            </w:pPr>
            <w:r>
              <w:rPr>
                <w:rFonts w:ascii="宋体" w:hAnsi="宋体" w:eastAsia="宋体"/>
                <w:sz w:val="16"/>
              </w:rPr>
              <w:t>偏差原因分析：因年中解聘1人，停发生活补助，故补助人数存在偏差。整改措施：及时停发。</w:t>
            </w:r>
          </w:p>
        </w:tc>
      </w:tr>
      <w:tr w14:paraId="5B623B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46D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D1ED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B501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A2EB0">
            <w:pPr>
              <w:jc w:val="center"/>
            </w:pPr>
            <w:r>
              <w:rPr>
                <w:rFonts w:ascii="宋体" w:hAnsi="宋体" w:eastAsia="宋体"/>
                <w:sz w:val="16"/>
              </w:rPr>
              <w:t>宗教教职人员生活补贴发放月数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634D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8C6D5">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57CD6">
            <w:pPr>
              <w:jc w:val="center"/>
            </w:pPr>
            <w:r>
              <w:rPr>
                <w:rFonts w:ascii="宋体" w:hAnsi="宋体" w:eastAsia="宋体"/>
                <w:sz w:val="16"/>
              </w:rPr>
              <w:t>=12个月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F00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C568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A44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E4A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43E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F12E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E4465">
            <w:pPr>
              <w:jc w:val="center"/>
            </w:pPr>
          </w:p>
        </w:tc>
      </w:tr>
      <w:tr w14:paraId="727B9C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834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9055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5B32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14A51">
            <w:pPr>
              <w:jc w:val="center"/>
            </w:pPr>
            <w:r>
              <w:rPr>
                <w:rFonts w:ascii="宋体" w:hAnsi="宋体" w:eastAsia="宋体"/>
                <w:sz w:val="16"/>
              </w:rPr>
              <w:t>宗教教职人员生活补贴保障率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67B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04C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944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B41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C61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299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B8B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CF9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4B4C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11E47">
            <w:pPr>
              <w:jc w:val="center"/>
            </w:pPr>
          </w:p>
        </w:tc>
      </w:tr>
      <w:tr w14:paraId="3864F6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0C1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D254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B868D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3FAB5">
            <w:pPr>
              <w:jc w:val="center"/>
            </w:pPr>
            <w:r>
              <w:rPr>
                <w:rFonts w:ascii="宋体" w:hAnsi="宋体" w:eastAsia="宋体"/>
                <w:sz w:val="16"/>
              </w:rPr>
              <w:t>宗教人士补助资金发放及时性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90B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6CF3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117C8">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E63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E89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24A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5CA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4E1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6E67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66C88">
            <w:pPr>
              <w:jc w:val="center"/>
            </w:pPr>
          </w:p>
        </w:tc>
      </w:tr>
      <w:tr w14:paraId="6F2BC6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636E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FF54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96C9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3A33A">
            <w:pPr>
              <w:jc w:val="center"/>
            </w:pPr>
            <w:r>
              <w:rPr>
                <w:rFonts w:ascii="宋体" w:hAnsi="宋体" w:eastAsia="宋体"/>
                <w:sz w:val="16"/>
              </w:rPr>
              <w:t>宗教教职人员生活补贴标准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DCFE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E1511">
            <w:pPr>
              <w:jc w:val="center"/>
            </w:pPr>
            <w:r>
              <w:rPr>
                <w:rFonts w:ascii="宋体" w:hAnsi="宋体" w:eastAsia="宋体"/>
                <w:sz w:val="16"/>
              </w:rPr>
              <w:t>&lt;=104475元/月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8AA93">
            <w:pPr>
              <w:jc w:val="center"/>
            </w:pPr>
            <w:r>
              <w:rPr>
                <w:rFonts w:ascii="宋体" w:hAnsi="宋体" w:eastAsia="宋体"/>
                <w:sz w:val="16"/>
              </w:rPr>
              <w:t>=109843元/月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903DE">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A6381">
            <w:pPr>
              <w:jc w:val="center"/>
            </w:pPr>
            <w:r>
              <w:rPr>
                <w:rFonts w:ascii="宋体" w:hAnsi="宋体" w:eastAsia="宋体"/>
                <w:sz w:val="16"/>
              </w:rPr>
              <w:t>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722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78BC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26B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08C7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43F09">
            <w:pPr>
              <w:jc w:val="center"/>
            </w:pPr>
            <w:r>
              <w:rPr>
                <w:rFonts w:ascii="宋体" w:hAnsi="宋体" w:eastAsia="宋体"/>
                <w:sz w:val="16"/>
              </w:rPr>
              <w:t>偏差原因分析：根据相关文件精神，补助标准增加，故补贴标准存在偏差。整改措施：按照相关文件规定执行。</w:t>
            </w:r>
          </w:p>
        </w:tc>
      </w:tr>
      <w:tr w14:paraId="44AC8A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BE4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5122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5DAD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EBE69">
            <w:pPr>
              <w:jc w:val="center"/>
            </w:pPr>
            <w:r>
              <w:rPr>
                <w:rFonts w:ascii="宋体" w:hAnsi="宋体" w:eastAsia="宋体"/>
                <w:sz w:val="16"/>
              </w:rPr>
              <w:t>宗教教职人员爱党爱国爱社会意识不断增强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AE5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BE8CB">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79B0E">
            <w:pPr>
              <w:jc w:val="center"/>
            </w:pPr>
            <w:r>
              <w:rPr>
                <w:rFonts w:ascii="宋体" w:hAnsi="宋体" w:eastAsia="宋体"/>
                <w:sz w:val="16"/>
              </w:rPr>
              <w:t>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4F8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D4A1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306E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4CA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4CEC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D16E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4620B">
            <w:pPr>
              <w:jc w:val="center"/>
            </w:pPr>
          </w:p>
        </w:tc>
      </w:tr>
      <w:tr w14:paraId="33EEF1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8757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E793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B67C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4ECF7">
            <w:pPr>
              <w:jc w:val="center"/>
            </w:pPr>
            <w:r>
              <w:rPr>
                <w:rFonts w:ascii="宋体" w:hAnsi="宋体" w:eastAsia="宋体"/>
                <w:sz w:val="16"/>
              </w:rPr>
              <w:t>宗教教职人员满意度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554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537A4">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A954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4CC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3F49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E7E9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C7D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7A5A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3F60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15219">
            <w:pPr>
              <w:jc w:val="center"/>
            </w:pPr>
          </w:p>
        </w:tc>
      </w:tr>
      <w:tr w14:paraId="2ACAF9E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28AB75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912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8E2F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5876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093CB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8D44E">
            <w:pPr>
              <w:jc w:val="center"/>
            </w:pPr>
            <w:r>
              <w:rPr>
                <w:rFonts w:ascii="宋体" w:hAnsi="宋体" w:eastAsia="宋体"/>
                <w:sz w:val="16"/>
              </w:rPr>
              <w:t>98.50分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3DAD1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09C5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29F3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1EB5AD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A16C9E"/>
        </w:tc>
      </w:tr>
    </w:tbl>
    <w:p w14:paraId="75D8234C">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31"/>
        <w:gridCol w:w="626"/>
        <w:gridCol w:w="696"/>
        <w:gridCol w:w="776"/>
        <w:gridCol w:w="629"/>
        <w:gridCol w:w="696"/>
        <w:gridCol w:w="624"/>
        <w:gridCol w:w="624"/>
        <w:gridCol w:w="624"/>
        <w:gridCol w:w="626"/>
        <w:gridCol w:w="631"/>
      </w:tblGrid>
      <w:tr w14:paraId="190F3756">
        <w:tc>
          <w:tcPr>
            <w:tcW w:w="8848" w:type="dxa"/>
            <w:gridSpan w:val="14"/>
            <w:vAlign w:val="center"/>
          </w:tcPr>
          <w:p w14:paraId="0135B943">
            <w:pPr>
              <w:jc w:val="center"/>
            </w:pPr>
            <w:r>
              <w:rPr>
                <w:rFonts w:ascii="宋体" w:hAnsi="宋体" w:eastAsia="宋体"/>
                <w:sz w:val="24"/>
              </w:rPr>
              <w:t>项目支出绩效自评表</w:t>
            </w:r>
          </w:p>
        </w:tc>
      </w:tr>
      <w:tr w14:paraId="4B4A253C">
        <w:tblPrEx>
          <w:tblCellMar>
            <w:top w:w="0" w:type="dxa"/>
            <w:left w:w="108" w:type="dxa"/>
            <w:bottom w:w="0" w:type="dxa"/>
            <w:right w:w="108" w:type="dxa"/>
          </w:tblCellMar>
        </w:tblPrEx>
        <w:tc>
          <w:tcPr>
            <w:tcW w:w="8848" w:type="dxa"/>
            <w:gridSpan w:val="14"/>
            <w:vAlign w:val="center"/>
          </w:tcPr>
          <w:p w14:paraId="7F1E0D19">
            <w:pPr>
              <w:jc w:val="center"/>
            </w:pPr>
            <w:r>
              <w:rPr>
                <w:rFonts w:ascii="宋体" w:hAnsi="宋体" w:eastAsia="宋体"/>
                <w:sz w:val="24"/>
              </w:rPr>
              <w:t>(2024年度)</w:t>
            </w:r>
          </w:p>
        </w:tc>
      </w:tr>
      <w:tr w14:paraId="36373A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97F3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E5CFE20">
            <w:pPr>
              <w:jc w:val="center"/>
            </w:pPr>
            <w:r>
              <w:rPr>
                <w:rFonts w:ascii="宋体" w:hAnsi="宋体" w:eastAsia="宋体"/>
                <w:sz w:val="16"/>
              </w:rPr>
              <w:t>2024年斋月期间后勤保障及相关工作经费</w:t>
            </w:r>
          </w:p>
        </w:tc>
      </w:tr>
      <w:tr w14:paraId="17FEDD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33CF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9B67A4">
            <w:pPr>
              <w:jc w:val="center"/>
            </w:pPr>
            <w:r>
              <w:rPr>
                <w:rFonts w:ascii="宋体" w:hAnsi="宋体" w:eastAsia="宋体"/>
                <w:sz w:val="16"/>
              </w:rPr>
              <w:t>中共吉木萨尔县委员会统一战线工作部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91C3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7E58B7">
            <w:pPr>
              <w:jc w:val="center"/>
            </w:pPr>
            <w:r>
              <w:rPr>
                <w:rFonts w:ascii="宋体" w:hAnsi="宋体" w:eastAsia="宋体"/>
                <w:sz w:val="16"/>
              </w:rPr>
              <w:t>中共吉木萨尔县委员会统一战线工作部</w:t>
            </w:r>
          </w:p>
        </w:tc>
      </w:tr>
      <w:tr w14:paraId="0E7FB1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B1B8F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F399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4D43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26AA7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E9A3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F074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01FB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703B8">
            <w:pPr>
              <w:jc w:val="center"/>
            </w:pPr>
            <w:r>
              <w:rPr>
                <w:rFonts w:ascii="宋体" w:hAnsi="宋体" w:eastAsia="宋体"/>
                <w:sz w:val="16"/>
              </w:rPr>
              <w:t>得分</w:t>
            </w:r>
          </w:p>
        </w:tc>
      </w:tr>
      <w:tr w14:paraId="7034BF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E7CA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F663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50456A">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24541">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082A1">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7123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5539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9AB5D">
            <w:pPr>
              <w:jc w:val="center"/>
            </w:pPr>
            <w:r>
              <w:rPr>
                <w:rFonts w:ascii="宋体" w:hAnsi="宋体" w:eastAsia="宋体"/>
                <w:sz w:val="16"/>
              </w:rPr>
              <w:t>10.00</w:t>
            </w:r>
          </w:p>
        </w:tc>
      </w:tr>
      <w:tr w14:paraId="296324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9E31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9C080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B849B4">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434C9">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EE8D89">
            <w:pPr>
              <w:jc w:val="center"/>
            </w:pPr>
            <w:r>
              <w:rPr>
                <w:rFonts w:ascii="宋体" w:hAnsi="宋体" w:eastAsia="宋体"/>
                <w:sz w:val="16"/>
              </w:rPr>
              <w:t>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C6586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77C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35163">
            <w:pPr>
              <w:jc w:val="center"/>
            </w:pPr>
            <w:r>
              <w:rPr>
                <w:rFonts w:ascii="宋体" w:hAnsi="宋体" w:eastAsia="宋体"/>
                <w:sz w:val="16"/>
              </w:rPr>
              <w:t>—</w:t>
            </w:r>
          </w:p>
        </w:tc>
      </w:tr>
      <w:tr w14:paraId="6F09D4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484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4B37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26EC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11E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A724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3346C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B102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1C4DA">
            <w:pPr>
              <w:jc w:val="center"/>
            </w:pPr>
            <w:r>
              <w:rPr>
                <w:rFonts w:ascii="宋体" w:hAnsi="宋体" w:eastAsia="宋体"/>
                <w:sz w:val="16"/>
              </w:rPr>
              <w:t>—</w:t>
            </w:r>
          </w:p>
        </w:tc>
      </w:tr>
      <w:tr w14:paraId="6CE4E1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BC9AC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35A416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17D2DF">
            <w:pPr>
              <w:jc w:val="center"/>
            </w:pPr>
            <w:r>
              <w:rPr>
                <w:rFonts w:ascii="宋体" w:hAnsi="宋体" w:eastAsia="宋体"/>
                <w:sz w:val="16"/>
              </w:rPr>
              <w:t>实际完成情况</w:t>
            </w:r>
          </w:p>
        </w:tc>
      </w:tr>
      <w:tr w14:paraId="08FE8E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A7C5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9DDA8A">
            <w:pPr>
              <w:jc w:val="both"/>
            </w:pPr>
            <w:r>
              <w:rPr>
                <w:rFonts w:ascii="宋体" w:hAnsi="宋体" w:eastAsia="宋体"/>
                <w:sz w:val="16"/>
              </w:rPr>
              <w:t>本项目主要实施内容为：斋月期间，昏礼前后在清真寺内准备茶水、水果、馕等食物，走访慰问宗教人士和信教群众，让宗教人士和信教群众切身感受到党和政府的温暖关怀，项目总投资为13万元。通过本项目的实施，信教群众爱党爱国爱社会意识不断增强；斋月期间保障天数不少于30天；走访慰问宗教人士人数不少于31人；走访慰问统战对象人数不少于9人；走访慰问信教群众人数不少于150人。待项目实施完成，争取使受益群众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A1DC5C">
            <w:pPr>
              <w:jc w:val="both"/>
            </w:pPr>
            <w:r>
              <w:rPr>
                <w:rFonts w:hint="eastAsia" w:ascii="宋体" w:hAnsi="宋体"/>
                <w:sz w:val="16"/>
                <w:lang w:eastAsia="zh-CN"/>
              </w:rPr>
              <w:t>截至</w:t>
            </w:r>
            <w:r>
              <w:rPr>
                <w:rFonts w:ascii="宋体" w:hAnsi="宋体" w:eastAsia="宋体"/>
                <w:sz w:val="16"/>
              </w:rPr>
              <w:t>2024年12月31日，本项目实际支出资金13万元，预算执行率为100%，实际已完成斋月期间的茶水、水果、馕等食物，走访慰问统战对象9人、宗教人士31人、信教群众150人。通过实施本项目，使信教群众爱党爱国爱社会主义意识不断增强。</w:t>
            </w:r>
          </w:p>
        </w:tc>
      </w:tr>
      <w:tr w14:paraId="5E5F5F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DB13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5C2F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D38D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60C8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B253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6ECD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6C622">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AA2E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45D40">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6D3A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563C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9A49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55EB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E927E">
            <w:pPr>
              <w:jc w:val="center"/>
            </w:pPr>
            <w:r>
              <w:rPr>
                <w:rFonts w:ascii="宋体" w:hAnsi="宋体" w:eastAsia="宋体"/>
                <w:sz w:val="16"/>
              </w:rPr>
              <w:t>偏差原因分析及改进措施</w:t>
            </w:r>
          </w:p>
        </w:tc>
      </w:tr>
      <w:tr w14:paraId="383F9D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F8EE7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8CEA1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9FE74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0A12D">
            <w:pPr>
              <w:jc w:val="center"/>
            </w:pPr>
            <w:r>
              <w:rPr>
                <w:rFonts w:ascii="宋体" w:hAnsi="宋体" w:eastAsia="宋体"/>
                <w:sz w:val="16"/>
              </w:rPr>
              <w:t>走访慰问宗教人士人数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72C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6D686">
            <w:pPr>
              <w:jc w:val="center"/>
            </w:pPr>
            <w:r>
              <w:rPr>
                <w:rFonts w:ascii="宋体" w:hAnsi="宋体" w:eastAsia="宋体"/>
                <w:sz w:val="16"/>
              </w:rPr>
              <w:t>&gt;=31人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50E85">
            <w:pPr>
              <w:jc w:val="center"/>
            </w:pPr>
            <w:r>
              <w:rPr>
                <w:rFonts w:ascii="宋体" w:hAnsi="宋体" w:eastAsia="宋体"/>
                <w:sz w:val="16"/>
              </w:rPr>
              <w:t>=31人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081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41E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2B3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6C7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74F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510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21699">
            <w:pPr>
              <w:jc w:val="center"/>
            </w:pPr>
          </w:p>
        </w:tc>
      </w:tr>
      <w:tr w14:paraId="7B6336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9230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22B1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2CF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A2AEE">
            <w:pPr>
              <w:jc w:val="center"/>
            </w:pPr>
            <w:r>
              <w:rPr>
                <w:rFonts w:ascii="宋体" w:hAnsi="宋体" w:eastAsia="宋体"/>
                <w:sz w:val="16"/>
              </w:rPr>
              <w:t>走访慰问统战对象人数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3ED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B7905">
            <w:pPr>
              <w:jc w:val="center"/>
            </w:pPr>
            <w:r>
              <w:rPr>
                <w:rFonts w:ascii="宋体" w:hAnsi="宋体" w:eastAsia="宋体"/>
                <w:sz w:val="16"/>
              </w:rPr>
              <w:t>&gt;=9人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31929">
            <w:pPr>
              <w:jc w:val="center"/>
            </w:pPr>
            <w:r>
              <w:rPr>
                <w:rFonts w:ascii="宋体" w:hAnsi="宋体" w:eastAsia="宋体"/>
                <w:sz w:val="16"/>
              </w:rPr>
              <w:t>=9人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6F3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8901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DC3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02CF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0FB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334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9641C">
            <w:pPr>
              <w:jc w:val="center"/>
            </w:pPr>
          </w:p>
        </w:tc>
      </w:tr>
      <w:tr w14:paraId="4B78B0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265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10E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B4530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BC7CC">
            <w:pPr>
              <w:jc w:val="center"/>
            </w:pPr>
            <w:r>
              <w:rPr>
                <w:rFonts w:ascii="宋体" w:hAnsi="宋体" w:eastAsia="宋体"/>
                <w:sz w:val="16"/>
              </w:rPr>
              <w:t>走访慰问信教群众人数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D2A9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FCD45">
            <w:pPr>
              <w:jc w:val="center"/>
            </w:pPr>
            <w:r>
              <w:rPr>
                <w:rFonts w:ascii="宋体" w:hAnsi="宋体" w:eastAsia="宋体"/>
                <w:sz w:val="16"/>
              </w:rPr>
              <w:t>&gt;=150人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791F0">
            <w:pPr>
              <w:jc w:val="center"/>
            </w:pPr>
            <w:r>
              <w:rPr>
                <w:rFonts w:ascii="宋体" w:hAnsi="宋体" w:eastAsia="宋体"/>
                <w:sz w:val="16"/>
              </w:rPr>
              <w:t>=150人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804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1F21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9FB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BF4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6B0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AE7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416EA">
            <w:pPr>
              <w:jc w:val="center"/>
            </w:pPr>
          </w:p>
        </w:tc>
      </w:tr>
      <w:tr w14:paraId="0AF4FC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DD5E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406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D8AB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26788">
            <w:pPr>
              <w:jc w:val="center"/>
            </w:pPr>
            <w:r>
              <w:rPr>
                <w:rFonts w:ascii="宋体" w:hAnsi="宋体" w:eastAsia="宋体"/>
                <w:sz w:val="16"/>
              </w:rPr>
              <w:t>慰问品发放准确率（%）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D00F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6A3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6F8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DEA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598D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D52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6D6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7C5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02A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43101">
            <w:pPr>
              <w:jc w:val="center"/>
            </w:pPr>
          </w:p>
        </w:tc>
      </w:tr>
      <w:tr w14:paraId="443C17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E1B9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FFA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FAD9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D0EB2">
            <w:pPr>
              <w:jc w:val="center"/>
            </w:pPr>
            <w:r>
              <w:rPr>
                <w:rFonts w:ascii="宋体" w:hAnsi="宋体" w:eastAsia="宋体"/>
                <w:sz w:val="16"/>
              </w:rPr>
              <w:t>斋月期间保障天数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2EA6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D27D2">
            <w:pPr>
              <w:jc w:val="center"/>
            </w:pPr>
            <w:r>
              <w:rPr>
                <w:rFonts w:ascii="宋体" w:hAnsi="宋体" w:eastAsia="宋体"/>
                <w:sz w:val="16"/>
              </w:rPr>
              <w:t>&gt;=30天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6B986">
            <w:pPr>
              <w:jc w:val="center"/>
            </w:pPr>
            <w:r>
              <w:rPr>
                <w:rFonts w:ascii="宋体" w:hAnsi="宋体" w:eastAsia="宋体"/>
                <w:sz w:val="16"/>
              </w:rPr>
              <w:t>=30天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E01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C425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6BF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432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CAA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188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8E867">
            <w:pPr>
              <w:jc w:val="center"/>
            </w:pPr>
          </w:p>
        </w:tc>
      </w:tr>
      <w:tr w14:paraId="6E438B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9B56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4B935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0203D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F94BC">
            <w:pPr>
              <w:jc w:val="center"/>
            </w:pPr>
            <w:r>
              <w:rPr>
                <w:rFonts w:ascii="宋体" w:hAnsi="宋体" w:eastAsia="宋体"/>
                <w:sz w:val="16"/>
              </w:rPr>
              <w:t>斋月期间准备茶水、水果、馕等成本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3E16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FE1C0">
            <w:pPr>
              <w:jc w:val="center"/>
            </w:pPr>
            <w:r>
              <w:rPr>
                <w:rFonts w:ascii="宋体" w:hAnsi="宋体" w:eastAsia="宋体"/>
                <w:sz w:val="16"/>
              </w:rPr>
              <w:t>&lt;=2800元/天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288DD">
            <w:pPr>
              <w:jc w:val="center"/>
            </w:pPr>
            <w:r>
              <w:rPr>
                <w:rFonts w:ascii="宋体" w:hAnsi="宋体" w:eastAsia="宋体"/>
                <w:sz w:val="16"/>
              </w:rPr>
              <w:t>=2766.2元/天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254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BA36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E11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56E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083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C4F76">
            <w:pPr>
              <w:jc w:val="center"/>
            </w:pPr>
            <w:r>
              <w:rPr>
                <w:rFonts w:ascii="宋体" w:hAnsi="宋体" w:eastAsia="宋体"/>
                <w:sz w:val="16"/>
              </w:rPr>
              <w:t>原始凭证,工作资料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1EF5E">
            <w:pPr>
              <w:jc w:val="center"/>
            </w:pPr>
          </w:p>
        </w:tc>
      </w:tr>
      <w:tr w14:paraId="4F236F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8E2F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57E3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A58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F9C9F">
            <w:pPr>
              <w:jc w:val="center"/>
            </w:pPr>
            <w:r>
              <w:rPr>
                <w:rFonts w:ascii="宋体" w:hAnsi="宋体" w:eastAsia="宋体"/>
                <w:sz w:val="16"/>
              </w:rPr>
              <w:t>走访慰问宗教人士成本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619B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E8B40">
            <w:pPr>
              <w:jc w:val="center"/>
            </w:pPr>
            <w:r>
              <w:rPr>
                <w:rFonts w:ascii="宋体" w:hAnsi="宋体" w:eastAsia="宋体"/>
                <w:sz w:val="16"/>
              </w:rPr>
              <w:t>&lt;=410元/人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6D26E">
            <w:pPr>
              <w:jc w:val="center"/>
            </w:pPr>
            <w:r>
              <w:rPr>
                <w:rFonts w:ascii="宋体" w:hAnsi="宋体" w:eastAsia="宋体"/>
                <w:sz w:val="16"/>
              </w:rPr>
              <w:t>=410元/人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545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E469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FE3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2DF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10A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7EE1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F010D">
            <w:pPr>
              <w:jc w:val="center"/>
            </w:pPr>
          </w:p>
        </w:tc>
      </w:tr>
      <w:tr w14:paraId="6822E4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F7AD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592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BE3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462B2">
            <w:pPr>
              <w:jc w:val="center"/>
            </w:pPr>
            <w:r>
              <w:rPr>
                <w:rFonts w:ascii="宋体" w:hAnsi="宋体" w:eastAsia="宋体"/>
                <w:sz w:val="16"/>
              </w:rPr>
              <w:t>走访慰问统战对象成本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A0511">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17F97">
            <w:pPr>
              <w:jc w:val="center"/>
            </w:pPr>
            <w:r>
              <w:rPr>
                <w:rFonts w:ascii="宋体" w:hAnsi="宋体" w:eastAsia="宋体"/>
                <w:sz w:val="16"/>
              </w:rPr>
              <w:t>&lt;=300元/人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51E25">
            <w:pPr>
              <w:jc w:val="center"/>
            </w:pPr>
            <w:r>
              <w:rPr>
                <w:rFonts w:ascii="宋体" w:hAnsi="宋体" w:eastAsia="宋体"/>
                <w:sz w:val="16"/>
              </w:rPr>
              <w:t>=300元/人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03C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7C52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D00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01F2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453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BFCB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69601">
            <w:pPr>
              <w:jc w:val="center"/>
            </w:pPr>
          </w:p>
        </w:tc>
      </w:tr>
      <w:tr w14:paraId="26B053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168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1ED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B275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71095">
            <w:pPr>
              <w:jc w:val="center"/>
            </w:pPr>
            <w:r>
              <w:rPr>
                <w:rFonts w:ascii="宋体" w:hAnsi="宋体" w:eastAsia="宋体"/>
                <w:sz w:val="16"/>
              </w:rPr>
              <w:t>走访慰问信教群众成本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E80E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F899B">
            <w:pPr>
              <w:jc w:val="center"/>
            </w:pPr>
            <w:r>
              <w:rPr>
                <w:rFonts w:ascii="宋体" w:hAnsi="宋体" w:eastAsia="宋体"/>
                <w:sz w:val="16"/>
              </w:rPr>
              <w:t>&lt;=200元/人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B4012">
            <w:pPr>
              <w:jc w:val="center"/>
            </w:pPr>
            <w:r>
              <w:rPr>
                <w:rFonts w:ascii="宋体" w:hAnsi="宋体" w:eastAsia="宋体"/>
                <w:sz w:val="16"/>
              </w:rPr>
              <w:t>=200元/人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22B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E2BC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CFD9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9E0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BA6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6E9F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81E01">
            <w:pPr>
              <w:jc w:val="center"/>
            </w:pPr>
          </w:p>
        </w:tc>
      </w:tr>
      <w:tr w14:paraId="0F49E9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F2D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B2A5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8FFC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D3907">
            <w:pPr>
              <w:jc w:val="center"/>
            </w:pPr>
            <w:r>
              <w:rPr>
                <w:rFonts w:ascii="宋体" w:hAnsi="宋体" w:eastAsia="宋体"/>
                <w:sz w:val="16"/>
              </w:rPr>
              <w:t>信教群众爱党爱国爱社会意识不断增强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452D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9A151">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E30AA">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6BD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FE3B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22AE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277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7F1A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A19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FDCE8">
            <w:pPr>
              <w:jc w:val="center"/>
            </w:pPr>
          </w:p>
        </w:tc>
      </w:tr>
      <w:tr w14:paraId="717615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F257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E3B0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145B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1C011">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DDB5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6C3E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CE31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22F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594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8B7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DB0F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EE85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F47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3C05A">
            <w:pPr>
              <w:jc w:val="center"/>
            </w:pPr>
          </w:p>
        </w:tc>
      </w:tr>
      <w:tr w14:paraId="7C5C525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D42B4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0FC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CB24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DBB6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71D3A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EBD8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AB73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0BF18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5D4A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87AB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C9E2A7"/>
        </w:tc>
      </w:tr>
    </w:tbl>
    <w:p w14:paraId="7C0D28A0">
      <w:r>
        <w:br w:type="page"/>
      </w:r>
    </w:p>
    <w:p w14:paraId="7D18CF0D">
      <w:pPr>
        <w:spacing w:line="640" w:lineRule="exact"/>
        <w:ind w:firstLine="640"/>
        <w:jc w:val="both"/>
        <w:outlineLvl w:val="2"/>
      </w:pPr>
      <w:r>
        <w:rPr>
          <w:rFonts w:ascii="黑体" w:hAnsi="黑体" w:eastAsia="黑体"/>
          <w:sz w:val="32"/>
        </w:rPr>
        <w:t>十二、其他需说明的事项</w:t>
      </w:r>
    </w:p>
    <w:p w14:paraId="7DB41F69">
      <w:pPr>
        <w:spacing w:line="580" w:lineRule="exact"/>
        <w:ind w:firstLine="640"/>
        <w:jc w:val="both"/>
      </w:pPr>
      <w:r>
        <w:rPr>
          <w:rFonts w:ascii="仿宋_GB2312" w:hAnsi="仿宋_GB2312" w:eastAsia="仿宋_GB2312"/>
          <w:b w:val="0"/>
          <w:sz w:val="32"/>
        </w:rPr>
        <w:t>本单位无其他需说明的事项。</w:t>
      </w:r>
    </w:p>
    <w:p w14:paraId="05078F8F">
      <w:r>
        <w:br w:type="page"/>
      </w:r>
    </w:p>
    <w:p w14:paraId="75E873E3">
      <w:pPr>
        <w:spacing w:line="240" w:lineRule="auto"/>
        <w:jc w:val="center"/>
        <w:outlineLvl w:val="1"/>
      </w:pPr>
      <w:r>
        <w:rPr>
          <w:rFonts w:ascii="黑体" w:hAnsi="黑体" w:eastAsia="黑体"/>
          <w:sz w:val="32"/>
        </w:rPr>
        <w:t>第三部分 专业名词解释</w:t>
      </w:r>
    </w:p>
    <w:p w14:paraId="1F007F1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26BF12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6BCB1B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8F6C6D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5C48121">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052132A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F746B3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17A03AC">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D0E180C">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802C84D">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35EB6CD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EF21E2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7ECE98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66CA24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DA178AD">
      <w:r>
        <w:br w:type="page"/>
      </w:r>
    </w:p>
    <w:p w14:paraId="33571647">
      <w:pPr>
        <w:spacing w:line="240" w:lineRule="auto"/>
        <w:jc w:val="center"/>
        <w:outlineLvl w:val="1"/>
      </w:pPr>
      <w:r>
        <w:rPr>
          <w:rFonts w:ascii="黑体" w:hAnsi="黑体" w:eastAsia="黑体"/>
          <w:sz w:val="32"/>
        </w:rPr>
        <w:t>第四部分 部门决算报表（见附表）</w:t>
      </w:r>
    </w:p>
    <w:p w14:paraId="4C68CD5E">
      <w:pPr>
        <w:spacing w:line="240" w:lineRule="auto"/>
        <w:ind w:firstLine="640"/>
        <w:jc w:val="both"/>
      </w:pPr>
      <w:r>
        <w:rPr>
          <w:rFonts w:ascii="仿宋_GB2312" w:hAnsi="仿宋_GB2312" w:eastAsia="仿宋_GB2312"/>
          <w:b w:val="0"/>
          <w:sz w:val="32"/>
        </w:rPr>
        <w:t>一、《收入支出决算总表》</w:t>
      </w:r>
    </w:p>
    <w:p w14:paraId="1881E944">
      <w:pPr>
        <w:spacing w:line="240" w:lineRule="auto"/>
        <w:ind w:firstLine="640"/>
        <w:jc w:val="both"/>
      </w:pPr>
      <w:r>
        <w:rPr>
          <w:rFonts w:ascii="仿宋_GB2312" w:hAnsi="仿宋_GB2312" w:eastAsia="仿宋_GB2312"/>
          <w:b w:val="0"/>
          <w:sz w:val="32"/>
        </w:rPr>
        <w:t>二、《收入决算表》</w:t>
      </w:r>
    </w:p>
    <w:p w14:paraId="2D5D2023">
      <w:pPr>
        <w:spacing w:line="240" w:lineRule="auto"/>
        <w:ind w:firstLine="640"/>
        <w:jc w:val="both"/>
      </w:pPr>
      <w:r>
        <w:rPr>
          <w:rFonts w:ascii="仿宋_GB2312" w:hAnsi="仿宋_GB2312" w:eastAsia="仿宋_GB2312"/>
          <w:b w:val="0"/>
          <w:sz w:val="32"/>
        </w:rPr>
        <w:t>三、《支出决算表》</w:t>
      </w:r>
    </w:p>
    <w:p w14:paraId="7C821B3D">
      <w:pPr>
        <w:spacing w:line="240" w:lineRule="auto"/>
        <w:ind w:firstLine="640"/>
        <w:jc w:val="both"/>
      </w:pPr>
      <w:r>
        <w:rPr>
          <w:rFonts w:ascii="仿宋_GB2312" w:hAnsi="仿宋_GB2312" w:eastAsia="仿宋_GB2312"/>
          <w:b w:val="0"/>
          <w:sz w:val="32"/>
        </w:rPr>
        <w:t>四、《财政拨款收入支出决算总表》</w:t>
      </w:r>
    </w:p>
    <w:p w14:paraId="6EDFF80F">
      <w:pPr>
        <w:spacing w:line="240" w:lineRule="auto"/>
        <w:ind w:firstLine="640"/>
        <w:jc w:val="both"/>
      </w:pPr>
      <w:r>
        <w:rPr>
          <w:rFonts w:ascii="仿宋_GB2312" w:hAnsi="仿宋_GB2312" w:eastAsia="仿宋_GB2312"/>
          <w:b w:val="0"/>
          <w:sz w:val="32"/>
        </w:rPr>
        <w:t>五、《一般公共预算财政拨款支出决算表》</w:t>
      </w:r>
    </w:p>
    <w:p w14:paraId="73F21463">
      <w:pPr>
        <w:spacing w:line="240" w:lineRule="auto"/>
        <w:ind w:firstLine="640"/>
        <w:jc w:val="both"/>
      </w:pPr>
      <w:r>
        <w:rPr>
          <w:rFonts w:ascii="仿宋_GB2312" w:hAnsi="仿宋_GB2312" w:eastAsia="仿宋_GB2312"/>
          <w:b w:val="0"/>
          <w:sz w:val="32"/>
        </w:rPr>
        <w:t>六、《一般公共预算财政拨款基本支出决算表》</w:t>
      </w:r>
    </w:p>
    <w:p w14:paraId="1E25A5B7">
      <w:pPr>
        <w:spacing w:line="240" w:lineRule="auto"/>
        <w:ind w:firstLine="640"/>
        <w:jc w:val="both"/>
      </w:pPr>
      <w:r>
        <w:rPr>
          <w:rFonts w:ascii="仿宋_GB2312" w:hAnsi="仿宋_GB2312" w:eastAsia="仿宋_GB2312"/>
          <w:b w:val="0"/>
          <w:sz w:val="32"/>
        </w:rPr>
        <w:t>七、《政府性基金预算财政拨款收入支出决算表》</w:t>
      </w:r>
    </w:p>
    <w:p w14:paraId="22321172">
      <w:pPr>
        <w:spacing w:line="240" w:lineRule="auto"/>
        <w:ind w:firstLine="640"/>
        <w:jc w:val="both"/>
      </w:pPr>
      <w:r>
        <w:rPr>
          <w:rFonts w:ascii="仿宋_GB2312" w:hAnsi="仿宋_GB2312" w:eastAsia="仿宋_GB2312"/>
          <w:b w:val="0"/>
          <w:sz w:val="32"/>
        </w:rPr>
        <w:t>八、《国有资本经营预算财政拨款收入支出决算表》</w:t>
      </w:r>
    </w:p>
    <w:p w14:paraId="38367039">
      <w:pPr>
        <w:spacing w:line="240" w:lineRule="auto"/>
        <w:ind w:firstLine="640"/>
        <w:jc w:val="both"/>
      </w:pPr>
      <w:r>
        <w:rPr>
          <w:rFonts w:ascii="仿宋_GB2312" w:hAnsi="仿宋_GB2312" w:eastAsia="仿宋_GB2312"/>
          <w:b w:val="0"/>
          <w:sz w:val="32"/>
        </w:rPr>
        <w:t>九、《财政拨款“三公”经费支出决算表》</w:t>
      </w:r>
    </w:p>
    <w:p w14:paraId="7F39075B">
      <w:pPr>
        <w:spacing w:line="240" w:lineRule="auto"/>
        <w:ind w:firstLine="640"/>
        <w:jc w:val="both"/>
      </w:pPr>
    </w:p>
    <w:p w14:paraId="61CAD201">
      <w:pPr>
        <w:spacing w:line="240" w:lineRule="auto"/>
        <w:ind w:firstLine="640"/>
        <w:jc w:val="both"/>
      </w:pPr>
    </w:p>
    <w:p w14:paraId="5327689D">
      <w:pPr>
        <w:spacing w:line="240" w:lineRule="auto"/>
        <w:ind w:firstLine="640"/>
        <w:jc w:val="both"/>
      </w:pPr>
    </w:p>
    <w:p w14:paraId="323135C5">
      <w:pPr>
        <w:spacing w:line="240" w:lineRule="auto"/>
        <w:ind w:firstLine="640"/>
        <w:jc w:val="both"/>
      </w:pPr>
    </w:p>
    <w:p w14:paraId="0F01890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0D63717-7585-4871-9518-2B6DC79899A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6541A50A-EEC6-4935-8538-E3F1FD28E505}"/>
  </w:font>
  <w:font w:name="仿宋_GB2312">
    <w:altName w:val="仿宋"/>
    <w:panose1 w:val="02010609030101010101"/>
    <w:charset w:val="86"/>
    <w:family w:val="modern"/>
    <w:pitch w:val="default"/>
    <w:sig w:usb0="00000000" w:usb1="00000000" w:usb2="00000000" w:usb3="00000000" w:csb0="00040000" w:csb1="00000000"/>
    <w:embedRegular r:id="rId3" w:fontKey="{2826DBBC-4576-4E5C-897B-1EF4A281379B}"/>
  </w:font>
  <w:font w:name="楷体_GB2312">
    <w:altName w:val="楷体"/>
    <w:panose1 w:val="00000000000000000000"/>
    <w:charset w:val="00"/>
    <w:family w:val="auto"/>
    <w:pitch w:val="default"/>
    <w:sig w:usb0="00000000" w:usb1="00000000" w:usb2="00000000" w:usb3="00000000" w:csb0="00000000" w:csb1="00000000"/>
    <w:embedRegular r:id="rId4" w:fontKey="{CCDFE653-9A9A-4FBE-88CB-6894A45B2CE5}"/>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07F7C78"/>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4740AEF"/>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5364</Words>
  <Characters>6097</Characters>
  <Lines>0</Lines>
  <Paragraphs>0</Paragraphs>
  <TotalTime>3</TotalTime>
  <ScaleCrop>false</ScaleCrop>
  <LinksUpToDate>false</LinksUpToDate>
  <CharactersWithSpaces>6105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2025-10-14T03:10:16Z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