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中共吉木萨尔县委员会机构编制委员会办公室2024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6EC0978">
      <w:r>
        <w:br w:type="page"/>
      </w:r>
    </w:p>
    <w:p w14:paraId="5365E90E">
      <w:pPr>
        <w:spacing w:line="640" w:lineRule="exact"/>
        <w:jc w:val="center"/>
        <w:outlineLvl w:val="1"/>
      </w:pPr>
      <w:r>
        <w:rPr>
          <w:rFonts w:ascii="黑体" w:hAnsi="黑体" w:eastAsia="黑体"/>
          <w:sz w:val="32"/>
        </w:rPr>
        <w:t>第一部分 单位概况</w:t>
      </w:r>
    </w:p>
    <w:p w14:paraId="746B91BC">
      <w:pPr>
        <w:spacing w:line="640" w:lineRule="exact"/>
        <w:ind w:firstLine="640"/>
        <w:jc w:val="both"/>
        <w:outlineLvl w:val="2"/>
      </w:pPr>
      <w:r>
        <w:rPr>
          <w:rFonts w:ascii="黑体" w:hAnsi="黑体" w:eastAsia="黑体"/>
          <w:sz w:val="32"/>
        </w:rPr>
        <w:t>一、主要职能</w:t>
      </w:r>
    </w:p>
    <w:p w14:paraId="73B2789B">
      <w:pPr>
        <w:spacing w:line="580" w:lineRule="exact"/>
        <w:ind w:firstLine="640"/>
        <w:jc w:val="both"/>
      </w:pPr>
      <w:r>
        <w:rPr>
          <w:rFonts w:ascii="仿宋_GB2312" w:hAnsi="仿宋_GB2312" w:eastAsia="仿宋_GB2312"/>
          <w:sz w:val="32"/>
        </w:rPr>
        <w:t>(1)贯彻执行党和国家以及县、自治州关于行政管理体制改革、机构改革和机构编制管理的法规、政策，研究拟定吉木萨尔县行政管理体制改革、机构改革和机构编制管理的规定和办法，并组织实施。</w:t>
      </w:r>
    </w:p>
    <w:p w14:paraId="39B0D9DD">
      <w:pPr>
        <w:spacing w:line="580" w:lineRule="exact"/>
        <w:ind w:firstLine="640"/>
        <w:jc w:val="both"/>
      </w:pPr>
      <w:r>
        <w:rPr>
          <w:rFonts w:ascii="仿宋_GB2312" w:hAnsi="仿宋_GB2312" w:eastAsia="仿宋_GB2312"/>
          <w:sz w:val="32"/>
        </w:rPr>
        <w:t>(2)统一管理全县各级党政机关，</w:t>
      </w:r>
      <w:r>
        <w:rPr>
          <w:rFonts w:hint="eastAsia" w:ascii="仿宋_GB2312" w:hAnsi="仿宋_GB2312" w:eastAsia="仿宋_GB2312"/>
          <w:sz w:val="32"/>
          <w:lang w:eastAsia="zh-CN"/>
        </w:rPr>
        <w:t>人大常委会机关</w:t>
      </w:r>
      <w:r>
        <w:rPr>
          <w:rFonts w:ascii="仿宋_GB2312" w:hAnsi="仿宋_GB2312" w:eastAsia="仿宋_GB2312"/>
          <w:sz w:val="32"/>
        </w:rPr>
        <w:t>、政协机关、法院机关、检察机关、人民团体机关和群众团体机关及事业单位的机构编制工作。</w:t>
      </w:r>
    </w:p>
    <w:p w14:paraId="01CC1DE4">
      <w:pPr>
        <w:spacing w:line="580" w:lineRule="exact"/>
        <w:ind w:firstLine="640"/>
        <w:jc w:val="both"/>
      </w:pPr>
      <w:r>
        <w:rPr>
          <w:rFonts w:ascii="仿宋_GB2312" w:hAnsi="仿宋_GB2312" w:eastAsia="仿宋_GB2312"/>
          <w:sz w:val="32"/>
        </w:rPr>
        <w:t>(3)研究拟定全县</w:t>
      </w:r>
      <w:r>
        <w:rPr>
          <w:rFonts w:hint="eastAsia" w:ascii="仿宋_GB2312" w:hAnsi="仿宋_GB2312" w:eastAsia="仿宋_GB2312"/>
          <w:sz w:val="32"/>
          <w:lang w:eastAsia="zh-CN"/>
        </w:rPr>
        <w:t>行政体制</w:t>
      </w:r>
      <w:r>
        <w:rPr>
          <w:rFonts w:ascii="仿宋_GB2312" w:hAnsi="仿宋_GB2312" w:eastAsia="仿宋_GB2312"/>
          <w:sz w:val="32"/>
        </w:rPr>
        <w:t>与机构改革的总体方案，审核县党政机关各部门，人大和政协机关，法院和检察机关，各民主党派、人民团体和群众团体机关的“三定”规定（方案）和机构改革方案；审核各乡（镇）机构改革方案和机构改革实施意见。</w:t>
      </w:r>
    </w:p>
    <w:p w14:paraId="16A21016">
      <w:pPr>
        <w:spacing w:line="580" w:lineRule="exact"/>
        <w:ind w:firstLine="640"/>
        <w:jc w:val="both"/>
      </w:pPr>
      <w:r>
        <w:rPr>
          <w:rFonts w:ascii="仿宋_GB2312" w:hAnsi="仿宋_GB2312" w:eastAsia="仿宋_GB2312"/>
          <w:sz w:val="32"/>
        </w:rPr>
        <w:t>(4)负责县直机关各部门的职能配置和调整工作；协调县直机关各部门之间以及县直机关各部门与乡(镇)之间的职责分工。</w:t>
      </w:r>
    </w:p>
    <w:p w14:paraId="7726DDFF">
      <w:pPr>
        <w:spacing w:line="580" w:lineRule="exact"/>
        <w:ind w:firstLine="640"/>
        <w:jc w:val="both"/>
      </w:pPr>
      <w:r>
        <w:rPr>
          <w:rFonts w:ascii="仿宋_GB2312" w:hAnsi="仿宋_GB2312" w:eastAsia="仿宋_GB2312"/>
          <w:sz w:val="32"/>
        </w:rPr>
        <w:t>(5)审核县直机关、直属事业单位和各乡镇的机构设置、人员编制、领导职数；审核县直机关各部门所属事业单位的机构设置、职责任务、人员编制、领导职数和经费形式。</w:t>
      </w:r>
    </w:p>
    <w:p w14:paraId="45369D4C">
      <w:pPr>
        <w:spacing w:line="580" w:lineRule="exact"/>
        <w:ind w:firstLine="640"/>
        <w:jc w:val="both"/>
      </w:pPr>
      <w:r>
        <w:rPr>
          <w:rFonts w:ascii="仿宋_GB2312" w:hAnsi="仿宋_GB2312" w:eastAsia="仿宋_GB2312"/>
          <w:sz w:val="32"/>
        </w:rPr>
        <w:t>(6)审核县</w:t>
      </w:r>
      <w:r>
        <w:rPr>
          <w:rFonts w:hint="eastAsia" w:ascii="仿宋_GB2312" w:hAnsi="仿宋_GB2312" w:eastAsia="仿宋_GB2312"/>
          <w:sz w:val="32"/>
          <w:lang w:eastAsia="zh-CN"/>
        </w:rPr>
        <w:t>人大常委会机关</w:t>
      </w:r>
      <w:r>
        <w:rPr>
          <w:rFonts w:ascii="仿宋_GB2312" w:hAnsi="仿宋_GB2312" w:eastAsia="仿宋_GB2312"/>
          <w:sz w:val="32"/>
        </w:rPr>
        <w:t>、政协机关、法院机关、检察机关及人民团体机关和群众团体机关的机构设置、人员编制、领导职数。</w:t>
      </w:r>
    </w:p>
    <w:p w14:paraId="641EF70C">
      <w:pPr>
        <w:spacing w:line="580" w:lineRule="exact"/>
        <w:ind w:firstLine="640"/>
        <w:jc w:val="both"/>
      </w:pPr>
      <w:r>
        <w:rPr>
          <w:rFonts w:ascii="仿宋_GB2312" w:hAnsi="仿宋_GB2312" w:eastAsia="仿宋_GB2312"/>
          <w:sz w:val="32"/>
        </w:rPr>
        <w:t>(7)负责全县事业单位登记管理工作；依法保护核准登记事业单位有关登记事项的合法权益，依法处理违反登记管理条例和细则的行为。</w:t>
      </w:r>
    </w:p>
    <w:p w14:paraId="6EFE5FE6">
      <w:pPr>
        <w:spacing w:line="580" w:lineRule="exact"/>
        <w:ind w:firstLine="640"/>
        <w:jc w:val="both"/>
      </w:pPr>
      <w:r>
        <w:rPr>
          <w:rFonts w:ascii="仿宋_GB2312" w:hAnsi="仿宋_GB2312" w:eastAsia="仿宋_GB2312"/>
          <w:sz w:val="32"/>
        </w:rPr>
        <w:t>(8)加强机构编制管理督查工作，监督检查全县行政管理体制改革、机构改革、事业单位分类改革和机构编制执行情况，及时向</w:t>
      </w:r>
      <w:r>
        <w:rPr>
          <w:rFonts w:hint="eastAsia" w:ascii="仿宋_GB2312" w:hAnsi="仿宋_GB2312" w:eastAsia="仿宋_GB2312"/>
          <w:sz w:val="32"/>
          <w:lang w:eastAsia="zh-CN"/>
        </w:rPr>
        <w:t>县委机构编制委员会</w:t>
      </w:r>
      <w:r>
        <w:rPr>
          <w:rFonts w:ascii="仿宋_GB2312" w:hAnsi="仿宋_GB2312" w:eastAsia="仿宋_GB2312"/>
          <w:sz w:val="32"/>
        </w:rPr>
        <w:t>和县委、人民政府报告工作；查处违反机构编制法规和规定的行为。</w:t>
      </w:r>
    </w:p>
    <w:p w14:paraId="4F12B2BD">
      <w:pPr>
        <w:spacing w:line="580" w:lineRule="exact"/>
        <w:ind w:firstLine="640"/>
        <w:jc w:val="both"/>
      </w:pPr>
      <w:r>
        <w:rPr>
          <w:rFonts w:ascii="仿宋_GB2312" w:hAnsi="仿宋_GB2312" w:eastAsia="仿宋_GB2312"/>
          <w:sz w:val="32"/>
        </w:rPr>
        <w:t>(9)负责全县行政管理体制改革、机构改革和机构编制管理的理论研究和信息收集工作；负责全县机构编制的统计汇总、上报工作；配合县财政、</w:t>
      </w:r>
      <w:r>
        <w:rPr>
          <w:rFonts w:hint="eastAsia" w:ascii="仿宋_GB2312" w:hAnsi="仿宋_GB2312" w:eastAsia="仿宋_GB2312"/>
          <w:sz w:val="32"/>
          <w:lang w:eastAsia="zh-CN"/>
        </w:rPr>
        <w:t>人力资源和社会保障部</w:t>
      </w:r>
      <w:r>
        <w:rPr>
          <w:rFonts w:ascii="仿宋_GB2312" w:hAnsi="仿宋_GB2312" w:eastAsia="仿宋_GB2312"/>
          <w:sz w:val="32"/>
        </w:rPr>
        <w:t>门做好全县财政统一发放工资的有关工作。</w:t>
      </w:r>
    </w:p>
    <w:p w14:paraId="1316FEF1">
      <w:pPr>
        <w:spacing w:line="580" w:lineRule="exact"/>
        <w:ind w:firstLine="640"/>
        <w:jc w:val="both"/>
      </w:pPr>
      <w:r>
        <w:rPr>
          <w:rFonts w:ascii="仿宋_GB2312" w:hAnsi="仿宋_GB2312" w:eastAsia="仿宋_GB2312"/>
          <w:sz w:val="32"/>
        </w:rPr>
        <w:t>(10)负责联系、协调双重领导、以条管理为主的单位的有关机构编制事宜。</w:t>
      </w:r>
    </w:p>
    <w:p w14:paraId="2AAEDE22">
      <w:pPr>
        <w:spacing w:line="580" w:lineRule="exact"/>
        <w:ind w:firstLine="640"/>
        <w:jc w:val="both"/>
      </w:pPr>
      <w:r>
        <w:rPr>
          <w:rFonts w:ascii="仿宋_GB2312" w:hAnsi="仿宋_GB2312" w:eastAsia="仿宋_GB2312"/>
          <w:sz w:val="32"/>
        </w:rPr>
        <w:t>(11)完成县党委、县人民政府和</w:t>
      </w:r>
      <w:r>
        <w:rPr>
          <w:rFonts w:hint="eastAsia" w:ascii="仿宋_GB2312" w:hAnsi="仿宋_GB2312" w:eastAsia="仿宋_GB2312"/>
          <w:sz w:val="32"/>
          <w:lang w:eastAsia="zh-CN"/>
        </w:rPr>
        <w:t>县委机构编制委员会</w:t>
      </w:r>
      <w:r>
        <w:rPr>
          <w:rFonts w:ascii="仿宋_GB2312" w:hAnsi="仿宋_GB2312" w:eastAsia="仿宋_GB2312"/>
          <w:sz w:val="32"/>
        </w:rPr>
        <w:t>交办的</w:t>
      </w:r>
      <w:r>
        <w:rPr>
          <w:rFonts w:hint="eastAsia" w:ascii="仿宋_GB2312" w:hAnsi="仿宋_GB2312" w:eastAsia="仿宋_GB2312"/>
          <w:sz w:val="32"/>
          <w:lang w:eastAsia="zh-CN"/>
        </w:rPr>
        <w:t>其他</w:t>
      </w:r>
      <w:r>
        <w:rPr>
          <w:rFonts w:ascii="仿宋_GB2312" w:hAnsi="仿宋_GB2312" w:eastAsia="仿宋_GB2312"/>
          <w:sz w:val="32"/>
        </w:rPr>
        <w:t>工作。</w:t>
      </w:r>
    </w:p>
    <w:p w14:paraId="653C3343">
      <w:pPr>
        <w:spacing w:line="640" w:lineRule="exact"/>
        <w:ind w:firstLine="640"/>
        <w:jc w:val="both"/>
        <w:outlineLvl w:val="2"/>
      </w:pPr>
      <w:r>
        <w:rPr>
          <w:rFonts w:ascii="黑体" w:hAnsi="黑体" w:eastAsia="黑体"/>
          <w:sz w:val="32"/>
        </w:rPr>
        <w:t>二、机构设置及人员情况</w:t>
      </w:r>
    </w:p>
    <w:p w14:paraId="680FEDA3">
      <w:pPr>
        <w:spacing w:line="580" w:lineRule="exact"/>
        <w:ind w:firstLine="640"/>
        <w:jc w:val="both"/>
      </w:pPr>
      <w:r>
        <w:rPr>
          <w:rFonts w:ascii="仿宋_GB2312" w:hAnsi="仿宋_GB2312" w:eastAsia="仿宋_GB2312"/>
          <w:sz w:val="32"/>
        </w:rPr>
        <w:t>中共吉木萨尔县委员会机构编制委员会办公室2024年度，实有人数18人，其中：在职人员12人，增加0人；离休人员0人，增加0人；退休人员6人,增加0人。</w:t>
      </w:r>
    </w:p>
    <w:p w14:paraId="33E4EE46">
      <w:pPr>
        <w:spacing w:line="580" w:lineRule="exact"/>
        <w:ind w:firstLine="640"/>
        <w:jc w:val="both"/>
      </w:pPr>
      <w:r>
        <w:rPr>
          <w:rFonts w:ascii="仿宋_GB2312" w:hAnsi="仿宋_GB2312" w:eastAsia="仿宋_GB2312"/>
          <w:sz w:val="32"/>
        </w:rPr>
        <w:t>中共吉木萨尔县委员会机构编制委员会办公室无下属预算单位，下设2个科室，分别是：办公室、财务室。</w:t>
      </w:r>
    </w:p>
    <w:p w14:paraId="2B58F0E2">
      <w:r>
        <w:br w:type="page"/>
      </w:r>
    </w:p>
    <w:p w14:paraId="7AD05B2C">
      <w:pPr>
        <w:spacing w:line="240" w:lineRule="auto"/>
        <w:jc w:val="center"/>
        <w:outlineLvl w:val="1"/>
      </w:pPr>
      <w:r>
        <w:rPr>
          <w:rFonts w:ascii="黑体" w:hAnsi="黑体" w:eastAsia="黑体"/>
          <w:sz w:val="32"/>
        </w:rPr>
        <w:t>第二部分 部门决算情况说明</w:t>
      </w:r>
    </w:p>
    <w:p w14:paraId="4988BED0">
      <w:pPr>
        <w:spacing w:line="640" w:lineRule="exact"/>
        <w:ind w:firstLine="640"/>
        <w:jc w:val="both"/>
        <w:outlineLvl w:val="2"/>
      </w:pPr>
      <w:r>
        <w:rPr>
          <w:rFonts w:ascii="黑体" w:hAnsi="黑体" w:eastAsia="黑体"/>
          <w:sz w:val="32"/>
        </w:rPr>
        <w:t>一、收入支出决算总体情况说明</w:t>
      </w:r>
    </w:p>
    <w:p w14:paraId="7AC42150">
      <w:pPr>
        <w:spacing w:line="580" w:lineRule="exact"/>
        <w:ind w:firstLine="640"/>
        <w:jc w:val="both"/>
      </w:pPr>
      <w:r>
        <w:rPr>
          <w:rFonts w:ascii="仿宋_GB2312" w:hAnsi="仿宋_GB2312" w:eastAsia="仿宋_GB2312"/>
          <w:b/>
          <w:sz w:val="32"/>
        </w:rPr>
        <w:t>2024年度收入总计240.41万元，</w:t>
      </w:r>
      <w:r>
        <w:rPr>
          <w:rFonts w:ascii="仿宋_GB2312" w:hAnsi="仿宋_GB2312" w:eastAsia="仿宋_GB2312"/>
          <w:b w:val="0"/>
          <w:sz w:val="32"/>
        </w:rPr>
        <w:t>其中：本年收入合计237.81万元，使用非财政拨款结余（含专用结余）0.00万元，年初结转和结余2.60万元。</w:t>
      </w:r>
    </w:p>
    <w:p w14:paraId="2E4395A5">
      <w:pPr>
        <w:spacing w:line="580" w:lineRule="exact"/>
        <w:ind w:firstLine="640"/>
        <w:jc w:val="both"/>
      </w:pPr>
      <w:r>
        <w:rPr>
          <w:rFonts w:ascii="仿宋_GB2312" w:hAnsi="仿宋_GB2312" w:eastAsia="仿宋_GB2312"/>
          <w:b/>
          <w:sz w:val="32"/>
        </w:rPr>
        <w:t>2024年度支出总计240.41万元，</w:t>
      </w:r>
      <w:r>
        <w:rPr>
          <w:rFonts w:ascii="仿宋_GB2312" w:hAnsi="仿宋_GB2312" w:eastAsia="仿宋_GB2312"/>
          <w:b w:val="0"/>
          <w:sz w:val="32"/>
        </w:rPr>
        <w:t>其中：本年支出合计238.32万元，结余分配0.00万元，年末结转和结余2.09万元。</w:t>
      </w:r>
    </w:p>
    <w:p w14:paraId="4828F09D">
      <w:pPr>
        <w:spacing w:line="580" w:lineRule="exact"/>
        <w:ind w:firstLine="640"/>
        <w:jc w:val="both"/>
      </w:pPr>
      <w:r>
        <w:rPr>
          <w:rFonts w:ascii="仿宋_GB2312" w:hAnsi="仿宋_GB2312" w:eastAsia="仿宋_GB2312"/>
          <w:b w:val="0"/>
          <w:sz w:val="32"/>
        </w:rPr>
        <w:t>收入支出总体与上年相比，增加6.94万元，增长2.97%，主要原因是：一是本年在职人员工资调增，公积金基数调增，相关人员经费增加。二是本年增加购买专项业务工作电脑经费。</w:t>
      </w:r>
    </w:p>
    <w:p w14:paraId="247BF495">
      <w:pPr>
        <w:spacing w:line="640" w:lineRule="exact"/>
        <w:ind w:firstLine="640"/>
        <w:jc w:val="both"/>
        <w:outlineLvl w:val="2"/>
      </w:pPr>
      <w:r>
        <w:rPr>
          <w:rFonts w:ascii="黑体" w:hAnsi="黑体" w:eastAsia="黑体"/>
          <w:sz w:val="32"/>
        </w:rPr>
        <w:t>二、收入决算情况说明</w:t>
      </w:r>
    </w:p>
    <w:p w14:paraId="12E87F0F">
      <w:pPr>
        <w:spacing w:line="580" w:lineRule="exact"/>
        <w:ind w:firstLine="640"/>
        <w:jc w:val="both"/>
      </w:pPr>
      <w:r>
        <w:rPr>
          <w:rFonts w:ascii="仿宋_GB2312" w:hAnsi="仿宋_GB2312" w:eastAsia="仿宋_GB2312"/>
          <w:b/>
          <w:sz w:val="32"/>
        </w:rPr>
        <w:t>本年收入237.81万元，</w:t>
      </w:r>
      <w:r>
        <w:rPr>
          <w:rFonts w:ascii="仿宋_GB2312" w:hAnsi="仿宋_GB2312" w:eastAsia="仿宋_GB2312"/>
          <w:b w:val="0"/>
          <w:sz w:val="32"/>
        </w:rPr>
        <w:t>其中：财政拨款收入237.80万元，占100.00%；上级补助收入0.00万元，占0.00%；事业收入0.00万元，占0.00%；经营收入0.00万元，占0.00%；附属单位上缴收入0.00万元，占0.00%；其他收入0.01万元，占0.004%。</w:t>
      </w:r>
    </w:p>
    <w:p w14:paraId="7B9C56B3">
      <w:pPr>
        <w:spacing w:line="640" w:lineRule="exact"/>
        <w:ind w:firstLine="640"/>
        <w:jc w:val="both"/>
        <w:outlineLvl w:val="2"/>
      </w:pPr>
      <w:r>
        <w:rPr>
          <w:rFonts w:ascii="黑体" w:hAnsi="黑体" w:eastAsia="黑体"/>
          <w:sz w:val="32"/>
        </w:rPr>
        <w:t>三、支出决算情况说明</w:t>
      </w:r>
    </w:p>
    <w:p w14:paraId="58ACF6C5">
      <w:pPr>
        <w:spacing w:line="580" w:lineRule="exact"/>
        <w:ind w:firstLine="640"/>
        <w:jc w:val="both"/>
      </w:pPr>
      <w:r>
        <w:rPr>
          <w:rFonts w:ascii="仿宋_GB2312" w:hAnsi="仿宋_GB2312" w:eastAsia="仿宋_GB2312"/>
          <w:b/>
          <w:sz w:val="32"/>
        </w:rPr>
        <w:t>本年支出238.32万元，</w:t>
      </w:r>
      <w:r>
        <w:rPr>
          <w:rFonts w:ascii="仿宋_GB2312" w:hAnsi="仿宋_GB2312" w:eastAsia="仿宋_GB2312"/>
          <w:b w:val="0"/>
          <w:sz w:val="32"/>
        </w:rPr>
        <w:t>其中：基本支出238.32万元，占100.00%；项目支出0.00万元，占0.00%；上缴上级支出0.00万元，占0.00%；经营支出0.00万元，占0.00%；对附属单位补助支出0.00万元，占0.00%。</w:t>
      </w:r>
    </w:p>
    <w:p w14:paraId="526C5C54">
      <w:pPr>
        <w:spacing w:line="640" w:lineRule="exact"/>
        <w:ind w:firstLine="640"/>
        <w:jc w:val="both"/>
        <w:outlineLvl w:val="2"/>
      </w:pPr>
      <w:r>
        <w:rPr>
          <w:rFonts w:ascii="黑体" w:hAnsi="黑体" w:eastAsia="黑体"/>
          <w:sz w:val="32"/>
        </w:rPr>
        <w:t>四、财政拨款收入支出决算总体情况说明</w:t>
      </w:r>
    </w:p>
    <w:p w14:paraId="25B20F8A">
      <w:pPr>
        <w:spacing w:line="580" w:lineRule="exact"/>
        <w:ind w:firstLine="640"/>
        <w:jc w:val="both"/>
      </w:pPr>
      <w:r>
        <w:rPr>
          <w:rFonts w:ascii="仿宋_GB2312" w:hAnsi="仿宋_GB2312" w:eastAsia="仿宋_GB2312"/>
          <w:b/>
          <w:sz w:val="32"/>
        </w:rPr>
        <w:t>2024年度财政拨款收入总计237.80万元，</w:t>
      </w:r>
      <w:r>
        <w:rPr>
          <w:rFonts w:ascii="仿宋_GB2312" w:hAnsi="仿宋_GB2312" w:eastAsia="仿宋_GB2312"/>
          <w:b w:val="0"/>
          <w:sz w:val="32"/>
        </w:rPr>
        <w:t>其中：年初财政拨款结转和结余0.00万元，本年财政拨款收入237.80万元。</w:t>
      </w:r>
      <w:r>
        <w:rPr>
          <w:rFonts w:ascii="仿宋_GB2312" w:hAnsi="仿宋_GB2312" w:eastAsia="仿宋_GB2312"/>
          <w:b/>
          <w:sz w:val="32"/>
        </w:rPr>
        <w:t>财政拨款支出总计237.80万元，</w:t>
      </w:r>
      <w:r>
        <w:rPr>
          <w:rFonts w:ascii="仿宋_GB2312" w:hAnsi="仿宋_GB2312" w:eastAsia="仿宋_GB2312"/>
          <w:b w:val="0"/>
          <w:sz w:val="32"/>
        </w:rPr>
        <w:t>其中：年末财政拨款结转和结余0.00万元，本年财政拨款支出237.80万元。</w:t>
      </w:r>
    </w:p>
    <w:p w14:paraId="075D6DC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增加5.30万元，增长2.28%，主要原因是：一是本年在职人员工资调增，公积金基数调增，相关人员经费增加。二是本年增加购买专项业务工作电脑经费。</w:t>
      </w:r>
      <w:r>
        <w:rPr>
          <w:rFonts w:ascii="仿宋_GB2312" w:hAnsi="仿宋_GB2312" w:eastAsia="仿宋_GB2312"/>
          <w:b/>
          <w:sz w:val="32"/>
        </w:rPr>
        <w:t>与年初预算相比，</w:t>
      </w:r>
      <w:r>
        <w:rPr>
          <w:rFonts w:ascii="仿宋_GB2312" w:hAnsi="仿宋_GB2312" w:eastAsia="仿宋_GB2312"/>
          <w:b w:val="0"/>
          <w:sz w:val="32"/>
        </w:rPr>
        <w:t>年初预算数235.24万元，决算数237.80万元，预决算差异率1.09%，主要原因是：年中追加人员工资、社保、公积金基数调增部分资金，导致预决算存在差异。</w:t>
      </w:r>
    </w:p>
    <w:p w14:paraId="20AE2E81">
      <w:pPr>
        <w:spacing w:line="640" w:lineRule="exact"/>
        <w:ind w:firstLine="640"/>
        <w:jc w:val="both"/>
        <w:outlineLvl w:val="2"/>
      </w:pPr>
      <w:r>
        <w:rPr>
          <w:rFonts w:ascii="黑体" w:hAnsi="黑体" w:eastAsia="黑体"/>
          <w:sz w:val="32"/>
        </w:rPr>
        <w:t>五、一般公共预算财政拨款支出决算情况说明</w:t>
      </w:r>
    </w:p>
    <w:p w14:paraId="350DD74F">
      <w:pPr>
        <w:spacing w:line="640" w:lineRule="exact"/>
        <w:ind w:firstLine="640"/>
        <w:jc w:val="both"/>
        <w:outlineLvl w:val="3"/>
      </w:pPr>
      <w:r>
        <w:rPr>
          <w:rFonts w:ascii="楷体_GB2312" w:hAnsi="楷体_GB2312" w:eastAsia="楷体_GB2312"/>
          <w:b/>
          <w:sz w:val="32"/>
        </w:rPr>
        <w:t>（一）一般公共预算财政拨款支出决算总体情况</w:t>
      </w:r>
    </w:p>
    <w:p w14:paraId="5CA1D837">
      <w:pPr>
        <w:spacing w:line="580" w:lineRule="exact"/>
        <w:ind w:firstLine="640"/>
        <w:jc w:val="both"/>
      </w:pPr>
      <w:r>
        <w:rPr>
          <w:rFonts w:ascii="仿宋_GB2312" w:hAnsi="仿宋_GB2312" w:eastAsia="仿宋_GB2312"/>
          <w:b/>
          <w:sz w:val="32"/>
        </w:rPr>
        <w:t>2024年度一般公共预算财政拨款支出237.80万元，</w:t>
      </w:r>
      <w:r>
        <w:rPr>
          <w:rFonts w:ascii="仿宋_GB2312" w:hAnsi="仿宋_GB2312" w:eastAsia="仿宋_GB2312"/>
          <w:b w:val="0"/>
          <w:sz w:val="32"/>
        </w:rPr>
        <w:t>占本年支出合计的99.78%。</w:t>
      </w:r>
      <w:r>
        <w:rPr>
          <w:rFonts w:ascii="仿宋_GB2312" w:hAnsi="仿宋_GB2312" w:eastAsia="仿宋_GB2312"/>
          <w:b/>
          <w:sz w:val="32"/>
        </w:rPr>
        <w:t>与上年相比，</w:t>
      </w:r>
      <w:r>
        <w:rPr>
          <w:rFonts w:ascii="仿宋_GB2312" w:hAnsi="仿宋_GB2312" w:eastAsia="仿宋_GB2312"/>
          <w:b w:val="0"/>
          <w:sz w:val="32"/>
        </w:rPr>
        <w:t>增加5.30万元，增长2.28%，主要原因是：一是本年在职人员工资调增，公积金基数调增，相关人员经费增加。二是本年增加购买专项业务工作电脑经费。</w:t>
      </w:r>
      <w:r>
        <w:rPr>
          <w:rFonts w:ascii="仿宋_GB2312" w:hAnsi="仿宋_GB2312" w:eastAsia="仿宋_GB2312"/>
          <w:b/>
          <w:sz w:val="32"/>
        </w:rPr>
        <w:t>与年初预算相比,</w:t>
      </w:r>
      <w:r>
        <w:rPr>
          <w:rFonts w:ascii="仿宋_GB2312" w:hAnsi="仿宋_GB2312" w:eastAsia="仿宋_GB2312"/>
          <w:b w:val="0"/>
          <w:sz w:val="32"/>
        </w:rPr>
        <w:t>年初预算数235.24万元，决算数237.80万元，预决算差异率1.09%，主要原因是：年中追加人员工资、社保、公积金基数调增部分资金，导致预决算存在差异。</w:t>
      </w:r>
    </w:p>
    <w:p w14:paraId="04241211">
      <w:pPr>
        <w:spacing w:line="640" w:lineRule="exact"/>
        <w:ind w:firstLine="640"/>
        <w:jc w:val="both"/>
        <w:outlineLvl w:val="3"/>
      </w:pPr>
      <w:r>
        <w:rPr>
          <w:rFonts w:ascii="楷体_GB2312" w:hAnsi="楷体_GB2312" w:eastAsia="楷体_GB2312"/>
          <w:b/>
          <w:sz w:val="32"/>
        </w:rPr>
        <w:t>（二）一般公共预算财政拨款支出决算结构情况</w:t>
      </w:r>
    </w:p>
    <w:p w14:paraId="172122A9">
      <w:pPr>
        <w:spacing w:line="580" w:lineRule="exact"/>
        <w:ind w:firstLine="640"/>
        <w:jc w:val="both"/>
      </w:pPr>
      <w:r>
        <w:rPr>
          <w:rFonts w:ascii="仿宋_GB2312" w:hAnsi="仿宋_GB2312" w:eastAsia="仿宋_GB2312"/>
          <w:b w:val="0"/>
          <w:sz w:val="32"/>
        </w:rPr>
        <w:t>1.科学技术支出(类)2.40万元,占1.01%。</w:t>
      </w:r>
    </w:p>
    <w:p w14:paraId="145F35C4">
      <w:pPr>
        <w:spacing w:line="580" w:lineRule="exact"/>
        <w:ind w:firstLine="640"/>
        <w:jc w:val="both"/>
      </w:pPr>
      <w:r>
        <w:rPr>
          <w:rFonts w:ascii="仿宋_GB2312" w:hAnsi="仿宋_GB2312" w:eastAsia="仿宋_GB2312"/>
          <w:b w:val="0"/>
          <w:sz w:val="32"/>
        </w:rPr>
        <w:t>2.社会保障和就业支出(类)208.61万元,占87.72%。</w:t>
      </w:r>
    </w:p>
    <w:p w14:paraId="787E9E0B">
      <w:pPr>
        <w:spacing w:line="580" w:lineRule="exact"/>
        <w:ind w:firstLine="640"/>
        <w:jc w:val="both"/>
      </w:pPr>
      <w:r>
        <w:rPr>
          <w:rFonts w:ascii="仿宋_GB2312" w:hAnsi="仿宋_GB2312" w:eastAsia="仿宋_GB2312"/>
          <w:b w:val="0"/>
          <w:sz w:val="32"/>
        </w:rPr>
        <w:t>3.卫生健康支出(类)10.66万元,占4.48%。</w:t>
      </w:r>
    </w:p>
    <w:p w14:paraId="7BEDA3AE">
      <w:pPr>
        <w:spacing w:line="580" w:lineRule="exact"/>
        <w:ind w:firstLine="640"/>
        <w:jc w:val="both"/>
      </w:pPr>
      <w:r>
        <w:rPr>
          <w:rFonts w:ascii="仿宋_GB2312" w:hAnsi="仿宋_GB2312" w:eastAsia="仿宋_GB2312"/>
          <w:b w:val="0"/>
          <w:sz w:val="32"/>
        </w:rPr>
        <w:t>4.住房保障支出(类)16.13万元,占6.78%。</w:t>
      </w:r>
    </w:p>
    <w:p w14:paraId="4905C8D8">
      <w:pPr>
        <w:spacing w:line="640" w:lineRule="exact"/>
        <w:ind w:firstLine="640"/>
        <w:jc w:val="both"/>
        <w:outlineLvl w:val="3"/>
      </w:pPr>
      <w:r>
        <w:rPr>
          <w:rFonts w:ascii="楷体_GB2312" w:hAnsi="楷体_GB2312" w:eastAsia="楷体_GB2312"/>
          <w:b/>
          <w:sz w:val="32"/>
        </w:rPr>
        <w:t>（三）一般公共预算财政拨款支出决算具体情况</w:t>
      </w:r>
    </w:p>
    <w:p w14:paraId="3EEC3DBA">
      <w:pPr>
        <w:spacing w:line="580" w:lineRule="exact"/>
        <w:ind w:firstLine="640"/>
        <w:jc w:val="both"/>
      </w:pPr>
      <w:r>
        <w:rPr>
          <w:rFonts w:ascii="仿宋_GB2312" w:hAnsi="仿宋_GB2312" w:eastAsia="仿宋_GB2312"/>
          <w:b w:val="0"/>
          <w:sz w:val="32"/>
        </w:rPr>
        <w:t>1.科学技术支出(类)科技条件与服务(款)其他科技条件与服务支出(项):支出决算数为2.40万元，比上年决算增加2.40万元，增长100.00%,主要原因是：本年增加购买专项业务工作电脑经费。</w:t>
      </w:r>
    </w:p>
    <w:p w14:paraId="12194C59">
      <w:pPr>
        <w:spacing w:line="580" w:lineRule="exact"/>
        <w:ind w:firstLine="640"/>
        <w:jc w:val="both"/>
      </w:pPr>
      <w:r>
        <w:rPr>
          <w:rFonts w:ascii="仿宋_GB2312" w:hAnsi="仿宋_GB2312" w:eastAsia="仿宋_GB2312"/>
          <w:b w:val="0"/>
          <w:sz w:val="32"/>
        </w:rPr>
        <w:t>2.社会保障和就业支出(类)人力资源和社会保障管理事务(款)行政运行(项):支出决算数为115.55万元，比上年决算增加2.67万元，增长2.37%,主要原因是：本年在职人员工资调增，导致相关人员经费较上年有所增加。</w:t>
      </w:r>
    </w:p>
    <w:p w14:paraId="2BE8EB9C">
      <w:pPr>
        <w:spacing w:line="580" w:lineRule="exact"/>
        <w:ind w:firstLine="640"/>
        <w:jc w:val="both"/>
      </w:pPr>
      <w:r>
        <w:rPr>
          <w:rFonts w:ascii="仿宋_GB2312" w:hAnsi="仿宋_GB2312" w:eastAsia="仿宋_GB2312"/>
          <w:b w:val="0"/>
          <w:sz w:val="32"/>
        </w:rPr>
        <w:t>3.社会保障和就业支出(类)人力资源和社会保障管理事务(款)事业运行(项):支出决算数为58.45万元，比上年决算增加1.66万元，增长2.92%,主要原因是：本年在职人员工资调增，导致相关人员经费较上年有所增加。</w:t>
      </w:r>
    </w:p>
    <w:p w14:paraId="5B111BF5">
      <w:pPr>
        <w:spacing w:line="580" w:lineRule="exact"/>
        <w:ind w:firstLine="640"/>
        <w:jc w:val="both"/>
      </w:pPr>
      <w:r>
        <w:rPr>
          <w:rFonts w:ascii="仿宋_GB2312" w:hAnsi="仿宋_GB2312" w:eastAsia="仿宋_GB2312"/>
          <w:b w:val="0"/>
          <w:sz w:val="32"/>
        </w:rPr>
        <w:t>4.社会保障和就业支出(类)行政事业单位养老支出(款)行政单位离退休(项):支出决算数为4.56万元，比上年决算增加3.03万元，增长198.04%,主要原因是：本年增加退休人员基础绩效奖，退休费支出增加。</w:t>
      </w:r>
    </w:p>
    <w:p w14:paraId="3182B701">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20.03万元，比上年决算增加1.11万元，增长5.87%,主要原因是：本年在职人员工资基数调增，养老缴费基数上涨，相应支出增加。</w:t>
      </w:r>
    </w:p>
    <w:p w14:paraId="2042D701">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10.02万元，比上年决算减少3.83万元，下降27.65%,主要原因是：本年在职人员调入调出，人员职级不同，缴费基数不同，导致机关事业单位职业年金缴费支出较上年减少。</w:t>
      </w:r>
    </w:p>
    <w:p w14:paraId="516E97EE">
      <w:pPr>
        <w:spacing w:line="580" w:lineRule="exact"/>
        <w:ind w:firstLine="640"/>
        <w:jc w:val="both"/>
      </w:pPr>
      <w:r>
        <w:rPr>
          <w:rFonts w:ascii="仿宋_GB2312" w:hAnsi="仿宋_GB2312" w:eastAsia="仿宋_GB2312"/>
          <w:b w:val="0"/>
          <w:sz w:val="32"/>
        </w:rPr>
        <w:t>7.卫生健康支出(类)行政事业单位医疗(款)行政单位医疗(项):支出决算数为6.68万元，比上年决算减少3.93万元，下降37.04%,主要原因是：本年</w:t>
      </w:r>
      <w:r>
        <w:rPr>
          <w:rFonts w:hint="eastAsia" w:ascii="仿宋_GB2312" w:hAnsi="仿宋_GB2312" w:eastAsia="仿宋_GB2312"/>
          <w:b w:val="0"/>
          <w:sz w:val="32"/>
          <w:lang w:val="en-US" w:eastAsia="zh-CN"/>
        </w:rPr>
        <w:t>行政人员调出</w:t>
      </w:r>
      <w:r>
        <w:rPr>
          <w:rFonts w:ascii="仿宋_GB2312" w:hAnsi="仿宋_GB2312" w:eastAsia="仿宋_GB2312"/>
          <w:b w:val="0"/>
          <w:sz w:val="32"/>
        </w:rPr>
        <w:t>，导致行政单位医疗较上年减少。</w:t>
      </w:r>
    </w:p>
    <w:p w14:paraId="162FBFD3">
      <w:pPr>
        <w:spacing w:line="580" w:lineRule="exact"/>
        <w:ind w:firstLine="640"/>
        <w:jc w:val="both"/>
      </w:pPr>
      <w:r>
        <w:rPr>
          <w:rFonts w:ascii="仿宋_GB2312" w:hAnsi="仿宋_GB2312" w:eastAsia="仿宋_GB2312"/>
          <w:b w:val="0"/>
          <w:sz w:val="32"/>
        </w:rPr>
        <w:t>8.卫生健康支出(类)行政事业单位医疗(款)事业单位医疗(项):支出决算数为3.33万元，比上年决算增加1.45万元，增长77.13%,主要原因是：本年在职人员工资基数调增，医疗缴费基数上涨，相应支出增加。</w:t>
      </w:r>
    </w:p>
    <w:p w14:paraId="6636AAB0">
      <w:pPr>
        <w:spacing w:line="580" w:lineRule="exact"/>
        <w:ind w:firstLine="640"/>
        <w:jc w:val="both"/>
      </w:pPr>
      <w:r>
        <w:rPr>
          <w:rFonts w:ascii="仿宋_GB2312" w:hAnsi="仿宋_GB2312" w:eastAsia="仿宋_GB2312"/>
          <w:b w:val="0"/>
          <w:sz w:val="32"/>
        </w:rPr>
        <w:t>9.卫生健康支出(类)行政事业单位医疗(款)公务员医疗补助(项):支出决算数为0.64万元，比上年决算减少0.15万元，下降18.99%,主要原因是：本年</w:t>
      </w:r>
      <w:r>
        <w:rPr>
          <w:rFonts w:hint="eastAsia" w:ascii="仿宋_GB2312" w:hAnsi="仿宋_GB2312" w:eastAsia="仿宋_GB2312"/>
          <w:b w:val="0"/>
          <w:sz w:val="32"/>
          <w:lang w:val="en-US" w:eastAsia="zh-CN"/>
        </w:rPr>
        <w:t>行政人员调出</w:t>
      </w:r>
      <w:r>
        <w:rPr>
          <w:rFonts w:ascii="仿宋_GB2312" w:hAnsi="仿宋_GB2312" w:eastAsia="仿宋_GB2312"/>
          <w:b w:val="0"/>
          <w:sz w:val="32"/>
        </w:rPr>
        <w:t>，导致公务员医疗补助较上年减少。</w:t>
      </w:r>
    </w:p>
    <w:p w14:paraId="32065DE0">
      <w:pPr>
        <w:spacing w:line="580" w:lineRule="exact"/>
        <w:ind w:firstLine="640"/>
        <w:jc w:val="both"/>
      </w:pPr>
      <w:r>
        <w:rPr>
          <w:rFonts w:ascii="仿宋_GB2312" w:hAnsi="仿宋_GB2312" w:eastAsia="仿宋_GB2312"/>
          <w:b w:val="0"/>
          <w:sz w:val="32"/>
        </w:rPr>
        <w:t>10.住房保障支出(类)住房改革支出(款)住房公积金(项):支出决算数为16.13万元，比上年决算增加0.86万元，增长5.63%,主要原因是：本年在职人员工资基数调增，公积金缴费基数上涨，相应支出增加。</w:t>
      </w:r>
    </w:p>
    <w:p w14:paraId="50D565D2">
      <w:pPr>
        <w:spacing w:line="640" w:lineRule="exact"/>
        <w:ind w:firstLine="640"/>
        <w:jc w:val="both"/>
        <w:outlineLvl w:val="2"/>
      </w:pPr>
      <w:r>
        <w:rPr>
          <w:rFonts w:ascii="黑体" w:hAnsi="黑体" w:eastAsia="黑体"/>
          <w:sz w:val="32"/>
        </w:rPr>
        <w:t>六、一般公共预算财政拨款基本支出决算情况说明</w:t>
      </w:r>
    </w:p>
    <w:p w14:paraId="1F5FB093">
      <w:pPr>
        <w:spacing w:line="580" w:lineRule="exact"/>
        <w:ind w:firstLine="640"/>
        <w:jc w:val="both"/>
      </w:pPr>
      <w:r>
        <w:rPr>
          <w:rFonts w:ascii="仿宋_GB2312" w:hAnsi="仿宋_GB2312" w:eastAsia="仿宋_GB2312"/>
          <w:b w:val="0"/>
          <w:sz w:val="32"/>
        </w:rPr>
        <w:t>2024年度一般公共预算财政拨款基本支出237.80万元，其中：</w:t>
      </w:r>
      <w:r>
        <w:rPr>
          <w:rFonts w:ascii="仿宋_GB2312" w:hAnsi="仿宋_GB2312" w:eastAsia="仿宋_GB2312"/>
          <w:b/>
          <w:sz w:val="32"/>
        </w:rPr>
        <w:t>人员经费214.26万元，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其他对个人和家庭的补助。</w:t>
      </w:r>
    </w:p>
    <w:p w14:paraId="0C0C9E16">
      <w:pPr>
        <w:spacing w:line="580" w:lineRule="exact"/>
        <w:ind w:firstLine="640"/>
        <w:jc w:val="both"/>
      </w:pPr>
      <w:r>
        <w:rPr>
          <w:rFonts w:ascii="仿宋_GB2312" w:hAnsi="仿宋_GB2312" w:eastAsia="仿宋_GB2312"/>
          <w:b/>
          <w:sz w:val="32"/>
        </w:rPr>
        <w:t>公用经费23.54万元，</w:t>
      </w:r>
      <w:r>
        <w:rPr>
          <w:rFonts w:ascii="仿宋_GB2312" w:hAnsi="仿宋_GB2312" w:eastAsia="仿宋_GB2312"/>
          <w:b w:val="0"/>
          <w:sz w:val="32"/>
        </w:rPr>
        <w:t>包括：办公费、印刷费、邮电费、工会经费、其他交通费用、其他商品和服务支出。</w:t>
      </w:r>
    </w:p>
    <w:p w14:paraId="572A81D9">
      <w:pPr>
        <w:spacing w:line="640" w:lineRule="exact"/>
        <w:ind w:firstLine="640"/>
        <w:jc w:val="both"/>
        <w:outlineLvl w:val="2"/>
      </w:pPr>
      <w:r>
        <w:rPr>
          <w:rFonts w:ascii="黑体" w:hAnsi="黑体" w:eastAsia="黑体"/>
          <w:sz w:val="32"/>
        </w:rPr>
        <w:t>七、政府性基金预算财政拨款收入支出决算情况说明</w:t>
      </w:r>
    </w:p>
    <w:p w14:paraId="605B4214">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75226885">
      <w:pPr>
        <w:spacing w:line="640" w:lineRule="exact"/>
        <w:ind w:firstLine="640"/>
        <w:jc w:val="both"/>
        <w:outlineLvl w:val="2"/>
      </w:pPr>
      <w:r>
        <w:rPr>
          <w:rFonts w:ascii="黑体" w:hAnsi="黑体" w:eastAsia="黑体"/>
          <w:sz w:val="32"/>
        </w:rPr>
        <w:t>八、国有资本经营预算财政拨款收入支出决算情况说明</w:t>
      </w:r>
    </w:p>
    <w:p w14:paraId="2F4DE5A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0F7C45C">
      <w:pPr>
        <w:spacing w:line="640" w:lineRule="exact"/>
        <w:ind w:firstLine="640"/>
        <w:jc w:val="both"/>
        <w:outlineLvl w:val="2"/>
      </w:pPr>
      <w:r>
        <w:rPr>
          <w:rFonts w:ascii="黑体" w:hAnsi="黑体" w:eastAsia="黑体"/>
          <w:sz w:val="32"/>
        </w:rPr>
        <w:t>九、财政拨款“三公”经费支出决算情况说明</w:t>
      </w:r>
    </w:p>
    <w:p w14:paraId="01FA2E28">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0.14万元，下降100.00%，主要原因是：严格落实中央八项规定精神，厉行节约，本年度未产生“三公”经费支出。其中：因公出国（境）费支出0.00万元，占0.00%，比上年增加0.00万元，增长0.00%，主要原因是：2023年与2024年均未安排因公出国（境）费支出。公务用车购置及运行维护费支出0.00万元，占0.00%，比上年减少0.14万元，下降100.00%，主要原因是：</w:t>
      </w:r>
      <w:r>
        <w:rPr>
          <w:rFonts w:hint="eastAsia" w:ascii="仿宋_GB2312" w:hAnsi="仿宋_GB2312" w:eastAsia="仿宋_GB2312"/>
          <w:b w:val="0"/>
          <w:sz w:val="32"/>
          <w:lang w:val="en-US" w:eastAsia="zh-CN"/>
        </w:rPr>
        <w:t>本年度</w:t>
      </w:r>
      <w:r>
        <w:rPr>
          <w:rFonts w:ascii="仿宋_GB2312" w:hAnsi="仿宋_GB2312" w:eastAsia="仿宋_GB2312"/>
          <w:b w:val="0"/>
          <w:sz w:val="32"/>
        </w:rPr>
        <w:t>未产生公务用车购置及运行维护费支出。公务接待费支出0.00万元，占0.00%，比上年增加0.00万元，增长0.00%，主要原因是：2023年与2024年均未安排公务接待费支出。</w:t>
      </w:r>
    </w:p>
    <w:p w14:paraId="1DD3C7DB">
      <w:pPr>
        <w:spacing w:line="580" w:lineRule="exact"/>
        <w:ind w:firstLine="640"/>
        <w:jc w:val="both"/>
      </w:pPr>
      <w:r>
        <w:rPr>
          <w:rFonts w:ascii="仿宋_GB2312" w:hAnsi="仿宋_GB2312" w:eastAsia="仿宋_GB2312"/>
          <w:b/>
          <w:sz w:val="32"/>
        </w:rPr>
        <w:t>具体情况如下：</w:t>
      </w:r>
    </w:p>
    <w:p w14:paraId="67C1985D">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27672FE0">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2149349D">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660D50B9">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0034563C">
      <w:pPr>
        <w:spacing w:line="640" w:lineRule="exact"/>
        <w:ind w:firstLine="640"/>
        <w:jc w:val="both"/>
        <w:outlineLvl w:val="2"/>
      </w:pPr>
      <w:r>
        <w:rPr>
          <w:rFonts w:ascii="黑体" w:hAnsi="黑体" w:eastAsia="黑体"/>
          <w:sz w:val="32"/>
        </w:rPr>
        <w:t>十、其他重要事项的情况说明</w:t>
      </w:r>
    </w:p>
    <w:p w14:paraId="26BB1F06">
      <w:pPr>
        <w:spacing w:line="640" w:lineRule="exact"/>
        <w:ind w:firstLine="640"/>
        <w:jc w:val="both"/>
        <w:outlineLvl w:val="3"/>
      </w:pPr>
      <w:r>
        <w:rPr>
          <w:rFonts w:ascii="楷体_GB2312" w:hAnsi="楷体_GB2312" w:eastAsia="楷体_GB2312"/>
          <w:b/>
          <w:sz w:val="32"/>
        </w:rPr>
        <w:t>（一）机关运行经费及公用经费支出情况</w:t>
      </w:r>
    </w:p>
    <w:p w14:paraId="1AAF9F31">
      <w:pPr>
        <w:spacing w:line="580" w:lineRule="exact"/>
        <w:ind w:firstLine="640"/>
        <w:jc w:val="both"/>
      </w:pPr>
      <w:r>
        <w:rPr>
          <w:rFonts w:ascii="仿宋_GB2312" w:hAnsi="仿宋_GB2312" w:eastAsia="仿宋_GB2312"/>
          <w:b w:val="0"/>
          <w:sz w:val="32"/>
        </w:rPr>
        <w:t>2024年度中共吉木萨尔县委员会机构编制委员会办公室（行政单位和参照公务员法管理事业单位）机关运行经费支出23.54万元，比上年增加7.49万元，增长46.67%，主要原因是：本年印刷费、邮电费、其他交通费用、差旅费增加，导致机关运行经费较上年增加。</w:t>
      </w:r>
    </w:p>
    <w:p w14:paraId="0DD4BDA8">
      <w:pPr>
        <w:spacing w:line="640" w:lineRule="exact"/>
        <w:ind w:firstLine="640"/>
        <w:jc w:val="both"/>
        <w:outlineLvl w:val="3"/>
      </w:pPr>
      <w:r>
        <w:rPr>
          <w:rFonts w:ascii="楷体_GB2312" w:hAnsi="楷体_GB2312" w:eastAsia="楷体_GB2312"/>
          <w:b/>
          <w:sz w:val="32"/>
        </w:rPr>
        <w:t>（二）政府采购情况</w:t>
      </w:r>
    </w:p>
    <w:p w14:paraId="0B017945">
      <w:pPr>
        <w:spacing w:line="580" w:lineRule="exact"/>
        <w:ind w:firstLine="640"/>
        <w:jc w:val="both"/>
      </w:pPr>
      <w:r>
        <w:rPr>
          <w:rFonts w:ascii="仿宋_GB2312" w:hAnsi="仿宋_GB2312" w:eastAsia="仿宋_GB2312"/>
          <w:b w:val="0"/>
          <w:sz w:val="32"/>
        </w:rPr>
        <w:t>2024年度政府采购支出总额0.55万元，其中：政府采购货物支出0.55万元、政府采购工程支出0.00万元、政府采购服务支出0.00万元。</w:t>
      </w:r>
    </w:p>
    <w:p w14:paraId="2A984974">
      <w:pPr>
        <w:spacing w:line="580" w:lineRule="exact"/>
        <w:ind w:firstLine="640"/>
        <w:jc w:val="both"/>
      </w:pPr>
      <w:r>
        <w:rPr>
          <w:rFonts w:ascii="仿宋_GB2312" w:hAnsi="仿宋_GB2312" w:eastAsia="仿宋_GB2312"/>
          <w:b w:val="0"/>
          <w:sz w:val="32"/>
        </w:rPr>
        <w:t>授予中小企业合同金额0.55万元，占政府采购支出总额的100.00%，其中：授予小微企业合同金额0.55万元，占政府采购支出总额的100.00%。</w:t>
      </w:r>
    </w:p>
    <w:p w14:paraId="7E9E6B22">
      <w:pPr>
        <w:spacing w:line="640" w:lineRule="exact"/>
        <w:ind w:firstLine="640"/>
        <w:jc w:val="both"/>
        <w:outlineLvl w:val="3"/>
      </w:pPr>
      <w:r>
        <w:rPr>
          <w:rFonts w:ascii="楷体_GB2312" w:hAnsi="楷体_GB2312" w:eastAsia="楷体_GB2312"/>
          <w:b/>
          <w:sz w:val="32"/>
        </w:rPr>
        <w:t>（三）国有资产占用情况说明</w:t>
      </w:r>
    </w:p>
    <w:p w14:paraId="53295CA2">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20E4B60">
      <w:pPr>
        <w:spacing w:line="640" w:lineRule="exact"/>
        <w:ind w:firstLine="640"/>
        <w:jc w:val="both"/>
        <w:outlineLvl w:val="2"/>
      </w:pPr>
      <w:r>
        <w:rPr>
          <w:rFonts w:ascii="黑体" w:hAnsi="黑体" w:eastAsia="黑体"/>
          <w:sz w:val="32"/>
        </w:rPr>
        <w:t>十一、预算绩效的情况说明</w:t>
      </w:r>
    </w:p>
    <w:p w14:paraId="1C1AB55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240.40万元，实际执行总额238.32万元；预算绩效评价项目0个，全年预算数0.00万元，全年执行数0.00万元。预算绩效管理取得的成效：本单位2024年无预算项目绩效。发现的问题及原因：本单位2024年无预算项目绩效。下一步改进措施：本单位2024年无预算项目绩效。具体附整体支出绩效自评表。</w:t>
      </w:r>
    </w:p>
    <w:p w14:paraId="108E58F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11F2170">
        <w:tblPrEx>
          <w:tblCellMar>
            <w:top w:w="0" w:type="dxa"/>
            <w:left w:w="108" w:type="dxa"/>
            <w:bottom w:w="0" w:type="dxa"/>
            <w:right w:w="108" w:type="dxa"/>
          </w:tblCellMar>
        </w:tblPrEx>
        <w:tc>
          <w:tcPr>
            <w:tcW w:w="8847" w:type="dxa"/>
            <w:gridSpan w:val="9"/>
            <w:vAlign w:val="center"/>
          </w:tcPr>
          <w:p w14:paraId="448FE541">
            <w:pPr>
              <w:jc w:val="center"/>
            </w:pPr>
            <w:r>
              <w:rPr>
                <w:rFonts w:ascii="宋体" w:hAnsi="宋体" w:eastAsia="宋体"/>
                <w:sz w:val="24"/>
              </w:rPr>
              <w:t>单位整体支出绩效自评表</w:t>
            </w:r>
          </w:p>
        </w:tc>
      </w:tr>
      <w:tr w14:paraId="51CD0B21">
        <w:tblPrEx>
          <w:tblCellMar>
            <w:top w:w="0" w:type="dxa"/>
            <w:left w:w="108" w:type="dxa"/>
            <w:bottom w:w="0" w:type="dxa"/>
            <w:right w:w="108" w:type="dxa"/>
          </w:tblCellMar>
        </w:tblPrEx>
        <w:tc>
          <w:tcPr>
            <w:tcW w:w="8847" w:type="dxa"/>
            <w:gridSpan w:val="9"/>
            <w:vAlign w:val="center"/>
          </w:tcPr>
          <w:p w14:paraId="75745035">
            <w:pPr>
              <w:jc w:val="center"/>
            </w:pPr>
            <w:r>
              <w:rPr>
                <w:rFonts w:ascii="宋体" w:hAnsi="宋体" w:eastAsia="宋体"/>
                <w:sz w:val="24"/>
              </w:rPr>
              <w:t>（2024年度）</w:t>
            </w:r>
          </w:p>
        </w:tc>
      </w:tr>
      <w:tr w14:paraId="21DA90F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EC9BF4">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FA5EB84">
            <w:pPr>
              <w:jc w:val="center"/>
            </w:pPr>
            <w:r>
              <w:rPr>
                <w:rFonts w:ascii="宋体" w:hAnsi="宋体" w:eastAsia="宋体"/>
                <w:sz w:val="16"/>
              </w:rPr>
              <w:t>中共吉木萨尔县委员会机构编制委员会办公室</w:t>
            </w:r>
          </w:p>
        </w:tc>
      </w:tr>
      <w:tr w14:paraId="7760E26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1B7ED7">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52D034">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D8C98">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D9C1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52DA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3535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7400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F104A">
            <w:pPr>
              <w:jc w:val="center"/>
            </w:pPr>
            <w:r>
              <w:rPr>
                <w:rFonts w:ascii="宋体" w:hAnsi="宋体" w:eastAsia="宋体"/>
                <w:sz w:val="16"/>
              </w:rPr>
              <w:t>得分</w:t>
            </w:r>
          </w:p>
        </w:tc>
      </w:tr>
      <w:tr w14:paraId="3B9A6E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608A9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C6E1D">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83C1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9F69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7D45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12F12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402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48CF0">
            <w:pPr>
              <w:jc w:val="center"/>
            </w:pPr>
            <w:r>
              <w:rPr>
                <w:rFonts w:ascii="宋体" w:hAnsi="宋体" w:eastAsia="宋体"/>
                <w:sz w:val="16"/>
              </w:rPr>
              <w:t>-</w:t>
            </w:r>
          </w:p>
        </w:tc>
      </w:tr>
      <w:tr w14:paraId="43E978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9ADC9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F4489">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72D2A">
            <w:pPr>
              <w:jc w:val="center"/>
            </w:pPr>
            <w:r>
              <w:rPr>
                <w:rFonts w:ascii="宋体" w:hAnsi="宋体" w:eastAsia="宋体"/>
                <w:sz w:val="16"/>
              </w:rPr>
              <w:t>235.24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96A78">
            <w:pPr>
              <w:jc w:val="center"/>
            </w:pPr>
            <w:r>
              <w:rPr>
                <w:rFonts w:ascii="宋体" w:hAnsi="宋体" w:eastAsia="宋体"/>
                <w:sz w:val="16"/>
              </w:rPr>
              <w:t>240.40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C78A9">
            <w:pPr>
              <w:jc w:val="center"/>
            </w:pPr>
            <w:r>
              <w:rPr>
                <w:rFonts w:ascii="宋体" w:hAnsi="宋体" w:eastAsia="宋体"/>
                <w:sz w:val="16"/>
              </w:rPr>
              <w:t>238.32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CF4F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B0F9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D0374">
            <w:pPr>
              <w:jc w:val="center"/>
            </w:pPr>
            <w:r>
              <w:rPr>
                <w:rFonts w:ascii="宋体" w:hAnsi="宋体" w:eastAsia="宋体"/>
                <w:sz w:val="16"/>
              </w:rPr>
              <w:t>-</w:t>
            </w:r>
          </w:p>
        </w:tc>
      </w:tr>
      <w:tr w14:paraId="44ABDA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84FA7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23467">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53345">
            <w:pPr>
              <w:jc w:val="center"/>
            </w:pPr>
            <w:r>
              <w:rPr>
                <w:rFonts w:ascii="宋体" w:hAnsi="宋体" w:eastAsia="宋体"/>
                <w:sz w:val="16"/>
              </w:rPr>
              <w:t>0.90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7CDC4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93E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C33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FB8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1C839">
            <w:pPr>
              <w:jc w:val="center"/>
            </w:pPr>
            <w:r>
              <w:rPr>
                <w:rFonts w:ascii="宋体" w:hAnsi="宋体" w:eastAsia="宋体"/>
                <w:sz w:val="16"/>
              </w:rPr>
              <w:t>-</w:t>
            </w:r>
          </w:p>
        </w:tc>
      </w:tr>
      <w:tr w14:paraId="392FB8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F1215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4312F">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D7DE5">
            <w:pPr>
              <w:jc w:val="center"/>
            </w:pPr>
            <w:r>
              <w:rPr>
                <w:rFonts w:ascii="宋体" w:hAnsi="宋体" w:eastAsia="宋体"/>
                <w:sz w:val="16"/>
              </w:rPr>
              <w:t>236.14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20DDA">
            <w:pPr>
              <w:jc w:val="center"/>
            </w:pPr>
            <w:r>
              <w:rPr>
                <w:rFonts w:ascii="宋体" w:hAnsi="宋体" w:eastAsia="宋体"/>
                <w:sz w:val="16"/>
              </w:rPr>
              <w:t>240.40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8D4F7">
            <w:pPr>
              <w:jc w:val="center"/>
            </w:pPr>
            <w:r>
              <w:rPr>
                <w:rFonts w:ascii="宋体" w:hAnsi="宋体" w:eastAsia="宋体"/>
                <w:sz w:val="16"/>
              </w:rPr>
              <w:t>238.32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8F47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16D5C">
            <w:pPr>
              <w:jc w:val="center"/>
            </w:pPr>
            <w:r>
              <w:rPr>
                <w:rFonts w:ascii="宋体" w:hAnsi="宋体" w:eastAsia="宋体"/>
                <w:sz w:val="16"/>
              </w:rPr>
              <w:t>99.13%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5103FD">
            <w:pPr>
              <w:jc w:val="center"/>
            </w:pPr>
            <w:r>
              <w:rPr>
                <w:rFonts w:ascii="宋体" w:hAnsi="宋体" w:eastAsia="宋体"/>
                <w:sz w:val="16"/>
              </w:rPr>
              <w:t>9.91</w:t>
            </w:r>
          </w:p>
        </w:tc>
      </w:tr>
      <w:tr w14:paraId="743B396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5C8D69">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4400C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F8FC3B">
            <w:pPr>
              <w:jc w:val="center"/>
            </w:pPr>
            <w:r>
              <w:rPr>
                <w:rFonts w:ascii="宋体" w:hAnsi="宋体" w:eastAsia="宋体"/>
                <w:sz w:val="16"/>
              </w:rPr>
              <w:t>实际完成情况</w:t>
            </w:r>
          </w:p>
        </w:tc>
      </w:tr>
      <w:tr w14:paraId="58F744F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AABCF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444D10">
            <w:pPr>
              <w:jc w:val="both"/>
            </w:pPr>
            <w:r>
              <w:rPr>
                <w:rFonts w:hint="eastAsia" w:ascii="宋体" w:hAnsi="宋体"/>
                <w:sz w:val="16"/>
                <w:lang w:eastAsia="zh-CN"/>
              </w:rPr>
              <w:t>1.</w:t>
            </w:r>
            <w:r>
              <w:rPr>
                <w:rFonts w:ascii="宋体" w:hAnsi="宋体" w:eastAsia="宋体"/>
                <w:sz w:val="16"/>
              </w:rPr>
              <w:t>保障人员经费，稳定干部队伍；2及时支付各类公用经费，保证各项工作顺利开展；扎实推进编办各项事业又快又好发展；4、加大管理力</w:t>
            </w:r>
            <w:r>
              <w:rPr>
                <w:rFonts w:hint="eastAsia" w:ascii="宋体" w:hAnsi="宋体"/>
                <w:sz w:val="16"/>
                <w:lang w:eastAsia="zh-CN"/>
              </w:rPr>
              <w:t>度和</w:t>
            </w:r>
            <w:r>
              <w:rPr>
                <w:rFonts w:ascii="宋体" w:hAnsi="宋体" w:eastAsia="宋体"/>
                <w:sz w:val="16"/>
              </w:rPr>
              <w:t>服务职能。</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C668DB">
            <w:pPr>
              <w:jc w:val="both"/>
            </w:pPr>
            <w:r>
              <w:rPr>
                <w:rFonts w:hint="eastAsia" w:ascii="宋体" w:hAnsi="宋体"/>
                <w:sz w:val="16"/>
                <w:lang w:eastAsia="zh-CN"/>
              </w:rPr>
              <w:t>截至</w:t>
            </w:r>
            <w:r>
              <w:rPr>
                <w:rFonts w:ascii="宋体" w:hAnsi="宋体" w:eastAsia="宋体"/>
                <w:sz w:val="16"/>
              </w:rPr>
              <w:t>2024年12月31日，</w:t>
            </w:r>
            <w:bookmarkStart w:id="0" w:name="_GoBack"/>
            <w:r>
              <w:rPr>
                <w:rFonts w:hint="eastAsia" w:ascii="宋体" w:hAnsi="宋体"/>
                <w:sz w:val="16"/>
                <w:lang w:eastAsia="zh-CN"/>
              </w:rPr>
              <w:t>本单位</w:t>
            </w:r>
            <w:bookmarkEnd w:id="0"/>
            <w:r>
              <w:rPr>
                <w:rFonts w:ascii="宋体" w:hAnsi="宋体" w:eastAsia="宋体"/>
                <w:sz w:val="16"/>
              </w:rPr>
              <w:t>全年预算数为240.40万元，全年执行数为238.32万元,预算执行率为99.13%，主要完成了以下内容：1、持续深化行政执法体制改革。认真贯彻落实党中央关于深化行政执法体制改革的部署要求，进一步理顺职责、整合队伍、减少层级，推动力量下沉，实行以县为主的行政执法体制，保留文化市场、卫生、农业、交通运输、应急管理、市场监管、城市管理6支综合行政执法队伍，撤销发改、人社、国土、水利、规划、林草等6个部门执法队，行政职能回归机关，压实县级政府部门的行政执法主体责任，由主管部门现有内设机构和人员承担，推动行政执法职能回归机关。</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2、调整乡镇机构设置管理体制。创新乡镇管理机制，灵活配置各类资源。聚焦基层党的建设、经济发展、民生服务、平安法治等主要职能，印发了10个乡镇的机构改革方案，9个乡镇统筹设置“五办五中心”。</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3、持续深化事业单位改革。进一步厘清职责边界、深化政事协同、事事协同的关系。</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4、扎实推进权责清单动态调整。对自治区下发的部门（单位）事项进行梳理，组织各部门开展比对认领工作，对认领事项逐一明确“行使主体、承办机构”，严格对照“三定”规定填写“部门职责”。</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5、完成已登记118个事业单位法人证书年审、变更换证、注销工作。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6、办理人员调动入编手续200人次。</w:t>
            </w:r>
          </w:p>
        </w:tc>
      </w:tr>
      <w:tr w14:paraId="45FC82D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70B7C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51852">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B7DAE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C571F">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EEDD4">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D6501">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D193E">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37BE0">
            <w:pPr>
              <w:jc w:val="center"/>
            </w:pPr>
            <w:r>
              <w:rPr>
                <w:rFonts w:ascii="宋体" w:hAnsi="宋体" w:eastAsia="宋体"/>
                <w:sz w:val="16"/>
              </w:rPr>
              <w:t>得分</w:t>
            </w:r>
          </w:p>
        </w:tc>
      </w:tr>
      <w:tr w14:paraId="600B3E7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473B6">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A1BF2C">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71163">
            <w:pPr>
              <w:jc w:val="center"/>
            </w:pPr>
            <w:r>
              <w:rPr>
                <w:rFonts w:ascii="宋体" w:hAnsi="宋体" w:eastAsia="宋体"/>
                <w:sz w:val="16"/>
              </w:rPr>
              <w:t>在岗人员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9EF9B">
            <w:pPr>
              <w:jc w:val="center"/>
            </w:pPr>
            <w:r>
              <w:rPr>
                <w:rFonts w:ascii="宋体" w:hAnsi="宋体" w:eastAsia="宋体"/>
                <w:sz w:val="16"/>
              </w:rPr>
              <w:t>&gt;=12人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49BC43">
            <w:pPr>
              <w:jc w:val="center"/>
            </w:pPr>
            <w:r>
              <w:rPr>
                <w:rFonts w:ascii="宋体" w:hAnsi="宋体" w:eastAsia="宋体"/>
                <w:sz w:val="16"/>
              </w:rPr>
              <w:t>关于印发《中共吉木萨尔县委员会机构编制委员会办公室职能配置内设机构和人员编制规定》</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67DB4">
            <w:pPr>
              <w:jc w:val="center"/>
            </w:pPr>
            <w:r>
              <w:rPr>
                <w:rFonts w:ascii="宋体" w:hAnsi="宋体" w:eastAsia="宋体"/>
                <w:sz w:val="16"/>
              </w:rPr>
              <w:t>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55E24">
            <w:pPr>
              <w:jc w:val="center"/>
            </w:pPr>
            <w:r>
              <w:rPr>
                <w:rFonts w:ascii="宋体" w:hAnsi="宋体" w:eastAsia="宋体"/>
                <w:sz w:val="16"/>
              </w:rPr>
              <w:t>=13人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F8C9A">
            <w:pPr>
              <w:jc w:val="center"/>
            </w:pPr>
            <w:r>
              <w:rPr>
                <w:rFonts w:ascii="宋体" w:hAnsi="宋体" w:eastAsia="宋体"/>
                <w:sz w:val="16"/>
              </w:rPr>
              <w:t>19</w:t>
            </w:r>
          </w:p>
        </w:tc>
      </w:tr>
      <w:tr w14:paraId="3B1E402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766F6F">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C254B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246CD">
            <w:pPr>
              <w:jc w:val="center"/>
            </w:pPr>
            <w:r>
              <w:rPr>
                <w:rFonts w:ascii="宋体" w:hAnsi="宋体" w:eastAsia="宋体"/>
                <w:sz w:val="16"/>
              </w:rPr>
              <w:t>事业单位三定方案修订</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E1034">
            <w:pPr>
              <w:jc w:val="center"/>
            </w:pPr>
            <w:r>
              <w:rPr>
                <w:rFonts w:ascii="宋体" w:hAnsi="宋体" w:eastAsia="宋体"/>
                <w:sz w:val="16"/>
              </w:rPr>
              <w:t>=54个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663CD">
            <w:pPr>
              <w:jc w:val="center"/>
            </w:pPr>
            <w:r>
              <w:rPr>
                <w:rFonts w:ascii="宋体" w:hAnsi="宋体" w:eastAsia="宋体"/>
                <w:sz w:val="16"/>
              </w:rPr>
              <w:t>关于印发《吉木萨尔县深化事业单位改革试点实施方案》的通知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FE2356">
            <w:pPr>
              <w:jc w:val="center"/>
            </w:pPr>
            <w:r>
              <w:rPr>
                <w:rFonts w:ascii="宋体" w:hAnsi="宋体" w:eastAsia="宋体"/>
                <w:sz w:val="16"/>
              </w:rPr>
              <w:t>25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F9A33">
            <w:pPr>
              <w:jc w:val="center"/>
            </w:pPr>
            <w:r>
              <w:rPr>
                <w:rFonts w:ascii="宋体" w:hAnsi="宋体" w:eastAsia="宋体"/>
                <w:sz w:val="16"/>
              </w:rPr>
              <w:t>=54个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42CDE">
            <w:pPr>
              <w:jc w:val="center"/>
            </w:pPr>
            <w:r>
              <w:rPr>
                <w:rFonts w:ascii="宋体" w:hAnsi="宋体" w:eastAsia="宋体"/>
                <w:sz w:val="16"/>
              </w:rPr>
              <w:t>25</w:t>
            </w:r>
          </w:p>
        </w:tc>
      </w:tr>
      <w:tr w14:paraId="26A32B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177E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2AF79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2D249">
            <w:pPr>
              <w:jc w:val="center"/>
            </w:pPr>
            <w:r>
              <w:rPr>
                <w:rFonts w:ascii="宋体" w:hAnsi="宋体" w:eastAsia="宋体"/>
                <w:sz w:val="16"/>
              </w:rPr>
              <w:t>事业单位法人证书年审注销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9F442">
            <w:pPr>
              <w:jc w:val="center"/>
            </w:pPr>
            <w:r>
              <w:rPr>
                <w:rFonts w:ascii="宋体" w:hAnsi="宋体" w:eastAsia="宋体"/>
                <w:sz w:val="16"/>
              </w:rPr>
              <w:t>=118个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3D51E">
            <w:pPr>
              <w:jc w:val="center"/>
            </w:pPr>
            <w:r>
              <w:rPr>
                <w:rFonts w:ascii="宋体" w:hAnsi="宋体" w:eastAsia="宋体"/>
                <w:sz w:val="16"/>
              </w:rPr>
              <w:t>关于做好2023年度事业单位法人年度</w:t>
            </w:r>
            <w:r>
              <w:rPr>
                <w:rFonts w:hint="eastAsia" w:ascii="宋体" w:hAnsi="宋体"/>
                <w:sz w:val="16"/>
                <w:lang w:eastAsia="zh-CN"/>
              </w:rPr>
              <w:t>报</w:t>
            </w:r>
            <w:r>
              <w:rPr>
                <w:rFonts w:hint="eastAsia" w:ascii="宋体" w:hAnsi="宋体"/>
                <w:sz w:val="16"/>
                <w:lang w:val="en-US" w:eastAsia="zh-CN"/>
              </w:rPr>
              <w:t>告</w:t>
            </w:r>
            <w:r>
              <w:rPr>
                <w:rFonts w:ascii="宋体" w:hAnsi="宋体" w:eastAsia="宋体"/>
                <w:sz w:val="16"/>
              </w:rPr>
              <w:t>工作的通知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403B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6E13B">
            <w:pPr>
              <w:jc w:val="center"/>
            </w:pPr>
            <w:r>
              <w:rPr>
                <w:rFonts w:ascii="宋体" w:hAnsi="宋体" w:eastAsia="宋体"/>
                <w:sz w:val="16"/>
              </w:rPr>
              <w:t>=118个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11FF9">
            <w:pPr>
              <w:jc w:val="center"/>
            </w:pPr>
            <w:r>
              <w:rPr>
                <w:rFonts w:ascii="宋体" w:hAnsi="宋体" w:eastAsia="宋体"/>
                <w:sz w:val="16"/>
              </w:rPr>
              <w:t>18</w:t>
            </w:r>
          </w:p>
        </w:tc>
      </w:tr>
      <w:tr w14:paraId="4EA1A7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7521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3681C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F55417">
            <w:pPr>
              <w:jc w:val="center"/>
            </w:pPr>
            <w:r>
              <w:rPr>
                <w:rFonts w:ascii="宋体" w:hAnsi="宋体" w:eastAsia="宋体"/>
                <w:sz w:val="16"/>
              </w:rPr>
              <w:t>办理编制使用手续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A1E19">
            <w:pPr>
              <w:jc w:val="center"/>
            </w:pPr>
            <w:r>
              <w:rPr>
                <w:rFonts w:ascii="宋体" w:hAnsi="宋体" w:eastAsia="宋体"/>
                <w:sz w:val="16"/>
              </w:rPr>
              <w:t>&gt;=200件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974CD">
            <w:pPr>
              <w:jc w:val="center"/>
            </w:pPr>
            <w:r>
              <w:rPr>
                <w:rFonts w:ascii="宋体" w:hAnsi="宋体" w:eastAsia="宋体"/>
                <w:sz w:val="16"/>
              </w:rPr>
              <w:t>县委编办工作要点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17E74">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07801">
            <w:pPr>
              <w:jc w:val="center"/>
            </w:pPr>
            <w:r>
              <w:rPr>
                <w:rFonts w:ascii="宋体" w:hAnsi="宋体" w:eastAsia="宋体"/>
                <w:sz w:val="16"/>
              </w:rPr>
              <w:t>=200件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3B49B">
            <w:pPr>
              <w:jc w:val="center"/>
            </w:pPr>
            <w:r>
              <w:rPr>
                <w:rFonts w:ascii="宋体" w:hAnsi="宋体" w:eastAsia="宋体"/>
                <w:sz w:val="16"/>
              </w:rPr>
              <w:t>15</w:t>
            </w:r>
          </w:p>
        </w:tc>
      </w:tr>
      <w:tr w14:paraId="77D86C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2681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1DF10">
            <w:pPr>
              <w:jc w:val="center"/>
            </w:pPr>
            <w:r>
              <w:rPr>
                <w:rFonts w:ascii="宋体" w:hAnsi="宋体" w:eastAsia="宋体"/>
                <w:sz w:val="16"/>
              </w:rPr>
              <w:t>社会效益指标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F051DC">
            <w:pPr>
              <w:jc w:val="center"/>
            </w:pPr>
            <w:r>
              <w:rPr>
                <w:rFonts w:ascii="宋体" w:hAnsi="宋体" w:eastAsia="宋体"/>
                <w:sz w:val="16"/>
              </w:rPr>
              <w:t>机构改革完成情况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55210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14B72">
            <w:pPr>
              <w:jc w:val="center"/>
            </w:pPr>
            <w:r>
              <w:rPr>
                <w:rFonts w:ascii="宋体" w:hAnsi="宋体" w:eastAsia="宋体"/>
                <w:sz w:val="16"/>
              </w:rPr>
              <w:t>区州文件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CDD97">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832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5C8AD">
            <w:pPr>
              <w:jc w:val="center"/>
            </w:pPr>
            <w:r>
              <w:rPr>
                <w:rFonts w:ascii="宋体" w:hAnsi="宋体" w:eastAsia="宋体"/>
                <w:sz w:val="16"/>
              </w:rPr>
              <w:t>13</w:t>
            </w:r>
          </w:p>
        </w:tc>
      </w:tr>
    </w:tbl>
    <w:p w14:paraId="20E78ABF">
      <w:r>
        <w:br w:type="page"/>
      </w:r>
    </w:p>
    <w:p w14:paraId="724D05A6">
      <w:pPr>
        <w:spacing w:line="640" w:lineRule="exact"/>
        <w:ind w:firstLine="640"/>
        <w:jc w:val="both"/>
        <w:outlineLvl w:val="2"/>
      </w:pPr>
      <w:r>
        <w:rPr>
          <w:rFonts w:ascii="黑体" w:hAnsi="黑体" w:eastAsia="黑体"/>
          <w:sz w:val="32"/>
        </w:rPr>
        <w:t>十二、其他需说明的事项</w:t>
      </w:r>
    </w:p>
    <w:p w14:paraId="0416CE3E">
      <w:pPr>
        <w:spacing w:line="580" w:lineRule="exact"/>
        <w:ind w:firstLine="640"/>
        <w:jc w:val="both"/>
      </w:pPr>
      <w:r>
        <w:rPr>
          <w:rFonts w:ascii="仿宋_GB2312" w:hAnsi="仿宋_GB2312" w:eastAsia="仿宋_GB2312"/>
          <w:b w:val="0"/>
          <w:sz w:val="32"/>
        </w:rPr>
        <w:t>本单位无其他需说明的事项。</w:t>
      </w:r>
    </w:p>
    <w:p w14:paraId="2C4BC0D4">
      <w:r>
        <w:br w:type="page"/>
      </w:r>
    </w:p>
    <w:p w14:paraId="47F7B097">
      <w:pPr>
        <w:spacing w:line="240" w:lineRule="auto"/>
        <w:jc w:val="center"/>
        <w:outlineLvl w:val="1"/>
      </w:pPr>
      <w:r>
        <w:rPr>
          <w:rFonts w:ascii="黑体" w:hAnsi="黑体" w:eastAsia="黑体"/>
          <w:sz w:val="32"/>
        </w:rPr>
        <w:t>第三部分 专业名词解释</w:t>
      </w:r>
    </w:p>
    <w:p w14:paraId="44B69A4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CEC896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432083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189B6FF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06FD6C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E8A4D2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116DDB1">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1F08AF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9A4998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6B5D2B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DABF97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2E07EF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E377E7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F4393AC">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0FE3E02">
      <w:r>
        <w:br w:type="page"/>
      </w:r>
    </w:p>
    <w:p w14:paraId="09D39D3B">
      <w:pPr>
        <w:spacing w:line="240" w:lineRule="auto"/>
        <w:jc w:val="center"/>
        <w:outlineLvl w:val="1"/>
      </w:pPr>
      <w:r>
        <w:rPr>
          <w:rFonts w:ascii="黑体" w:hAnsi="黑体" w:eastAsia="黑体"/>
          <w:sz w:val="32"/>
        </w:rPr>
        <w:t>第四部分 部门决算报表（见附表）</w:t>
      </w:r>
    </w:p>
    <w:p w14:paraId="21E783B5">
      <w:pPr>
        <w:spacing w:line="240" w:lineRule="auto"/>
        <w:ind w:firstLine="640"/>
        <w:jc w:val="both"/>
      </w:pPr>
      <w:r>
        <w:rPr>
          <w:rFonts w:ascii="仿宋_GB2312" w:hAnsi="仿宋_GB2312" w:eastAsia="仿宋_GB2312"/>
          <w:b w:val="0"/>
          <w:sz w:val="32"/>
        </w:rPr>
        <w:t>一、《收入支出决算总表》</w:t>
      </w:r>
    </w:p>
    <w:p w14:paraId="79D9FEF0">
      <w:pPr>
        <w:spacing w:line="240" w:lineRule="auto"/>
        <w:ind w:firstLine="640"/>
        <w:jc w:val="both"/>
      </w:pPr>
      <w:r>
        <w:rPr>
          <w:rFonts w:ascii="仿宋_GB2312" w:hAnsi="仿宋_GB2312" w:eastAsia="仿宋_GB2312"/>
          <w:b w:val="0"/>
          <w:sz w:val="32"/>
        </w:rPr>
        <w:t>二、《收入决算表》</w:t>
      </w:r>
    </w:p>
    <w:p w14:paraId="447419D0">
      <w:pPr>
        <w:spacing w:line="240" w:lineRule="auto"/>
        <w:ind w:firstLine="640"/>
        <w:jc w:val="both"/>
      </w:pPr>
      <w:r>
        <w:rPr>
          <w:rFonts w:ascii="仿宋_GB2312" w:hAnsi="仿宋_GB2312" w:eastAsia="仿宋_GB2312"/>
          <w:b w:val="0"/>
          <w:sz w:val="32"/>
        </w:rPr>
        <w:t>三、《支出决算表》</w:t>
      </w:r>
    </w:p>
    <w:p w14:paraId="2DE86AA6">
      <w:pPr>
        <w:spacing w:line="240" w:lineRule="auto"/>
        <w:ind w:firstLine="640"/>
        <w:jc w:val="both"/>
      </w:pPr>
      <w:r>
        <w:rPr>
          <w:rFonts w:ascii="仿宋_GB2312" w:hAnsi="仿宋_GB2312" w:eastAsia="仿宋_GB2312"/>
          <w:b w:val="0"/>
          <w:sz w:val="32"/>
        </w:rPr>
        <w:t>四、《财政拨款收入支出决算总表》</w:t>
      </w:r>
    </w:p>
    <w:p w14:paraId="1D669064">
      <w:pPr>
        <w:spacing w:line="240" w:lineRule="auto"/>
        <w:ind w:firstLine="640"/>
        <w:jc w:val="both"/>
      </w:pPr>
      <w:r>
        <w:rPr>
          <w:rFonts w:ascii="仿宋_GB2312" w:hAnsi="仿宋_GB2312" w:eastAsia="仿宋_GB2312"/>
          <w:b w:val="0"/>
          <w:sz w:val="32"/>
        </w:rPr>
        <w:t>五、《一般公共预算财政拨款支出决算表》</w:t>
      </w:r>
    </w:p>
    <w:p w14:paraId="005321B2">
      <w:pPr>
        <w:spacing w:line="240" w:lineRule="auto"/>
        <w:ind w:firstLine="640"/>
        <w:jc w:val="both"/>
      </w:pPr>
      <w:r>
        <w:rPr>
          <w:rFonts w:ascii="仿宋_GB2312" w:hAnsi="仿宋_GB2312" w:eastAsia="仿宋_GB2312"/>
          <w:b w:val="0"/>
          <w:sz w:val="32"/>
        </w:rPr>
        <w:t>六、《一般公共预算财政拨款基本支出决算表》</w:t>
      </w:r>
    </w:p>
    <w:p w14:paraId="27EAD11E">
      <w:pPr>
        <w:spacing w:line="240" w:lineRule="auto"/>
        <w:ind w:firstLine="640"/>
        <w:jc w:val="both"/>
      </w:pPr>
      <w:r>
        <w:rPr>
          <w:rFonts w:ascii="仿宋_GB2312" w:hAnsi="仿宋_GB2312" w:eastAsia="仿宋_GB2312"/>
          <w:b w:val="0"/>
          <w:sz w:val="32"/>
        </w:rPr>
        <w:t>七、《政府性基金预算财政拨款收入支出决算表》</w:t>
      </w:r>
    </w:p>
    <w:p w14:paraId="15366810">
      <w:pPr>
        <w:spacing w:line="240" w:lineRule="auto"/>
        <w:ind w:firstLine="640"/>
        <w:jc w:val="both"/>
      </w:pPr>
      <w:r>
        <w:rPr>
          <w:rFonts w:ascii="仿宋_GB2312" w:hAnsi="仿宋_GB2312" w:eastAsia="仿宋_GB2312"/>
          <w:b w:val="0"/>
          <w:sz w:val="32"/>
        </w:rPr>
        <w:t>八、《国有资本经营预算财政拨款收入支出决算表》</w:t>
      </w:r>
    </w:p>
    <w:p w14:paraId="06B37427">
      <w:pPr>
        <w:spacing w:line="240" w:lineRule="auto"/>
        <w:ind w:firstLine="640"/>
        <w:jc w:val="both"/>
      </w:pPr>
      <w:r>
        <w:rPr>
          <w:rFonts w:ascii="仿宋_GB2312" w:hAnsi="仿宋_GB2312" w:eastAsia="仿宋_GB2312"/>
          <w:b w:val="0"/>
          <w:sz w:val="32"/>
        </w:rPr>
        <w:t>九、《财政拨款“三公”经费支出决算表》</w:t>
      </w:r>
    </w:p>
    <w:p w14:paraId="70161B9A">
      <w:pPr>
        <w:spacing w:line="240" w:lineRule="auto"/>
        <w:ind w:firstLine="640"/>
        <w:jc w:val="both"/>
      </w:pPr>
    </w:p>
    <w:p w14:paraId="0CDACF94">
      <w:pPr>
        <w:spacing w:line="240" w:lineRule="auto"/>
        <w:ind w:firstLine="640"/>
        <w:jc w:val="both"/>
      </w:pPr>
    </w:p>
    <w:p w14:paraId="22092BA5">
      <w:pPr>
        <w:spacing w:line="240" w:lineRule="auto"/>
        <w:ind w:firstLine="640"/>
        <w:jc w:val="both"/>
      </w:pPr>
    </w:p>
    <w:p w14:paraId="6A60292F">
      <w:pPr>
        <w:spacing w:line="240" w:lineRule="auto"/>
        <w:ind w:firstLine="640"/>
        <w:jc w:val="both"/>
      </w:pPr>
    </w:p>
    <w:p w14:paraId="3BFE322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B16C095-FA76-469E-AED4-A118E74429FA}"/>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5D05881B-2EE0-4D7E-9EC8-8ECBBE27E451}"/>
  </w:font>
  <w:font w:name="仿宋_GB2312">
    <w:panose1 w:val="02010609030101010101"/>
    <w:charset w:val="86"/>
    <w:family w:val="modern"/>
    <w:pitch w:val="default"/>
    <w:sig w:usb0="00000001" w:usb1="080E0000" w:usb2="00000000" w:usb3="00000000" w:csb0="00040000" w:csb1="00000000"/>
    <w:embedRegular r:id="rId3" w:fontKey="{E15801EB-0A8F-433A-9390-F01224CB452F}"/>
  </w:font>
  <w:font w:name="楷体_GB2312">
    <w:panose1 w:val="02010609030101010101"/>
    <w:charset w:val="86"/>
    <w:family w:val="auto"/>
    <w:pitch w:val="default"/>
    <w:sig w:usb0="00000001" w:usb1="080E0000" w:usb2="00000000" w:usb3="00000000" w:csb0="00040000" w:csb1="00000000"/>
    <w:embedRegular r:id="rId4" w:fontKey="{FD8E7232-5484-474F-BB7F-2E1998CD671C}"/>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022044"/>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D81729B"/>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3966</Words>
  <Characters>4497</Characters>
  <Lines>0</Lines>
  <Paragraphs>0</Paragraphs>
  <TotalTime>4</TotalTime>
  <ScaleCrop>false</ScaleCrop>
  <LinksUpToDate>false</LinksUpToDate>
  <CharactersWithSpaces>4505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来财&amp;十个晴天</cp:lastModifiedBy>
  <cp:lastPrinted>2024-07-22T11:58:00Z</cp:lastPrinted>
  <dcterms:modified xsi:type="dcterms:W3CDTF">2025-10-13T10:04:43Z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eyJoZGlkIjoiMGIxZTI3ODM4ZmVjOGE5NDFiYmE3OTRiMjQ5OTEyNzIiLCJ1c2VySWQiOiIzNzI2MDMzNTYifQ==</vt:lpwstr>
  </property>
</Properties>
</file>