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D7FEF0">
      <w:pPr>
        <w:pBdr>
          <w:bottom w:val="dotDotDash" w:color="auto" w:sz="24" w:space="10"/>
        </w:pBdr>
        <w:autoSpaceDE w:val="0"/>
        <w:spacing w:before="312" w:beforeLines="100" w:after="312" w:afterLines="100"/>
        <w:ind w:firstLine="0" w:firstLineChars="0"/>
        <w:jc w:val="center"/>
        <w:rPr>
          <w:rFonts w:eastAsia="黑体"/>
          <w:b/>
          <w:color w:val="000000" w:themeColor="text1"/>
          <w:sz w:val="30"/>
          <w:szCs w:val="30"/>
          <w14:textFill>
            <w14:solidFill>
              <w14:schemeClr w14:val="tx1"/>
            </w14:solidFill>
          </w14:textFill>
        </w:rPr>
      </w:pPr>
    </w:p>
    <w:p w14:paraId="112C028F">
      <w:pPr>
        <w:pBdr>
          <w:bottom w:val="dotDotDash" w:color="auto" w:sz="24" w:space="10"/>
        </w:pBdr>
        <w:autoSpaceDE w:val="0"/>
        <w:spacing w:before="312" w:beforeLines="100" w:after="312" w:afterLines="100"/>
        <w:ind w:firstLine="0" w:firstLineChars="0"/>
        <w:jc w:val="center"/>
        <w:rPr>
          <w:rFonts w:eastAsia="黑体"/>
          <w:b/>
          <w:color w:val="000000" w:themeColor="text1"/>
          <w:sz w:val="30"/>
          <w:szCs w:val="30"/>
          <w14:textFill>
            <w14:solidFill>
              <w14:schemeClr w14:val="tx1"/>
            </w14:solidFill>
          </w14:textFill>
        </w:rPr>
      </w:pPr>
    </w:p>
    <w:p w14:paraId="4C10DD28">
      <w:pPr>
        <w:pBdr>
          <w:bottom w:val="dotDotDash" w:color="auto" w:sz="24" w:space="10"/>
        </w:pBdr>
        <w:spacing w:before="156" w:beforeLines="50" w:after="156" w:afterLines="50" w:line="240" w:lineRule="auto"/>
        <w:ind w:firstLine="0" w:firstLineChars="0"/>
        <w:jc w:val="center"/>
        <w:textAlignment w:val="center"/>
        <w:rPr>
          <w:rFonts w:hint="eastAsia" w:eastAsia="黑体"/>
          <w:b/>
          <w:color w:val="000000" w:themeColor="text1"/>
          <w:sz w:val="44"/>
          <w:szCs w:val="44"/>
          <w:lang w:eastAsia="zh-CN"/>
          <w14:textFill>
            <w14:solidFill>
              <w14:schemeClr w14:val="tx1"/>
            </w14:solidFill>
          </w14:textFill>
        </w:rPr>
      </w:pPr>
      <w:r>
        <w:rPr>
          <w:rFonts w:hint="eastAsia" w:eastAsia="黑体"/>
          <w:b/>
          <w:color w:val="000000" w:themeColor="text1"/>
          <w:sz w:val="44"/>
          <w:szCs w:val="44"/>
          <w:lang w:eastAsia="zh-CN"/>
          <w14:textFill>
            <w14:solidFill>
              <w14:schemeClr w14:val="tx1"/>
            </w14:solidFill>
          </w14:textFill>
        </w:rPr>
        <w:t>吉木萨尔县统计局</w:t>
      </w:r>
    </w:p>
    <w:p w14:paraId="755905F0">
      <w:pPr>
        <w:pBdr>
          <w:bottom w:val="dotDotDash" w:color="auto" w:sz="24" w:space="10"/>
        </w:pBdr>
        <w:spacing w:before="156" w:beforeLines="50" w:after="156" w:afterLines="50" w:line="240" w:lineRule="auto"/>
        <w:ind w:firstLine="0" w:firstLineChars="0"/>
        <w:jc w:val="center"/>
        <w:textAlignment w:val="center"/>
        <w:rPr>
          <w:rFonts w:eastAsia="黑体"/>
          <w:b/>
          <w:color w:val="000000" w:themeColor="text1"/>
          <w:sz w:val="44"/>
          <w:szCs w:val="44"/>
          <w14:textFill>
            <w14:solidFill>
              <w14:schemeClr w14:val="tx1"/>
            </w14:solidFill>
          </w14:textFill>
        </w:rPr>
      </w:pPr>
      <w:r>
        <w:rPr>
          <w:rFonts w:eastAsia="黑体"/>
          <w:b/>
          <w:color w:val="000000" w:themeColor="text1"/>
          <w:sz w:val="44"/>
          <w:szCs w:val="44"/>
          <w14:textFill>
            <w14:solidFill>
              <w14:schemeClr w14:val="tx1"/>
            </w14:solidFill>
          </w14:textFill>
        </w:rPr>
        <w:t>部门整体支出</w:t>
      </w:r>
    </w:p>
    <w:p w14:paraId="585458CD">
      <w:pPr>
        <w:autoSpaceDE w:val="0"/>
        <w:ind w:firstLine="0" w:firstLineChars="0"/>
        <w:jc w:val="center"/>
        <w:rPr>
          <w:rFonts w:eastAsia="黑体"/>
          <w:color w:val="000000" w:themeColor="text1"/>
          <w:sz w:val="44"/>
          <w:szCs w:val="44"/>
          <w14:textFill>
            <w14:solidFill>
              <w14:schemeClr w14:val="tx1"/>
            </w14:solidFill>
          </w14:textFill>
        </w:rPr>
      </w:pPr>
      <w:r>
        <w:rPr>
          <w:rFonts w:eastAsia="黑体"/>
          <w:color w:val="000000" w:themeColor="text1"/>
          <w:spacing w:val="23"/>
          <w:sz w:val="44"/>
          <w:szCs w:val="44"/>
          <w14:textFill>
            <w14:solidFill>
              <w14:schemeClr w14:val="tx1"/>
            </w14:solidFill>
          </w14:textFill>
        </w:rPr>
        <w:t>绩效评价报</w:t>
      </w:r>
      <w:r>
        <w:rPr>
          <w:rFonts w:eastAsia="黑体"/>
          <w:color w:val="000000" w:themeColor="text1"/>
          <w:spacing w:val="1"/>
          <w:sz w:val="44"/>
          <w:szCs w:val="44"/>
          <w14:textFill>
            <w14:solidFill>
              <w14:schemeClr w14:val="tx1"/>
            </w14:solidFill>
          </w14:textFill>
        </w:rPr>
        <w:t>告</w:t>
      </w:r>
    </w:p>
    <w:p w14:paraId="4A997CC3">
      <w:pPr>
        <w:autoSpaceDE w:val="0"/>
        <w:ind w:firstLine="0" w:firstLineChars="0"/>
        <w:jc w:val="center"/>
        <w:rPr>
          <w:color w:val="000000" w:themeColor="text1"/>
          <w14:textFill>
            <w14:solidFill>
              <w14:schemeClr w14:val="tx1"/>
            </w14:solidFill>
          </w14:textFill>
        </w:rPr>
      </w:pPr>
      <w:r>
        <w:rPr>
          <w:color w:val="000000" w:themeColor="text1"/>
          <w14:textFill>
            <w14:solidFill>
              <w14:schemeClr w14:val="tx1"/>
            </w14:solidFill>
          </w14:textFill>
        </w:rPr>
        <w:t>驰天会咨字[202</w:t>
      </w:r>
      <w:r>
        <w:rPr>
          <w:rFonts w:hint="eastAsia"/>
          <w:color w:val="000000" w:themeColor="text1"/>
          <w:lang w:val="en-US" w:eastAsia="zh-CN"/>
          <w14:textFill>
            <w14:solidFill>
              <w14:schemeClr w14:val="tx1"/>
            </w14:solidFill>
          </w14:textFill>
        </w:rPr>
        <w:t>5</w:t>
      </w:r>
      <w:r>
        <w:rPr>
          <w:color w:val="000000" w:themeColor="text1"/>
          <w14:textFill>
            <w14:solidFill>
              <w14:schemeClr w14:val="tx1"/>
            </w14:solidFill>
          </w14:textFill>
        </w:rPr>
        <w:t>]1-0</w:t>
      </w:r>
      <w:r>
        <w:rPr>
          <w:rFonts w:hint="eastAsia"/>
          <w:color w:val="000000" w:themeColor="text1"/>
          <w:lang w:val="en-US" w:eastAsia="zh-CN"/>
          <w14:textFill>
            <w14:solidFill>
              <w14:schemeClr w14:val="tx1"/>
            </w14:solidFill>
          </w14:textFill>
        </w:rPr>
        <w:t>171</w:t>
      </w:r>
      <w:r>
        <w:rPr>
          <w:color w:val="000000" w:themeColor="text1"/>
          <w14:textFill>
            <w14:solidFill>
              <w14:schemeClr w14:val="tx1"/>
            </w14:solidFill>
          </w14:textFill>
        </w:rPr>
        <w:t>号</w:t>
      </w:r>
    </w:p>
    <w:p w14:paraId="0E22CA2F">
      <w:pPr>
        <w:autoSpaceDE w:val="0"/>
        <w:ind w:firstLine="0" w:firstLineChars="0"/>
        <w:jc w:val="center"/>
        <w:rPr>
          <w:b/>
          <w:color w:val="000000" w:themeColor="text1"/>
          <w:sz w:val="32"/>
          <w:szCs w:val="32"/>
          <w14:textFill>
            <w14:solidFill>
              <w14:schemeClr w14:val="tx1"/>
            </w14:solidFill>
          </w14:textFill>
        </w:rPr>
      </w:pPr>
    </w:p>
    <w:p w14:paraId="0157B245">
      <w:pPr>
        <w:autoSpaceDE w:val="0"/>
        <w:ind w:firstLine="0" w:firstLineChars="0"/>
        <w:jc w:val="center"/>
        <w:rPr>
          <w:b/>
          <w:color w:val="000000" w:themeColor="text1"/>
          <w:sz w:val="32"/>
          <w:szCs w:val="32"/>
          <w14:textFill>
            <w14:solidFill>
              <w14:schemeClr w14:val="tx1"/>
            </w14:solidFill>
          </w14:textFill>
        </w:rPr>
      </w:pPr>
    </w:p>
    <w:p w14:paraId="1D7FD564">
      <w:pPr>
        <w:autoSpaceDE w:val="0"/>
        <w:ind w:firstLine="0" w:firstLineChars="0"/>
        <w:jc w:val="center"/>
        <w:rPr>
          <w:b/>
          <w:color w:val="000000" w:themeColor="text1"/>
          <w:sz w:val="32"/>
          <w:szCs w:val="32"/>
          <w14:textFill>
            <w14:solidFill>
              <w14:schemeClr w14:val="tx1"/>
            </w14:solidFill>
          </w14:textFill>
        </w:rPr>
      </w:pPr>
    </w:p>
    <w:p w14:paraId="1060A134">
      <w:pPr>
        <w:autoSpaceDE w:val="0"/>
        <w:ind w:firstLine="0" w:firstLineChars="0"/>
        <w:jc w:val="center"/>
        <w:rPr>
          <w:b/>
          <w:color w:val="000000" w:themeColor="text1"/>
          <w:sz w:val="32"/>
          <w:szCs w:val="32"/>
          <w14:textFill>
            <w14:solidFill>
              <w14:schemeClr w14:val="tx1"/>
            </w14:solidFill>
          </w14:textFill>
        </w:rPr>
      </w:pPr>
    </w:p>
    <w:p w14:paraId="56FDC982">
      <w:pPr>
        <w:autoSpaceDE w:val="0"/>
        <w:ind w:firstLine="0" w:firstLineChars="0"/>
        <w:jc w:val="center"/>
        <w:rPr>
          <w:b/>
          <w:color w:val="000000" w:themeColor="text1"/>
          <w:sz w:val="32"/>
          <w:szCs w:val="32"/>
          <w14:textFill>
            <w14:solidFill>
              <w14:schemeClr w14:val="tx1"/>
            </w14:solidFill>
          </w14:textFill>
        </w:rPr>
      </w:pPr>
    </w:p>
    <w:p w14:paraId="2F6D5C07">
      <w:pPr>
        <w:autoSpaceDE w:val="0"/>
        <w:ind w:firstLine="0" w:firstLineChars="0"/>
        <w:jc w:val="center"/>
        <w:rPr>
          <w:b/>
          <w:color w:val="000000" w:themeColor="text1"/>
          <w:sz w:val="32"/>
          <w:szCs w:val="32"/>
          <w14:textFill>
            <w14:solidFill>
              <w14:schemeClr w14:val="tx1"/>
            </w14:solidFill>
          </w14:textFill>
        </w:rPr>
      </w:pPr>
    </w:p>
    <w:p w14:paraId="16C2EB58">
      <w:pPr>
        <w:autoSpaceDE w:val="0"/>
        <w:ind w:firstLine="0" w:firstLineChars="0"/>
        <w:jc w:val="center"/>
        <w:rPr>
          <w:b/>
          <w:color w:val="000000" w:themeColor="text1"/>
          <w:sz w:val="32"/>
          <w:szCs w:val="32"/>
          <w14:textFill>
            <w14:solidFill>
              <w14:schemeClr w14:val="tx1"/>
            </w14:solidFill>
          </w14:textFill>
        </w:rPr>
      </w:pPr>
    </w:p>
    <w:p w14:paraId="2957080A">
      <w:pPr>
        <w:autoSpaceDE w:val="0"/>
        <w:ind w:firstLine="0" w:firstLineChars="0"/>
        <w:jc w:val="center"/>
        <w:rPr>
          <w:b/>
          <w:color w:val="000000" w:themeColor="text1"/>
          <w:sz w:val="32"/>
          <w:szCs w:val="32"/>
          <w14:textFill>
            <w14:solidFill>
              <w14:schemeClr w14:val="tx1"/>
            </w14:solidFill>
          </w14:textFill>
        </w:rPr>
      </w:pPr>
    </w:p>
    <w:p w14:paraId="0CA94E1B">
      <w:pPr>
        <w:autoSpaceDE w:val="0"/>
        <w:ind w:firstLine="0" w:firstLineChars="0"/>
        <w:rPr>
          <w:b/>
          <w:color w:val="000000" w:themeColor="text1"/>
          <w:sz w:val="32"/>
          <w:szCs w:val="32"/>
          <w14:textFill>
            <w14:solidFill>
              <w14:schemeClr w14:val="tx1"/>
            </w14:solidFill>
          </w14:textFill>
        </w:rPr>
      </w:pPr>
    </w:p>
    <w:p w14:paraId="77951F4B">
      <w:pPr>
        <w:autoSpaceDE w:val="0"/>
        <w:ind w:firstLine="0" w:firstLineChars="0"/>
        <w:rPr>
          <w:b/>
          <w:color w:val="000000" w:themeColor="text1"/>
          <w:sz w:val="32"/>
          <w:szCs w:val="32"/>
          <w14:textFill>
            <w14:solidFill>
              <w14:schemeClr w14:val="tx1"/>
            </w14:solidFill>
          </w14:textFill>
        </w:rPr>
      </w:pPr>
    </w:p>
    <w:p w14:paraId="31190C24">
      <w:pPr>
        <w:autoSpaceDE w:val="0"/>
        <w:ind w:firstLine="0" w:firstLineChars="0"/>
        <w:rPr>
          <w:b/>
          <w:color w:val="000000" w:themeColor="text1"/>
          <w:sz w:val="32"/>
          <w:szCs w:val="32"/>
          <w14:textFill>
            <w14:solidFill>
              <w14:schemeClr w14:val="tx1"/>
            </w14:solidFill>
          </w14:textFill>
        </w:rPr>
      </w:pPr>
    </w:p>
    <w:p w14:paraId="2B853B73">
      <w:pPr>
        <w:autoSpaceDE w:val="0"/>
        <w:ind w:firstLine="0" w:firstLineChars="0"/>
        <w:rPr>
          <w:b/>
          <w:color w:val="000000" w:themeColor="text1"/>
          <w:sz w:val="32"/>
          <w:szCs w:val="32"/>
          <w14:textFill>
            <w14:solidFill>
              <w14:schemeClr w14:val="tx1"/>
            </w14:solidFill>
          </w14:textFill>
        </w:rPr>
      </w:pPr>
    </w:p>
    <w:p w14:paraId="56858E9D">
      <w:pPr>
        <w:autoSpaceDE w:val="0"/>
        <w:ind w:firstLine="0" w:firstLineChars="0"/>
        <w:jc w:val="center"/>
        <w:rPr>
          <w:b/>
          <w:color w:val="000000" w:themeColor="text1"/>
          <w:sz w:val="32"/>
          <w:szCs w:val="32"/>
          <w14:textFill>
            <w14:solidFill>
              <w14:schemeClr w14:val="tx1"/>
            </w14:solidFill>
          </w14:textFill>
        </w:rPr>
      </w:pPr>
      <w:r>
        <w:rPr>
          <w:b/>
          <w:color w:val="000000" w:themeColor="text1"/>
          <w:sz w:val="32"/>
          <w:szCs w:val="32"/>
          <w14:textFill>
            <w14:solidFill>
              <w14:schemeClr w14:val="tx1"/>
            </w14:solidFill>
          </w14:textFill>
        </w:rPr>
        <w:t>新疆驰远天合有限责任会计师事务所</w:t>
      </w:r>
    </w:p>
    <w:p w14:paraId="6C1096B9">
      <w:pPr>
        <w:adjustRightInd/>
        <w:ind w:firstLine="0" w:firstLineChars="0"/>
        <w:jc w:val="center"/>
        <w:rPr>
          <w:rFonts w:eastAsia="等线"/>
          <w:b/>
          <w:color w:val="000000" w:themeColor="text1"/>
          <w:sz w:val="28"/>
          <w:szCs w:val="28"/>
          <w14:textFill>
            <w14:solidFill>
              <w14:schemeClr w14:val="tx1"/>
            </w14:solidFill>
          </w14:textFill>
        </w:rPr>
      </w:pPr>
      <w:r>
        <w:rPr>
          <w:rFonts w:eastAsia="等线"/>
          <w:b/>
          <w:color w:val="000000" w:themeColor="text1"/>
          <w:sz w:val="28"/>
          <w:szCs w:val="28"/>
          <w14:textFill>
            <w14:solidFill>
              <w14:schemeClr w14:val="tx1"/>
            </w14:solidFill>
          </w14:textFill>
        </w:rPr>
        <w:t>XIN</w:t>
      </w:r>
      <w:r>
        <w:rPr>
          <w:rFonts w:hint="eastAsia" w:eastAsia="等线"/>
          <w:b/>
          <w:color w:val="000000" w:themeColor="text1"/>
          <w:sz w:val="28"/>
          <w:szCs w:val="28"/>
          <w:lang w:val="en-US" w:eastAsia="zh-CN"/>
          <w14:textFill>
            <w14:solidFill>
              <w14:schemeClr w14:val="tx1"/>
            </w14:solidFill>
          </w14:textFill>
        </w:rPr>
        <w:t xml:space="preserve"> </w:t>
      </w:r>
      <w:r>
        <w:rPr>
          <w:rFonts w:eastAsia="等线"/>
          <w:b/>
          <w:color w:val="000000" w:themeColor="text1"/>
          <w:sz w:val="28"/>
          <w:szCs w:val="28"/>
          <w14:textFill>
            <w14:solidFill>
              <w14:schemeClr w14:val="tx1"/>
            </w14:solidFill>
          </w14:textFill>
        </w:rPr>
        <w:t>JIANG</w:t>
      </w:r>
      <w:r>
        <w:rPr>
          <w:rFonts w:hint="eastAsia" w:eastAsia="等线"/>
          <w:b/>
          <w:color w:val="000000" w:themeColor="text1"/>
          <w:sz w:val="28"/>
          <w:szCs w:val="28"/>
          <w:lang w:val="en-US" w:eastAsia="zh-CN"/>
          <w14:textFill>
            <w14:solidFill>
              <w14:schemeClr w14:val="tx1"/>
            </w14:solidFill>
          </w14:textFill>
        </w:rPr>
        <w:t xml:space="preserve"> </w:t>
      </w:r>
      <w:r>
        <w:rPr>
          <w:rFonts w:eastAsia="等线"/>
          <w:b/>
          <w:color w:val="000000" w:themeColor="text1"/>
          <w:sz w:val="28"/>
          <w:szCs w:val="28"/>
          <w14:textFill>
            <w14:solidFill>
              <w14:schemeClr w14:val="tx1"/>
            </w14:solidFill>
          </w14:textFill>
        </w:rPr>
        <w:t>CHI</w:t>
      </w:r>
      <w:r>
        <w:rPr>
          <w:rFonts w:hint="eastAsia" w:eastAsia="等线"/>
          <w:b/>
          <w:color w:val="000000" w:themeColor="text1"/>
          <w:sz w:val="28"/>
          <w:szCs w:val="28"/>
          <w:lang w:val="en-US" w:eastAsia="zh-CN"/>
          <w14:textFill>
            <w14:solidFill>
              <w14:schemeClr w14:val="tx1"/>
            </w14:solidFill>
          </w14:textFill>
        </w:rPr>
        <w:t xml:space="preserve"> </w:t>
      </w:r>
      <w:r>
        <w:rPr>
          <w:rFonts w:eastAsia="等线"/>
          <w:b/>
          <w:color w:val="000000" w:themeColor="text1"/>
          <w:sz w:val="28"/>
          <w:szCs w:val="28"/>
          <w14:textFill>
            <w14:solidFill>
              <w14:schemeClr w14:val="tx1"/>
            </w14:solidFill>
          </w14:textFill>
        </w:rPr>
        <w:t>YUAN</w:t>
      </w:r>
      <w:r>
        <w:rPr>
          <w:rFonts w:hint="eastAsia" w:eastAsia="等线"/>
          <w:b/>
          <w:color w:val="000000" w:themeColor="text1"/>
          <w:sz w:val="28"/>
          <w:szCs w:val="28"/>
          <w:lang w:val="en-US" w:eastAsia="zh-CN"/>
          <w14:textFill>
            <w14:solidFill>
              <w14:schemeClr w14:val="tx1"/>
            </w14:solidFill>
          </w14:textFill>
        </w:rPr>
        <w:t xml:space="preserve"> </w:t>
      </w:r>
      <w:r>
        <w:rPr>
          <w:rFonts w:eastAsia="等线"/>
          <w:b/>
          <w:color w:val="000000" w:themeColor="text1"/>
          <w:sz w:val="28"/>
          <w:szCs w:val="28"/>
          <w14:textFill>
            <w14:solidFill>
              <w14:schemeClr w14:val="tx1"/>
            </w14:solidFill>
          </w14:textFill>
        </w:rPr>
        <w:t>TIAN</w:t>
      </w:r>
      <w:r>
        <w:rPr>
          <w:rFonts w:hint="eastAsia" w:eastAsia="等线"/>
          <w:b/>
          <w:color w:val="000000" w:themeColor="text1"/>
          <w:sz w:val="28"/>
          <w:szCs w:val="28"/>
          <w:lang w:val="en-US" w:eastAsia="zh-CN"/>
          <w14:textFill>
            <w14:solidFill>
              <w14:schemeClr w14:val="tx1"/>
            </w14:solidFill>
          </w14:textFill>
        </w:rPr>
        <w:t xml:space="preserve"> </w:t>
      </w:r>
      <w:r>
        <w:rPr>
          <w:rFonts w:eastAsia="等线"/>
          <w:b/>
          <w:color w:val="000000" w:themeColor="text1"/>
          <w:sz w:val="28"/>
          <w:szCs w:val="28"/>
          <w14:textFill>
            <w14:solidFill>
              <w14:schemeClr w14:val="tx1"/>
            </w14:solidFill>
          </w14:textFill>
        </w:rPr>
        <w:t>HE</w:t>
      </w:r>
    </w:p>
    <w:p w14:paraId="181F4AA8">
      <w:pPr>
        <w:adjustRightInd/>
        <w:ind w:firstLine="0" w:firstLineChars="0"/>
        <w:jc w:val="center"/>
        <w:rPr>
          <w:rFonts w:eastAsia="等线"/>
          <w:b/>
          <w:color w:val="000000" w:themeColor="text1"/>
          <w:sz w:val="28"/>
          <w:szCs w:val="28"/>
          <w14:textFill>
            <w14:solidFill>
              <w14:schemeClr w14:val="tx1"/>
            </w14:solidFill>
          </w14:textFill>
        </w:rPr>
      </w:pPr>
      <w:r>
        <w:rPr>
          <w:rFonts w:eastAsia="等线"/>
          <w:b/>
          <w:color w:val="000000" w:themeColor="text1"/>
          <w14:textFill>
            <w14:solidFill>
              <w14:schemeClr w14:val="tx1"/>
            </w14:solidFill>
          </w14:textFill>
        </w:rPr>
        <w:t>Certified</w:t>
      </w:r>
      <w:r>
        <w:rPr>
          <w:rFonts w:hint="eastAsia" w:eastAsia="等线"/>
          <w:b/>
          <w:color w:val="000000" w:themeColor="text1"/>
          <w:lang w:val="en-US" w:eastAsia="zh-CN"/>
          <w14:textFill>
            <w14:solidFill>
              <w14:schemeClr w14:val="tx1"/>
            </w14:solidFill>
          </w14:textFill>
        </w:rPr>
        <w:t xml:space="preserve"> </w:t>
      </w:r>
      <w:r>
        <w:rPr>
          <w:rFonts w:eastAsia="等线"/>
          <w:b/>
          <w:color w:val="000000" w:themeColor="text1"/>
          <w14:textFill>
            <w14:solidFill>
              <w14:schemeClr w14:val="tx1"/>
            </w14:solidFill>
          </w14:textFill>
        </w:rPr>
        <w:t>Public</w:t>
      </w:r>
      <w:r>
        <w:rPr>
          <w:rFonts w:hint="eastAsia" w:eastAsia="等线"/>
          <w:b/>
          <w:color w:val="000000" w:themeColor="text1"/>
          <w:lang w:val="en-US" w:eastAsia="zh-CN"/>
          <w14:textFill>
            <w14:solidFill>
              <w14:schemeClr w14:val="tx1"/>
            </w14:solidFill>
          </w14:textFill>
        </w:rPr>
        <w:t xml:space="preserve"> </w:t>
      </w:r>
      <w:r>
        <w:rPr>
          <w:rFonts w:eastAsia="等线"/>
          <w:b/>
          <w:color w:val="000000" w:themeColor="text1"/>
          <w14:textFill>
            <w14:solidFill>
              <w14:schemeClr w14:val="tx1"/>
            </w14:solidFill>
          </w14:textFill>
        </w:rPr>
        <w:t>AccountantsCo.,Ltd.</w:t>
      </w:r>
    </w:p>
    <w:p w14:paraId="6735B4C2">
      <w:pPr>
        <w:autoSpaceDE w:val="0"/>
        <w:ind w:firstLine="0" w:firstLineChars="0"/>
        <w:jc w:val="center"/>
        <w:rPr>
          <w:rFonts w:eastAsia="等线"/>
          <w:b/>
          <w:color w:val="000000" w:themeColor="text1"/>
          <w14:textFill>
            <w14:solidFill>
              <w14:schemeClr w14:val="tx1"/>
            </w14:solidFill>
          </w14:textFill>
        </w:rPr>
      </w:pPr>
    </w:p>
    <w:p w14:paraId="6A2C9091">
      <w:pPr>
        <w:widowControl/>
        <w:ind w:firstLine="0" w:firstLineChars="0"/>
        <w:rPr>
          <w:rFonts w:eastAsia="黑体"/>
          <w:bCs/>
          <w:color w:val="000000" w:themeColor="text1"/>
          <w:sz w:val="24"/>
          <w:szCs w:val="24"/>
          <w14:textFill>
            <w14:solidFill>
              <w14:schemeClr w14:val="tx1"/>
            </w14:solidFill>
          </w14:textFill>
        </w:rPr>
      </w:pPr>
      <w:r>
        <w:rPr>
          <w:rFonts w:eastAsia="黑体"/>
          <w:bCs/>
          <w:color w:val="000000" w:themeColor="text1"/>
          <w:sz w:val="24"/>
          <w:szCs w:val="24"/>
          <w14:textFill>
            <w14:solidFill>
              <w14:schemeClr w14:val="tx1"/>
            </w14:solidFill>
          </w14:textFill>
        </w:rPr>
        <w:br w:type="page"/>
      </w:r>
    </w:p>
    <w:p w14:paraId="027A55D6">
      <w:pPr>
        <w:widowControl/>
        <w:ind w:firstLine="0" w:firstLineChars="0"/>
        <w:rPr>
          <w:rFonts w:hint="eastAsia" w:eastAsia="黑体"/>
          <w:bCs/>
          <w:color w:val="000000" w:themeColor="text1"/>
          <w:sz w:val="24"/>
          <w:szCs w:val="24"/>
          <w:lang w:eastAsia="zh-CN"/>
          <w14:textFill>
            <w14:solidFill>
              <w14:schemeClr w14:val="tx1"/>
            </w14:solidFill>
          </w14:textFill>
        </w:rPr>
      </w:pPr>
      <w:r>
        <w:rPr>
          <w:rFonts w:eastAsia="黑体"/>
          <w:bCs/>
          <w:color w:val="000000" w:themeColor="text1"/>
          <w:sz w:val="24"/>
          <w:szCs w:val="24"/>
          <w14:textFill>
            <w14:solidFill>
              <w14:schemeClr w14:val="tx1"/>
            </w14:solidFill>
          </w14:textFill>
        </w:rPr>
        <w:t>被评价单位：吉木萨尔县</w:t>
      </w:r>
      <w:r>
        <w:rPr>
          <w:rFonts w:hint="eastAsia" w:eastAsia="黑体"/>
          <w:bCs/>
          <w:color w:val="000000" w:themeColor="text1"/>
          <w:sz w:val="24"/>
          <w:szCs w:val="24"/>
          <w:lang w:val="en-US" w:eastAsia="zh-CN"/>
          <w14:textFill>
            <w14:solidFill>
              <w14:schemeClr w14:val="tx1"/>
            </w14:solidFill>
          </w14:textFill>
        </w:rPr>
        <w:t>统计局</w:t>
      </w:r>
    </w:p>
    <w:p w14:paraId="760A953C">
      <w:pPr>
        <w:widowControl/>
        <w:ind w:firstLine="0" w:firstLineChars="0"/>
        <w:rPr>
          <w:rFonts w:eastAsia="黑体"/>
          <w:bCs/>
          <w:color w:val="000000" w:themeColor="text1"/>
          <w:sz w:val="24"/>
          <w:szCs w:val="24"/>
          <w14:textFill>
            <w14:solidFill>
              <w14:schemeClr w14:val="tx1"/>
            </w14:solidFill>
          </w14:textFill>
        </w:rPr>
      </w:pPr>
      <w:r>
        <w:rPr>
          <w:rFonts w:eastAsia="黑体"/>
          <w:bCs/>
          <w:color w:val="000000" w:themeColor="text1"/>
          <w:sz w:val="24"/>
          <w:szCs w:val="24"/>
          <w14:textFill>
            <w14:solidFill>
              <w14:schemeClr w14:val="tx1"/>
            </w14:solidFill>
          </w14:textFill>
        </w:rPr>
        <w:t>委托单位：吉木萨尔县财政局</w:t>
      </w:r>
    </w:p>
    <w:p w14:paraId="66BCC219">
      <w:pPr>
        <w:widowControl/>
        <w:ind w:firstLine="0" w:firstLineChars="0"/>
        <w:rPr>
          <w:rFonts w:eastAsia="黑体"/>
          <w:bCs/>
          <w:color w:val="000000" w:themeColor="text1"/>
          <w:sz w:val="24"/>
          <w:szCs w:val="24"/>
          <w14:textFill>
            <w14:solidFill>
              <w14:schemeClr w14:val="tx1"/>
            </w14:solidFill>
          </w14:textFill>
        </w:rPr>
      </w:pPr>
      <w:r>
        <w:rPr>
          <w:rFonts w:eastAsia="黑体"/>
          <w:bCs/>
          <w:color w:val="000000" w:themeColor="text1"/>
          <w:sz w:val="24"/>
          <w:szCs w:val="24"/>
          <w14:textFill>
            <w14:solidFill>
              <w14:schemeClr w14:val="tx1"/>
            </w14:solidFill>
          </w14:textFill>
        </w:rPr>
        <w:t>评价机构：新疆驰远天合有限责任会计师事务所</w:t>
      </w:r>
    </w:p>
    <w:p w14:paraId="3E8C77F0">
      <w:pPr>
        <w:widowControl/>
        <w:ind w:firstLine="0" w:firstLineChars="0"/>
        <w:rPr>
          <w:rFonts w:eastAsia="黑体"/>
          <w:bCs/>
          <w:color w:val="000000" w:themeColor="text1"/>
          <w:sz w:val="24"/>
          <w:szCs w:val="24"/>
          <w14:textFill>
            <w14:solidFill>
              <w14:schemeClr w14:val="tx1"/>
            </w14:solidFill>
          </w14:textFill>
        </w:rPr>
      </w:pPr>
      <w:r>
        <w:rPr>
          <w:rFonts w:eastAsia="黑体"/>
          <w:bCs/>
          <w:color w:val="000000" w:themeColor="text1"/>
          <w:sz w:val="24"/>
          <w:szCs w:val="24"/>
          <w14:textFill>
            <w14:solidFill>
              <w14:schemeClr w14:val="tx1"/>
            </w14:solidFill>
          </w14:textFill>
        </w:rPr>
        <w:t>机构负责人：孙卫红</w:t>
      </w:r>
    </w:p>
    <w:p w14:paraId="6AC5FB76">
      <w:pPr>
        <w:widowControl/>
        <w:ind w:firstLine="0" w:firstLineChars="0"/>
        <w:rPr>
          <w:rFonts w:eastAsia="黑体"/>
          <w:bCs/>
          <w:color w:val="000000" w:themeColor="text1"/>
          <w:sz w:val="24"/>
          <w:szCs w:val="24"/>
          <w14:textFill>
            <w14:solidFill>
              <w14:schemeClr w14:val="tx1"/>
            </w14:solidFill>
          </w14:textFill>
        </w:rPr>
      </w:pPr>
      <w:r>
        <w:rPr>
          <w:rFonts w:eastAsia="黑体"/>
          <w:bCs/>
          <w:color w:val="000000" w:themeColor="text1"/>
          <w:sz w:val="24"/>
          <w:szCs w:val="24"/>
          <w14:textFill>
            <w14:solidFill>
              <w14:schemeClr w14:val="tx1"/>
            </w14:solidFill>
          </w14:textFill>
        </w:rPr>
        <w:t>联系方式：0991-2835917、0991-2831583</w:t>
      </w:r>
    </w:p>
    <w:p w14:paraId="05508BEA">
      <w:pPr>
        <w:widowControl/>
        <w:ind w:firstLine="0" w:firstLineChars="0"/>
        <w:rPr>
          <w:rFonts w:eastAsia="黑体"/>
          <w:bCs/>
          <w:color w:val="000000" w:themeColor="text1"/>
          <w:sz w:val="24"/>
          <w:szCs w:val="24"/>
          <w14:textFill>
            <w14:solidFill>
              <w14:schemeClr w14:val="tx1"/>
            </w14:solidFill>
          </w14:textFill>
        </w:rPr>
      </w:pPr>
      <w:r>
        <w:rPr>
          <w:rFonts w:eastAsia="黑体"/>
          <w:bCs/>
          <w:color w:val="000000" w:themeColor="text1"/>
          <w:sz w:val="24"/>
          <w:szCs w:val="24"/>
          <w14:textFill>
            <w14:solidFill>
              <w14:schemeClr w14:val="tx1"/>
            </w14:solidFill>
          </w14:textFill>
        </w:rPr>
        <w:t>通讯地址：新疆乌鲁木齐市天山区新华南路9号汇源大厦13楼</w:t>
      </w:r>
    </w:p>
    <w:p w14:paraId="1A1EDECA">
      <w:pPr>
        <w:widowControl/>
        <w:ind w:firstLine="0" w:firstLineChars="0"/>
        <w:rPr>
          <w:rFonts w:eastAsia="黑体"/>
          <w:bCs/>
          <w:color w:val="000000" w:themeColor="text1"/>
          <w:sz w:val="24"/>
          <w:szCs w:val="24"/>
          <w14:textFill>
            <w14:solidFill>
              <w14:schemeClr w14:val="tx1"/>
            </w14:solidFill>
          </w14:textFill>
        </w:rPr>
      </w:pPr>
      <w:r>
        <w:rPr>
          <w:rFonts w:eastAsia="黑体"/>
          <w:bCs/>
          <w:color w:val="000000" w:themeColor="text1"/>
          <w:sz w:val="24"/>
          <w:szCs w:val="24"/>
          <w14:textFill>
            <w14:solidFill>
              <w14:schemeClr w14:val="tx1"/>
            </w14:solidFill>
          </w14:textFill>
        </w:rPr>
        <w:t>邮政编码：830004</w:t>
      </w:r>
    </w:p>
    <w:p w14:paraId="286E9BA3">
      <w:pPr>
        <w:widowControl/>
        <w:ind w:firstLine="0" w:firstLineChars="0"/>
        <w:rPr>
          <w:rFonts w:eastAsia="黑体"/>
          <w:bCs/>
          <w:color w:val="000000" w:themeColor="text1"/>
          <w:sz w:val="24"/>
          <w:szCs w:val="24"/>
          <w14:textFill>
            <w14:solidFill>
              <w14:schemeClr w14:val="tx1"/>
            </w14:solidFill>
          </w14:textFill>
        </w:rPr>
      </w:pPr>
    </w:p>
    <w:p w14:paraId="3B9617AC">
      <w:pPr>
        <w:widowControl/>
        <w:ind w:firstLine="0" w:firstLineChars="0"/>
        <w:rPr>
          <w:rFonts w:eastAsia="黑体"/>
          <w:bCs/>
          <w:color w:val="000000" w:themeColor="text1"/>
          <w:sz w:val="24"/>
          <w:szCs w:val="24"/>
          <w14:textFill>
            <w14:solidFill>
              <w14:schemeClr w14:val="tx1"/>
            </w14:solidFill>
          </w14:textFill>
        </w:rPr>
      </w:pPr>
    </w:p>
    <w:p w14:paraId="09C43216">
      <w:pPr>
        <w:widowControl/>
        <w:spacing w:line="440" w:lineRule="exact"/>
        <w:ind w:firstLine="0" w:firstLineChars="0"/>
        <w:rPr>
          <w:rFonts w:eastAsia="黑体"/>
          <w:bCs/>
          <w:color w:val="000000" w:themeColor="text1"/>
          <w:sz w:val="24"/>
          <w:szCs w:val="24"/>
          <w14:textFill>
            <w14:solidFill>
              <w14:schemeClr w14:val="tx1"/>
            </w14:solidFill>
          </w14:textFill>
        </w:rPr>
      </w:pPr>
      <w:r>
        <w:rPr>
          <w:rFonts w:eastAsia="黑体"/>
          <w:bCs/>
          <w:color w:val="000000" w:themeColor="text1"/>
          <w:sz w:val="24"/>
          <w:szCs w:val="24"/>
          <w14:textFill>
            <w14:solidFill>
              <w14:schemeClr w14:val="tx1"/>
            </w14:solidFill>
          </w14:textFill>
        </w:rPr>
        <w:t>项目评价小组成员：</w:t>
      </w:r>
    </w:p>
    <w:p w14:paraId="17D1329B">
      <w:pPr>
        <w:widowControl/>
        <w:spacing w:line="240" w:lineRule="auto"/>
        <w:ind w:firstLine="480"/>
        <w:rPr>
          <w:rFonts w:eastAsia="黑体"/>
          <w:bCs/>
          <w:color w:val="000000" w:themeColor="text1"/>
          <w:sz w:val="24"/>
          <w:szCs w:val="24"/>
          <w14:textFill>
            <w14:solidFill>
              <w14:schemeClr w14:val="tx1"/>
            </w14:solidFill>
          </w14:textFill>
        </w:rPr>
      </w:pPr>
    </w:p>
    <w:p w14:paraId="5083C512">
      <w:pPr>
        <w:widowControl/>
        <w:spacing w:line="440" w:lineRule="exact"/>
        <w:ind w:firstLine="480"/>
        <w:rPr>
          <w:rFonts w:eastAsia="黑体"/>
          <w:bCs/>
          <w:color w:val="000000" w:themeColor="text1"/>
          <w:sz w:val="24"/>
          <w:szCs w:val="24"/>
          <w14:textFill>
            <w14:solidFill>
              <w14:schemeClr w14:val="tx1"/>
            </w14:solidFill>
          </w14:textFill>
        </w:rPr>
      </w:pPr>
      <w:r>
        <w:rPr>
          <w:rFonts w:eastAsia="黑体"/>
          <w:bCs/>
          <w:color w:val="000000" w:themeColor="text1"/>
          <w:sz w:val="24"/>
          <w:szCs w:val="24"/>
          <w14:textFill>
            <w14:solidFill>
              <w14:schemeClr w14:val="tx1"/>
            </w14:solidFill>
          </w14:textFill>
        </w:rPr>
        <w:t>项目主评人：冯延萍</w:t>
      </w:r>
      <w:r>
        <w:rPr>
          <w:rFonts w:hint="eastAsia" w:eastAsia="黑体"/>
          <w:bCs/>
          <w:color w:val="000000" w:themeColor="text1"/>
          <w:sz w:val="24"/>
          <w:szCs w:val="24"/>
          <w:lang w:val="en-US" w:eastAsia="zh-CN"/>
          <w14:textFill>
            <w14:solidFill>
              <w14:schemeClr w14:val="tx1"/>
            </w14:solidFill>
          </w14:textFill>
        </w:rPr>
        <w:t xml:space="preserve">  </w:t>
      </w:r>
      <w:r>
        <w:rPr>
          <w:rFonts w:eastAsia="黑体"/>
          <w:bCs/>
          <w:color w:val="000000" w:themeColor="text1"/>
          <w:sz w:val="24"/>
          <w:szCs w:val="24"/>
          <w14:textFill>
            <w14:solidFill>
              <w14:schemeClr w14:val="tx1"/>
            </w14:solidFill>
          </w14:textFill>
        </w:rPr>
        <w:t>注册会计师、注册评估师</w:t>
      </w:r>
    </w:p>
    <w:p w14:paraId="11C3E071">
      <w:pPr>
        <w:widowControl/>
        <w:spacing w:line="440" w:lineRule="exact"/>
        <w:ind w:firstLine="480"/>
        <w:rPr>
          <w:rFonts w:hint="default" w:eastAsia="黑体"/>
          <w:bCs/>
          <w:color w:val="000000" w:themeColor="text1"/>
          <w:sz w:val="24"/>
          <w:szCs w:val="24"/>
          <w:lang w:val="en-US" w:eastAsia="zh-CN"/>
          <w14:textFill>
            <w14:solidFill>
              <w14:schemeClr w14:val="tx1"/>
            </w14:solidFill>
          </w14:textFill>
        </w:rPr>
      </w:pPr>
      <w:r>
        <w:rPr>
          <w:rFonts w:eastAsia="黑体"/>
          <w:bCs/>
          <w:color w:val="000000" w:themeColor="text1"/>
          <w:sz w:val="24"/>
          <w:szCs w:val="24"/>
          <w14:textFill>
            <w14:solidFill>
              <w14:schemeClr w14:val="tx1"/>
            </w14:solidFill>
          </w14:textFill>
        </w:rPr>
        <w:t>报告复核人：腊晓林</w:t>
      </w:r>
      <w:r>
        <w:rPr>
          <w:rFonts w:hint="eastAsia" w:eastAsia="黑体"/>
          <w:bCs/>
          <w:color w:val="000000" w:themeColor="text1"/>
          <w:sz w:val="24"/>
          <w:szCs w:val="24"/>
          <w:lang w:val="en-US" w:eastAsia="zh-CN"/>
          <w14:textFill>
            <w14:solidFill>
              <w14:schemeClr w14:val="tx1"/>
            </w14:solidFill>
          </w14:textFill>
        </w:rPr>
        <w:t xml:space="preserve">  咨询工程师</w:t>
      </w:r>
    </w:p>
    <w:p w14:paraId="6E9641DC">
      <w:pPr>
        <w:widowControl/>
        <w:spacing w:line="440" w:lineRule="exact"/>
        <w:ind w:firstLine="480"/>
        <w:rPr>
          <w:rFonts w:eastAsia="黑体"/>
          <w:bCs/>
          <w:color w:val="000000" w:themeColor="text1"/>
          <w:sz w:val="24"/>
          <w:szCs w:val="24"/>
          <w14:textFill>
            <w14:solidFill>
              <w14:schemeClr w14:val="tx1"/>
            </w14:solidFill>
          </w14:textFill>
        </w:rPr>
      </w:pPr>
      <w:r>
        <w:rPr>
          <w:rFonts w:eastAsia="黑体"/>
          <w:bCs/>
          <w:color w:val="000000" w:themeColor="text1"/>
          <w:sz w:val="24"/>
          <w:szCs w:val="24"/>
          <w14:textFill>
            <w14:solidFill>
              <w14:schemeClr w14:val="tx1"/>
            </w14:solidFill>
          </w14:textFill>
        </w:rPr>
        <w:t>项目负责人：郝欢</w:t>
      </w:r>
    </w:p>
    <w:p w14:paraId="50BE9034">
      <w:pPr>
        <w:widowControl/>
        <w:spacing w:line="440" w:lineRule="exact"/>
        <w:ind w:firstLine="480"/>
        <w:rPr>
          <w:rFonts w:hint="eastAsia" w:eastAsia="黑体"/>
          <w:bCs/>
          <w:color w:val="000000" w:themeColor="text1"/>
          <w:sz w:val="24"/>
          <w:szCs w:val="24"/>
          <w:lang w:val="en-US" w:eastAsia="zh-CN"/>
          <w14:textFill>
            <w14:solidFill>
              <w14:schemeClr w14:val="tx1"/>
            </w14:solidFill>
          </w14:textFill>
        </w:rPr>
      </w:pPr>
      <w:r>
        <w:rPr>
          <w:rFonts w:eastAsia="黑体"/>
          <w:bCs/>
          <w:color w:val="000000" w:themeColor="text1"/>
          <w:sz w:val="24"/>
          <w:szCs w:val="24"/>
          <w14:textFill>
            <w14:solidFill>
              <w14:schemeClr w14:val="tx1"/>
            </w14:solidFill>
          </w14:textFill>
        </w:rPr>
        <w:t>项目组成员：</w:t>
      </w:r>
      <w:r>
        <w:rPr>
          <w:rFonts w:hint="eastAsia" w:eastAsia="黑体"/>
          <w:bCs/>
          <w:color w:val="000000" w:themeColor="text1"/>
          <w:sz w:val="24"/>
          <w:szCs w:val="24"/>
          <w:lang w:val="en-US" w:eastAsia="zh-CN"/>
          <w14:textFill>
            <w14:solidFill>
              <w14:schemeClr w14:val="tx1"/>
            </w14:solidFill>
          </w14:textFill>
        </w:rPr>
        <w:t>马红伟</w:t>
      </w:r>
    </w:p>
    <w:p w14:paraId="761D084C">
      <w:pPr>
        <w:widowControl/>
        <w:spacing w:line="560" w:lineRule="exact"/>
        <w:ind w:firstLine="0" w:firstLineChars="0"/>
        <w:rPr>
          <w:rFonts w:eastAsia="黑体"/>
          <w:bCs/>
          <w:color w:val="000000" w:themeColor="text1"/>
          <w14:textFill>
            <w14:solidFill>
              <w14:schemeClr w14:val="tx1"/>
            </w14:solidFill>
          </w14:textFill>
        </w:rPr>
      </w:pPr>
    </w:p>
    <w:p w14:paraId="7BA1663D">
      <w:pPr>
        <w:widowControl/>
        <w:adjustRightInd/>
        <w:snapToGrid/>
        <w:spacing w:line="240" w:lineRule="auto"/>
        <w:ind w:firstLine="0" w:firstLineChars="0"/>
        <w:jc w:val="left"/>
        <w:rPr>
          <w:rFonts w:eastAsia="黑体"/>
          <w:bCs/>
          <w:color w:val="000000" w:themeColor="text1"/>
          <w14:textFill>
            <w14:solidFill>
              <w14:schemeClr w14:val="tx1"/>
            </w14:solidFill>
          </w14:textFill>
        </w:rPr>
        <w:sectPr>
          <w:headerReference r:id="rId9" w:type="first"/>
          <w:footerReference r:id="rId12" w:type="first"/>
          <w:headerReference r:id="rId7" w:type="default"/>
          <w:footerReference r:id="rId10" w:type="default"/>
          <w:headerReference r:id="rId8" w:type="even"/>
          <w:footerReference r:id="rId11" w:type="even"/>
          <w:pgSz w:w="11906" w:h="16838"/>
          <w:pgMar w:top="1440" w:right="1797" w:bottom="1440" w:left="1797" w:header="851" w:footer="992" w:gutter="0"/>
          <w:pgNumType w:fmt="upperRoman"/>
          <w:cols w:space="720" w:num="1"/>
          <w:docGrid w:type="lines" w:linePitch="312" w:charSpace="0"/>
        </w:sectPr>
      </w:pPr>
    </w:p>
    <w:p w14:paraId="49F27219">
      <w:pPr>
        <w:keepNext/>
        <w:keepLines/>
        <w:ind w:firstLine="0" w:firstLineChars="0"/>
        <w:jc w:val="center"/>
        <w:outlineLvl w:val="0"/>
        <w:rPr>
          <w:b/>
          <w:color w:val="000000" w:themeColor="text1"/>
          <w:kern w:val="44"/>
          <w:sz w:val="24"/>
          <w:szCs w:val="24"/>
          <w14:textFill>
            <w14:solidFill>
              <w14:schemeClr w14:val="tx1"/>
            </w14:solidFill>
          </w14:textFill>
        </w:rPr>
      </w:pPr>
      <w:bookmarkStart w:id="0" w:name="_Toc28929"/>
      <w:bookmarkEnd w:id="0"/>
      <w:bookmarkStart w:id="1" w:name="_Toc2964"/>
      <w:bookmarkEnd w:id="1"/>
      <w:bookmarkStart w:id="2" w:name="_Toc13198"/>
      <w:bookmarkEnd w:id="2"/>
      <w:bookmarkStart w:id="3" w:name="_Toc26712"/>
      <w:bookmarkEnd w:id="3"/>
      <w:bookmarkStart w:id="4" w:name="_Toc13486"/>
      <w:bookmarkEnd w:id="4"/>
      <w:bookmarkStart w:id="5" w:name="_Toc16769"/>
      <w:bookmarkEnd w:id="5"/>
      <w:bookmarkStart w:id="6" w:name="_Toc10292"/>
      <w:bookmarkEnd w:id="6"/>
      <w:bookmarkStart w:id="7" w:name="_Toc17859"/>
      <w:bookmarkEnd w:id="7"/>
      <w:bookmarkStart w:id="8" w:name="_Toc795"/>
      <w:bookmarkEnd w:id="8"/>
      <w:bookmarkStart w:id="9" w:name="_Toc24445"/>
      <w:bookmarkStart w:id="10" w:name="_Toc16666"/>
      <w:bookmarkStart w:id="11" w:name="_Toc5613"/>
      <w:bookmarkStart w:id="12" w:name="_Toc3280"/>
      <w:r>
        <w:rPr>
          <w:b/>
          <w:color w:val="000000" w:themeColor="text1"/>
          <w:kern w:val="44"/>
          <w:sz w:val="24"/>
          <w:szCs w:val="24"/>
          <w14:textFill>
            <w14:solidFill>
              <w14:schemeClr w14:val="tx1"/>
            </w14:solidFill>
          </w14:textFill>
        </w:rPr>
        <w:t>报告摘要</w:t>
      </w:r>
      <w:bookmarkEnd w:id="9"/>
      <w:bookmarkEnd w:id="10"/>
      <w:bookmarkEnd w:id="11"/>
      <w:bookmarkEnd w:id="12"/>
    </w:p>
    <w:p w14:paraId="0FBF9C6B">
      <w:pPr>
        <w:ind w:firstLine="420"/>
        <w:rPr>
          <w:bCs/>
          <w:color w:val="000000" w:themeColor="text1"/>
          <w14:textFill>
            <w14:solidFill>
              <w14:schemeClr w14:val="tx1"/>
            </w14:solidFill>
          </w14:textFill>
        </w:rPr>
      </w:pPr>
      <w:r>
        <w:rPr>
          <w:color w:val="000000" w:themeColor="text1"/>
          <w14:textFill>
            <w14:solidFill>
              <w14:schemeClr w14:val="tx1"/>
            </w14:solidFill>
          </w14:textFill>
        </w:rPr>
        <w:t>受吉木萨尔县财政局委托，新疆驰远天合有限责任会计师事务所以第三方社会评价机构的身份，对</w:t>
      </w:r>
      <w:r>
        <w:rPr>
          <w:rFonts w:hint="eastAsia"/>
          <w:color w:val="000000" w:themeColor="text1"/>
          <w:lang w:eastAsia="zh-CN"/>
          <w14:textFill>
            <w14:solidFill>
              <w14:schemeClr w14:val="tx1"/>
            </w14:solidFill>
          </w14:textFill>
        </w:rPr>
        <w:t>吉木萨尔县统计局</w:t>
      </w:r>
      <w:r>
        <w:rPr>
          <w:color w:val="000000" w:themeColor="text1"/>
          <w14:textFill>
            <w14:solidFill>
              <w14:schemeClr w14:val="tx1"/>
            </w14:solidFill>
          </w14:textFill>
        </w:rPr>
        <w:t>开展了</w:t>
      </w:r>
      <w:r>
        <w:rPr>
          <w:rFonts w:hint="eastAsia"/>
          <w:color w:val="000000" w:themeColor="text1"/>
          <w:lang w:eastAsia="zh-CN"/>
          <w14:textFill>
            <w14:solidFill>
              <w14:schemeClr w14:val="tx1"/>
            </w14:solidFill>
          </w14:textFill>
        </w:rPr>
        <w:t>2024</w:t>
      </w:r>
      <w:r>
        <w:rPr>
          <w:color w:val="000000" w:themeColor="text1"/>
          <w14:textFill>
            <w14:solidFill>
              <w14:schemeClr w14:val="tx1"/>
            </w14:solidFill>
          </w14:textFill>
        </w:rPr>
        <w:t>年度部门整体绩效评价工作并形成绩效评价报告，评价情况如下：</w:t>
      </w:r>
    </w:p>
    <w:p w14:paraId="2D8174A5">
      <w:pPr>
        <w:ind w:firstLine="482"/>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一、基本情况</w:t>
      </w:r>
    </w:p>
    <w:p w14:paraId="2C081FE7">
      <w:pPr>
        <w:ind w:firstLine="422"/>
        <w:rPr>
          <w:b/>
          <w:color w:val="000000" w:themeColor="text1"/>
          <w14:textFill>
            <w14:solidFill>
              <w14:schemeClr w14:val="tx1"/>
            </w14:solidFill>
          </w14:textFill>
        </w:rPr>
      </w:pPr>
      <w:r>
        <w:rPr>
          <w:b/>
          <w:color w:val="000000" w:themeColor="text1"/>
          <w14:textFill>
            <w14:solidFill>
              <w14:schemeClr w14:val="tx1"/>
            </w14:solidFill>
          </w14:textFill>
        </w:rPr>
        <w:t>（一）部门单位概况</w:t>
      </w:r>
    </w:p>
    <w:p w14:paraId="30420939">
      <w:pPr>
        <w:ind w:firstLine="560"/>
        <w:rPr>
          <w:rFonts w:hint="eastAsia" w:ascii="Times New Roman" w:hAnsi="Times New Roman" w:eastAsia="宋体" w:cs="Times New Roman"/>
          <w:bCs/>
          <w:color w:val="000000" w:themeColor="text1"/>
          <w:szCs w:val="32"/>
          <w:lang w:eastAsia="zh-CN"/>
          <w14:textFill>
            <w14:solidFill>
              <w14:schemeClr w14:val="tx1"/>
            </w14:solidFill>
          </w14:textFill>
        </w:rPr>
      </w:pPr>
      <w:r>
        <w:rPr>
          <w:rFonts w:hint="eastAsia" w:ascii="Times New Roman" w:hAnsi="Times New Roman" w:cs="Times New Roman"/>
          <w:bCs/>
          <w:color w:val="000000" w:themeColor="text1"/>
          <w:szCs w:val="32"/>
          <w14:textFill>
            <w14:solidFill>
              <w14:schemeClr w14:val="tx1"/>
            </w14:solidFill>
          </w14:textFill>
        </w:rPr>
        <w:t>吉木萨尔县统计局，属于县人民政府工作部门，为正科级</w:t>
      </w:r>
      <w:r>
        <w:rPr>
          <w:rFonts w:hint="eastAsia" w:cs="Times New Roman"/>
          <w:bCs/>
          <w:color w:val="000000" w:themeColor="text1"/>
          <w:szCs w:val="32"/>
          <w:lang w:val="en-US" w:eastAsia="zh-CN"/>
          <w14:textFill>
            <w14:solidFill>
              <w14:schemeClr w14:val="tx1"/>
            </w14:solidFill>
          </w14:textFill>
        </w:rPr>
        <w:t>单位</w:t>
      </w:r>
      <w:r>
        <w:rPr>
          <w:rFonts w:hint="eastAsia" w:ascii="Times New Roman" w:hAnsi="Times New Roman" w:cs="Times New Roman"/>
          <w:bCs/>
          <w:color w:val="000000" w:themeColor="text1"/>
          <w:szCs w:val="32"/>
          <w14:textFill>
            <w14:solidFill>
              <w14:schemeClr w14:val="tx1"/>
            </w14:solidFill>
          </w14:textFill>
        </w:rPr>
        <w:t>。由中共吉木萨尔县委员会机构编制委员会办公室批准注册登记，统一社会信用代码证书：11652327738377250-D；机构地址</w:t>
      </w:r>
      <w:r>
        <w:rPr>
          <w:rFonts w:hint="eastAsia" w:ascii="Times New Roman" w:hAnsi="Times New Roman" w:cs="Times New Roman"/>
          <w:bCs/>
          <w:color w:val="000000" w:themeColor="text1"/>
          <w:szCs w:val="32"/>
          <w:lang w:eastAsia="zh-CN"/>
          <w14:textFill>
            <w14:solidFill>
              <w14:schemeClr w14:val="tx1"/>
            </w14:solidFill>
          </w14:textFill>
        </w:rPr>
        <w:t>：</w:t>
      </w:r>
      <w:r>
        <w:rPr>
          <w:rFonts w:hint="eastAsia" w:ascii="Times New Roman" w:hAnsi="Times New Roman" w:cs="Times New Roman"/>
          <w:bCs/>
          <w:color w:val="000000" w:themeColor="text1"/>
          <w:szCs w:val="32"/>
          <w14:textFill>
            <w14:solidFill>
              <w14:schemeClr w14:val="tx1"/>
            </w14:solidFill>
          </w14:textFill>
        </w:rPr>
        <w:t>吉木萨尔县文明西路3号政府大院内2号综合楼；为有效履行经济调节、市场监管、公共管理和社会服务等职能，全面、准确、及时地掌握本地区经济社会发展数据，负责开展各类统计调查、分析预测以及数据发布等工作，为地方政府决策和社会发展提供坚实的数据支撑与统计保障</w:t>
      </w:r>
      <w:r>
        <w:rPr>
          <w:rFonts w:hint="eastAsia" w:cs="Times New Roman"/>
          <w:bCs/>
          <w:color w:val="000000" w:themeColor="text1"/>
          <w:szCs w:val="32"/>
          <w:lang w:eastAsia="zh-CN"/>
          <w14:textFill>
            <w14:solidFill>
              <w14:schemeClr w14:val="tx1"/>
            </w14:solidFill>
          </w14:textFill>
        </w:rPr>
        <w:t>。</w:t>
      </w:r>
    </w:p>
    <w:p w14:paraId="02F06B3D">
      <w:pPr>
        <w:ind w:firstLine="560"/>
        <w:rPr>
          <w:rFonts w:ascii="Times New Roman" w:hAnsi="Times New Roman" w:cs="Times New Roman"/>
          <w:bCs/>
          <w:color w:val="000000" w:themeColor="text1"/>
          <w:szCs w:val="32"/>
          <w14:textFill>
            <w14:solidFill>
              <w14:schemeClr w14:val="tx1"/>
            </w14:solidFill>
          </w14:textFill>
        </w:rPr>
      </w:pPr>
      <w:r>
        <w:rPr>
          <w:rFonts w:hint="eastAsia" w:ascii="Times New Roman" w:hAnsi="Times New Roman" w:cs="Times New Roman"/>
          <w:bCs/>
          <w:color w:val="000000" w:themeColor="text1"/>
          <w:szCs w:val="32"/>
          <w14:textFill>
            <w14:solidFill>
              <w14:schemeClr w14:val="tx1"/>
            </w14:solidFill>
          </w14:textFill>
        </w:rPr>
        <w:t>吉木萨尔县统计局</w:t>
      </w:r>
      <w:r>
        <w:rPr>
          <w:rFonts w:hint="eastAsia" w:cs="Times New Roman"/>
          <w:bCs/>
          <w:color w:val="000000" w:themeColor="text1"/>
          <w:szCs w:val="32"/>
          <w:lang w:val="en-US" w:eastAsia="zh-CN"/>
          <w14:textFill>
            <w14:solidFill>
              <w14:schemeClr w14:val="tx1"/>
            </w14:solidFill>
          </w14:textFill>
        </w:rPr>
        <w:t>内</w:t>
      </w:r>
      <w:r>
        <w:rPr>
          <w:rFonts w:hint="eastAsia" w:ascii="Times New Roman" w:hAnsi="Times New Roman" w:cs="Times New Roman"/>
          <w:bCs/>
          <w:color w:val="000000" w:themeColor="text1"/>
          <w:szCs w:val="32"/>
          <w14:textFill>
            <w14:solidFill>
              <w14:schemeClr w14:val="tx1"/>
            </w14:solidFill>
          </w14:textFill>
        </w:rPr>
        <w:t>设综合业务股和执法监督科2个科室</w:t>
      </w:r>
      <w:r>
        <w:rPr>
          <w:rFonts w:hint="eastAsia" w:cs="Times New Roman"/>
          <w:bCs/>
          <w:color w:val="000000" w:themeColor="text1"/>
          <w:szCs w:val="32"/>
          <w:lang w:eastAsia="zh-CN"/>
          <w14:textFill>
            <w14:solidFill>
              <w14:schemeClr w14:val="tx1"/>
            </w14:solidFill>
          </w14:textFill>
        </w:rPr>
        <w:t>，</w:t>
      </w:r>
      <w:r>
        <w:rPr>
          <w:rFonts w:hint="eastAsia" w:cs="Times New Roman"/>
          <w:bCs/>
          <w:color w:val="000000" w:themeColor="text1"/>
          <w:szCs w:val="32"/>
          <w:lang w:val="en-US" w:eastAsia="zh-CN"/>
          <w14:textFill>
            <w14:solidFill>
              <w14:schemeClr w14:val="tx1"/>
            </w14:solidFill>
          </w14:textFill>
        </w:rPr>
        <w:t>无下属预算单位</w:t>
      </w:r>
      <w:r>
        <w:rPr>
          <w:rFonts w:hint="eastAsia" w:ascii="Times New Roman" w:hAnsi="Times New Roman" w:cs="Times New Roman"/>
          <w:bCs/>
          <w:color w:val="000000" w:themeColor="text1"/>
          <w:szCs w:val="32"/>
          <w14:textFill>
            <w14:solidFill>
              <w14:schemeClr w14:val="tx1"/>
            </w14:solidFill>
          </w14:textFill>
        </w:rPr>
        <w:t>。</w:t>
      </w:r>
      <w:r>
        <w:rPr>
          <w:rFonts w:hint="eastAsia" w:cs="Times New Roman"/>
          <w:bCs/>
          <w:color w:val="000000" w:themeColor="text1"/>
          <w:szCs w:val="32"/>
          <w:lang w:val="en-US" w:eastAsia="zh-CN"/>
          <w14:textFill>
            <w14:solidFill>
              <w14:schemeClr w14:val="tx1"/>
            </w14:solidFill>
          </w14:textFill>
        </w:rPr>
        <w:t>截至2024年12月31日，</w:t>
      </w:r>
      <w:r>
        <w:rPr>
          <w:rFonts w:hint="eastAsia" w:ascii="Times New Roman" w:hAnsi="Times New Roman" w:cs="Times New Roman"/>
          <w:bCs/>
          <w:color w:val="000000" w:themeColor="text1"/>
          <w:szCs w:val="32"/>
          <w14:textFill>
            <w14:solidFill>
              <w14:schemeClr w14:val="tx1"/>
            </w14:solidFill>
          </w14:textFill>
        </w:rPr>
        <w:t>吉木萨尔县统计局编制数 16</w:t>
      </w:r>
      <w:r>
        <w:rPr>
          <w:rFonts w:hint="eastAsia" w:cs="Times New Roman"/>
          <w:bCs/>
          <w:color w:val="000000" w:themeColor="text1"/>
          <w:szCs w:val="32"/>
          <w:lang w:val="en-US" w:eastAsia="zh-CN"/>
          <w14:textFill>
            <w14:solidFill>
              <w14:schemeClr w14:val="tx1"/>
            </w14:solidFill>
          </w14:textFill>
        </w:rPr>
        <w:t>人</w:t>
      </w:r>
      <w:r>
        <w:rPr>
          <w:rFonts w:hint="eastAsia" w:ascii="Times New Roman" w:hAnsi="Times New Roman" w:cs="Times New Roman"/>
          <w:bCs/>
          <w:color w:val="000000" w:themeColor="text1"/>
          <w:szCs w:val="32"/>
          <w14:textFill>
            <w14:solidFill>
              <w14:schemeClr w14:val="tx1"/>
            </w14:solidFill>
          </w14:textFill>
        </w:rPr>
        <w:t>，实有人数 22人，其中</w:t>
      </w:r>
      <w:r>
        <w:rPr>
          <w:rFonts w:hint="eastAsia" w:cs="Times New Roman"/>
          <w:bCs/>
          <w:color w:val="000000" w:themeColor="text1"/>
          <w:szCs w:val="32"/>
          <w:lang w:eastAsia="zh-CN"/>
          <w14:textFill>
            <w14:solidFill>
              <w14:schemeClr w14:val="tx1"/>
            </w14:solidFill>
          </w14:textFill>
        </w:rPr>
        <w:t>：</w:t>
      </w:r>
      <w:r>
        <w:rPr>
          <w:rFonts w:hint="eastAsia" w:ascii="Times New Roman" w:hAnsi="Times New Roman" w:cs="Times New Roman"/>
          <w:bCs/>
          <w:color w:val="000000" w:themeColor="text1"/>
          <w:szCs w:val="32"/>
          <w14:textFill>
            <w14:solidFill>
              <w14:schemeClr w14:val="tx1"/>
            </w14:solidFill>
          </w14:textFill>
        </w:rPr>
        <w:t>在职13人，退休9人。</w:t>
      </w:r>
    </w:p>
    <w:p w14:paraId="661B8A8B">
      <w:pPr>
        <w:ind w:firstLine="422"/>
        <w:rPr>
          <w:b/>
          <w:color w:val="000000" w:themeColor="text1"/>
          <w14:textFill>
            <w14:solidFill>
              <w14:schemeClr w14:val="tx1"/>
            </w14:solidFill>
          </w14:textFill>
        </w:rPr>
      </w:pPr>
      <w:r>
        <w:rPr>
          <w:b/>
          <w:color w:val="000000" w:themeColor="text1"/>
          <w14:textFill>
            <w14:solidFill>
              <w14:schemeClr w14:val="tx1"/>
            </w14:solidFill>
          </w14:textFill>
        </w:rPr>
        <w:t>（二）部门资金投入和使用情况</w:t>
      </w:r>
    </w:p>
    <w:p w14:paraId="40EC9500">
      <w:pPr>
        <w:ind w:firstLine="420"/>
        <w:jc w:val="left"/>
        <w:rPr>
          <w:rFonts w:hint="eastAsia" w:eastAsiaTheme="minorEastAsia"/>
          <w:color w:val="000000" w:themeColor="text1"/>
          <w:lang w:eastAsia="zh-CN" w:bidi="ar"/>
          <w14:textFill>
            <w14:solidFill>
              <w14:schemeClr w14:val="tx1"/>
            </w14:solidFill>
          </w14:textFill>
        </w:rPr>
      </w:pPr>
      <w:r>
        <w:rPr>
          <w:rFonts w:eastAsiaTheme="minorEastAsia"/>
          <w:bCs/>
          <w:color w:val="000000" w:themeColor="text1"/>
          <w14:textFill>
            <w14:solidFill>
              <w14:schemeClr w14:val="tx1"/>
            </w14:solidFill>
          </w14:textFill>
        </w:rPr>
        <w:t>吉木萨尔县</w:t>
      </w:r>
      <w:r>
        <w:rPr>
          <w:rFonts w:hint="eastAsia" w:eastAsiaTheme="minorEastAsia"/>
          <w:bCs/>
          <w:color w:val="000000" w:themeColor="text1"/>
          <w:lang w:eastAsia="zh-CN"/>
          <w14:textFill>
            <w14:solidFill>
              <w14:schemeClr w14:val="tx1"/>
            </w14:solidFill>
          </w14:textFill>
        </w:rPr>
        <w:t>统计局2024</w:t>
      </w:r>
      <w:r>
        <w:rPr>
          <w:rFonts w:eastAsiaTheme="minorEastAsia"/>
          <w:bCs/>
          <w:color w:val="000000" w:themeColor="text1"/>
          <w14:textFill>
            <w14:solidFill>
              <w14:schemeClr w14:val="tx1"/>
            </w14:solidFill>
          </w14:textFill>
        </w:rPr>
        <w:t>年度部门收入年初预算</w:t>
      </w:r>
      <w:r>
        <w:rPr>
          <w:rFonts w:hint="eastAsia" w:eastAsiaTheme="minorEastAsia"/>
          <w:bCs/>
          <w:color w:val="000000" w:themeColor="text1"/>
          <w14:textFill>
            <w14:solidFill>
              <w14:schemeClr w14:val="tx1"/>
            </w14:solidFill>
          </w14:textFill>
        </w:rPr>
        <w:t>282</w:t>
      </w:r>
      <w:r>
        <w:rPr>
          <w:rFonts w:hint="eastAsia" w:eastAsiaTheme="minorEastAsia"/>
          <w:bCs/>
          <w:color w:val="000000" w:themeColor="text1"/>
          <w:lang w:val="en-US" w:eastAsia="zh-CN"/>
          <w14:textFill>
            <w14:solidFill>
              <w14:schemeClr w14:val="tx1"/>
            </w14:solidFill>
          </w14:textFill>
        </w:rPr>
        <w:t>.</w:t>
      </w:r>
      <w:r>
        <w:rPr>
          <w:rFonts w:hint="eastAsia" w:eastAsiaTheme="minorEastAsia"/>
          <w:bCs/>
          <w:color w:val="000000" w:themeColor="text1"/>
          <w14:textFill>
            <w14:solidFill>
              <w14:schemeClr w14:val="tx1"/>
            </w14:solidFill>
          </w14:textFill>
        </w:rPr>
        <w:t>4</w:t>
      </w:r>
      <w:r>
        <w:rPr>
          <w:rFonts w:hint="eastAsia" w:eastAsiaTheme="minorEastAsia"/>
          <w:bCs/>
          <w:color w:val="000000" w:themeColor="text1"/>
          <w:lang w:val="en-US" w:eastAsia="zh-CN"/>
          <w14:textFill>
            <w14:solidFill>
              <w14:schemeClr w14:val="tx1"/>
            </w14:solidFill>
          </w14:textFill>
        </w:rPr>
        <w:t>2</w:t>
      </w:r>
      <w:r>
        <w:rPr>
          <w:rFonts w:eastAsiaTheme="minorEastAsia"/>
          <w:bCs/>
          <w:color w:val="000000" w:themeColor="text1"/>
          <w14:textFill>
            <w14:solidFill>
              <w14:schemeClr w14:val="tx1"/>
            </w14:solidFill>
          </w14:textFill>
        </w:rPr>
        <w:t>万元，其中：一般公共预算财政拨款收入</w:t>
      </w:r>
      <w:r>
        <w:rPr>
          <w:rFonts w:hint="eastAsia" w:eastAsiaTheme="minorEastAsia"/>
          <w:bCs/>
          <w:color w:val="000000" w:themeColor="text1"/>
          <w14:textFill>
            <w14:solidFill>
              <w14:schemeClr w14:val="tx1"/>
            </w14:solidFill>
          </w14:textFill>
        </w:rPr>
        <w:t>265</w:t>
      </w:r>
      <w:r>
        <w:rPr>
          <w:rFonts w:hint="eastAsia" w:eastAsiaTheme="minorEastAsia"/>
          <w:bCs/>
          <w:color w:val="000000" w:themeColor="text1"/>
          <w:lang w:val="en-US" w:eastAsia="zh-CN"/>
          <w14:textFill>
            <w14:solidFill>
              <w14:schemeClr w14:val="tx1"/>
            </w14:solidFill>
          </w14:textFill>
        </w:rPr>
        <w:t>.</w:t>
      </w:r>
      <w:r>
        <w:rPr>
          <w:rFonts w:hint="eastAsia" w:eastAsiaTheme="minorEastAsia"/>
          <w:bCs/>
          <w:color w:val="000000" w:themeColor="text1"/>
          <w14:textFill>
            <w14:solidFill>
              <w14:schemeClr w14:val="tx1"/>
            </w14:solidFill>
          </w14:textFill>
        </w:rPr>
        <w:t>67</w:t>
      </w:r>
      <w:r>
        <w:rPr>
          <w:rFonts w:eastAsiaTheme="minorEastAsia"/>
          <w:bCs/>
          <w:color w:val="000000" w:themeColor="text1"/>
          <w14:textFill>
            <w14:solidFill>
              <w14:schemeClr w14:val="tx1"/>
            </w14:solidFill>
          </w14:textFill>
        </w:rPr>
        <w:t>万元，其他收入</w:t>
      </w:r>
      <w:r>
        <w:rPr>
          <w:rFonts w:hint="eastAsia" w:eastAsiaTheme="minorEastAsia"/>
          <w:bCs/>
          <w:color w:val="000000" w:themeColor="text1"/>
          <w:lang w:val="en-US" w:eastAsia="zh-CN"/>
          <w14:textFill>
            <w14:solidFill>
              <w14:schemeClr w14:val="tx1"/>
            </w14:solidFill>
          </w14:textFill>
        </w:rPr>
        <w:t>16.75</w:t>
      </w:r>
      <w:r>
        <w:rPr>
          <w:rFonts w:eastAsiaTheme="minorEastAsia"/>
          <w:bCs/>
          <w:color w:val="000000" w:themeColor="text1"/>
          <w14:textFill>
            <w14:solidFill>
              <w14:schemeClr w14:val="tx1"/>
            </w14:solidFill>
          </w14:textFill>
        </w:rPr>
        <w:t>万元。调整后部门</w:t>
      </w:r>
      <w:r>
        <w:rPr>
          <w:rFonts w:hint="eastAsia" w:eastAsiaTheme="minorEastAsia"/>
          <w:bCs/>
          <w:color w:val="000000" w:themeColor="text1"/>
          <w:lang w:val="en-US" w:eastAsia="zh-CN"/>
          <w14:textFill>
            <w14:solidFill>
              <w14:schemeClr w14:val="tx1"/>
            </w14:solidFill>
          </w14:textFill>
        </w:rPr>
        <w:t>全年</w:t>
      </w:r>
      <w:r>
        <w:rPr>
          <w:rFonts w:eastAsiaTheme="minorEastAsia"/>
          <w:bCs/>
          <w:color w:val="000000" w:themeColor="text1"/>
          <w14:textFill>
            <w14:solidFill>
              <w14:schemeClr w14:val="tx1"/>
            </w14:solidFill>
          </w14:textFill>
        </w:rPr>
        <w:t>收入预算为</w:t>
      </w:r>
      <w:r>
        <w:rPr>
          <w:rFonts w:hint="eastAsia" w:eastAsiaTheme="minorEastAsia"/>
          <w:bCs/>
          <w:color w:val="000000" w:themeColor="text1"/>
          <w14:textFill>
            <w14:solidFill>
              <w14:schemeClr w14:val="tx1"/>
            </w14:solidFill>
          </w14:textFill>
        </w:rPr>
        <w:t>423</w:t>
      </w:r>
      <w:r>
        <w:rPr>
          <w:rFonts w:hint="eastAsia" w:eastAsiaTheme="minorEastAsia"/>
          <w:bCs/>
          <w:color w:val="000000" w:themeColor="text1"/>
          <w:lang w:val="en-US" w:eastAsia="zh-CN"/>
          <w14:textFill>
            <w14:solidFill>
              <w14:schemeClr w14:val="tx1"/>
            </w14:solidFill>
          </w14:textFill>
        </w:rPr>
        <w:t>.</w:t>
      </w:r>
      <w:r>
        <w:rPr>
          <w:rFonts w:hint="eastAsia" w:eastAsiaTheme="minorEastAsia"/>
          <w:bCs/>
          <w:color w:val="000000" w:themeColor="text1"/>
          <w14:textFill>
            <w14:solidFill>
              <w14:schemeClr w14:val="tx1"/>
            </w14:solidFill>
          </w14:textFill>
        </w:rPr>
        <w:t>03</w:t>
      </w:r>
      <w:r>
        <w:rPr>
          <w:rFonts w:eastAsiaTheme="minorEastAsia"/>
          <w:bCs/>
          <w:color w:val="000000" w:themeColor="text1"/>
          <w14:textFill>
            <w14:solidFill>
              <w14:schemeClr w14:val="tx1"/>
            </w14:solidFill>
          </w14:textFill>
        </w:rPr>
        <w:t>万元，其中：一般公共预算财政拨款收入为</w:t>
      </w:r>
      <w:r>
        <w:rPr>
          <w:rFonts w:hint="eastAsia" w:eastAsiaTheme="minorEastAsia"/>
          <w:bCs/>
          <w:color w:val="000000" w:themeColor="text1"/>
          <w14:textFill>
            <w14:solidFill>
              <w14:schemeClr w14:val="tx1"/>
            </w14:solidFill>
          </w14:textFill>
        </w:rPr>
        <w:t>399</w:t>
      </w:r>
      <w:r>
        <w:rPr>
          <w:rFonts w:hint="eastAsia" w:eastAsiaTheme="minorEastAsia"/>
          <w:bCs/>
          <w:color w:val="000000" w:themeColor="text1"/>
          <w:lang w:val="en-US" w:eastAsia="zh-CN"/>
          <w14:textFill>
            <w14:solidFill>
              <w14:schemeClr w14:val="tx1"/>
            </w14:solidFill>
          </w14:textFill>
        </w:rPr>
        <w:t>.</w:t>
      </w:r>
      <w:r>
        <w:rPr>
          <w:rFonts w:hint="eastAsia" w:eastAsiaTheme="minorEastAsia"/>
          <w:bCs/>
          <w:color w:val="000000" w:themeColor="text1"/>
          <w14:textFill>
            <w14:solidFill>
              <w14:schemeClr w14:val="tx1"/>
            </w14:solidFill>
          </w14:textFill>
        </w:rPr>
        <w:t>9</w:t>
      </w:r>
      <w:r>
        <w:rPr>
          <w:rFonts w:hint="eastAsia" w:eastAsiaTheme="minorEastAsia"/>
          <w:bCs/>
          <w:color w:val="000000" w:themeColor="text1"/>
          <w:lang w:val="en-US" w:eastAsia="zh-CN"/>
          <w14:textFill>
            <w14:solidFill>
              <w14:schemeClr w14:val="tx1"/>
            </w14:solidFill>
          </w14:textFill>
        </w:rPr>
        <w:t>5</w:t>
      </w:r>
      <w:r>
        <w:rPr>
          <w:rFonts w:eastAsiaTheme="minorEastAsia"/>
          <w:bCs/>
          <w:color w:val="000000" w:themeColor="text1"/>
          <w14:textFill>
            <w14:solidFill>
              <w14:schemeClr w14:val="tx1"/>
            </w14:solidFill>
          </w14:textFill>
        </w:rPr>
        <w:t>万元，其他收入</w:t>
      </w:r>
      <w:r>
        <w:rPr>
          <w:rFonts w:hint="eastAsia" w:eastAsiaTheme="minorEastAsia"/>
          <w:bCs/>
          <w:color w:val="000000" w:themeColor="text1"/>
          <w14:textFill>
            <w14:solidFill>
              <w14:schemeClr w14:val="tx1"/>
            </w14:solidFill>
          </w14:textFill>
        </w:rPr>
        <w:t>20</w:t>
      </w:r>
      <w:r>
        <w:rPr>
          <w:rFonts w:hint="eastAsia" w:eastAsiaTheme="minorEastAsia"/>
          <w:bCs/>
          <w:color w:val="000000" w:themeColor="text1"/>
          <w:lang w:val="en-US" w:eastAsia="zh-CN"/>
          <w14:textFill>
            <w14:solidFill>
              <w14:schemeClr w14:val="tx1"/>
            </w14:solidFill>
          </w14:textFill>
        </w:rPr>
        <w:t>.</w:t>
      </w:r>
      <w:r>
        <w:rPr>
          <w:rFonts w:hint="eastAsia" w:eastAsiaTheme="minorEastAsia"/>
          <w:bCs/>
          <w:color w:val="000000" w:themeColor="text1"/>
          <w14:textFill>
            <w14:solidFill>
              <w14:schemeClr w14:val="tx1"/>
            </w14:solidFill>
          </w14:textFill>
        </w:rPr>
        <w:t>73</w:t>
      </w:r>
      <w:r>
        <w:rPr>
          <w:rFonts w:eastAsiaTheme="minorEastAsia"/>
          <w:bCs/>
          <w:color w:val="000000" w:themeColor="text1"/>
          <w14:textFill>
            <w14:solidFill>
              <w14:schemeClr w14:val="tx1"/>
            </w14:solidFill>
          </w14:textFill>
        </w:rPr>
        <w:t>万元</w:t>
      </w:r>
      <w:r>
        <w:rPr>
          <w:rFonts w:hint="eastAsia" w:eastAsiaTheme="minorEastAsia"/>
          <w:bCs/>
          <w:color w:val="000000" w:themeColor="text1"/>
          <w:lang w:val="en-US" w:eastAsia="zh-CN"/>
          <w14:textFill>
            <w14:solidFill>
              <w14:schemeClr w14:val="tx1"/>
            </w14:solidFill>
          </w14:textFill>
        </w:rPr>
        <w:t>，年初结转和结余2.35万元。</w:t>
      </w:r>
      <w:r>
        <w:rPr>
          <w:rFonts w:hint="eastAsia" w:eastAsiaTheme="minorEastAsia"/>
          <w:bCs/>
          <w:color w:val="000000" w:themeColor="text1"/>
          <w14:textFill>
            <w14:solidFill>
              <w14:schemeClr w14:val="tx1"/>
            </w14:solidFill>
          </w14:textFill>
        </w:rPr>
        <w:t>调增140</w:t>
      </w:r>
      <w:r>
        <w:rPr>
          <w:rFonts w:hint="eastAsia" w:eastAsiaTheme="minorEastAsia"/>
          <w:bCs/>
          <w:color w:val="000000" w:themeColor="text1"/>
          <w:lang w:val="en-US" w:eastAsia="zh-CN"/>
          <w14:textFill>
            <w14:solidFill>
              <w14:schemeClr w14:val="tx1"/>
            </w14:solidFill>
          </w14:textFill>
        </w:rPr>
        <w:t>.</w:t>
      </w:r>
      <w:r>
        <w:rPr>
          <w:rFonts w:hint="eastAsia" w:eastAsiaTheme="minorEastAsia"/>
          <w:bCs/>
          <w:color w:val="000000" w:themeColor="text1"/>
          <w14:textFill>
            <w14:solidFill>
              <w14:schemeClr w14:val="tx1"/>
            </w14:solidFill>
          </w14:textFill>
        </w:rPr>
        <w:t>61</w:t>
      </w:r>
      <w:r>
        <w:rPr>
          <w:rFonts w:eastAsiaTheme="minorEastAsia"/>
          <w:bCs/>
          <w:color w:val="000000" w:themeColor="text1"/>
          <w14:textFill>
            <w14:solidFill>
              <w14:schemeClr w14:val="tx1"/>
            </w14:solidFill>
          </w14:textFill>
        </w:rPr>
        <w:t>万元，收入预算调整率为</w:t>
      </w:r>
      <w:r>
        <w:rPr>
          <w:rFonts w:hint="eastAsia" w:eastAsiaTheme="minorEastAsia"/>
          <w:bCs/>
          <w:color w:val="000000" w:themeColor="text1"/>
          <w:lang w:val="en-US" w:eastAsia="zh-CN"/>
          <w14:textFill>
            <w14:solidFill>
              <w14:schemeClr w14:val="tx1"/>
            </w14:solidFill>
          </w14:textFill>
        </w:rPr>
        <w:t>49.79</w:t>
      </w:r>
      <w:r>
        <w:rPr>
          <w:rFonts w:eastAsiaTheme="minorEastAsia"/>
          <w:color w:val="000000" w:themeColor="text1"/>
          <w:lang w:bidi="ar"/>
          <w14:textFill>
            <w14:solidFill>
              <w14:schemeClr w14:val="tx1"/>
            </w14:solidFill>
          </w14:textFill>
        </w:rPr>
        <w:t>%</w:t>
      </w:r>
      <w:r>
        <w:rPr>
          <w:rFonts w:hint="eastAsia" w:eastAsiaTheme="minorEastAsia"/>
          <w:color w:val="000000" w:themeColor="text1"/>
          <w:lang w:eastAsia="zh-CN" w:bidi="ar"/>
          <w14:textFill>
            <w14:solidFill>
              <w14:schemeClr w14:val="tx1"/>
            </w14:solidFill>
          </w14:textFill>
        </w:rPr>
        <w:t>。</w:t>
      </w:r>
    </w:p>
    <w:p w14:paraId="44825C86">
      <w:pPr>
        <w:ind w:firstLine="420"/>
        <w:jc w:val="left"/>
        <w:rPr>
          <w:color w:val="000000" w:themeColor="text1"/>
          <w14:textFill>
            <w14:solidFill>
              <w14:schemeClr w14:val="tx1"/>
            </w14:solidFill>
          </w14:textFill>
        </w:rPr>
      </w:pPr>
      <w:r>
        <w:rPr>
          <w:color w:val="000000" w:themeColor="text1"/>
          <w14:textFill>
            <w14:solidFill>
              <w14:schemeClr w14:val="tx1"/>
            </w14:solidFill>
          </w14:textFill>
        </w:rPr>
        <w:t>吉木萨尔县</w:t>
      </w:r>
      <w:r>
        <w:rPr>
          <w:rFonts w:hint="eastAsia"/>
          <w:color w:val="000000" w:themeColor="text1"/>
          <w:lang w:eastAsia="zh-CN"/>
          <w14:textFill>
            <w14:solidFill>
              <w14:schemeClr w14:val="tx1"/>
            </w14:solidFill>
          </w14:textFill>
        </w:rPr>
        <w:t>统计局2024</w:t>
      </w:r>
      <w:r>
        <w:rPr>
          <w:color w:val="000000" w:themeColor="text1"/>
          <w14:textFill>
            <w14:solidFill>
              <w14:schemeClr w14:val="tx1"/>
            </w14:solidFill>
          </w14:textFill>
        </w:rPr>
        <w:t>年</w:t>
      </w:r>
      <w:r>
        <w:rPr>
          <w:rFonts w:hint="eastAsia"/>
          <w:color w:val="000000" w:themeColor="text1"/>
          <w:lang w:val="en-US" w:eastAsia="zh-CN"/>
          <w14:textFill>
            <w14:solidFill>
              <w14:schemeClr w14:val="tx1"/>
            </w14:solidFill>
          </w14:textFill>
        </w:rPr>
        <w:t>部门支出</w:t>
      </w:r>
      <w:r>
        <w:rPr>
          <w:color w:val="000000" w:themeColor="text1"/>
          <w14:textFill>
            <w14:solidFill>
              <w14:schemeClr w14:val="tx1"/>
            </w14:solidFill>
          </w14:textFill>
        </w:rPr>
        <w:t>年初预算</w:t>
      </w:r>
      <w:r>
        <w:rPr>
          <w:rFonts w:hint="eastAsia"/>
          <w:color w:val="000000" w:themeColor="text1"/>
          <w:lang w:val="en-US" w:eastAsia="zh-CN"/>
          <w14:textFill>
            <w14:solidFill>
              <w14:schemeClr w14:val="tx1"/>
            </w14:solidFill>
          </w14:textFill>
        </w:rPr>
        <w:t>数</w:t>
      </w:r>
      <w:r>
        <w:rPr>
          <w:rFonts w:hint="eastAsia"/>
          <w:color w:val="000000" w:themeColor="text1"/>
          <w:sz w:val="21"/>
          <w:szCs w:val="21"/>
          <w:lang w:bidi="ar"/>
          <w14:textFill>
            <w14:solidFill>
              <w14:schemeClr w14:val="tx1"/>
            </w14:solidFill>
          </w14:textFill>
        </w:rPr>
        <w:t>2</w:t>
      </w:r>
      <w:r>
        <w:rPr>
          <w:rFonts w:hint="eastAsia"/>
          <w:color w:val="000000" w:themeColor="text1"/>
          <w:sz w:val="21"/>
          <w:szCs w:val="21"/>
          <w:lang w:val="en-US" w:eastAsia="zh-CN" w:bidi="ar"/>
          <w14:textFill>
            <w14:solidFill>
              <w14:schemeClr w14:val="tx1"/>
            </w14:solidFill>
          </w14:textFill>
        </w:rPr>
        <w:t>82.42</w:t>
      </w:r>
      <w:r>
        <w:rPr>
          <w:color w:val="000000" w:themeColor="text1"/>
          <w14:textFill>
            <w14:solidFill>
              <w14:schemeClr w14:val="tx1"/>
            </w14:solidFill>
          </w14:textFill>
        </w:rPr>
        <w:t>万元，其中：基本支出</w:t>
      </w:r>
      <w:r>
        <w:rPr>
          <w:rFonts w:hint="eastAsia"/>
          <w:color w:val="000000" w:themeColor="text1"/>
          <w:sz w:val="21"/>
          <w:szCs w:val="21"/>
          <w:lang w:bidi="ar"/>
          <w14:textFill>
            <w14:solidFill>
              <w14:schemeClr w14:val="tx1"/>
            </w14:solidFill>
          </w14:textFill>
        </w:rPr>
        <w:t>2</w:t>
      </w:r>
      <w:r>
        <w:rPr>
          <w:rFonts w:hint="eastAsia"/>
          <w:color w:val="000000" w:themeColor="text1"/>
          <w:sz w:val="21"/>
          <w:szCs w:val="21"/>
          <w:lang w:val="en-US" w:eastAsia="zh-CN" w:bidi="ar"/>
          <w14:textFill>
            <w14:solidFill>
              <w14:schemeClr w14:val="tx1"/>
            </w14:solidFill>
          </w14:textFill>
        </w:rPr>
        <w:t>82.42</w:t>
      </w:r>
      <w:r>
        <w:rPr>
          <w:color w:val="000000" w:themeColor="text1"/>
          <w14:textFill>
            <w14:solidFill>
              <w14:schemeClr w14:val="tx1"/>
            </w14:solidFill>
          </w14:textFill>
        </w:rPr>
        <w:t>万元，项目支出</w:t>
      </w:r>
      <w:r>
        <w:rPr>
          <w:rFonts w:hint="eastAsia"/>
          <w:color w:val="000000" w:themeColor="text1"/>
          <w:lang w:val="en-US" w:eastAsia="zh-CN"/>
          <w14:textFill>
            <w14:solidFill>
              <w14:schemeClr w14:val="tx1"/>
            </w14:solidFill>
          </w14:textFill>
        </w:rPr>
        <w:t>0</w:t>
      </w:r>
      <w:r>
        <w:rPr>
          <w:color w:val="000000" w:themeColor="text1"/>
          <w14:textFill>
            <w14:solidFill>
              <w14:schemeClr w14:val="tx1"/>
            </w14:solidFill>
          </w14:textFill>
        </w:rPr>
        <w:t>万元。调整后</w:t>
      </w:r>
      <w:r>
        <w:rPr>
          <w:rFonts w:hint="eastAsia"/>
          <w:color w:val="000000" w:themeColor="text1"/>
          <w:lang w:val="en-US" w:eastAsia="zh-CN"/>
          <w14:textFill>
            <w14:solidFill>
              <w14:schemeClr w14:val="tx1"/>
            </w14:solidFill>
          </w14:textFill>
        </w:rPr>
        <w:t>部门</w:t>
      </w:r>
      <w:r>
        <w:rPr>
          <w:rFonts w:hint="eastAsia"/>
          <w:color w:val="000000" w:themeColor="text1"/>
          <w14:textFill>
            <w14:solidFill>
              <w14:schemeClr w14:val="tx1"/>
            </w14:solidFill>
          </w14:textFill>
        </w:rPr>
        <w:t>支出</w:t>
      </w:r>
      <w:r>
        <w:rPr>
          <w:rFonts w:hint="eastAsia"/>
          <w:color w:val="000000" w:themeColor="text1"/>
          <w:lang w:val="en-US" w:eastAsia="zh-CN"/>
          <w14:textFill>
            <w14:solidFill>
              <w14:schemeClr w14:val="tx1"/>
            </w14:solidFill>
          </w14:textFill>
        </w:rPr>
        <w:t>全年</w:t>
      </w:r>
      <w:r>
        <w:rPr>
          <w:color w:val="000000" w:themeColor="text1"/>
          <w14:textFill>
            <w14:solidFill>
              <w14:schemeClr w14:val="tx1"/>
            </w14:solidFill>
          </w14:textFill>
        </w:rPr>
        <w:t>预算</w:t>
      </w:r>
      <w:r>
        <w:rPr>
          <w:rFonts w:hint="eastAsia"/>
          <w:color w:val="000000" w:themeColor="text1"/>
          <w:lang w:val="en-US" w:eastAsia="zh-CN"/>
          <w14:textFill>
            <w14:solidFill>
              <w14:schemeClr w14:val="tx1"/>
            </w14:solidFill>
          </w14:textFill>
        </w:rPr>
        <w:t>数</w:t>
      </w:r>
      <w:r>
        <w:rPr>
          <w:color w:val="000000" w:themeColor="text1"/>
          <w14:textFill>
            <w14:solidFill>
              <w14:schemeClr w14:val="tx1"/>
            </w14:solidFill>
          </w14:textFill>
        </w:rPr>
        <w:t>为</w:t>
      </w:r>
      <w:r>
        <w:rPr>
          <w:rFonts w:hint="eastAsia"/>
          <w:color w:val="000000" w:themeColor="text1"/>
          <w:lang w:val="en-US" w:eastAsia="zh-CN"/>
          <w14:textFill>
            <w14:solidFill>
              <w14:schemeClr w14:val="tx1"/>
            </w14:solidFill>
          </w14:textFill>
        </w:rPr>
        <w:t>423.03</w:t>
      </w:r>
      <w:r>
        <w:rPr>
          <w:color w:val="000000" w:themeColor="text1"/>
          <w14:textFill>
            <w14:solidFill>
              <w14:schemeClr w14:val="tx1"/>
            </w14:solidFill>
          </w14:textFill>
        </w:rPr>
        <w:t>万元，其中：基本支出</w:t>
      </w:r>
      <w:r>
        <w:rPr>
          <w:rFonts w:hint="eastAsia"/>
          <w:color w:val="000000" w:themeColor="text1"/>
          <w:lang w:val="en-US" w:eastAsia="zh-CN"/>
          <w14:textFill>
            <w14:solidFill>
              <w14:schemeClr w14:val="tx1"/>
            </w14:solidFill>
          </w14:textFill>
        </w:rPr>
        <w:t>423.03</w:t>
      </w:r>
      <w:r>
        <w:rPr>
          <w:color w:val="000000" w:themeColor="text1"/>
          <w14:textFill>
            <w14:solidFill>
              <w14:schemeClr w14:val="tx1"/>
            </w14:solidFill>
          </w14:textFill>
        </w:rPr>
        <w:t>万元，项目支出</w:t>
      </w:r>
      <w:r>
        <w:rPr>
          <w:rFonts w:hint="eastAsia"/>
          <w:color w:val="000000" w:themeColor="text1"/>
          <w:lang w:val="en-US" w:eastAsia="zh-CN"/>
          <w14:textFill>
            <w14:solidFill>
              <w14:schemeClr w14:val="tx1"/>
            </w14:solidFill>
          </w14:textFill>
        </w:rPr>
        <w:t>0</w:t>
      </w:r>
      <w:r>
        <w:rPr>
          <w:color w:val="000000" w:themeColor="text1"/>
          <w14:textFill>
            <w14:solidFill>
              <w14:schemeClr w14:val="tx1"/>
            </w14:solidFill>
          </w14:textFill>
        </w:rPr>
        <w:t>万元。</w:t>
      </w:r>
    </w:p>
    <w:p w14:paraId="3EEE615E">
      <w:pPr>
        <w:ind w:firstLine="640"/>
        <w:rPr>
          <w:rFonts w:hint="default" w:ascii="Times New Roman" w:hAnsi="Times New Roman" w:eastAsia="宋体" w:cs="Times New Roman"/>
          <w:bCs/>
          <w:color w:val="000000" w:themeColor="text1"/>
          <w14:textFill>
            <w14:solidFill>
              <w14:schemeClr w14:val="tx1"/>
            </w14:solidFill>
          </w14:textFill>
        </w:rPr>
      </w:pPr>
      <w:r>
        <w:rPr>
          <w:rFonts w:hint="eastAsia" w:cs="Times New Roman"/>
          <w:bCs/>
          <w:color w:val="000000" w:themeColor="text1"/>
          <w:lang w:val="en-US" w:eastAsia="zh-CN"/>
          <w14:textFill>
            <w14:solidFill>
              <w14:schemeClr w14:val="tx1"/>
            </w14:solidFill>
          </w14:textFill>
        </w:rPr>
        <w:t>2024年度部门支出决算数</w:t>
      </w:r>
      <w:r>
        <w:rPr>
          <w:rFonts w:hint="eastAsia"/>
          <w:color w:val="000000" w:themeColor="text1"/>
          <w:lang w:val="en-US" w:eastAsia="zh-CN"/>
          <w14:textFill>
            <w14:solidFill>
              <w14:schemeClr w14:val="tx1"/>
            </w14:solidFill>
          </w14:textFill>
        </w:rPr>
        <w:t>423.03</w:t>
      </w:r>
      <w:r>
        <w:rPr>
          <w:rFonts w:hint="eastAsia" w:cs="Times New Roman"/>
          <w:bCs/>
          <w:color w:val="000000" w:themeColor="text1"/>
          <w:lang w:val="en-US" w:eastAsia="zh-CN"/>
          <w14:textFill>
            <w14:solidFill>
              <w14:schemeClr w14:val="tx1"/>
            </w14:solidFill>
          </w14:textFill>
        </w:rPr>
        <w:t>万元，其中：基本支出</w:t>
      </w:r>
      <w:r>
        <w:rPr>
          <w:rFonts w:hint="eastAsia"/>
          <w:color w:val="000000" w:themeColor="text1"/>
          <w:lang w:val="en-US" w:eastAsia="zh-CN"/>
          <w14:textFill>
            <w14:solidFill>
              <w14:schemeClr w14:val="tx1"/>
            </w14:solidFill>
          </w14:textFill>
        </w:rPr>
        <w:t>423.03</w:t>
      </w:r>
      <w:r>
        <w:rPr>
          <w:rFonts w:hint="eastAsia" w:cs="Times New Roman"/>
          <w:bCs/>
          <w:color w:val="000000" w:themeColor="text1"/>
          <w:lang w:val="en-US" w:eastAsia="zh-CN"/>
          <w14:textFill>
            <w14:solidFill>
              <w14:schemeClr w14:val="tx1"/>
            </w14:solidFill>
          </w14:textFill>
        </w:rPr>
        <w:t>万元，项目支出0万元，部门年度预算执行率为100.00%。</w:t>
      </w:r>
    </w:p>
    <w:p w14:paraId="4216675D">
      <w:pPr>
        <w:ind w:firstLine="422"/>
        <w:rPr>
          <w:b/>
          <w:color w:val="000000" w:themeColor="text1"/>
          <w14:textFill>
            <w14:solidFill>
              <w14:schemeClr w14:val="tx1"/>
            </w14:solidFill>
          </w14:textFill>
        </w:rPr>
      </w:pPr>
      <w:r>
        <w:rPr>
          <w:b/>
          <w:color w:val="000000" w:themeColor="text1"/>
          <w14:textFill>
            <w14:solidFill>
              <w14:schemeClr w14:val="tx1"/>
            </w14:solidFill>
          </w14:textFill>
        </w:rPr>
        <w:t>（三）部门整体工作目标</w:t>
      </w:r>
    </w:p>
    <w:p w14:paraId="2BAC5D40">
      <w:pPr>
        <w:ind w:firstLine="422"/>
        <w:rPr>
          <w:rFonts w:eastAsiaTheme="minorEastAsia"/>
          <w:b/>
          <w:color w:val="000000" w:themeColor="text1"/>
          <w:highlight w:val="none"/>
          <w14:textFill>
            <w14:solidFill>
              <w14:schemeClr w14:val="tx1"/>
            </w14:solidFill>
          </w14:textFill>
        </w:rPr>
      </w:pPr>
      <w:r>
        <w:rPr>
          <w:rFonts w:hint="eastAsia" w:eastAsiaTheme="minorEastAsia"/>
          <w:b/>
          <w:color w:val="000000" w:themeColor="text1"/>
          <w:highlight w:val="none"/>
          <w14:textFill>
            <w14:solidFill>
              <w14:schemeClr w14:val="tx1"/>
            </w14:solidFill>
          </w14:textFill>
        </w:rPr>
        <w:t>（</w:t>
      </w:r>
      <w:r>
        <w:rPr>
          <w:rFonts w:hint="eastAsia" w:eastAsiaTheme="minorEastAsia"/>
          <w:b/>
          <w:color w:val="000000" w:themeColor="text1"/>
          <w:highlight w:val="none"/>
          <w:lang w:val="en-US" w:eastAsia="zh-CN"/>
          <w14:textFill>
            <w14:solidFill>
              <w14:schemeClr w14:val="tx1"/>
            </w14:solidFill>
          </w14:textFill>
        </w:rPr>
        <w:t>1</w:t>
      </w:r>
      <w:r>
        <w:rPr>
          <w:rFonts w:hint="eastAsia" w:eastAsiaTheme="minorEastAsia"/>
          <w:b/>
          <w:color w:val="000000" w:themeColor="text1"/>
          <w:highlight w:val="none"/>
          <w14:textFill>
            <w14:solidFill>
              <w14:schemeClr w14:val="tx1"/>
            </w14:solidFill>
          </w14:textFill>
        </w:rPr>
        <w:t>）高效推进经普，确保数据质量</w:t>
      </w:r>
    </w:p>
    <w:p w14:paraId="779F0B9B">
      <w:pPr>
        <w:ind w:firstLine="422"/>
        <w:rPr>
          <w:rFonts w:hint="default" w:eastAsia="宋体"/>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坚持法治理念，全面做好经济普查。高站位推动参与普查。多部门高效协作，通过数据比对、联合入户等方式提升数据质量。建立包联指导机制，严格落实普查条例，执行“即报即审”等要求，第五次全国经济普查登记一套表单位106家，第五次全国经济普查上报率100%</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按时保质保量完成第五次经济普查。</w:t>
      </w:r>
    </w:p>
    <w:p w14:paraId="342C15B4">
      <w:pPr>
        <w:ind w:firstLine="422"/>
        <w:rPr>
          <w:rFonts w:hint="eastAsia" w:eastAsiaTheme="minorEastAsia"/>
          <w:b/>
          <w:color w:val="000000" w:themeColor="text1"/>
          <w:highlight w:val="none"/>
          <w14:textFill>
            <w14:solidFill>
              <w14:schemeClr w14:val="tx1"/>
            </w14:solidFill>
          </w14:textFill>
        </w:rPr>
      </w:pPr>
      <w:r>
        <w:rPr>
          <w:rFonts w:hint="eastAsia" w:eastAsiaTheme="minorEastAsia"/>
          <w:b/>
          <w:color w:val="000000" w:themeColor="text1"/>
          <w:highlight w:val="none"/>
          <w14:textFill>
            <w14:solidFill>
              <w14:schemeClr w14:val="tx1"/>
            </w14:solidFill>
          </w14:textFill>
        </w:rPr>
        <w:t>（</w:t>
      </w:r>
      <w:r>
        <w:rPr>
          <w:rFonts w:hint="eastAsia" w:eastAsiaTheme="minorEastAsia"/>
          <w:b/>
          <w:color w:val="000000" w:themeColor="text1"/>
          <w:highlight w:val="none"/>
          <w:lang w:val="en-US" w:eastAsia="zh-CN"/>
          <w14:textFill>
            <w14:solidFill>
              <w14:schemeClr w14:val="tx1"/>
            </w14:solidFill>
          </w14:textFill>
        </w:rPr>
        <w:t>2</w:t>
      </w:r>
      <w:r>
        <w:rPr>
          <w:rFonts w:hint="eastAsia" w:eastAsiaTheme="minorEastAsia"/>
          <w:b/>
          <w:color w:val="000000" w:themeColor="text1"/>
          <w:highlight w:val="none"/>
          <w14:textFill>
            <w14:solidFill>
              <w14:schemeClr w14:val="tx1"/>
            </w14:solidFill>
          </w14:textFill>
        </w:rPr>
        <w:t>）夯实基层基础，提升数据品质</w:t>
      </w:r>
      <w:r>
        <w:rPr>
          <w:rFonts w:hint="eastAsia" w:eastAsiaTheme="minorEastAsia"/>
          <w:b/>
          <w:color w:val="000000" w:themeColor="text1"/>
          <w:highlight w:val="none"/>
          <w:lang w:eastAsia="zh-CN"/>
          <w14:textFill>
            <w14:solidFill>
              <w14:schemeClr w14:val="tx1"/>
            </w14:solidFill>
          </w14:textFill>
        </w:rPr>
        <w:t>，</w:t>
      </w:r>
      <w:r>
        <w:rPr>
          <w:rFonts w:hint="eastAsia" w:eastAsiaTheme="minorEastAsia"/>
          <w:b/>
          <w:color w:val="000000" w:themeColor="text1"/>
          <w:highlight w:val="none"/>
          <w14:textFill>
            <w14:solidFill>
              <w14:schemeClr w14:val="tx1"/>
            </w14:solidFill>
          </w14:textFill>
        </w:rPr>
        <w:t>服务经济发展</w:t>
      </w:r>
    </w:p>
    <w:p w14:paraId="74C0B061">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严格持续巩固好自治区统计局三年统计基层基础工作取得的良好成果，督促各乡镇继续不折不扣落实政策文件精神，定期组织各乡镇统计人员开展业务培训，引导基层依法依规做好种植业、畜牧业、城乡住户调查、劳动力调查、基本单位名录库维护等各项统计工作。</w:t>
      </w:r>
    </w:p>
    <w:p w14:paraId="408AFBC2">
      <w:pPr>
        <w:bidi w:val="0"/>
        <w:rPr>
          <w:rFonts w:hint="eastAsia"/>
          <w:color w:val="000000" w:themeColor="text1"/>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紧紧围绕县委、县政府中心工作，用数据说话，为决策服务，强化统计分析工作。完成对规模以上工业企业、固定资产投资项目、限额以上批发零售住宿餐饮业和县域综合经济运行情况、特点、存在的问题，提出对策建议，不断提升统计服务水平</w:t>
      </w:r>
      <w:r>
        <w:rPr>
          <w:rFonts w:hint="eastAsia"/>
          <w:color w:val="000000" w:themeColor="text1"/>
          <w:lang w:val="en-US" w:eastAsia="zh-CN"/>
          <w14:textFill>
            <w14:solidFill>
              <w14:schemeClr w14:val="tx1"/>
            </w14:solidFill>
          </w14:textFill>
        </w:rPr>
        <w:t>。</w:t>
      </w:r>
    </w:p>
    <w:p w14:paraId="74444A54">
      <w:pPr>
        <w:ind w:firstLine="482"/>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二、综合评价情况和评价结论</w:t>
      </w:r>
    </w:p>
    <w:p w14:paraId="218D1C80">
      <w:pPr>
        <w:ind w:firstLine="640"/>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pPr>
      <w:r>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t>本次单位整体支出绩效评价时段为202</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4</w:t>
      </w:r>
      <w:r>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t>年</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1</w:t>
      </w:r>
      <w:r>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t>月</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1</w:t>
      </w:r>
      <w:r>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t>日至12月31日。通过综合评价</w:t>
      </w:r>
      <w:r>
        <w:rPr>
          <w:rFonts w:hint="eastAsia" w:asciiTheme="minorEastAsia" w:hAnsiTheme="minorEastAsia" w:eastAsiaTheme="minorEastAsia" w:cstheme="minorEastAsia"/>
          <w:bCs/>
          <w:color w:val="000000" w:themeColor="text1"/>
          <w:highlight w:val="none"/>
          <w:lang w:val="zh-TW" w:eastAsia="zh-CN"/>
          <w14:textFill>
            <w14:solidFill>
              <w14:schemeClr w14:val="tx1"/>
            </w14:solidFill>
          </w14:textFill>
        </w:rPr>
        <w:t>，</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吉木萨尔县统计局</w:t>
      </w:r>
      <w:r>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t>部门整体支出绩效评价</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最</w:t>
      </w:r>
      <w:r>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t>终评分结果为</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91.17</w:t>
      </w:r>
      <w:r>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t>分，绩效评级为“</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优秀</w:t>
      </w:r>
      <w:r>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t>”。</w:t>
      </w:r>
    </w:p>
    <w:p w14:paraId="2DDE8841">
      <w:pPr>
        <w:pStyle w:val="42"/>
        <w:spacing w:before="0" w:after="0"/>
        <w:jc w:val="center"/>
        <w:rPr>
          <w:rFonts w:hint="default" w:ascii="Times New Roman" w:hAnsi="Times New Roman" w:eastAsia="宋体" w:cs="Times New Roman"/>
          <w:b/>
          <w:color w:val="000000" w:themeColor="text1"/>
          <w:sz w:val="21"/>
          <w:szCs w:val="21"/>
          <w:highlight w:val="none"/>
          <w14:textFill>
            <w14:solidFill>
              <w14:schemeClr w14:val="tx1"/>
            </w14:solidFill>
          </w14:textFill>
        </w:rPr>
      </w:pPr>
      <w:r>
        <w:rPr>
          <w:rFonts w:hint="eastAsia" w:hAnsi="Times New Roman" w:eastAsia="宋体" w:cs="Times New Roman"/>
          <w:b/>
          <w:color w:val="000000" w:themeColor="text1"/>
          <w:sz w:val="21"/>
          <w:szCs w:val="21"/>
          <w:highlight w:val="none"/>
          <w:lang w:val="en-US" w:eastAsia="zh-CN"/>
          <w14:textFill>
            <w14:solidFill>
              <w14:schemeClr w14:val="tx1"/>
            </w14:solidFill>
          </w14:textFill>
        </w:rPr>
        <w:t>吉木萨尔县统计局</w:t>
      </w:r>
      <w:r>
        <w:rPr>
          <w:rFonts w:hint="default" w:ascii="Times New Roman" w:hAnsi="Times New Roman" w:eastAsia="宋体" w:cs="Times New Roman"/>
          <w:b/>
          <w:color w:val="000000" w:themeColor="text1"/>
          <w:sz w:val="21"/>
          <w:szCs w:val="21"/>
          <w:highlight w:val="none"/>
          <w14:textFill>
            <w14:solidFill>
              <w14:schemeClr w14:val="tx1"/>
            </w14:solidFill>
          </w14:textFill>
        </w:rPr>
        <w:t>部门整体绩效评价得分表</w:t>
      </w:r>
    </w:p>
    <w:tbl>
      <w:tblPr>
        <w:tblStyle w:val="24"/>
        <w:tblW w:w="4997"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274"/>
        <w:gridCol w:w="1733"/>
        <w:gridCol w:w="1794"/>
        <w:gridCol w:w="1954"/>
        <w:gridCol w:w="1712"/>
      </w:tblGrid>
      <w:tr w14:paraId="74AE08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jc w:val="center"/>
        </w:trPr>
        <w:tc>
          <w:tcPr>
            <w:tcW w:w="7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49D63A4C">
            <w:pPr>
              <w:pStyle w:val="42"/>
              <w:snapToGrid w:val="0"/>
              <w:spacing w:before="0" w:after="0" w:line="240" w:lineRule="auto"/>
              <w:jc w:val="center"/>
              <w:rPr>
                <w:rFonts w:hint="default" w:ascii="Times New Roman" w:hAnsi="Times New Roman" w:eastAsia="宋体" w:cs="Times New Roman"/>
                <w:b/>
                <w:color w:val="000000" w:themeColor="text1"/>
                <w:sz w:val="21"/>
                <w:szCs w:val="21"/>
                <w:highlight w:val="none"/>
                <w14:textFill>
                  <w14:solidFill>
                    <w14:schemeClr w14:val="tx1"/>
                  </w14:solidFill>
                </w14:textFill>
              </w:rPr>
            </w:pPr>
            <w:r>
              <w:rPr>
                <w:rFonts w:hint="default" w:ascii="Times New Roman" w:hAnsi="Times New Roman" w:eastAsia="宋体" w:cs="Times New Roman"/>
                <w:b/>
                <w:color w:val="000000" w:themeColor="text1"/>
                <w:sz w:val="21"/>
                <w:szCs w:val="21"/>
                <w:highlight w:val="none"/>
                <w:lang w:val="zh-TW" w:eastAsia="zh-TW"/>
                <w14:textFill>
                  <w14:solidFill>
                    <w14:schemeClr w14:val="tx1"/>
                  </w14:solidFill>
                </w14:textFill>
              </w:rPr>
              <w:t>指标</w:t>
            </w:r>
          </w:p>
        </w:tc>
        <w:tc>
          <w:tcPr>
            <w:tcW w:w="1023"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1BC1C34A">
            <w:pPr>
              <w:pStyle w:val="42"/>
              <w:snapToGrid w:val="0"/>
              <w:spacing w:before="0" w:after="0" w:line="240" w:lineRule="auto"/>
              <w:jc w:val="center"/>
              <w:rPr>
                <w:rFonts w:hint="default" w:ascii="Times New Roman" w:hAnsi="Times New Roman" w:eastAsia="宋体" w:cs="Times New Roman"/>
                <w:b/>
                <w:color w:val="000000" w:themeColor="text1"/>
                <w:sz w:val="21"/>
                <w:szCs w:val="21"/>
                <w:highlight w:val="none"/>
                <w14:textFill>
                  <w14:solidFill>
                    <w14:schemeClr w14:val="tx1"/>
                  </w14:solidFill>
                </w14:textFill>
              </w:rPr>
            </w:pPr>
            <w:r>
              <w:rPr>
                <w:rFonts w:hint="default" w:ascii="Times New Roman" w:hAnsi="Times New Roman" w:eastAsia="宋体" w:cs="Times New Roman"/>
                <w:b/>
                <w:color w:val="000000" w:themeColor="text1"/>
                <w:sz w:val="21"/>
                <w:szCs w:val="21"/>
                <w:highlight w:val="none"/>
                <w14:textFill>
                  <w14:solidFill>
                    <w14:schemeClr w14:val="tx1"/>
                  </w14:solidFill>
                </w14:textFill>
              </w:rPr>
              <w:t>部门决策类</w:t>
            </w:r>
          </w:p>
        </w:tc>
        <w:tc>
          <w:tcPr>
            <w:tcW w:w="1059"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68371FE5">
            <w:pPr>
              <w:pStyle w:val="42"/>
              <w:snapToGrid w:val="0"/>
              <w:spacing w:before="0" w:after="0" w:line="240" w:lineRule="auto"/>
              <w:jc w:val="center"/>
              <w:rPr>
                <w:rFonts w:hint="default" w:ascii="Times New Roman" w:hAnsi="Times New Roman" w:eastAsia="宋体" w:cs="Times New Roman"/>
                <w:b/>
                <w:color w:val="000000" w:themeColor="text1"/>
                <w:sz w:val="21"/>
                <w:szCs w:val="21"/>
                <w:highlight w:val="none"/>
                <w14:textFill>
                  <w14:solidFill>
                    <w14:schemeClr w14:val="tx1"/>
                  </w14:solidFill>
                </w14:textFill>
              </w:rPr>
            </w:pPr>
            <w:r>
              <w:rPr>
                <w:rFonts w:hint="default" w:ascii="Times New Roman" w:hAnsi="Times New Roman" w:eastAsia="宋体" w:cs="Times New Roman"/>
                <w:b/>
                <w:color w:val="000000" w:themeColor="text1"/>
                <w:sz w:val="21"/>
                <w:szCs w:val="21"/>
                <w:highlight w:val="none"/>
                <w14:textFill>
                  <w14:solidFill>
                    <w14:schemeClr w14:val="tx1"/>
                  </w14:solidFill>
                </w14:textFill>
              </w:rPr>
              <w:t>部门管理类</w:t>
            </w:r>
          </w:p>
        </w:tc>
        <w:tc>
          <w:tcPr>
            <w:tcW w:w="1153"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16602899">
            <w:pPr>
              <w:pStyle w:val="42"/>
              <w:snapToGrid w:val="0"/>
              <w:spacing w:before="0" w:after="0" w:line="240" w:lineRule="auto"/>
              <w:jc w:val="center"/>
              <w:rPr>
                <w:rFonts w:hint="default" w:ascii="Times New Roman" w:hAnsi="Times New Roman" w:eastAsia="宋体" w:cs="Times New Roman"/>
                <w:b/>
                <w:color w:val="000000" w:themeColor="text1"/>
                <w:sz w:val="21"/>
                <w:szCs w:val="21"/>
                <w:highlight w:val="none"/>
                <w14:textFill>
                  <w14:solidFill>
                    <w14:schemeClr w14:val="tx1"/>
                  </w14:solidFill>
                </w14:textFill>
              </w:rPr>
            </w:pPr>
            <w:r>
              <w:rPr>
                <w:rFonts w:hint="default" w:ascii="Times New Roman" w:hAnsi="Times New Roman" w:eastAsia="宋体" w:cs="Times New Roman"/>
                <w:b/>
                <w:color w:val="000000" w:themeColor="text1"/>
                <w:sz w:val="21"/>
                <w:szCs w:val="21"/>
                <w:highlight w:val="none"/>
                <w14:textFill>
                  <w14:solidFill>
                    <w14:schemeClr w14:val="tx1"/>
                  </w14:solidFill>
                </w14:textFill>
              </w:rPr>
              <w:t>部门</w:t>
            </w:r>
            <w:r>
              <w:rPr>
                <w:rFonts w:hint="eastAsia" w:hAnsi="Times New Roman" w:eastAsia="宋体" w:cs="Times New Roman"/>
                <w:b/>
                <w:color w:val="000000" w:themeColor="text1"/>
                <w:sz w:val="21"/>
                <w:szCs w:val="21"/>
                <w:highlight w:val="none"/>
                <w:lang w:val="en-US" w:eastAsia="zh-CN"/>
                <w14:textFill>
                  <w14:solidFill>
                    <w14:schemeClr w14:val="tx1"/>
                  </w14:solidFill>
                </w14:textFill>
              </w:rPr>
              <w:t>绩效类</w:t>
            </w:r>
          </w:p>
        </w:tc>
        <w:tc>
          <w:tcPr>
            <w:tcW w:w="1010"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657A11A8">
            <w:pPr>
              <w:pStyle w:val="42"/>
              <w:snapToGrid w:val="0"/>
              <w:spacing w:before="0" w:after="0" w:line="240" w:lineRule="auto"/>
              <w:jc w:val="center"/>
              <w:rPr>
                <w:rFonts w:hint="default" w:ascii="Times New Roman" w:hAnsi="Times New Roman" w:eastAsia="宋体" w:cs="Times New Roman"/>
                <w:b/>
                <w:color w:val="000000" w:themeColor="text1"/>
                <w:sz w:val="21"/>
                <w:szCs w:val="21"/>
                <w:highlight w:val="none"/>
                <w14:textFill>
                  <w14:solidFill>
                    <w14:schemeClr w14:val="tx1"/>
                  </w14:solidFill>
                </w14:textFill>
              </w:rPr>
            </w:pPr>
            <w:r>
              <w:rPr>
                <w:rFonts w:hint="default" w:ascii="Times New Roman" w:hAnsi="Times New Roman" w:eastAsia="宋体" w:cs="Times New Roman"/>
                <w:b/>
                <w:color w:val="000000" w:themeColor="text1"/>
                <w:sz w:val="21"/>
                <w:szCs w:val="21"/>
                <w:highlight w:val="none"/>
                <w:lang w:val="zh-TW" w:eastAsia="zh-TW"/>
                <w14:textFill>
                  <w14:solidFill>
                    <w14:schemeClr w14:val="tx1"/>
                  </w14:solidFill>
                </w14:textFill>
              </w:rPr>
              <w:t>合计分值</w:t>
            </w:r>
          </w:p>
        </w:tc>
      </w:tr>
      <w:tr w14:paraId="40E7A5D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jc w:val="center"/>
        </w:trPr>
        <w:tc>
          <w:tcPr>
            <w:tcW w:w="7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2EC83724">
            <w:pPr>
              <w:pStyle w:val="42"/>
              <w:snapToGrid w:val="0"/>
              <w:spacing w:before="0" w:after="0" w:line="240" w:lineRule="auto"/>
              <w:jc w:val="center"/>
              <w:rPr>
                <w:rFonts w:hint="default" w:ascii="Times New Roman" w:hAnsi="Times New Roman" w:eastAsia="宋体" w:cs="Times New Roman"/>
                <w:b/>
                <w:color w:val="000000" w:themeColor="text1"/>
                <w:sz w:val="21"/>
                <w:szCs w:val="21"/>
                <w:highlight w:val="none"/>
                <w:lang w:val="en-US" w:eastAsia="zh-CN"/>
                <w14:textFill>
                  <w14:solidFill>
                    <w14:schemeClr w14:val="tx1"/>
                  </w14:solidFill>
                </w14:textFill>
              </w:rPr>
            </w:pPr>
            <w:r>
              <w:rPr>
                <w:rFonts w:hint="eastAsia" w:hAnsi="Times New Roman" w:eastAsia="宋体" w:cs="Times New Roman"/>
                <w:b/>
                <w:color w:val="000000" w:themeColor="text1"/>
                <w:sz w:val="21"/>
                <w:szCs w:val="21"/>
                <w:highlight w:val="none"/>
                <w:lang w:val="en-US" w:eastAsia="zh-CN"/>
                <w14:textFill>
                  <w14:solidFill>
                    <w14:schemeClr w14:val="tx1"/>
                  </w14:solidFill>
                </w14:textFill>
              </w:rPr>
              <w:t>权重</w:t>
            </w:r>
          </w:p>
        </w:tc>
        <w:tc>
          <w:tcPr>
            <w:tcW w:w="173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D47824B">
            <w:pPr>
              <w:pStyle w:val="42"/>
              <w:snapToGrid w:val="0"/>
              <w:spacing w:before="0" w:after="0" w:line="240" w:lineRule="auto"/>
              <w:jc w:val="center"/>
              <w:rPr>
                <w:rFonts w:hint="default"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t xml:space="preserve">15.00 </w:t>
            </w:r>
          </w:p>
        </w:tc>
        <w:tc>
          <w:tcPr>
            <w:tcW w:w="179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0437D3E">
            <w:pPr>
              <w:pStyle w:val="42"/>
              <w:snapToGrid w:val="0"/>
              <w:spacing w:before="0" w:after="0" w:line="240" w:lineRule="auto"/>
              <w:jc w:val="center"/>
              <w:rPr>
                <w:rFonts w:hint="default"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t xml:space="preserve">25.00 </w:t>
            </w:r>
          </w:p>
        </w:tc>
        <w:tc>
          <w:tcPr>
            <w:tcW w:w="195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BB4AA8D">
            <w:pPr>
              <w:pStyle w:val="42"/>
              <w:snapToGrid w:val="0"/>
              <w:spacing w:before="0" w:after="0" w:line="240" w:lineRule="auto"/>
              <w:jc w:val="center"/>
              <w:rPr>
                <w:rFonts w:hint="default"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t xml:space="preserve">60.00 </w:t>
            </w:r>
          </w:p>
        </w:tc>
        <w:tc>
          <w:tcPr>
            <w:tcW w:w="171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3BC48DB">
            <w:pPr>
              <w:pStyle w:val="42"/>
              <w:snapToGrid w:val="0"/>
              <w:spacing w:before="0" w:after="0" w:line="240" w:lineRule="auto"/>
              <w:jc w:val="center"/>
              <w:rPr>
                <w:rFonts w:hint="default"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t xml:space="preserve">100.00 </w:t>
            </w:r>
          </w:p>
        </w:tc>
      </w:tr>
      <w:tr w14:paraId="5F1324A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7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2CC048E5">
            <w:pPr>
              <w:pStyle w:val="42"/>
              <w:snapToGrid w:val="0"/>
              <w:spacing w:before="0" w:after="0" w:line="240" w:lineRule="auto"/>
              <w:jc w:val="center"/>
              <w:rPr>
                <w:rFonts w:hint="default" w:ascii="Times New Roman" w:hAnsi="Times New Roman" w:eastAsia="宋体" w:cs="Times New Roman"/>
                <w:b/>
                <w:color w:val="000000" w:themeColor="text1"/>
                <w:sz w:val="21"/>
                <w:szCs w:val="21"/>
                <w:highlight w:val="none"/>
                <w:lang w:val="en-US" w:eastAsia="zh-CN"/>
                <w14:textFill>
                  <w14:solidFill>
                    <w14:schemeClr w14:val="tx1"/>
                  </w14:solidFill>
                </w14:textFill>
              </w:rPr>
            </w:pPr>
            <w:r>
              <w:rPr>
                <w:rFonts w:hint="eastAsia" w:hAnsi="Times New Roman" w:eastAsia="宋体" w:cs="Times New Roman"/>
                <w:b/>
                <w:color w:val="000000" w:themeColor="text1"/>
                <w:sz w:val="21"/>
                <w:szCs w:val="21"/>
                <w:highlight w:val="none"/>
                <w:lang w:val="en-US" w:eastAsia="zh-CN"/>
                <w14:textFill>
                  <w14:solidFill>
                    <w14:schemeClr w14:val="tx1"/>
                  </w14:solidFill>
                </w14:textFill>
              </w:rPr>
              <w:t>得分</w:t>
            </w:r>
          </w:p>
        </w:tc>
        <w:tc>
          <w:tcPr>
            <w:tcW w:w="173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4F6FF06">
            <w:pPr>
              <w:pStyle w:val="42"/>
              <w:snapToGrid w:val="0"/>
              <w:spacing w:before="0" w:after="0" w:line="240" w:lineRule="auto"/>
              <w:jc w:val="center"/>
              <w:rPr>
                <w:rFonts w:hint="default"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t xml:space="preserve">13.00 </w:t>
            </w:r>
          </w:p>
        </w:tc>
        <w:tc>
          <w:tcPr>
            <w:tcW w:w="179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248E0B9">
            <w:pPr>
              <w:pStyle w:val="42"/>
              <w:snapToGrid w:val="0"/>
              <w:spacing w:before="0" w:after="0" w:line="240" w:lineRule="auto"/>
              <w:jc w:val="center"/>
              <w:rPr>
                <w:rFonts w:hint="default"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t xml:space="preserve">24.00 </w:t>
            </w:r>
          </w:p>
        </w:tc>
        <w:tc>
          <w:tcPr>
            <w:tcW w:w="195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66A02C3">
            <w:pPr>
              <w:pStyle w:val="42"/>
              <w:snapToGrid w:val="0"/>
              <w:spacing w:before="0" w:after="0" w:line="240" w:lineRule="auto"/>
              <w:jc w:val="center"/>
              <w:rPr>
                <w:rFonts w:hint="default"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t xml:space="preserve">54.17 </w:t>
            </w:r>
          </w:p>
        </w:tc>
        <w:tc>
          <w:tcPr>
            <w:tcW w:w="171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0C08DFF">
            <w:pPr>
              <w:pStyle w:val="42"/>
              <w:snapToGrid w:val="0"/>
              <w:spacing w:before="0" w:after="0" w:line="240" w:lineRule="auto"/>
              <w:jc w:val="center"/>
              <w:rPr>
                <w:rFonts w:hint="default"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t xml:space="preserve">91.17 </w:t>
            </w:r>
          </w:p>
        </w:tc>
      </w:tr>
      <w:tr w14:paraId="14D46F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jc w:val="center"/>
        </w:trPr>
        <w:tc>
          <w:tcPr>
            <w:tcW w:w="7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008443CF">
            <w:pPr>
              <w:pStyle w:val="42"/>
              <w:snapToGrid w:val="0"/>
              <w:spacing w:before="0" w:after="0" w:line="240" w:lineRule="auto"/>
              <w:jc w:val="center"/>
              <w:rPr>
                <w:rFonts w:hint="default" w:ascii="Times New Roman" w:hAnsi="Times New Roman" w:eastAsia="宋体" w:cs="Times New Roman"/>
                <w:b/>
                <w:color w:val="000000" w:themeColor="text1"/>
                <w:sz w:val="21"/>
                <w:szCs w:val="21"/>
                <w:highlight w:val="none"/>
                <w:lang w:val="en-US" w:eastAsia="zh-CN"/>
                <w14:textFill>
                  <w14:solidFill>
                    <w14:schemeClr w14:val="tx1"/>
                  </w14:solidFill>
                </w14:textFill>
              </w:rPr>
            </w:pPr>
            <w:r>
              <w:rPr>
                <w:rFonts w:hint="eastAsia" w:hAnsi="Times New Roman" w:eastAsia="宋体" w:cs="Times New Roman"/>
                <w:b/>
                <w:color w:val="000000" w:themeColor="text1"/>
                <w:sz w:val="21"/>
                <w:szCs w:val="21"/>
                <w:highlight w:val="none"/>
                <w:lang w:val="en-US" w:eastAsia="zh-CN"/>
                <w14:textFill>
                  <w14:solidFill>
                    <w14:schemeClr w14:val="tx1"/>
                  </w14:solidFill>
                </w14:textFill>
              </w:rPr>
              <w:t>得分率</w:t>
            </w:r>
          </w:p>
        </w:tc>
        <w:tc>
          <w:tcPr>
            <w:tcW w:w="173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4614CC9">
            <w:pPr>
              <w:pStyle w:val="42"/>
              <w:snapToGrid w:val="0"/>
              <w:spacing w:before="0" w:after="0" w:line="240" w:lineRule="auto"/>
              <w:jc w:val="center"/>
              <w:rPr>
                <w:rFonts w:hint="default"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t>86.67%</w:t>
            </w:r>
          </w:p>
        </w:tc>
        <w:tc>
          <w:tcPr>
            <w:tcW w:w="179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8C4BB75">
            <w:pPr>
              <w:pStyle w:val="42"/>
              <w:snapToGrid w:val="0"/>
              <w:spacing w:before="0" w:after="0" w:line="240" w:lineRule="auto"/>
              <w:jc w:val="center"/>
              <w:rPr>
                <w:rFonts w:hint="default"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t>96.00%</w:t>
            </w:r>
          </w:p>
        </w:tc>
        <w:tc>
          <w:tcPr>
            <w:tcW w:w="195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06D9E65">
            <w:pPr>
              <w:pStyle w:val="42"/>
              <w:snapToGrid w:val="0"/>
              <w:spacing w:before="0" w:after="0" w:line="240" w:lineRule="auto"/>
              <w:jc w:val="center"/>
              <w:rPr>
                <w:rFonts w:hint="default"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t>90.28%</w:t>
            </w:r>
          </w:p>
        </w:tc>
        <w:tc>
          <w:tcPr>
            <w:tcW w:w="1712"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54EF369">
            <w:pPr>
              <w:pStyle w:val="42"/>
              <w:snapToGrid w:val="0"/>
              <w:spacing w:before="0" w:after="0" w:line="240" w:lineRule="auto"/>
              <w:jc w:val="center"/>
              <w:rPr>
                <w:rFonts w:hint="default"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pPr>
            <w:r>
              <w:rPr>
                <w:rFonts w:hint="eastAsia" w:ascii="Times New Roman" w:hAnsi="Times New Roman" w:eastAsia="宋体" w:cs="Times New Roman"/>
                <w:b w:val="0"/>
                <w:bCs/>
                <w:color w:val="000000" w:themeColor="text1"/>
                <w:sz w:val="21"/>
                <w:szCs w:val="21"/>
                <w:highlight w:val="none"/>
                <w:lang w:val="en-US" w:eastAsia="zh-CN"/>
                <w14:textFill>
                  <w14:solidFill>
                    <w14:schemeClr w14:val="tx1"/>
                  </w14:solidFill>
                </w14:textFill>
              </w:rPr>
              <w:t>91.17%</w:t>
            </w:r>
          </w:p>
        </w:tc>
      </w:tr>
    </w:tbl>
    <w:p w14:paraId="0F068DD6">
      <w:pPr>
        <w:ind w:firstLine="482"/>
        <w:rPr>
          <w:b/>
          <w:color w:val="000000" w:themeColor="text1"/>
          <w:sz w:val="24"/>
          <w:szCs w:val="24"/>
          <w14:textFill>
            <w14:solidFill>
              <w14:schemeClr w14:val="tx1"/>
            </w14:solidFill>
          </w14:textFill>
        </w:rPr>
      </w:pPr>
    </w:p>
    <w:p w14:paraId="5B273DC5">
      <w:pPr>
        <w:ind w:firstLine="482"/>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三、主要经验及做法、存在的问题和改进的建议</w:t>
      </w:r>
    </w:p>
    <w:p w14:paraId="03E0FD0E">
      <w:pPr>
        <w:keepNext/>
        <w:keepLines/>
        <w:ind w:firstLine="422"/>
        <w:jc w:val="left"/>
        <w:outlineLvl w:val="1"/>
        <w:rPr>
          <w:b/>
          <w:color w:val="000000" w:themeColor="text1"/>
          <w14:textFill>
            <w14:solidFill>
              <w14:schemeClr w14:val="tx1"/>
            </w14:solidFill>
          </w14:textFill>
        </w:rPr>
      </w:pPr>
      <w:bookmarkStart w:id="13" w:name="_Toc26650"/>
      <w:bookmarkStart w:id="14" w:name="_Toc1482"/>
      <w:r>
        <w:rPr>
          <w:b/>
          <w:color w:val="000000" w:themeColor="text1"/>
          <w14:textFill>
            <w14:solidFill>
              <w14:schemeClr w14:val="tx1"/>
            </w14:solidFill>
          </w14:textFill>
        </w:rPr>
        <w:t>（一）主要经验及做法</w:t>
      </w:r>
      <w:bookmarkEnd w:id="13"/>
      <w:bookmarkEnd w:id="14"/>
    </w:p>
    <w:p w14:paraId="65FEA0C5">
      <w:pPr>
        <w:ind w:firstLine="420"/>
        <w:rPr>
          <w:rFonts w:hint="eastAsia"/>
          <w:color w:val="000000" w:themeColor="text1"/>
          <w14:textFill>
            <w14:solidFill>
              <w14:schemeClr w14:val="tx1"/>
            </w14:solidFill>
          </w14:textFill>
        </w:rPr>
      </w:pPr>
      <w:bookmarkStart w:id="15" w:name="_Toc5625"/>
      <w:bookmarkStart w:id="16" w:name="_Toc2119"/>
      <w:r>
        <w:rPr>
          <w:rFonts w:hint="eastAsia"/>
          <w:color w:val="000000" w:themeColor="text1"/>
          <w14:textFill>
            <w14:solidFill>
              <w14:schemeClr w14:val="tx1"/>
            </w14:solidFill>
          </w14:textFill>
        </w:rPr>
        <w:t>一是坚持法治理念，全面做好经济普查。</w:t>
      </w:r>
      <w:r>
        <w:rPr>
          <w:rFonts w:hint="eastAsia"/>
          <w:color w:val="000000" w:themeColor="text1"/>
          <w:lang w:eastAsia="zh-CN"/>
          <w14:textFill>
            <w14:solidFill>
              <w14:schemeClr w14:val="tx1"/>
            </w14:solidFill>
          </w14:textFill>
        </w:rPr>
        <w:t>县委、县政府</w:t>
      </w:r>
      <w:r>
        <w:rPr>
          <w:rFonts w:hint="eastAsia"/>
          <w:color w:val="000000" w:themeColor="text1"/>
          <w14:textFill>
            <w14:solidFill>
              <w14:schemeClr w14:val="tx1"/>
            </w14:solidFill>
          </w14:textFill>
        </w:rPr>
        <w:t>主要领导多次在县委常委会、政府常务会安排部署推动五经普工作，普查登记首日亲自参与并指导普查登记工作，对普查工作提出具体明确要求</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督促县班子成员领导深入包联乡镇、重点行业参与普查入户，为普查工作的顺利完成奠定了坚实的基础</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积极主动与市监、编办、民政、统战、农业农村等部门对接，按照“管行业必须管普查”的要求，通过部门数据比对、组织行业部门与普查员联合入户等方式，充分发挥部门作用，提高普查数据质量。</w:t>
      </w:r>
    </w:p>
    <w:p w14:paraId="6BAF9D42">
      <w:pPr>
        <w:ind w:firstLine="420"/>
        <w:rPr>
          <w:rFonts w:hint="eastAsia" w:eastAsia="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二是部门密切协作</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发挥指挥协调枢纽作用，形成做好普查工作的强大合力。严格落实普查工作调度和通报机制，多措并举强化业务指导，采取“从始到终、定人包联”开展督导检查，分类研究解决普查登记重点难点问题，实现普查数据“来源清、质量高、责任明”。坚持质量与进度齐抓并重，落实普查方案，组织普查“两员”深入街巷、走企入户，全面完成了一套表单位、非一套表单位、个体经营户及投入产出调查单位的普查数据登记工作</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严格落实《</w:t>
      </w:r>
      <w:r>
        <w:rPr>
          <w:rFonts w:hint="eastAsia"/>
          <w:color w:val="000000" w:themeColor="text1"/>
          <w:lang w:eastAsia="zh-CN"/>
          <w14:textFill>
            <w14:solidFill>
              <w14:schemeClr w14:val="tx1"/>
            </w14:solidFill>
          </w14:textFill>
        </w:rPr>
        <w:t>全国经济普查条例</w:t>
      </w: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执行</w:t>
      </w:r>
      <w:r>
        <w:rPr>
          <w:rFonts w:hint="eastAsia"/>
          <w:color w:val="000000" w:themeColor="text1"/>
          <w14:textFill>
            <w14:solidFill>
              <w14:schemeClr w14:val="tx1"/>
            </w14:solidFill>
          </w14:textFill>
        </w:rPr>
        <w:t>“即报即审”“随报随审”要求，安排县经普办及统计局专业人员按照即采、即报、即审、即改的原则做好</w:t>
      </w:r>
      <w:r>
        <w:rPr>
          <w:rFonts w:hint="eastAsia"/>
          <w:color w:val="000000" w:themeColor="text1"/>
          <w:lang w:val="en-US" w:eastAsia="zh-CN"/>
          <w14:textFill>
            <w14:solidFill>
              <w14:schemeClr w14:val="tx1"/>
            </w14:solidFill>
          </w14:textFill>
        </w:rPr>
        <w:t>统计</w:t>
      </w:r>
      <w:r>
        <w:rPr>
          <w:rFonts w:hint="eastAsia"/>
          <w:color w:val="000000" w:themeColor="text1"/>
          <w14:textFill>
            <w14:solidFill>
              <w14:schemeClr w14:val="tx1"/>
            </w14:solidFill>
          </w14:textFill>
        </w:rPr>
        <w:t>数据审核工作，全面保障普查数据质量</w:t>
      </w:r>
      <w:r>
        <w:rPr>
          <w:rFonts w:hint="eastAsia"/>
          <w:color w:val="000000" w:themeColor="text1"/>
          <w:lang w:eastAsia="zh-CN"/>
          <w14:textFill>
            <w14:solidFill>
              <w14:schemeClr w14:val="tx1"/>
            </w14:solidFill>
          </w14:textFill>
        </w:rPr>
        <w:t>。</w:t>
      </w:r>
    </w:p>
    <w:p w14:paraId="15236F2E">
      <w:pPr>
        <w:keepNext/>
        <w:keepLines/>
        <w:ind w:firstLine="422"/>
        <w:jc w:val="left"/>
        <w:outlineLvl w:val="1"/>
        <w:rPr>
          <w:b/>
          <w:color w:val="000000" w:themeColor="text1"/>
          <w14:textFill>
            <w14:solidFill>
              <w14:schemeClr w14:val="tx1"/>
            </w14:solidFill>
          </w14:textFill>
        </w:rPr>
      </w:pPr>
      <w:r>
        <w:rPr>
          <w:b/>
          <w:color w:val="000000" w:themeColor="text1"/>
          <w14:textFill>
            <w14:solidFill>
              <w14:schemeClr w14:val="tx1"/>
            </w14:solidFill>
          </w14:textFill>
        </w:rPr>
        <w:t>（二）主要存在问题及原因分析</w:t>
      </w:r>
      <w:bookmarkEnd w:id="15"/>
      <w:bookmarkEnd w:id="16"/>
    </w:p>
    <w:p w14:paraId="5BE0EBB3">
      <w:pPr>
        <w:ind w:firstLine="422"/>
        <w:rPr>
          <w:rFonts w:hint="default" w:eastAsiaTheme="minorEastAsia"/>
          <w:b/>
          <w:bCs/>
          <w:color w:val="000000" w:themeColor="text1"/>
          <w:lang w:val="en-US" w:eastAsia="zh-CN"/>
          <w14:textFill>
            <w14:solidFill>
              <w14:schemeClr w14:val="tx1"/>
            </w14:solidFill>
          </w14:textFill>
        </w:rPr>
      </w:pPr>
      <w:bookmarkStart w:id="17" w:name="_Toc3812"/>
      <w:bookmarkStart w:id="18" w:name="_Toc13385"/>
      <w:r>
        <w:rPr>
          <w:rFonts w:eastAsiaTheme="minorEastAsia"/>
          <w:b/>
          <w:bCs/>
          <w:color w:val="000000" w:themeColor="text1"/>
          <w14:textFill>
            <w14:solidFill>
              <w14:schemeClr w14:val="tx1"/>
            </w14:solidFill>
          </w14:textFill>
        </w:rPr>
        <w:t>1.年度计划未明确任务科室责任主体</w:t>
      </w:r>
    </w:p>
    <w:p w14:paraId="162E849F">
      <w:pPr>
        <w:ind w:firstLine="420"/>
        <w:rPr>
          <w:rFonts w:hint="eastAsia" w:eastAsia="宋体"/>
          <w:color w:val="000000" w:themeColor="text1"/>
          <w:lang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吉木萨尔县统计局</w:t>
      </w:r>
      <w:r>
        <w:rPr>
          <w:rFonts w:eastAsiaTheme="minorEastAsia"/>
          <w:color w:val="000000" w:themeColor="text1"/>
          <w14:textFill>
            <w14:solidFill>
              <w14:schemeClr w14:val="tx1"/>
            </w14:solidFill>
          </w14:textFill>
        </w:rPr>
        <w:t>在</w:t>
      </w:r>
      <w:r>
        <w:rPr>
          <w:rFonts w:hint="eastAsia" w:eastAsiaTheme="minorEastAsia"/>
          <w:color w:val="000000" w:themeColor="text1"/>
          <w:lang w:val="en-US" w:eastAsia="zh-CN"/>
          <w14:textFill>
            <w14:solidFill>
              <w14:schemeClr w14:val="tx1"/>
            </w14:solidFill>
          </w14:textFill>
        </w:rPr>
        <w:t>制定</w:t>
      </w:r>
      <w:r>
        <w:rPr>
          <w:rFonts w:eastAsiaTheme="minorEastAsia"/>
          <w:color w:val="000000" w:themeColor="text1"/>
          <w14:textFill>
            <w14:solidFill>
              <w14:schemeClr w14:val="tx1"/>
            </w14:solidFill>
          </w14:textFill>
        </w:rPr>
        <w:t>202</w:t>
      </w:r>
      <w:r>
        <w:rPr>
          <w:rFonts w:hint="eastAsia" w:eastAsiaTheme="minorEastAsia"/>
          <w:color w:val="000000" w:themeColor="text1"/>
          <w:lang w:val="en-US" w:eastAsia="zh-CN"/>
          <w14:textFill>
            <w14:solidFill>
              <w14:schemeClr w14:val="tx1"/>
            </w14:solidFill>
          </w14:textFill>
        </w:rPr>
        <w:t>4</w:t>
      </w:r>
      <w:r>
        <w:rPr>
          <w:rFonts w:eastAsiaTheme="minorEastAsia"/>
          <w:color w:val="000000" w:themeColor="text1"/>
          <w14:textFill>
            <w14:solidFill>
              <w14:schemeClr w14:val="tx1"/>
            </w14:solidFill>
          </w14:textFill>
        </w:rPr>
        <w:t>年</w:t>
      </w:r>
      <w:r>
        <w:rPr>
          <w:rFonts w:hint="eastAsia" w:eastAsiaTheme="minorEastAsia"/>
          <w:color w:val="000000" w:themeColor="text1"/>
          <w:lang w:val="en-US" w:eastAsia="zh-CN"/>
          <w14:textFill>
            <w14:solidFill>
              <w14:schemeClr w14:val="tx1"/>
            </w14:solidFill>
          </w14:textFill>
        </w:rPr>
        <w:t>年度工作</w:t>
      </w:r>
      <w:r>
        <w:rPr>
          <w:rFonts w:eastAsiaTheme="minorEastAsia"/>
          <w:color w:val="000000" w:themeColor="text1"/>
          <w14:textFill>
            <w14:solidFill>
              <w14:schemeClr w14:val="tx1"/>
            </w14:solidFill>
          </w14:textFill>
        </w:rPr>
        <w:t>计划时，</w:t>
      </w:r>
      <w:r>
        <w:rPr>
          <w:rFonts w:hint="eastAsia" w:eastAsiaTheme="minorEastAsia"/>
          <w:color w:val="000000" w:themeColor="text1"/>
          <w:lang w:val="en-US" w:eastAsia="zh-CN"/>
          <w14:textFill>
            <w14:solidFill>
              <w14:schemeClr w14:val="tx1"/>
            </w14:solidFill>
          </w14:textFill>
        </w:rPr>
        <w:t>总结了上一年度的工作不足，</w:t>
      </w:r>
      <w:r>
        <w:rPr>
          <w:rFonts w:hint="eastAsia" w:cs="Times New Roman"/>
          <w:bCs/>
          <w:color w:val="000000" w:themeColor="text1"/>
          <w:highlight w:val="none"/>
          <w:lang w:val="en-US" w:eastAsia="zh-CN"/>
          <w14:textFill>
            <w14:solidFill>
              <w14:schemeClr w14:val="tx1"/>
            </w14:solidFill>
          </w14:textFill>
        </w:rPr>
        <w:t>并提出了单位政治任务、服务质量要求、年度统计业务工作等年度任务目标</w:t>
      </w:r>
      <w:r>
        <w:rPr>
          <w:rFonts w:hint="eastAsia" w:cs="Times New Roman" w:eastAsiaTheme="minorEastAsia"/>
          <w:bCs/>
          <w:color w:val="000000" w:themeColor="text1"/>
          <w:highlight w:val="none"/>
          <w:lang w:eastAsia="zh-CN"/>
          <w14:textFill>
            <w14:solidFill>
              <w14:schemeClr w14:val="tx1"/>
            </w14:solidFill>
          </w14:textFill>
        </w:rPr>
        <w:t>，</w:t>
      </w:r>
      <w:r>
        <w:rPr>
          <w:rFonts w:hint="default" w:ascii="Times New Roman" w:hAnsi="Times New Roman" w:cs="Times New Roman"/>
          <w:bCs/>
          <w:color w:val="000000" w:themeColor="text1"/>
          <w:highlight w:val="none"/>
          <w14:textFill>
            <w14:solidFill>
              <w14:schemeClr w14:val="tx1"/>
            </w14:solidFill>
          </w14:textFill>
        </w:rPr>
        <w:t>但</w:t>
      </w:r>
      <w:r>
        <w:rPr>
          <w:rFonts w:hint="eastAsia" w:cs="Times New Roman"/>
          <w:bCs/>
          <w:color w:val="000000" w:themeColor="text1"/>
          <w:highlight w:val="none"/>
          <w:lang w:val="en-US" w:eastAsia="zh-CN"/>
          <w14:textFill>
            <w14:solidFill>
              <w14:schemeClr w14:val="tx1"/>
            </w14:solidFill>
          </w14:textFill>
        </w:rPr>
        <w:t>未结合</w:t>
      </w:r>
      <w:r>
        <w:rPr>
          <w:rFonts w:eastAsiaTheme="minorEastAsia"/>
          <w:color w:val="000000" w:themeColor="text1"/>
          <w14:textFill>
            <w14:solidFill>
              <w14:schemeClr w14:val="tx1"/>
            </w14:solidFill>
          </w14:textFill>
        </w:rPr>
        <w:t>《</w:t>
      </w:r>
      <w:r>
        <w:rPr>
          <w:rFonts w:hint="eastAsia" w:eastAsiaTheme="minorEastAsia"/>
          <w:color w:val="000000" w:themeColor="text1"/>
          <w14:textFill>
            <w14:solidFill>
              <w14:schemeClr w14:val="tx1"/>
            </w14:solidFill>
          </w14:textFill>
        </w:rPr>
        <w:t>新疆维吾尔自治区统计改革发展“十四五”规划（2021—2025年）</w:t>
      </w:r>
      <w:r>
        <w:rPr>
          <w:rFonts w:eastAsiaTheme="minorEastAsia"/>
          <w:color w:val="000000" w:themeColor="text1"/>
          <w14:textFill>
            <w14:solidFill>
              <w14:schemeClr w14:val="tx1"/>
            </w14:solidFill>
          </w14:textFill>
        </w:rPr>
        <w:t>》</w:t>
      </w:r>
      <w:r>
        <w:rPr>
          <w:rFonts w:hint="eastAsia" w:ascii="Times New Roman" w:hAnsi="Times New Roman" w:cs="Times New Roman" w:eastAsiaTheme="minorEastAsia"/>
          <w:color w:val="000000" w:themeColor="text1"/>
          <w:lang w:eastAsia="zh-CN"/>
          <w14:textFill>
            <w14:solidFill>
              <w14:schemeClr w14:val="tx1"/>
            </w14:solidFill>
          </w14:textFill>
        </w:rPr>
        <w:t>《吉木萨尔县国民经济和社会发展第十四个五年规划和二〇三五年远景目标纲要》</w:t>
      </w:r>
      <w:r>
        <w:rPr>
          <w:rFonts w:hint="eastAsia" w:ascii="Times New Roman" w:hAnsi="Times New Roman" w:cs="Times New Roman" w:eastAsiaTheme="minorEastAsia"/>
          <w:color w:val="000000" w:themeColor="text1"/>
          <w:lang w:val="en-US" w:eastAsia="zh-CN"/>
          <w14:textFill>
            <w14:solidFill>
              <w14:schemeClr w14:val="tx1"/>
            </w14:solidFill>
          </w14:textFill>
        </w:rPr>
        <w:t>等</w:t>
      </w:r>
      <w:r>
        <w:rPr>
          <w:rFonts w:hint="eastAsia" w:cs="Times New Roman"/>
          <w:bCs/>
          <w:color w:val="000000" w:themeColor="text1"/>
          <w:highlight w:val="none"/>
          <w:lang w:val="en-US" w:eastAsia="zh-CN"/>
          <w14:textFill>
            <w14:solidFill>
              <w14:schemeClr w14:val="tx1"/>
            </w14:solidFill>
          </w14:textFill>
        </w:rPr>
        <w:t>统计发展规划</w:t>
      </w:r>
      <w:r>
        <w:rPr>
          <w:rFonts w:hint="default" w:ascii="Times New Roman" w:hAnsi="Times New Roman" w:cs="Times New Roman"/>
          <w:bCs/>
          <w:color w:val="000000" w:themeColor="text1"/>
          <w:highlight w:val="none"/>
          <w14:textFill>
            <w14:solidFill>
              <w14:schemeClr w14:val="tx1"/>
            </w14:solidFill>
          </w14:textFill>
        </w:rPr>
        <w:t>制定年度总目标，各重点任务工作量化</w:t>
      </w:r>
      <w:r>
        <w:rPr>
          <w:rFonts w:hint="eastAsia" w:cs="Times New Roman"/>
          <w:bCs/>
          <w:color w:val="000000" w:themeColor="text1"/>
          <w:highlight w:val="none"/>
          <w:lang w:val="en-US" w:eastAsia="zh-CN"/>
          <w14:textFill>
            <w14:solidFill>
              <w14:schemeClr w14:val="tx1"/>
            </w14:solidFill>
          </w14:textFill>
        </w:rPr>
        <w:t>不够</w:t>
      </w:r>
      <w:r>
        <w:rPr>
          <w:rFonts w:hint="default" w:ascii="Times New Roman" w:hAnsi="Times New Roman" w:cs="Times New Roman"/>
          <w:bCs/>
          <w:color w:val="000000" w:themeColor="text1"/>
          <w:highlight w:val="none"/>
          <w14:textFill>
            <w14:solidFill>
              <w14:schemeClr w14:val="tx1"/>
            </w14:solidFill>
          </w14:textFill>
        </w:rPr>
        <w:t>具体，</w:t>
      </w:r>
      <w:r>
        <w:rPr>
          <w:rFonts w:hint="eastAsia" w:cs="Times New Roman"/>
          <w:bCs/>
          <w:color w:val="000000" w:themeColor="text1"/>
          <w:highlight w:val="none"/>
          <w:lang w:val="en-US" w:eastAsia="zh-CN"/>
          <w14:textFill>
            <w14:solidFill>
              <w14:schemeClr w14:val="tx1"/>
            </w14:solidFill>
          </w14:textFill>
        </w:rPr>
        <w:t>未明确</w:t>
      </w:r>
      <w:r>
        <w:rPr>
          <w:rFonts w:hint="default" w:ascii="Times New Roman" w:hAnsi="Times New Roman" w:cs="Times New Roman"/>
          <w:bCs/>
          <w:color w:val="000000" w:themeColor="text1"/>
          <w:highlight w:val="none"/>
          <w14:textFill>
            <w14:solidFill>
              <w14:schemeClr w14:val="tx1"/>
            </w14:solidFill>
          </w14:textFill>
        </w:rPr>
        <w:t>责任主体和各项任务的完成时间。</w:t>
      </w:r>
    </w:p>
    <w:p w14:paraId="0EF86F7D">
      <w:pPr>
        <w:ind w:firstLine="422"/>
        <w:rPr>
          <w:rFonts w:hint="default" w:ascii="Times New Roman" w:hAnsi="Times New Roman" w:cs="Times New Roman"/>
          <w:b/>
          <w:bCs/>
          <w:color w:val="000000" w:themeColor="text1"/>
          <w:highlight w:val="none"/>
          <w:lang w:val="en-US" w:eastAsia="zh-CN"/>
          <w14:textFill>
            <w14:solidFill>
              <w14:schemeClr w14:val="tx1"/>
            </w14:solidFill>
          </w14:textFill>
        </w:rPr>
      </w:pPr>
      <w:r>
        <w:rPr>
          <w:rFonts w:hint="eastAsia" w:cs="Times New Roman"/>
          <w:b/>
          <w:bCs/>
          <w:color w:val="000000" w:themeColor="text1"/>
          <w:highlight w:val="none"/>
          <w:lang w:val="en-US" w:eastAsia="zh-CN"/>
          <w14:textFill>
            <w14:solidFill>
              <w14:schemeClr w14:val="tx1"/>
            </w14:solidFill>
          </w14:textFill>
        </w:rPr>
        <w:t>2.</w:t>
      </w:r>
      <w:r>
        <w:rPr>
          <w:rFonts w:hint="default" w:ascii="Times New Roman" w:hAnsi="Times New Roman" w:cs="Times New Roman"/>
          <w:b/>
          <w:bCs/>
          <w:color w:val="000000" w:themeColor="text1"/>
          <w:highlight w:val="none"/>
          <w:lang w:val="en-US" w:eastAsia="zh-CN"/>
          <w14:textFill>
            <w14:solidFill>
              <w14:schemeClr w14:val="tx1"/>
            </w14:solidFill>
          </w14:textFill>
        </w:rPr>
        <w:t>单位</w:t>
      </w:r>
      <w:r>
        <w:rPr>
          <w:rFonts w:hint="eastAsia" w:cs="Times New Roman"/>
          <w:b/>
          <w:bCs/>
          <w:color w:val="000000" w:themeColor="text1"/>
          <w:highlight w:val="none"/>
          <w:lang w:val="en-US" w:eastAsia="zh-CN"/>
          <w14:textFill>
            <w14:solidFill>
              <w14:schemeClr w14:val="tx1"/>
            </w14:solidFill>
          </w14:textFill>
        </w:rPr>
        <w:t>财务管理制度和合同管理</w:t>
      </w:r>
      <w:r>
        <w:rPr>
          <w:rFonts w:hint="default" w:ascii="Times New Roman" w:hAnsi="Times New Roman" w:cs="Times New Roman"/>
          <w:b/>
          <w:bCs/>
          <w:color w:val="000000" w:themeColor="text1"/>
          <w:highlight w:val="none"/>
          <w:lang w:val="en-US" w:eastAsia="zh-CN"/>
          <w14:textFill>
            <w14:solidFill>
              <w14:schemeClr w14:val="tx1"/>
            </w14:solidFill>
          </w14:textFill>
        </w:rPr>
        <w:t>制度不</w:t>
      </w:r>
      <w:r>
        <w:rPr>
          <w:rFonts w:hint="eastAsia" w:cs="Times New Roman"/>
          <w:b/>
          <w:bCs/>
          <w:color w:val="000000" w:themeColor="text1"/>
          <w:highlight w:val="none"/>
          <w:lang w:val="en-US" w:eastAsia="zh-CN"/>
          <w14:textFill>
            <w14:solidFill>
              <w14:schemeClr w14:val="tx1"/>
            </w14:solidFill>
          </w14:textFill>
        </w:rPr>
        <w:t>够完善</w:t>
      </w:r>
    </w:p>
    <w:p w14:paraId="497506B9">
      <w:pPr>
        <w:ind w:firstLine="64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eastAsia="zh-CN"/>
          <w14:textFill>
            <w14:solidFill>
              <w14:schemeClr w14:val="tx1"/>
            </w14:solidFill>
          </w14:textFill>
        </w:rPr>
        <w:t>经查看已制定的财务管理制度和业务管理制度框架和内容，</w:t>
      </w:r>
      <w:r>
        <w:rPr>
          <w:rFonts w:hint="eastAsia" w:cs="Times New Roman"/>
          <w:bCs/>
          <w:color w:val="000000" w:themeColor="text1"/>
          <w:lang w:val="en-US" w:eastAsia="zh-CN"/>
          <w14:textFill>
            <w14:solidFill>
              <w14:schemeClr w14:val="tx1"/>
            </w14:solidFill>
          </w14:textFill>
        </w:rPr>
        <w:t>主要</w:t>
      </w:r>
      <w:r>
        <w:rPr>
          <w:rFonts w:hint="default" w:ascii="Times New Roman" w:hAnsi="Times New Roman" w:eastAsia="宋体" w:cs="Times New Roman"/>
          <w:bCs/>
          <w:color w:val="000000" w:themeColor="text1"/>
          <w:lang w:eastAsia="zh-CN"/>
          <w14:textFill>
            <w14:solidFill>
              <w14:schemeClr w14:val="tx1"/>
            </w14:solidFill>
          </w14:textFill>
        </w:rPr>
        <w:t>存在以下问题：</w:t>
      </w:r>
      <w:r>
        <w:rPr>
          <w:rFonts w:hint="eastAsia"/>
          <w:color w:val="000000" w:themeColor="text1"/>
          <w:lang w:val="en-US" w:eastAsia="zh-CN"/>
          <w14:textFill>
            <w14:solidFill>
              <w14:schemeClr w14:val="tx1"/>
            </w14:solidFill>
          </w14:textFill>
        </w:rPr>
        <w:t>一是《</w:t>
      </w:r>
      <w:r>
        <w:rPr>
          <w:rFonts w:hint="eastAsia" w:eastAsiaTheme="minorEastAsia"/>
          <w:color w:val="000000" w:themeColor="text1"/>
          <w:lang w:eastAsia="zh-CN"/>
          <w14:textFill>
            <w14:solidFill>
              <w14:schemeClr w14:val="tx1"/>
            </w14:solidFill>
          </w14:textFill>
        </w:rPr>
        <w:t>吉木萨尔县统计局合同管理制度</w:t>
      </w:r>
      <w:r>
        <w:rPr>
          <w:rFonts w:hint="eastAsia"/>
          <w:color w:val="000000" w:themeColor="text1"/>
          <w:lang w:val="en-US" w:eastAsia="zh-CN"/>
          <w14:textFill>
            <w14:solidFill>
              <w14:schemeClr w14:val="tx1"/>
            </w14:solidFill>
          </w14:textFill>
        </w:rPr>
        <w:t>》中未建立合同签订范围和条件，以及缺少合同纠纷协调机制。二是</w:t>
      </w:r>
      <w:r>
        <w:rPr>
          <w:rFonts w:hint="eastAsia" w:eastAsiaTheme="minorEastAsia"/>
          <w:color w:val="000000" w:themeColor="text1"/>
          <w:lang w:eastAsia="zh-CN"/>
          <w14:textFill>
            <w14:solidFill>
              <w14:schemeClr w14:val="tx1"/>
            </w14:solidFill>
          </w14:textFill>
        </w:rPr>
        <w:t>《统计局财务管理制度》</w:t>
      </w:r>
      <w:r>
        <w:rPr>
          <w:rFonts w:hint="default" w:ascii="Times New Roman" w:hAnsi="Times New Roman" w:cs="Times New Roman"/>
          <w:color w:val="000000" w:themeColor="text1"/>
          <w:lang w:val="en-US" w:eastAsia="zh-CN"/>
          <w14:textFill>
            <w14:solidFill>
              <w14:schemeClr w14:val="tx1"/>
            </w14:solidFill>
          </w14:textFill>
        </w:rPr>
        <w:t>中缺少</w:t>
      </w:r>
      <w:r>
        <w:rPr>
          <w:rFonts w:hint="default" w:ascii="Times New Roman" w:hAnsi="Times New Roman" w:cs="Times New Roman"/>
          <w:color w:val="000000" w:themeColor="text1"/>
          <w14:textFill>
            <w14:solidFill>
              <w14:schemeClr w14:val="tx1"/>
            </w14:solidFill>
          </w14:textFill>
        </w:rPr>
        <w:t>决算管理</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票据</w:t>
      </w:r>
      <w:r>
        <w:rPr>
          <w:rFonts w:hint="default" w:ascii="Times New Roman" w:hAnsi="Times New Roman" w:cs="Times New Roman"/>
          <w:color w:val="000000" w:themeColor="text1"/>
          <w14:textFill>
            <w14:solidFill>
              <w14:schemeClr w14:val="tx1"/>
            </w14:solidFill>
          </w14:textFill>
        </w:rPr>
        <w:t>管理</w:t>
      </w:r>
      <w:r>
        <w:rPr>
          <w:rFonts w:hint="default" w:ascii="Times New Roman" w:hAnsi="Times New Roman" w:cs="Times New Roman"/>
          <w:color w:val="000000" w:themeColor="text1"/>
          <w:lang w:val="en-US" w:eastAsia="zh-CN"/>
          <w14:textFill>
            <w14:solidFill>
              <w14:schemeClr w14:val="tx1"/>
            </w14:solidFill>
          </w14:textFill>
        </w:rPr>
        <w:t>等</w:t>
      </w:r>
      <w:r>
        <w:rPr>
          <w:rFonts w:hint="default" w:ascii="Times New Roman" w:hAnsi="Times New Roman" w:cs="Times New Roman"/>
          <w:color w:val="000000" w:themeColor="text1"/>
          <w14:textFill>
            <w14:solidFill>
              <w14:schemeClr w14:val="tx1"/>
            </w14:solidFill>
          </w14:textFill>
        </w:rPr>
        <w:t>内容</w:t>
      </w:r>
      <w:r>
        <w:rPr>
          <w:rFonts w:hint="eastAsia"/>
          <w:color w:val="000000" w:themeColor="text1"/>
          <w:lang w:val="en-US" w:eastAsia="zh-CN"/>
          <w14:textFill>
            <w14:solidFill>
              <w14:schemeClr w14:val="tx1"/>
            </w14:solidFill>
          </w14:textFill>
        </w:rPr>
        <w:t>。</w:t>
      </w:r>
    </w:p>
    <w:p w14:paraId="23E3E19A">
      <w:pPr>
        <w:ind w:firstLine="422"/>
        <w:rPr>
          <w:rFonts w:hint="default" w:eastAsiaTheme="minorEastAsia"/>
          <w:b/>
          <w:bCs/>
          <w:color w:val="000000" w:themeColor="text1"/>
          <w:lang w:val="en-US" w:eastAsia="zh-CN"/>
          <w14:textFill>
            <w14:solidFill>
              <w14:schemeClr w14:val="tx1"/>
            </w14:solidFill>
          </w14:textFill>
        </w:rPr>
      </w:pPr>
      <w:r>
        <w:rPr>
          <w:rFonts w:hint="eastAsia" w:eastAsiaTheme="minorEastAsia"/>
          <w:b/>
          <w:bCs/>
          <w:color w:val="000000" w:themeColor="text1"/>
          <w:lang w:val="en-US" w:eastAsia="zh-CN"/>
          <w14:textFill>
            <w14:solidFill>
              <w14:schemeClr w14:val="tx1"/>
            </w14:solidFill>
          </w14:textFill>
        </w:rPr>
        <w:t>3</w:t>
      </w:r>
      <w:r>
        <w:rPr>
          <w:rFonts w:eastAsiaTheme="minorEastAsia"/>
          <w:b/>
          <w:bCs/>
          <w:color w:val="000000" w:themeColor="text1"/>
          <w14:textFill>
            <w14:solidFill>
              <w14:schemeClr w14:val="tx1"/>
            </w14:solidFill>
          </w14:textFill>
        </w:rPr>
        <w:t>.</w:t>
      </w:r>
      <w:r>
        <w:rPr>
          <w:rFonts w:hint="eastAsia" w:eastAsiaTheme="minorEastAsia"/>
          <w:b/>
          <w:bCs/>
          <w:color w:val="000000" w:themeColor="text1"/>
          <w:lang w:val="en-US" w:eastAsia="zh-CN"/>
          <w14:textFill>
            <w14:solidFill>
              <w14:schemeClr w14:val="tx1"/>
            </w14:solidFill>
          </w14:textFill>
        </w:rPr>
        <w:t>统计工作人员满意度较低，统计工作方式方法有待优化完善</w:t>
      </w:r>
    </w:p>
    <w:p w14:paraId="257A09C7">
      <w:pPr>
        <w:ind w:firstLine="420"/>
        <w:rPr>
          <w:rFonts w:eastAsiaTheme="minorEastAsia"/>
          <w:color w:val="000000" w:themeColor="text1"/>
          <w14:textFill>
            <w14:solidFill>
              <w14:schemeClr w14:val="tx1"/>
            </w14:solidFill>
          </w14:textFill>
        </w:rPr>
      </w:pPr>
      <w:r>
        <w:rPr>
          <w:rFonts w:hint="eastAsia" w:ascii="Times New Roman" w:hAnsi="Times New Roman" w:cs="Times New Roman" w:eastAsiaTheme="minorEastAsia"/>
          <w:color w:val="000000" w:themeColor="text1"/>
          <w:lang w:val="en-US" w:eastAsia="zh-CN"/>
          <w14:textFill>
            <w14:solidFill>
              <w14:schemeClr w14:val="tx1"/>
            </w14:solidFill>
          </w14:textFill>
        </w:rPr>
        <w:t>本次评价过程中</w:t>
      </w:r>
      <w:r>
        <w:rPr>
          <w:rFonts w:hint="eastAsia" w:cs="Times New Roman" w:eastAsiaTheme="minorEastAsia"/>
          <w:color w:val="000000" w:themeColor="text1"/>
          <w:lang w:val="en-US" w:eastAsia="zh-CN"/>
          <w14:textFill>
            <w14:solidFill>
              <w14:schemeClr w14:val="tx1"/>
            </w14:solidFill>
          </w14:textFill>
        </w:rPr>
        <w:t>根据</w:t>
      </w:r>
      <w:r>
        <w:rPr>
          <w:rFonts w:hint="eastAsia" w:ascii="Times New Roman" w:hAnsi="Times New Roman" w:cs="Times New Roman" w:eastAsiaTheme="minorEastAsia"/>
          <w:color w:val="000000" w:themeColor="text1"/>
          <w:lang w:val="en-US" w:eastAsia="zh-CN"/>
          <w14:textFill>
            <w14:solidFill>
              <w14:schemeClr w14:val="tx1"/>
            </w14:solidFill>
          </w14:textFill>
        </w:rPr>
        <w:t>统计工作人员</w:t>
      </w:r>
      <w:r>
        <w:rPr>
          <w:rFonts w:hint="eastAsia" w:cs="Times New Roman" w:eastAsiaTheme="minorEastAsia"/>
          <w:color w:val="000000" w:themeColor="text1"/>
          <w:lang w:val="en-US" w:eastAsia="zh-CN"/>
          <w14:textFill>
            <w14:solidFill>
              <w14:schemeClr w14:val="tx1"/>
            </w14:solidFill>
          </w14:textFill>
        </w:rPr>
        <w:t>满意度调查结果反馈</w:t>
      </w:r>
      <w:r>
        <w:rPr>
          <w:rFonts w:hint="eastAsia" w:ascii="Times New Roman" w:hAnsi="Times New Roman" w:cs="Times New Roman" w:eastAsiaTheme="minorEastAsia"/>
          <w:color w:val="000000" w:themeColor="text1"/>
          <w:lang w:val="en-US" w:eastAsia="zh-CN"/>
          <w14:textFill>
            <w14:solidFill>
              <w14:schemeClr w14:val="tx1"/>
            </w14:solidFill>
          </w14:textFill>
        </w:rPr>
        <w:t>，</w:t>
      </w:r>
      <w:r>
        <w:rPr>
          <w:rFonts w:hint="eastAsia" w:cs="Times New Roman" w:eastAsiaTheme="minorEastAsia"/>
          <w:color w:val="000000" w:themeColor="text1"/>
          <w:lang w:val="en-US" w:eastAsia="zh-CN"/>
          <w14:textFill>
            <w14:solidFill>
              <w14:schemeClr w14:val="tx1"/>
            </w14:solidFill>
          </w14:textFill>
        </w:rPr>
        <w:t>主要认为</w:t>
      </w:r>
      <w:r>
        <w:rPr>
          <w:rFonts w:hint="eastAsia" w:ascii="Times New Roman" w:hAnsi="Times New Roman" w:cs="Times New Roman" w:eastAsiaTheme="minorEastAsia"/>
          <w:color w:val="000000" w:themeColor="text1"/>
          <w:lang w:val="en-US" w:eastAsia="zh-CN"/>
          <w14:textFill>
            <w14:solidFill>
              <w14:schemeClr w14:val="tx1"/>
            </w14:solidFill>
          </w14:textFill>
        </w:rPr>
        <w:t>统计工作任务较重，基层人员不足，人员服务能力</w:t>
      </w:r>
      <w:r>
        <w:rPr>
          <w:rFonts w:hint="eastAsia" w:cs="Times New Roman" w:eastAsiaTheme="minorEastAsia"/>
          <w:color w:val="000000" w:themeColor="text1"/>
          <w:lang w:val="en-US" w:eastAsia="zh-CN"/>
          <w14:textFill>
            <w14:solidFill>
              <w14:schemeClr w14:val="tx1"/>
            </w14:solidFill>
          </w14:textFill>
        </w:rPr>
        <w:t>参差不齐</w:t>
      </w:r>
      <w:r>
        <w:rPr>
          <w:rFonts w:hint="eastAsia" w:ascii="Times New Roman" w:hAnsi="Times New Roman" w:cs="Times New Roman" w:eastAsiaTheme="minorEastAsia"/>
          <w:color w:val="000000" w:themeColor="text1"/>
          <w:lang w:val="en-US" w:eastAsia="zh-CN"/>
          <w14:textFill>
            <w14:solidFill>
              <w14:schemeClr w14:val="tx1"/>
            </w14:solidFill>
          </w14:textFill>
        </w:rPr>
        <w:t>，部分</w:t>
      </w:r>
      <w:r>
        <w:rPr>
          <w:rFonts w:hint="eastAsia" w:cs="Times New Roman" w:eastAsiaTheme="minorEastAsia"/>
          <w:color w:val="000000" w:themeColor="text1"/>
          <w:lang w:val="en-US" w:eastAsia="zh-CN"/>
          <w14:textFill>
            <w14:solidFill>
              <w14:schemeClr w14:val="tx1"/>
            </w14:solidFill>
          </w14:textFill>
        </w:rPr>
        <w:t>统计</w:t>
      </w:r>
      <w:r>
        <w:rPr>
          <w:rFonts w:hint="eastAsia" w:ascii="Times New Roman" w:hAnsi="Times New Roman" w:cs="Times New Roman" w:eastAsiaTheme="minorEastAsia"/>
          <w:color w:val="000000" w:themeColor="text1"/>
          <w:lang w:val="en-US" w:eastAsia="zh-CN"/>
          <w14:textFill>
            <w14:solidFill>
              <w14:schemeClr w14:val="tx1"/>
            </w14:solidFill>
          </w14:textFill>
        </w:rPr>
        <w:t>工作乡镇无法完成，影响统计数据质量。希望在今后开展统计工作中</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升级统计工具/系统，</w:t>
      </w:r>
      <w:r>
        <w:rPr>
          <w:rFonts w:hint="eastAsia" w:ascii="Times New Roman" w:hAnsi="Times New Roman" w:cs="Times New Roman" w:eastAsiaTheme="minorEastAsia"/>
          <w:color w:val="000000" w:themeColor="text1"/>
          <w:lang w:val="en-US" w:eastAsia="zh-CN"/>
          <w14:textFill>
            <w14:solidFill>
              <w14:schemeClr w14:val="tx1"/>
            </w14:solidFill>
          </w14:textFill>
        </w:rPr>
        <w:t>精简报表，</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优化工作流程，减少重复劳动，优化工作流程；加强统计人员的专业培训与指导</w:t>
      </w:r>
      <w:r>
        <w:rPr>
          <w:rFonts w:eastAsiaTheme="minorEastAsia"/>
          <w:color w:val="000000" w:themeColor="text1"/>
          <w14:textFill>
            <w14:solidFill>
              <w14:schemeClr w14:val="tx1"/>
            </w14:solidFill>
          </w14:textFill>
        </w:rPr>
        <w:t>。</w:t>
      </w:r>
    </w:p>
    <w:p w14:paraId="6B115B79">
      <w:pPr>
        <w:keepNext/>
        <w:keepLines/>
        <w:ind w:firstLine="422"/>
        <w:jc w:val="left"/>
        <w:outlineLvl w:val="1"/>
        <w:rPr>
          <w:b/>
          <w:color w:val="000000" w:themeColor="text1"/>
          <w14:textFill>
            <w14:solidFill>
              <w14:schemeClr w14:val="tx1"/>
            </w14:solidFill>
          </w14:textFill>
        </w:rPr>
      </w:pPr>
      <w:r>
        <w:rPr>
          <w:b/>
          <w:color w:val="000000" w:themeColor="text1"/>
          <w14:textFill>
            <w14:solidFill>
              <w14:schemeClr w14:val="tx1"/>
            </w14:solidFill>
          </w14:textFill>
        </w:rPr>
        <w:t>（三）改进建议</w:t>
      </w:r>
      <w:bookmarkEnd w:id="17"/>
      <w:bookmarkEnd w:id="18"/>
    </w:p>
    <w:p w14:paraId="3CEADDBC">
      <w:pPr>
        <w:keepNext/>
        <w:keepLines/>
        <w:ind w:firstLine="422"/>
        <w:rPr>
          <w:rFonts w:eastAsiaTheme="minorEastAsia"/>
          <w:b/>
          <w:bCs/>
          <w:color w:val="000000" w:themeColor="text1"/>
          <w14:textFill>
            <w14:solidFill>
              <w14:schemeClr w14:val="tx1"/>
            </w14:solidFill>
          </w14:textFill>
        </w:rPr>
      </w:pPr>
      <w:r>
        <w:rPr>
          <w:rFonts w:eastAsiaTheme="minorEastAsia"/>
          <w:b/>
          <w:bCs/>
          <w:color w:val="000000" w:themeColor="text1"/>
          <w14:textFill>
            <w14:solidFill>
              <w14:schemeClr w14:val="tx1"/>
            </w14:solidFill>
          </w14:textFill>
        </w:rPr>
        <w:t>1.完善年度工作任务计划，落实责任主体，提高决策执行有效性</w:t>
      </w:r>
    </w:p>
    <w:p w14:paraId="38D04938">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建议部门预算单位围绕全面落实</w:t>
      </w:r>
      <w:r>
        <w:rPr>
          <w:rFonts w:hint="eastAsia" w:eastAsiaTheme="minorEastAsia"/>
          <w:color w:val="000000" w:themeColor="text1"/>
          <w:lang w:eastAsia="zh-CN"/>
          <w14:textFill>
            <w14:solidFill>
              <w14:schemeClr w14:val="tx1"/>
            </w14:solidFill>
          </w14:textFill>
        </w:rPr>
        <w:t>吉木萨尔县委、县政府</w:t>
      </w:r>
      <w:r>
        <w:rPr>
          <w:rFonts w:eastAsiaTheme="minorEastAsia"/>
          <w:color w:val="000000" w:themeColor="text1"/>
          <w14:textFill>
            <w14:solidFill>
              <w14:schemeClr w14:val="tx1"/>
            </w14:solidFill>
          </w14:textFill>
        </w:rPr>
        <w:t>要求，结合区域经济社会发展需求及单位事业发展</w:t>
      </w:r>
      <w:r>
        <w:rPr>
          <w:rFonts w:hint="eastAsia" w:eastAsiaTheme="minorEastAsia"/>
          <w:color w:val="000000" w:themeColor="text1"/>
          <w:lang w:val="en-US" w:eastAsia="zh-CN"/>
          <w14:textFill>
            <w14:solidFill>
              <w14:schemeClr w14:val="tx1"/>
            </w14:solidFill>
          </w14:textFill>
        </w:rPr>
        <w:t>目标</w:t>
      </w:r>
      <w:r>
        <w:rPr>
          <w:rFonts w:eastAsiaTheme="minorEastAsia"/>
          <w:color w:val="000000" w:themeColor="text1"/>
          <w14:textFill>
            <w14:solidFill>
              <w14:schemeClr w14:val="tx1"/>
            </w14:solidFill>
          </w14:textFill>
        </w:rPr>
        <w:t>，合理制定部门单位年度工作计划，反映部门总体工作思路，包</w:t>
      </w:r>
      <w:r>
        <w:rPr>
          <w:rFonts w:hint="eastAsia" w:eastAsiaTheme="minorEastAsia"/>
          <w:color w:val="000000" w:themeColor="text1"/>
          <w:lang w:val="en-US" w:eastAsia="zh-CN"/>
          <w14:textFill>
            <w14:solidFill>
              <w14:schemeClr w14:val="tx1"/>
            </w14:solidFill>
          </w14:textFill>
        </w:rPr>
        <w:t>括</w:t>
      </w:r>
      <w:r>
        <w:rPr>
          <w:rFonts w:eastAsiaTheme="minorEastAsia"/>
          <w:color w:val="000000" w:themeColor="text1"/>
          <w14:textFill>
            <w14:solidFill>
              <w14:schemeClr w14:val="tx1"/>
            </w14:solidFill>
          </w14:textFill>
        </w:rPr>
        <w:t>明确总体目标、实施</w:t>
      </w:r>
      <w:r>
        <w:rPr>
          <w:rFonts w:hint="eastAsia" w:eastAsiaTheme="minorEastAsia"/>
          <w:color w:val="000000" w:themeColor="text1"/>
          <w:lang w:eastAsia="zh-CN"/>
          <w14:textFill>
            <w14:solidFill>
              <w14:schemeClr w14:val="tx1"/>
            </w14:solidFill>
          </w14:textFill>
        </w:rPr>
        <w:t>（</w:t>
      </w:r>
      <w:r>
        <w:rPr>
          <w:rFonts w:hint="eastAsia" w:eastAsiaTheme="minorEastAsia"/>
          <w:color w:val="000000" w:themeColor="text1"/>
          <w:lang w:val="en-US" w:eastAsia="zh-CN"/>
          <w14:textFill>
            <w14:solidFill>
              <w14:schemeClr w14:val="tx1"/>
            </w14:solidFill>
          </w14:textFill>
        </w:rPr>
        <w:t>工作</w:t>
      </w:r>
      <w:r>
        <w:rPr>
          <w:rFonts w:hint="eastAsia" w:eastAsiaTheme="minorEastAsia"/>
          <w:color w:val="000000" w:themeColor="text1"/>
          <w:lang w:eastAsia="zh-CN"/>
          <w14:textFill>
            <w14:solidFill>
              <w14:schemeClr w14:val="tx1"/>
            </w14:solidFill>
          </w14:textFill>
        </w:rPr>
        <w:t>）</w:t>
      </w:r>
      <w:r>
        <w:rPr>
          <w:rFonts w:eastAsiaTheme="minorEastAsia"/>
          <w:color w:val="000000" w:themeColor="text1"/>
          <w14:textFill>
            <w14:solidFill>
              <w14:schemeClr w14:val="tx1"/>
            </w14:solidFill>
          </w14:textFill>
        </w:rPr>
        <w:t>内容、责任主</w:t>
      </w:r>
      <w:r>
        <w:rPr>
          <w:rFonts w:hint="eastAsia" w:eastAsiaTheme="minorEastAsia"/>
          <w:color w:val="000000" w:themeColor="text1"/>
          <w:lang w:eastAsia="zh-CN"/>
          <w14:textFill>
            <w14:solidFill>
              <w14:schemeClr w14:val="tx1"/>
            </w14:solidFill>
          </w14:textFill>
        </w:rPr>
        <w:t>体等</w:t>
      </w:r>
      <w:r>
        <w:rPr>
          <w:rFonts w:eastAsiaTheme="minorEastAsia"/>
          <w:color w:val="000000" w:themeColor="text1"/>
          <w14:textFill>
            <w14:solidFill>
              <w14:schemeClr w14:val="tx1"/>
            </w14:solidFill>
          </w14:textFill>
        </w:rPr>
        <w:t>相关内容，</w:t>
      </w:r>
      <w:r>
        <w:rPr>
          <w:rFonts w:hint="eastAsia" w:eastAsiaTheme="minorEastAsia"/>
          <w:color w:val="000000" w:themeColor="text1"/>
          <w:lang w:val="en-US" w:eastAsia="zh-CN"/>
          <w14:textFill>
            <w14:solidFill>
              <w14:schemeClr w14:val="tx1"/>
            </w14:solidFill>
          </w14:textFill>
        </w:rPr>
        <w:t>并</w:t>
      </w:r>
      <w:r>
        <w:rPr>
          <w:rFonts w:eastAsiaTheme="minorEastAsia"/>
          <w:color w:val="000000" w:themeColor="text1"/>
          <w14:textFill>
            <w14:solidFill>
              <w14:schemeClr w14:val="tx1"/>
            </w14:solidFill>
          </w14:textFill>
        </w:rPr>
        <w:t>结合部门职能</w:t>
      </w:r>
      <w:r>
        <w:rPr>
          <w:rFonts w:hint="eastAsia" w:eastAsiaTheme="minorEastAsia"/>
          <w:color w:val="000000" w:themeColor="text1"/>
          <w:lang w:eastAsia="zh-CN"/>
          <w14:textFill>
            <w14:solidFill>
              <w14:schemeClr w14:val="tx1"/>
            </w14:solidFill>
          </w14:textFill>
        </w:rPr>
        <w:t>，</w:t>
      </w:r>
      <w:r>
        <w:rPr>
          <w:rFonts w:eastAsiaTheme="minorEastAsia"/>
          <w:color w:val="000000" w:themeColor="text1"/>
          <w14:textFill>
            <w14:solidFill>
              <w14:schemeClr w14:val="tx1"/>
            </w14:solidFill>
          </w14:textFill>
        </w:rPr>
        <w:t>细化</w:t>
      </w:r>
      <w:r>
        <w:rPr>
          <w:rFonts w:hint="eastAsia" w:eastAsiaTheme="minorEastAsia"/>
          <w:color w:val="000000" w:themeColor="text1"/>
          <w:lang w:val="en-US" w:eastAsia="zh-CN"/>
          <w14:textFill>
            <w14:solidFill>
              <w14:schemeClr w14:val="tx1"/>
            </w14:solidFill>
          </w14:textFill>
        </w:rPr>
        <w:t>和压实</w:t>
      </w:r>
      <w:r>
        <w:rPr>
          <w:rFonts w:eastAsiaTheme="minorEastAsia"/>
          <w:color w:val="000000" w:themeColor="text1"/>
          <w14:textFill>
            <w14:solidFill>
              <w14:schemeClr w14:val="tx1"/>
            </w14:solidFill>
          </w14:textFill>
        </w:rPr>
        <w:t>各科室任务安排，提升年度计划的科学完整性。</w:t>
      </w:r>
    </w:p>
    <w:p w14:paraId="2C4B5E5E">
      <w:pPr>
        <w:bidi w:val="0"/>
        <w:rPr>
          <w:rFonts w:hint="default" w:ascii="Times New Roman" w:hAnsi="Times New Roman" w:cs="Times New Roman" w:eastAsiaTheme="minorEastAsia"/>
          <w:b/>
          <w:bCs/>
          <w:color w:val="000000" w:themeColor="text1"/>
          <w:highlight w:val="none"/>
          <w:lang w:val="en-US" w:eastAsia="zh-CN"/>
          <w14:textFill>
            <w14:solidFill>
              <w14:schemeClr w14:val="tx1"/>
            </w14:solidFill>
          </w14:textFill>
        </w:rPr>
      </w:pPr>
      <w:r>
        <w:rPr>
          <w:rFonts w:hint="eastAsia" w:cs="Times New Roman"/>
          <w:b/>
          <w:bCs/>
          <w:color w:val="000000" w:themeColor="text1"/>
          <w:highlight w:val="none"/>
          <w:lang w:val="en-US" w:eastAsia="zh-CN"/>
          <w14:textFill>
            <w14:solidFill>
              <w14:schemeClr w14:val="tx1"/>
            </w14:solidFill>
          </w14:textFill>
        </w:rPr>
        <w:t>2</w:t>
      </w:r>
      <w:r>
        <w:rPr>
          <w:rFonts w:hint="default" w:ascii="Times New Roman" w:hAnsi="Times New Roman" w:cs="Times New Roman"/>
          <w:b/>
          <w:bCs/>
          <w:color w:val="000000" w:themeColor="text1"/>
          <w:highlight w:val="none"/>
          <w:lang w:val="en-US" w:eastAsia="zh-CN"/>
          <w14:textFill>
            <w14:solidFill>
              <w14:schemeClr w14:val="tx1"/>
            </w14:solidFill>
          </w14:textFill>
        </w:rPr>
        <w:t>.建立健全内部控制制度，有效防范风险</w:t>
      </w:r>
    </w:p>
    <w:p w14:paraId="21CBF120">
      <w:pPr>
        <w:bidi w:val="0"/>
        <w:ind w:firstLine="0"/>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建议</w:t>
      </w:r>
      <w:r>
        <w:rPr>
          <w:rFonts w:eastAsiaTheme="minorEastAsia"/>
          <w:color w:val="000000" w:themeColor="text1"/>
          <w14:textFill>
            <w14:solidFill>
              <w14:schemeClr w14:val="tx1"/>
            </w14:solidFill>
          </w14:textFill>
        </w:rPr>
        <w:t>部门预算单位</w:t>
      </w:r>
      <w:r>
        <w:rPr>
          <w:rFonts w:hint="default" w:ascii="Times New Roman" w:hAnsi="Times New Roman" w:cs="Times New Roman"/>
          <w:color w:val="000000" w:themeColor="text1"/>
          <w:highlight w:val="none"/>
          <w:lang w:val="en-US" w:eastAsia="zh-CN"/>
          <w14:textFill>
            <w14:solidFill>
              <w14:schemeClr w14:val="tx1"/>
            </w14:solidFill>
          </w14:textFill>
        </w:rPr>
        <w:t>：一是严格按照</w:t>
      </w:r>
      <w:r>
        <w:rPr>
          <w:rFonts w:hint="default"/>
          <w:color w:val="000000" w:themeColor="text1"/>
          <w:highlight w:val="none"/>
          <w:lang w:val="en-US" w:eastAsia="zh-CN"/>
          <w14:textFill>
            <w14:solidFill>
              <w14:schemeClr w14:val="tx1"/>
            </w14:solidFill>
          </w14:textFill>
        </w:rPr>
        <w:t>《中华人民共和国预算法》</w:t>
      </w:r>
      <w:r>
        <w:rPr>
          <w:rFonts w:hint="default"/>
          <w:color w:val="000000" w:themeColor="text1"/>
          <w:highlight w:val="none"/>
          <w14:textFill>
            <w14:solidFill>
              <w14:schemeClr w14:val="tx1"/>
            </w14:solidFill>
          </w14:textFill>
        </w:rPr>
        <w:t>《政府会计准则》</w:t>
      </w:r>
      <w:r>
        <w:rPr>
          <w:rFonts w:hint="default" w:ascii="Times New Roman" w:hAnsi="Times New Roman" w:cs="Times New Roman"/>
          <w:color w:val="000000" w:themeColor="text1"/>
          <w:highlight w:val="none"/>
          <w:lang w:val="en-US" w:eastAsia="zh-CN"/>
          <w14:textFill>
            <w14:solidFill>
              <w14:schemeClr w14:val="tx1"/>
            </w14:solidFill>
          </w14:textFill>
        </w:rPr>
        <w:t>《行政事业单位内部控制规范（试行）》（财会〔2012〕21号）</w:t>
      </w:r>
      <w:r>
        <w:rPr>
          <w:rFonts w:hint="eastAsia" w:cs="Times New Roman"/>
          <w:color w:val="000000" w:themeColor="text1"/>
          <w:highlight w:val="none"/>
          <w:lang w:val="en-US" w:eastAsia="zh-CN"/>
          <w14:textFill>
            <w14:solidFill>
              <w14:schemeClr w14:val="tx1"/>
            </w14:solidFill>
          </w14:textFill>
        </w:rPr>
        <w:t>等法律法规，</w:t>
      </w:r>
      <w:r>
        <w:rPr>
          <w:rFonts w:hint="default"/>
          <w:color w:val="000000" w:themeColor="text1"/>
          <w:highlight w:val="none"/>
          <w:lang w:val="en-US" w:eastAsia="zh-CN"/>
          <w14:textFill>
            <w14:solidFill>
              <w14:schemeClr w14:val="tx1"/>
            </w14:solidFill>
          </w14:textFill>
        </w:rPr>
        <w:t>结合外部环境的变化</w:t>
      </w:r>
      <w:r>
        <w:rPr>
          <w:rFonts w:hint="eastAsia"/>
          <w:color w:val="000000" w:themeColor="text1"/>
          <w:highlight w:val="none"/>
          <w:lang w:val="en-US" w:eastAsia="zh-CN"/>
          <w14:textFill>
            <w14:solidFill>
              <w14:schemeClr w14:val="tx1"/>
            </w14:solidFill>
          </w14:textFill>
        </w:rPr>
        <w:t>和</w:t>
      </w:r>
      <w:r>
        <w:rPr>
          <w:rFonts w:hint="default"/>
          <w:color w:val="000000" w:themeColor="text1"/>
          <w:highlight w:val="none"/>
          <w:lang w:val="en-US" w:eastAsia="zh-CN"/>
          <w14:textFill>
            <w14:solidFill>
              <w14:schemeClr w14:val="tx1"/>
            </w14:solidFill>
          </w14:textFill>
        </w:rPr>
        <w:t>本单位实际管理需要，</w:t>
      </w:r>
      <w:r>
        <w:rPr>
          <w:rFonts w:hint="eastAsia" w:cs="Times New Roman"/>
          <w:color w:val="000000" w:themeColor="text1"/>
          <w:highlight w:val="none"/>
          <w:lang w:val="en-US" w:eastAsia="zh-CN"/>
          <w14:textFill>
            <w14:solidFill>
              <w14:schemeClr w14:val="tx1"/>
            </w14:solidFill>
          </w14:textFill>
        </w:rPr>
        <w:t>及时修订和完善</w:t>
      </w:r>
      <w:r>
        <w:rPr>
          <w:rFonts w:hint="default" w:ascii="Times New Roman" w:hAnsi="Times New Roman" w:eastAsia="宋体" w:cs="Times New Roman"/>
          <w:bCs/>
          <w:color w:val="000000" w:themeColor="text1"/>
          <w:lang w:eastAsia="zh-CN"/>
          <w14:textFill>
            <w14:solidFill>
              <w14:schemeClr w14:val="tx1"/>
            </w14:solidFill>
          </w14:textFill>
        </w:rPr>
        <w:t>财务管理制度</w:t>
      </w:r>
      <w:r>
        <w:rPr>
          <w:rFonts w:hint="eastAsia" w:cs="Times New Roman"/>
          <w:bCs/>
          <w:color w:val="000000" w:themeColor="text1"/>
          <w:lang w:val="en-US" w:eastAsia="zh-CN"/>
          <w14:textFill>
            <w14:solidFill>
              <w14:schemeClr w14:val="tx1"/>
            </w14:solidFill>
          </w14:textFill>
        </w:rPr>
        <w:t>和合同</w:t>
      </w:r>
      <w:r>
        <w:rPr>
          <w:rFonts w:hint="default" w:ascii="Times New Roman" w:hAnsi="Times New Roman" w:eastAsia="宋体" w:cs="Times New Roman"/>
          <w:bCs/>
          <w:color w:val="000000" w:themeColor="text1"/>
          <w:lang w:eastAsia="zh-CN"/>
          <w14:textFill>
            <w14:solidFill>
              <w14:schemeClr w14:val="tx1"/>
            </w14:solidFill>
          </w14:textFill>
        </w:rPr>
        <w:t>管理制度</w:t>
      </w:r>
      <w:r>
        <w:rPr>
          <w:rFonts w:hint="eastAsia" w:cs="Times New Roman"/>
          <w:bCs/>
          <w:color w:val="000000" w:themeColor="text1"/>
          <w:lang w:val="en-US" w:eastAsia="zh-CN"/>
          <w14:textFill>
            <w14:solidFill>
              <w14:schemeClr w14:val="tx1"/>
            </w14:solidFill>
          </w14:textFill>
        </w:rPr>
        <w:t>等，</w:t>
      </w:r>
      <w:r>
        <w:rPr>
          <w:rFonts w:hint="default" w:ascii="Times New Roman" w:hAnsi="Times New Roman" w:cs="Times New Roman"/>
          <w:color w:val="000000" w:themeColor="text1"/>
          <w:highlight w:val="none"/>
          <w:lang w:val="en-US" w:eastAsia="zh-CN"/>
          <w14:textFill>
            <w14:solidFill>
              <w14:schemeClr w14:val="tx1"/>
            </w14:solidFill>
          </w14:textFill>
        </w:rPr>
        <w:t>确保经济活动的决策、执行和监督</w:t>
      </w:r>
      <w:r>
        <w:rPr>
          <w:rFonts w:hint="default" w:ascii="Times New Roman" w:hAnsi="Times New Roman" w:cs="Times New Roman"/>
          <w:color w:val="000000" w:themeColor="text1"/>
          <w:lang w:val="en-US" w:eastAsia="zh-CN"/>
          <w14:textFill>
            <w14:solidFill>
              <w14:schemeClr w14:val="tx1"/>
            </w14:solidFill>
          </w14:textFill>
        </w:rPr>
        <w:t>管理规范</w:t>
      </w:r>
      <w:r>
        <w:rPr>
          <w:rFonts w:hint="eastAsia"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制度执行有效</w:t>
      </w:r>
      <w:r>
        <w:rPr>
          <w:rFonts w:hint="default" w:ascii="Times New Roman" w:hAnsi="Times New Roman" w:cs="Times New Roman"/>
          <w:color w:val="000000" w:themeColor="text1"/>
          <w:highlight w:val="none"/>
          <w:lang w:val="en-US" w:eastAsia="zh-CN"/>
          <w14:textFill>
            <w14:solidFill>
              <w14:schemeClr w14:val="tx1"/>
            </w14:solidFill>
          </w14:textFill>
        </w:rPr>
        <w:t>，</w:t>
      </w:r>
      <w:r>
        <w:rPr>
          <w:rFonts w:hint="eastAsia" w:cs="Times New Roman"/>
          <w:color w:val="000000" w:themeColor="text1"/>
          <w:highlight w:val="none"/>
          <w:lang w:val="en-US" w:eastAsia="zh-CN"/>
          <w14:textFill>
            <w14:solidFill>
              <w14:schemeClr w14:val="tx1"/>
            </w14:solidFill>
          </w14:textFill>
        </w:rPr>
        <w:t>进而</w:t>
      </w:r>
      <w:r>
        <w:rPr>
          <w:rFonts w:hint="default" w:ascii="Times New Roman" w:hAnsi="Times New Roman" w:cs="Times New Roman"/>
          <w:color w:val="000000" w:themeColor="text1"/>
          <w:highlight w:val="none"/>
          <w:lang w:val="en-US" w:eastAsia="zh-CN"/>
          <w14:textFill>
            <w14:solidFill>
              <w14:schemeClr w14:val="tx1"/>
            </w14:solidFill>
          </w14:textFill>
        </w:rPr>
        <w:t>提高工作效率，规范财经秩序。二是</w:t>
      </w:r>
      <w:r>
        <w:rPr>
          <w:rFonts w:hint="default" w:ascii="Times New Roman" w:hAnsi="Times New Roman" w:cs="Times New Roman"/>
          <w:color w:val="000000" w:themeColor="text1"/>
          <w:lang w:val="en-US" w:eastAsia="zh-CN"/>
          <w14:textFill>
            <w14:solidFill>
              <w14:schemeClr w14:val="tx1"/>
            </w14:solidFill>
          </w14:textFill>
        </w:rPr>
        <w:t>充分发挥单位内控领导小组的作用，</w:t>
      </w:r>
      <w:r>
        <w:rPr>
          <w:rFonts w:hint="default" w:cs="Times New Roman"/>
          <w:color w:val="000000" w:themeColor="text1"/>
          <w:highlight w:val="none"/>
          <w:lang w:val="en-US" w:eastAsia="zh-CN"/>
          <w14:textFill>
            <w14:solidFill>
              <w14:schemeClr w14:val="tx1"/>
            </w14:solidFill>
          </w14:textFill>
        </w:rPr>
        <w:t>强化单位内控运行评价工作，加强对单位内控运行的监督，</w:t>
      </w:r>
      <w:r>
        <w:rPr>
          <w:rFonts w:hint="default" w:ascii="Times New Roman" w:hAnsi="Times New Roman" w:cs="Times New Roman"/>
          <w:color w:val="000000" w:themeColor="text1"/>
          <w:lang w:val="en-US" w:eastAsia="zh-CN"/>
          <w14:textFill>
            <w14:solidFill>
              <w14:schemeClr w14:val="tx1"/>
            </w14:solidFill>
          </w14:textFill>
        </w:rPr>
        <w:t>利</w:t>
      </w:r>
      <w:r>
        <w:rPr>
          <w:rFonts w:hint="default" w:ascii="Times New Roman" w:hAnsi="Times New Roman" w:cs="Times New Roman"/>
          <w:color w:val="000000" w:themeColor="text1"/>
          <w:highlight w:val="none"/>
          <w:lang w:val="en-US" w:eastAsia="zh-CN"/>
          <w14:textFill>
            <w14:solidFill>
              <w14:schemeClr w14:val="tx1"/>
            </w14:solidFill>
          </w14:textFill>
        </w:rPr>
        <w:t>用每年填报的行政事业单位评价结果，遵照“以评促改”的原则对评价中发现的问题进行整改落实，</w:t>
      </w:r>
      <w:r>
        <w:rPr>
          <w:rFonts w:hint="default" w:cs="Times New Roman"/>
          <w:color w:val="000000" w:themeColor="text1"/>
          <w:highlight w:val="none"/>
          <w:lang w:val="en-US" w:eastAsia="zh-CN"/>
          <w14:textFill>
            <w14:solidFill>
              <w14:schemeClr w14:val="tx1"/>
            </w14:solidFill>
          </w14:textFill>
        </w:rPr>
        <w:t>进一步</w:t>
      </w:r>
      <w:r>
        <w:rPr>
          <w:rFonts w:hint="default" w:ascii="Times New Roman" w:hAnsi="Times New Roman" w:cs="Times New Roman"/>
          <w:color w:val="000000" w:themeColor="text1"/>
          <w:highlight w:val="none"/>
          <w:lang w:val="en-US" w:eastAsia="zh-CN"/>
          <w14:textFill>
            <w14:solidFill>
              <w14:schemeClr w14:val="tx1"/>
            </w14:solidFill>
          </w14:textFill>
        </w:rPr>
        <w:t>提高单位内部</w:t>
      </w:r>
      <w:r>
        <w:rPr>
          <w:rFonts w:hint="default" w:cs="Times New Roman"/>
          <w:color w:val="000000" w:themeColor="text1"/>
          <w:highlight w:val="none"/>
          <w:lang w:val="en-US" w:eastAsia="zh-CN"/>
          <w14:textFill>
            <w14:solidFill>
              <w14:schemeClr w14:val="tx1"/>
            </w14:solidFill>
          </w14:textFill>
        </w:rPr>
        <w:t>控制</w:t>
      </w:r>
      <w:r>
        <w:rPr>
          <w:rFonts w:hint="default" w:ascii="Times New Roman" w:hAnsi="Times New Roman" w:cs="Times New Roman"/>
          <w:color w:val="000000" w:themeColor="text1"/>
          <w:highlight w:val="none"/>
          <w:lang w:val="en-US" w:eastAsia="zh-CN"/>
          <w14:textFill>
            <w14:solidFill>
              <w14:schemeClr w14:val="tx1"/>
            </w14:solidFill>
          </w14:textFill>
        </w:rPr>
        <w:t>管理水平</w:t>
      </w:r>
      <w:r>
        <w:rPr>
          <w:rFonts w:hint="default" w:ascii="Times New Roman" w:hAnsi="Times New Roman" w:cs="Times New Roman"/>
          <w:bCs/>
          <w:color w:val="000000" w:themeColor="text1"/>
          <w:lang w:val="en-US" w:eastAsia="zh-CN"/>
          <w14:textFill>
            <w14:solidFill>
              <w14:schemeClr w14:val="tx1"/>
            </w14:solidFill>
          </w14:textFill>
        </w:rPr>
        <w:t>。</w:t>
      </w:r>
    </w:p>
    <w:p w14:paraId="17E1B663">
      <w:pPr>
        <w:keepNext/>
        <w:keepLines/>
        <w:ind w:firstLine="422"/>
        <w:rPr>
          <w:rFonts w:hint="default" w:eastAsiaTheme="minorEastAsia"/>
          <w:b/>
          <w:bCs/>
          <w:color w:val="000000" w:themeColor="text1"/>
          <w:lang w:val="en-US" w:eastAsia="zh-CN"/>
          <w14:textFill>
            <w14:solidFill>
              <w14:schemeClr w14:val="tx1"/>
            </w14:solidFill>
          </w14:textFill>
        </w:rPr>
      </w:pPr>
      <w:r>
        <w:rPr>
          <w:rFonts w:hint="eastAsia" w:eastAsiaTheme="minorEastAsia"/>
          <w:b/>
          <w:bCs/>
          <w:color w:val="000000" w:themeColor="text1"/>
          <w:lang w:val="en-US" w:eastAsia="zh-CN"/>
          <w14:textFill>
            <w14:solidFill>
              <w14:schemeClr w14:val="tx1"/>
            </w14:solidFill>
          </w14:textFill>
        </w:rPr>
        <w:t>3</w:t>
      </w:r>
      <w:r>
        <w:rPr>
          <w:rFonts w:eastAsiaTheme="minorEastAsia"/>
          <w:b/>
          <w:bCs/>
          <w:color w:val="000000" w:themeColor="text1"/>
          <w14:textFill>
            <w14:solidFill>
              <w14:schemeClr w14:val="tx1"/>
            </w14:solidFill>
          </w14:textFill>
        </w:rPr>
        <w:t>.优化</w:t>
      </w:r>
      <w:r>
        <w:rPr>
          <w:rFonts w:eastAsiaTheme="minorEastAsia"/>
          <w:b/>
          <w:bCs/>
          <w:color w:val="000000" w:themeColor="text1"/>
          <w:lang w:val="zh-TW"/>
          <w14:textFill>
            <w14:solidFill>
              <w14:schemeClr w14:val="tx1"/>
            </w14:solidFill>
          </w14:textFill>
        </w:rPr>
        <w:t>完善</w:t>
      </w:r>
      <w:r>
        <w:rPr>
          <w:rFonts w:hint="eastAsia" w:eastAsiaTheme="minorEastAsia"/>
          <w:b/>
          <w:bCs/>
          <w:color w:val="000000" w:themeColor="text1"/>
          <w:lang w:val="en-US" w:eastAsia="zh-CN"/>
          <w14:textFill>
            <w14:solidFill>
              <w14:schemeClr w14:val="tx1"/>
            </w14:solidFill>
          </w14:textFill>
        </w:rPr>
        <w:t>工作方法</w:t>
      </w:r>
      <w:r>
        <w:rPr>
          <w:rFonts w:eastAsiaTheme="minorEastAsia"/>
          <w:b/>
          <w:bCs/>
          <w:color w:val="000000" w:themeColor="text1"/>
          <w:lang w:val="zh-TW"/>
          <w14:textFill>
            <w14:solidFill>
              <w14:schemeClr w14:val="tx1"/>
            </w14:solidFill>
          </w14:textFill>
        </w:rPr>
        <w:t>，</w:t>
      </w:r>
      <w:r>
        <w:rPr>
          <w:rFonts w:hint="eastAsia" w:eastAsiaTheme="minorEastAsia"/>
          <w:b/>
          <w:bCs/>
          <w:color w:val="000000" w:themeColor="text1"/>
          <w:lang w:val="en-US" w:eastAsia="zh-CN"/>
          <w14:textFill>
            <w14:solidFill>
              <w14:schemeClr w14:val="tx1"/>
            </w14:solidFill>
          </w14:textFill>
        </w:rPr>
        <w:t>提高统计数据准确性</w:t>
      </w:r>
    </w:p>
    <w:p w14:paraId="7B3A187E">
      <w:pPr>
        <w:bidi w:val="0"/>
        <w:ind w:firstLine="0"/>
        <w:rPr>
          <w:bCs/>
          <w:color w:val="000000" w:themeColor="text1"/>
          <w14:textFill>
            <w14:solidFill>
              <w14:schemeClr w14:val="tx1"/>
            </w14:solidFill>
          </w14:textFill>
        </w:rPr>
        <w:sectPr>
          <w:headerReference r:id="rId13" w:type="default"/>
          <w:footerReference r:id="rId14" w:type="default"/>
          <w:pgSz w:w="11906" w:h="16838"/>
          <w:pgMar w:top="1320" w:right="1797" w:bottom="1440" w:left="1797" w:header="851" w:footer="794" w:gutter="0"/>
          <w:pgNumType w:fmt="upperRoman" w:start="1"/>
          <w:cols w:space="720" w:num="1"/>
          <w:docGrid w:type="lines" w:linePitch="312" w:charSpace="0"/>
        </w:sectPr>
      </w:pPr>
      <w:r>
        <w:rPr>
          <w:rFonts w:hint="default" w:ascii="Times New Roman" w:hAnsi="Times New Roman" w:cs="Times New Roman"/>
          <w:color w:val="000000" w:themeColor="text1"/>
          <w:highlight w:val="none"/>
          <w:lang w:val="en-US" w:eastAsia="zh-CN"/>
          <w14:textFill>
            <w14:solidFill>
              <w14:schemeClr w14:val="tx1"/>
            </w14:solidFill>
          </w14:textFill>
        </w:rPr>
        <w:t>建议</w:t>
      </w:r>
      <w:r>
        <w:rPr>
          <w:rFonts w:eastAsiaTheme="minorEastAsia"/>
          <w:color w:val="000000" w:themeColor="text1"/>
          <w14:textFill>
            <w14:solidFill>
              <w14:schemeClr w14:val="tx1"/>
            </w14:solidFill>
          </w14:textFill>
        </w:rPr>
        <w:t>部门预算单位</w:t>
      </w:r>
      <w:r>
        <w:rPr>
          <w:rFonts w:hint="default" w:ascii="Times New Roman" w:hAnsi="Times New Roman" w:cs="Times New Roman"/>
          <w:color w:val="000000" w:themeColor="text1"/>
          <w:highlight w:val="none"/>
          <w:lang w:val="en-US" w:eastAsia="zh-CN"/>
          <w14:textFill>
            <w14:solidFill>
              <w14:schemeClr w14:val="tx1"/>
            </w14:solidFill>
          </w14:textFill>
        </w:rPr>
        <w:t>：一</w:t>
      </w:r>
      <w:r>
        <w:rPr>
          <w:rFonts w:hint="eastAsia" w:cs="Times New Roman"/>
          <w:color w:val="000000" w:themeColor="text1"/>
          <w:highlight w:val="none"/>
          <w:lang w:val="en-US" w:eastAsia="zh-CN"/>
          <w14:textFill>
            <w14:solidFill>
              <w14:schemeClr w14:val="tx1"/>
            </w14:solidFill>
          </w14:textFill>
        </w:rPr>
        <w:t>是</w:t>
      </w:r>
      <w:r>
        <w:rPr>
          <w:rFonts w:hint="default" w:ascii="Times New Roman" w:hAnsi="Times New Roman" w:cs="Times New Roman"/>
          <w:color w:val="000000" w:themeColor="text1"/>
          <w:highlight w:val="none"/>
          <w:lang w:val="en-US" w:eastAsia="zh-CN"/>
          <w14:textFill>
            <w14:solidFill>
              <w14:schemeClr w14:val="tx1"/>
            </w14:solidFill>
          </w14:textFill>
        </w:rPr>
        <w:t>以“减负增效”为核心，整合部门数据资源，精简报表指标，推动移动端直报、智能审核、自动</w:t>
      </w:r>
      <w:r>
        <w:rPr>
          <w:rFonts w:hint="default"/>
          <w:color w:val="000000" w:themeColor="text1"/>
          <w:highlight w:val="none"/>
          <w:lang w:val="en-US" w:eastAsia="zh-CN"/>
          <w14:textFill>
            <w14:solidFill>
              <w14:schemeClr w14:val="tx1"/>
            </w14:solidFill>
          </w14:textFill>
        </w:rPr>
        <w:t>汇总</w:t>
      </w:r>
      <w:r>
        <w:rPr>
          <w:rFonts w:hint="default" w:ascii="Times New Roman" w:hAnsi="Times New Roman" w:cs="Times New Roman"/>
          <w:color w:val="000000" w:themeColor="text1"/>
          <w:highlight w:val="none"/>
          <w:lang w:val="en-US" w:eastAsia="zh-CN"/>
          <w14:textFill>
            <w14:solidFill>
              <w14:schemeClr w14:val="tx1"/>
            </w14:solidFill>
          </w14:textFill>
        </w:rPr>
        <w:t>，减少重复填报和人工复核；</w:t>
      </w:r>
      <w:r>
        <w:rPr>
          <w:rFonts w:hint="eastAsia" w:cs="Times New Roman"/>
          <w:color w:val="000000" w:themeColor="text1"/>
          <w:highlight w:val="none"/>
          <w:lang w:val="en-US" w:eastAsia="zh-CN"/>
          <w14:textFill>
            <w14:solidFill>
              <w14:schemeClr w14:val="tx1"/>
            </w14:solidFill>
          </w14:textFill>
        </w:rPr>
        <w:t>二是</w:t>
      </w:r>
      <w:r>
        <w:rPr>
          <w:rFonts w:hint="default" w:ascii="Times New Roman" w:hAnsi="Times New Roman" w:cs="Times New Roman"/>
          <w:color w:val="000000" w:themeColor="text1"/>
          <w:highlight w:val="none"/>
          <w:lang w:val="en-US" w:eastAsia="zh-CN"/>
          <w14:textFill>
            <w14:solidFill>
              <w14:schemeClr w14:val="tx1"/>
            </w14:solidFill>
          </w14:textFill>
        </w:rPr>
        <w:t>梳理并下放高频简易事项，明确乡镇职责边界，配套标准化操作指引，让基层“接得住”；</w:t>
      </w:r>
      <w:r>
        <w:rPr>
          <w:rFonts w:hint="eastAsia" w:cs="Times New Roman"/>
          <w:color w:val="000000" w:themeColor="text1"/>
          <w:highlight w:val="none"/>
          <w:lang w:val="en-US" w:eastAsia="zh-CN"/>
          <w14:textFill>
            <w14:solidFill>
              <w14:schemeClr w14:val="tx1"/>
            </w14:solidFill>
          </w14:textFill>
        </w:rPr>
        <w:t>三是</w:t>
      </w:r>
      <w:r>
        <w:rPr>
          <w:rFonts w:hint="default" w:ascii="Times New Roman" w:hAnsi="Times New Roman" w:cs="Times New Roman"/>
          <w:color w:val="000000" w:themeColor="text1"/>
          <w:highlight w:val="none"/>
          <w:lang w:val="en-US" w:eastAsia="zh-CN"/>
          <w14:textFill>
            <w14:solidFill>
              <w14:schemeClr w14:val="tx1"/>
            </w14:solidFill>
          </w14:textFill>
        </w:rPr>
        <w:t>构建分层分类培训体系，重点加强数据采集、质量控制和解读应用能力，同时畅通技术支援热线与驻点帮扶，形成“培训+实操+反馈”闭环，持续提升人员专业水平</w:t>
      </w:r>
      <w:r>
        <w:rPr>
          <w:rFonts w:hint="eastAsia" w:cs="Times New Roman"/>
          <w:color w:val="000000" w:themeColor="text1"/>
          <w:highlight w:val="none"/>
          <w:lang w:val="en-US" w:eastAsia="zh-CN"/>
          <w14:textFill>
            <w14:solidFill>
              <w14:schemeClr w14:val="tx1"/>
            </w14:solidFill>
          </w14:textFill>
        </w:rPr>
        <w:t>，提高统计数据准确性</w:t>
      </w:r>
      <w:r>
        <w:rPr>
          <w:color w:val="000000" w:themeColor="text1"/>
          <w14:textFill>
            <w14:solidFill>
              <w14:schemeClr w14:val="tx1"/>
            </w14:solidFill>
          </w14:textFill>
        </w:rPr>
        <w:t>。</w:t>
      </w:r>
    </w:p>
    <w:sdt>
      <w:sdtPr>
        <w:rPr>
          <w:bCs/>
          <w:color w:val="000000" w:themeColor="text1"/>
          <w:kern w:val="2"/>
          <w:sz w:val="28"/>
          <w:szCs w:val="28"/>
          <w14:textFill>
            <w14:solidFill>
              <w14:schemeClr w14:val="tx1"/>
            </w14:solidFill>
          </w14:textFill>
        </w:rPr>
        <w:id w:val="147469479"/>
        <w:docPartObj>
          <w:docPartGallery w:val="Table of Contents"/>
          <w:docPartUnique/>
        </w:docPartObj>
      </w:sdtPr>
      <w:sdtEndPr>
        <w:rPr>
          <w:bCs/>
          <w:color w:val="000000" w:themeColor="text1"/>
          <w:kern w:val="2"/>
          <w:sz w:val="21"/>
          <w:szCs w:val="21"/>
          <w14:textFill>
            <w14:solidFill>
              <w14:schemeClr w14:val="tx1"/>
            </w14:solidFill>
          </w14:textFill>
        </w:rPr>
      </w:sdtEndPr>
      <w:sdtContent>
        <w:p w14:paraId="51759774">
          <w:pPr>
            <w:spacing w:line="360" w:lineRule="auto"/>
            <w:ind w:firstLine="0" w:firstLineChars="0"/>
            <w:jc w:val="center"/>
            <w:rPr>
              <w:rFonts w:ascii="Times New Roman" w:hAnsi="Times New Roman" w:eastAsia="宋体" w:cs="Times New Roman"/>
              <w:bCs/>
              <w:color w:val="000000" w:themeColor="text1"/>
              <w:sz w:val="21"/>
              <w:szCs w:val="21"/>
              <w:lang w:val="en-US" w:eastAsia="zh-CN" w:bidi="ar-SA"/>
              <w14:textFill>
                <w14:solidFill>
                  <w14:schemeClr w14:val="tx1"/>
                </w14:solidFill>
              </w14:textFill>
            </w:rPr>
          </w:pPr>
          <w:bookmarkStart w:id="19" w:name="_Toc3967"/>
          <w:bookmarkEnd w:id="19"/>
          <w:bookmarkStart w:id="20" w:name="_Toc17971"/>
          <w:bookmarkEnd w:id="20"/>
          <w:bookmarkStart w:id="21" w:name="_Toc29279"/>
          <w:bookmarkEnd w:id="21"/>
          <w:bookmarkStart w:id="22" w:name="_Toc5622"/>
          <w:bookmarkEnd w:id="22"/>
          <w:bookmarkStart w:id="23" w:name="_Toc24559"/>
          <w:bookmarkEnd w:id="23"/>
          <w:bookmarkStart w:id="24" w:name="_Toc2150"/>
          <w:bookmarkEnd w:id="24"/>
          <w:bookmarkStart w:id="25" w:name="_Toc22576"/>
          <w:r>
            <w:rPr>
              <w:rFonts w:eastAsia="黑体"/>
              <w:bCs/>
              <w:color w:val="000000" w:themeColor="text1"/>
              <w:sz w:val="28"/>
              <w:szCs w:val="28"/>
              <w14:textFill>
                <w14:solidFill>
                  <w14:schemeClr w14:val="tx1"/>
                </w14:solidFill>
              </w14:textFill>
            </w:rPr>
            <w:t>目录</w:t>
          </w:r>
          <w:r>
            <w:rPr>
              <w:bCs/>
              <w:color w:val="000000" w:themeColor="text1"/>
              <w:sz w:val="21"/>
              <w:szCs w:val="21"/>
              <w14:textFill>
                <w14:solidFill>
                  <w14:schemeClr w14:val="tx1"/>
                </w14:solidFill>
              </w14:textFill>
            </w:rPr>
            <w:fldChar w:fldCharType="begin"/>
          </w:r>
          <w:r>
            <w:rPr>
              <w:bCs/>
              <w:color w:val="000000" w:themeColor="text1"/>
              <w:sz w:val="21"/>
              <w:szCs w:val="21"/>
              <w14:textFill>
                <w14:solidFill>
                  <w14:schemeClr w14:val="tx1"/>
                </w14:solidFill>
              </w14:textFill>
            </w:rPr>
            <w:instrText xml:space="preserve">TOC \o "1-2" \h \u </w:instrText>
          </w:r>
          <w:r>
            <w:rPr>
              <w:bCs/>
              <w:color w:val="000000" w:themeColor="text1"/>
              <w:sz w:val="21"/>
              <w:szCs w:val="21"/>
              <w14:textFill>
                <w14:solidFill>
                  <w14:schemeClr w14:val="tx1"/>
                </w14:solidFill>
              </w14:textFill>
            </w:rPr>
            <w:fldChar w:fldCharType="separate"/>
          </w:r>
        </w:p>
        <w:p w14:paraId="675CC35D">
          <w:pPr>
            <w:pStyle w:val="17"/>
            <w:tabs>
              <w:tab w:val="right" w:leader="dot" w:pos="8306"/>
              <w:tab w:val="clear" w:pos="9356"/>
            </w:tabs>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bCs/>
              <w:color w:val="000000" w:themeColor="text1"/>
              <w:sz w:val="21"/>
              <w:szCs w:val="21"/>
              <w14:textFill>
                <w14:solidFill>
                  <w14:schemeClr w14:val="tx1"/>
                </w14:solidFill>
              </w14:textFill>
            </w:rPr>
            <w:fldChar w:fldCharType="begin"/>
          </w:r>
          <w:r>
            <w:rPr>
              <w:rFonts w:ascii="Times New Roman" w:hAnsi="Times New Roman" w:cs="Times New Roman"/>
              <w:bCs/>
              <w:color w:val="000000" w:themeColor="text1"/>
              <w:sz w:val="21"/>
              <w:szCs w:val="21"/>
              <w14:textFill>
                <w14:solidFill>
                  <w14:schemeClr w14:val="tx1"/>
                </w14:solidFill>
              </w14:textFill>
            </w:rPr>
            <w:instrText xml:space="preserve"> HYPERLINK \l _Toc32323 </w:instrText>
          </w:r>
          <w:r>
            <w:rPr>
              <w:rFonts w:ascii="Times New Roman" w:hAnsi="Times New Roman" w:cs="Times New Roman"/>
              <w:bCs/>
              <w:color w:val="000000" w:themeColor="text1"/>
              <w:sz w:val="21"/>
              <w:szCs w:val="21"/>
              <w14:textFill>
                <w14:solidFill>
                  <w14:schemeClr w14:val="tx1"/>
                </w14:solidFill>
              </w14:textFill>
            </w:rPr>
            <w:fldChar w:fldCharType="separate"/>
          </w:r>
          <w:r>
            <w:rPr>
              <w:rFonts w:ascii="Times New Roman" w:hAnsi="Times New Roman" w:cs="Times New Roman"/>
              <w:bCs/>
              <w:color w:val="000000" w:themeColor="text1"/>
              <w:kern w:val="44"/>
              <w:sz w:val="21"/>
              <w:szCs w:val="21"/>
              <w14:textFill>
                <w14:solidFill>
                  <w14:schemeClr w14:val="tx1"/>
                </w14:solidFill>
              </w14:textFill>
            </w:rPr>
            <w:t>一、部门基本情况</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fldChar w:fldCharType="begin"/>
          </w:r>
          <w:r>
            <w:rPr>
              <w:rFonts w:ascii="Times New Roman" w:hAnsi="Times New Roman" w:cs="Times New Roman"/>
              <w:color w:val="000000" w:themeColor="text1"/>
              <w:sz w:val="21"/>
              <w:szCs w:val="21"/>
              <w14:textFill>
                <w14:solidFill>
                  <w14:schemeClr w14:val="tx1"/>
                </w14:solidFill>
              </w14:textFill>
            </w:rPr>
            <w:instrText xml:space="preserve"> PAGEREF _Toc32323 \h </w:instrText>
          </w:r>
          <w:r>
            <w:rPr>
              <w:rFonts w:ascii="Times New Roman" w:hAnsi="Times New Roman" w:cs="Times New Roman"/>
              <w:color w:val="000000" w:themeColor="text1"/>
              <w:sz w:val="21"/>
              <w:szCs w:val="21"/>
              <w14:textFill>
                <w14:solidFill>
                  <w14:schemeClr w14:val="tx1"/>
                </w14:solidFill>
              </w14:textFill>
            </w:rPr>
            <w:fldChar w:fldCharType="separate"/>
          </w:r>
          <w:r>
            <w:rPr>
              <w:rFonts w:ascii="Times New Roman" w:hAnsi="Times New Roman" w:cs="Times New Roman"/>
              <w:color w:val="000000" w:themeColor="text1"/>
              <w:sz w:val="21"/>
              <w:szCs w:val="21"/>
              <w14:textFill>
                <w14:solidFill>
                  <w14:schemeClr w14:val="tx1"/>
                </w14:solidFill>
              </w14:textFill>
            </w:rPr>
            <w:t>1</w:t>
          </w:r>
          <w:r>
            <w:rPr>
              <w:rFonts w:ascii="Times New Roman" w:hAnsi="Times New Roman" w:cs="Times New Roman"/>
              <w:color w:val="000000" w:themeColor="text1"/>
              <w:sz w:val="21"/>
              <w:szCs w:val="21"/>
              <w14:textFill>
                <w14:solidFill>
                  <w14:schemeClr w14:val="tx1"/>
                </w14:solidFill>
              </w14:textFill>
            </w:rPr>
            <w:fldChar w:fldCharType="end"/>
          </w:r>
          <w:r>
            <w:rPr>
              <w:rFonts w:ascii="Times New Roman" w:hAnsi="Times New Roman" w:cs="Times New Roman"/>
              <w:bCs/>
              <w:color w:val="000000" w:themeColor="text1"/>
              <w:sz w:val="21"/>
              <w:szCs w:val="21"/>
              <w14:textFill>
                <w14:solidFill>
                  <w14:schemeClr w14:val="tx1"/>
                </w14:solidFill>
              </w14:textFill>
            </w:rPr>
            <w:fldChar w:fldCharType="end"/>
          </w:r>
        </w:p>
        <w:p w14:paraId="38265E80">
          <w:pPr>
            <w:pStyle w:val="20"/>
            <w:tabs>
              <w:tab w:val="right" w:leader="dot" w:pos="8306"/>
            </w:tabs>
            <w:rPr>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fldChar w:fldCharType="begin"/>
          </w:r>
          <w:r>
            <w:rPr>
              <w:bCs/>
              <w:color w:val="000000" w:themeColor="text1"/>
              <w:sz w:val="21"/>
              <w:szCs w:val="21"/>
              <w14:textFill>
                <w14:solidFill>
                  <w14:schemeClr w14:val="tx1"/>
                </w14:solidFill>
              </w14:textFill>
            </w:rPr>
            <w:instrText xml:space="preserve"> HYPERLINK \l _Toc16513 </w:instrText>
          </w:r>
          <w:r>
            <w:rPr>
              <w:bCs/>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（一）单位概况</w:t>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PAGEREF _Toc16513 \h </w:instrText>
          </w:r>
          <w:r>
            <w:rPr>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fldChar w:fldCharType="end"/>
          </w:r>
          <w:r>
            <w:rPr>
              <w:bCs/>
              <w:color w:val="000000" w:themeColor="text1"/>
              <w:sz w:val="21"/>
              <w:szCs w:val="21"/>
              <w14:textFill>
                <w14:solidFill>
                  <w14:schemeClr w14:val="tx1"/>
                </w14:solidFill>
              </w14:textFill>
            </w:rPr>
            <w:fldChar w:fldCharType="end"/>
          </w:r>
        </w:p>
        <w:p w14:paraId="42E0DECD">
          <w:pPr>
            <w:pStyle w:val="20"/>
            <w:tabs>
              <w:tab w:val="right" w:leader="dot" w:pos="8306"/>
            </w:tabs>
            <w:rPr>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fldChar w:fldCharType="begin"/>
          </w:r>
          <w:r>
            <w:rPr>
              <w:bCs/>
              <w:color w:val="000000" w:themeColor="text1"/>
              <w:sz w:val="21"/>
              <w:szCs w:val="21"/>
              <w14:textFill>
                <w14:solidFill>
                  <w14:schemeClr w14:val="tx1"/>
                </w14:solidFill>
              </w14:textFill>
            </w:rPr>
            <w:instrText xml:space="preserve"> HYPERLINK \l _Toc27993 </w:instrText>
          </w:r>
          <w:r>
            <w:rPr>
              <w:bCs/>
              <w:color w:val="000000" w:themeColor="text1"/>
              <w:sz w:val="21"/>
              <w:szCs w:val="21"/>
              <w14:textFill>
                <w14:solidFill>
                  <w14:schemeClr w14:val="tx1"/>
                </w14:solidFill>
              </w14:textFill>
            </w:rPr>
            <w:fldChar w:fldCharType="separate"/>
          </w:r>
          <w:r>
            <w:rPr>
              <w:rFonts w:hint="default"/>
              <w:color w:val="000000" w:themeColor="text1"/>
              <w:sz w:val="21"/>
              <w:szCs w:val="21"/>
              <w14:textFill>
                <w14:solidFill>
                  <w14:schemeClr w14:val="tx1"/>
                </w14:solidFill>
              </w14:textFill>
            </w:rPr>
            <w:t xml:space="preserve">（二） </w:t>
          </w:r>
          <w:r>
            <w:rPr>
              <w:color w:val="000000" w:themeColor="text1"/>
              <w:sz w:val="21"/>
              <w:szCs w:val="21"/>
              <w14:textFill>
                <w14:solidFill>
                  <w14:schemeClr w14:val="tx1"/>
                </w14:solidFill>
              </w14:textFill>
            </w:rPr>
            <w:t>部门资金投入和使用情况</w:t>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PAGEREF _Toc27993 \h </w:instrText>
          </w:r>
          <w:r>
            <w:rPr>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2</w:t>
          </w:r>
          <w:r>
            <w:rPr>
              <w:color w:val="000000" w:themeColor="text1"/>
              <w:sz w:val="21"/>
              <w:szCs w:val="21"/>
              <w14:textFill>
                <w14:solidFill>
                  <w14:schemeClr w14:val="tx1"/>
                </w14:solidFill>
              </w14:textFill>
            </w:rPr>
            <w:fldChar w:fldCharType="end"/>
          </w:r>
          <w:r>
            <w:rPr>
              <w:bCs/>
              <w:color w:val="000000" w:themeColor="text1"/>
              <w:sz w:val="21"/>
              <w:szCs w:val="21"/>
              <w14:textFill>
                <w14:solidFill>
                  <w14:schemeClr w14:val="tx1"/>
                </w14:solidFill>
              </w14:textFill>
            </w:rPr>
            <w:fldChar w:fldCharType="end"/>
          </w:r>
        </w:p>
        <w:p w14:paraId="1E92AC83">
          <w:pPr>
            <w:pStyle w:val="20"/>
            <w:tabs>
              <w:tab w:val="right" w:leader="dot" w:pos="8306"/>
            </w:tabs>
            <w:rPr>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fldChar w:fldCharType="begin"/>
          </w:r>
          <w:r>
            <w:rPr>
              <w:bCs/>
              <w:color w:val="000000" w:themeColor="text1"/>
              <w:sz w:val="21"/>
              <w:szCs w:val="21"/>
              <w14:textFill>
                <w14:solidFill>
                  <w14:schemeClr w14:val="tx1"/>
                </w14:solidFill>
              </w14:textFill>
            </w:rPr>
            <w:instrText xml:space="preserve"> HYPERLINK \l _Toc12171 </w:instrText>
          </w:r>
          <w:r>
            <w:rPr>
              <w:bCs/>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（三）部门资产情况</w:t>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PAGEREF _Toc12171 \h </w:instrText>
          </w:r>
          <w:r>
            <w:rPr>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4</w:t>
          </w:r>
          <w:r>
            <w:rPr>
              <w:color w:val="000000" w:themeColor="text1"/>
              <w:sz w:val="21"/>
              <w:szCs w:val="21"/>
              <w14:textFill>
                <w14:solidFill>
                  <w14:schemeClr w14:val="tx1"/>
                </w14:solidFill>
              </w14:textFill>
            </w:rPr>
            <w:fldChar w:fldCharType="end"/>
          </w:r>
          <w:r>
            <w:rPr>
              <w:bCs/>
              <w:color w:val="000000" w:themeColor="text1"/>
              <w:sz w:val="21"/>
              <w:szCs w:val="21"/>
              <w14:textFill>
                <w14:solidFill>
                  <w14:schemeClr w14:val="tx1"/>
                </w14:solidFill>
              </w14:textFill>
            </w:rPr>
            <w:fldChar w:fldCharType="end"/>
          </w:r>
        </w:p>
        <w:p w14:paraId="2C36DE80">
          <w:pPr>
            <w:pStyle w:val="20"/>
            <w:tabs>
              <w:tab w:val="right" w:leader="dot" w:pos="8306"/>
            </w:tabs>
            <w:rPr>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fldChar w:fldCharType="begin"/>
          </w:r>
          <w:r>
            <w:rPr>
              <w:bCs/>
              <w:color w:val="000000" w:themeColor="text1"/>
              <w:sz w:val="21"/>
              <w:szCs w:val="21"/>
              <w14:textFill>
                <w14:solidFill>
                  <w14:schemeClr w14:val="tx1"/>
                </w14:solidFill>
              </w14:textFill>
            </w:rPr>
            <w:instrText xml:space="preserve"> HYPERLINK \l _Toc25718 </w:instrText>
          </w:r>
          <w:r>
            <w:rPr>
              <w:bCs/>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（四）部门整体绩效目标</w:t>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PAGEREF _Toc25718 \h </w:instrText>
          </w:r>
          <w:r>
            <w:rPr>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4</w:t>
          </w:r>
          <w:r>
            <w:rPr>
              <w:color w:val="000000" w:themeColor="text1"/>
              <w:sz w:val="21"/>
              <w:szCs w:val="21"/>
              <w14:textFill>
                <w14:solidFill>
                  <w14:schemeClr w14:val="tx1"/>
                </w14:solidFill>
              </w14:textFill>
            </w:rPr>
            <w:fldChar w:fldCharType="end"/>
          </w:r>
          <w:r>
            <w:rPr>
              <w:bCs/>
              <w:color w:val="000000" w:themeColor="text1"/>
              <w:sz w:val="21"/>
              <w:szCs w:val="21"/>
              <w14:textFill>
                <w14:solidFill>
                  <w14:schemeClr w14:val="tx1"/>
                </w14:solidFill>
              </w14:textFill>
            </w:rPr>
            <w:fldChar w:fldCharType="end"/>
          </w:r>
        </w:p>
        <w:p w14:paraId="4EDA3D3C">
          <w:pPr>
            <w:pStyle w:val="17"/>
            <w:tabs>
              <w:tab w:val="right" w:leader="dot" w:pos="8306"/>
              <w:tab w:val="clear" w:pos="9356"/>
            </w:tabs>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bCs/>
              <w:color w:val="000000" w:themeColor="text1"/>
              <w:sz w:val="21"/>
              <w:szCs w:val="21"/>
              <w14:textFill>
                <w14:solidFill>
                  <w14:schemeClr w14:val="tx1"/>
                </w14:solidFill>
              </w14:textFill>
            </w:rPr>
            <w:fldChar w:fldCharType="begin"/>
          </w:r>
          <w:r>
            <w:rPr>
              <w:rFonts w:ascii="Times New Roman" w:hAnsi="Times New Roman" w:cs="Times New Roman"/>
              <w:bCs/>
              <w:color w:val="000000" w:themeColor="text1"/>
              <w:sz w:val="21"/>
              <w:szCs w:val="21"/>
              <w14:textFill>
                <w14:solidFill>
                  <w14:schemeClr w14:val="tx1"/>
                </w14:solidFill>
              </w14:textFill>
            </w:rPr>
            <w:instrText xml:space="preserve"> HYPERLINK \l _Toc4636 </w:instrText>
          </w:r>
          <w:r>
            <w:rPr>
              <w:rFonts w:ascii="Times New Roman" w:hAnsi="Times New Roman" w:cs="Times New Roman"/>
              <w:bCs/>
              <w:color w:val="000000" w:themeColor="text1"/>
              <w:sz w:val="21"/>
              <w:szCs w:val="21"/>
              <w14:textFill>
                <w14:solidFill>
                  <w14:schemeClr w14:val="tx1"/>
                </w14:solidFill>
              </w14:textFill>
            </w:rPr>
            <w:fldChar w:fldCharType="separate"/>
          </w:r>
          <w:r>
            <w:rPr>
              <w:rFonts w:ascii="Times New Roman" w:hAnsi="Times New Roman" w:cs="Times New Roman"/>
              <w:bCs/>
              <w:color w:val="000000" w:themeColor="text1"/>
              <w:kern w:val="44"/>
              <w:sz w:val="21"/>
              <w:szCs w:val="21"/>
              <w14:textFill>
                <w14:solidFill>
                  <w14:schemeClr w14:val="tx1"/>
                </w14:solidFill>
              </w14:textFill>
            </w:rPr>
            <w:t>二、绩效评价工作开展情况</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fldChar w:fldCharType="begin"/>
          </w:r>
          <w:r>
            <w:rPr>
              <w:rFonts w:ascii="Times New Roman" w:hAnsi="Times New Roman" w:cs="Times New Roman"/>
              <w:color w:val="000000" w:themeColor="text1"/>
              <w:sz w:val="21"/>
              <w:szCs w:val="21"/>
              <w14:textFill>
                <w14:solidFill>
                  <w14:schemeClr w14:val="tx1"/>
                </w14:solidFill>
              </w14:textFill>
            </w:rPr>
            <w:instrText xml:space="preserve"> PAGEREF _Toc4636 \h </w:instrText>
          </w:r>
          <w:r>
            <w:rPr>
              <w:rFonts w:ascii="Times New Roman" w:hAnsi="Times New Roman" w:cs="Times New Roman"/>
              <w:color w:val="000000" w:themeColor="text1"/>
              <w:sz w:val="21"/>
              <w:szCs w:val="21"/>
              <w14:textFill>
                <w14:solidFill>
                  <w14:schemeClr w14:val="tx1"/>
                </w14:solidFill>
              </w14:textFill>
            </w:rPr>
            <w:fldChar w:fldCharType="separate"/>
          </w:r>
          <w:r>
            <w:rPr>
              <w:rFonts w:ascii="Times New Roman" w:hAnsi="Times New Roman" w:cs="Times New Roman"/>
              <w:color w:val="000000" w:themeColor="text1"/>
              <w:sz w:val="21"/>
              <w:szCs w:val="21"/>
              <w14:textFill>
                <w14:solidFill>
                  <w14:schemeClr w14:val="tx1"/>
                </w14:solidFill>
              </w14:textFill>
            </w:rPr>
            <w:t>6</w:t>
          </w:r>
          <w:r>
            <w:rPr>
              <w:rFonts w:ascii="Times New Roman" w:hAnsi="Times New Roman" w:cs="Times New Roman"/>
              <w:color w:val="000000" w:themeColor="text1"/>
              <w:sz w:val="21"/>
              <w:szCs w:val="21"/>
              <w14:textFill>
                <w14:solidFill>
                  <w14:schemeClr w14:val="tx1"/>
                </w14:solidFill>
              </w14:textFill>
            </w:rPr>
            <w:fldChar w:fldCharType="end"/>
          </w:r>
          <w:r>
            <w:rPr>
              <w:rFonts w:ascii="Times New Roman" w:hAnsi="Times New Roman" w:cs="Times New Roman"/>
              <w:bCs/>
              <w:color w:val="000000" w:themeColor="text1"/>
              <w:sz w:val="21"/>
              <w:szCs w:val="21"/>
              <w14:textFill>
                <w14:solidFill>
                  <w14:schemeClr w14:val="tx1"/>
                </w14:solidFill>
              </w14:textFill>
            </w:rPr>
            <w:fldChar w:fldCharType="end"/>
          </w:r>
        </w:p>
        <w:p w14:paraId="64D26B65">
          <w:pPr>
            <w:pStyle w:val="20"/>
            <w:tabs>
              <w:tab w:val="right" w:leader="dot" w:pos="8306"/>
            </w:tabs>
            <w:rPr>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fldChar w:fldCharType="begin"/>
          </w:r>
          <w:r>
            <w:rPr>
              <w:bCs/>
              <w:color w:val="000000" w:themeColor="text1"/>
              <w:sz w:val="21"/>
              <w:szCs w:val="21"/>
              <w14:textFill>
                <w14:solidFill>
                  <w14:schemeClr w14:val="tx1"/>
                </w14:solidFill>
              </w14:textFill>
            </w:rPr>
            <w:instrText xml:space="preserve"> HYPERLINK \l _Toc10021 </w:instrText>
          </w:r>
          <w:r>
            <w:rPr>
              <w:bCs/>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（一）绩效评价依据</w:t>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PAGEREF _Toc10021 \h </w:instrText>
          </w:r>
          <w:r>
            <w:rPr>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6</w:t>
          </w:r>
          <w:r>
            <w:rPr>
              <w:color w:val="000000" w:themeColor="text1"/>
              <w:sz w:val="21"/>
              <w:szCs w:val="21"/>
              <w14:textFill>
                <w14:solidFill>
                  <w14:schemeClr w14:val="tx1"/>
                </w14:solidFill>
              </w14:textFill>
            </w:rPr>
            <w:fldChar w:fldCharType="end"/>
          </w:r>
          <w:r>
            <w:rPr>
              <w:bCs/>
              <w:color w:val="000000" w:themeColor="text1"/>
              <w:sz w:val="21"/>
              <w:szCs w:val="21"/>
              <w14:textFill>
                <w14:solidFill>
                  <w14:schemeClr w14:val="tx1"/>
                </w14:solidFill>
              </w14:textFill>
            </w:rPr>
            <w:fldChar w:fldCharType="end"/>
          </w:r>
        </w:p>
        <w:p w14:paraId="13EC32B6">
          <w:pPr>
            <w:pStyle w:val="20"/>
            <w:tabs>
              <w:tab w:val="right" w:leader="dot" w:pos="8306"/>
            </w:tabs>
            <w:rPr>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fldChar w:fldCharType="begin"/>
          </w:r>
          <w:r>
            <w:rPr>
              <w:bCs/>
              <w:color w:val="000000" w:themeColor="text1"/>
              <w:sz w:val="21"/>
              <w:szCs w:val="21"/>
              <w14:textFill>
                <w14:solidFill>
                  <w14:schemeClr w14:val="tx1"/>
                </w14:solidFill>
              </w14:textFill>
            </w:rPr>
            <w:instrText xml:space="preserve"> HYPERLINK \l _Toc17547 </w:instrText>
          </w:r>
          <w:r>
            <w:rPr>
              <w:bCs/>
              <w:color w:val="000000" w:themeColor="text1"/>
              <w:sz w:val="21"/>
              <w:szCs w:val="21"/>
              <w14:textFill>
                <w14:solidFill>
                  <w14:schemeClr w14:val="tx1"/>
                </w14:solidFill>
              </w14:textFill>
            </w:rPr>
            <w:fldChar w:fldCharType="separate"/>
          </w:r>
          <w:r>
            <w:rPr>
              <w:bCs/>
              <w:color w:val="000000" w:themeColor="text1"/>
              <w:sz w:val="21"/>
              <w:szCs w:val="21"/>
              <w14:textFill>
                <w14:solidFill>
                  <w14:schemeClr w14:val="tx1"/>
                </w14:solidFill>
              </w14:textFill>
            </w:rPr>
            <w:t>（二）绩效评价</w:t>
          </w:r>
          <w:r>
            <w:rPr>
              <w:rFonts w:hint="default"/>
              <w:bCs/>
              <w:color w:val="000000" w:themeColor="text1"/>
              <w:sz w:val="21"/>
              <w:szCs w:val="21"/>
              <w:lang w:val="en-US" w:eastAsia="zh-CN"/>
              <w14:textFill>
                <w14:solidFill>
                  <w14:schemeClr w14:val="tx1"/>
                </w14:solidFill>
              </w14:textFill>
            </w:rPr>
            <w:t>目的、</w:t>
          </w:r>
          <w:r>
            <w:rPr>
              <w:bCs/>
              <w:color w:val="000000" w:themeColor="text1"/>
              <w:sz w:val="21"/>
              <w:szCs w:val="21"/>
              <w14:textFill>
                <w14:solidFill>
                  <w14:schemeClr w14:val="tx1"/>
                </w14:solidFill>
              </w14:textFill>
            </w:rPr>
            <w:t>对象及范围</w:t>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PAGEREF _Toc17547 \h </w:instrText>
          </w:r>
          <w:r>
            <w:rPr>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7</w:t>
          </w:r>
          <w:r>
            <w:rPr>
              <w:color w:val="000000" w:themeColor="text1"/>
              <w:sz w:val="21"/>
              <w:szCs w:val="21"/>
              <w14:textFill>
                <w14:solidFill>
                  <w14:schemeClr w14:val="tx1"/>
                </w14:solidFill>
              </w14:textFill>
            </w:rPr>
            <w:fldChar w:fldCharType="end"/>
          </w:r>
          <w:r>
            <w:rPr>
              <w:bCs/>
              <w:color w:val="000000" w:themeColor="text1"/>
              <w:sz w:val="21"/>
              <w:szCs w:val="21"/>
              <w14:textFill>
                <w14:solidFill>
                  <w14:schemeClr w14:val="tx1"/>
                </w14:solidFill>
              </w14:textFill>
            </w:rPr>
            <w:fldChar w:fldCharType="end"/>
          </w:r>
        </w:p>
        <w:p w14:paraId="3E1E4D5A">
          <w:pPr>
            <w:pStyle w:val="20"/>
            <w:tabs>
              <w:tab w:val="right" w:leader="dot" w:pos="8306"/>
            </w:tabs>
            <w:rPr>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fldChar w:fldCharType="begin"/>
          </w:r>
          <w:r>
            <w:rPr>
              <w:bCs/>
              <w:color w:val="000000" w:themeColor="text1"/>
              <w:sz w:val="21"/>
              <w:szCs w:val="21"/>
              <w14:textFill>
                <w14:solidFill>
                  <w14:schemeClr w14:val="tx1"/>
                </w14:solidFill>
              </w14:textFill>
            </w:rPr>
            <w:instrText xml:space="preserve"> HYPERLINK \l _Toc29578 </w:instrText>
          </w:r>
          <w:r>
            <w:rPr>
              <w:bCs/>
              <w:color w:val="000000" w:themeColor="text1"/>
              <w:sz w:val="21"/>
              <w:szCs w:val="21"/>
              <w14:textFill>
                <w14:solidFill>
                  <w14:schemeClr w14:val="tx1"/>
                </w14:solidFill>
              </w14:textFill>
            </w:rPr>
            <w:fldChar w:fldCharType="separate"/>
          </w:r>
          <w:r>
            <w:rPr>
              <w:bCs/>
              <w:color w:val="000000" w:themeColor="text1"/>
              <w:sz w:val="21"/>
              <w:szCs w:val="21"/>
              <w14:textFill>
                <w14:solidFill>
                  <w14:schemeClr w14:val="tx1"/>
                </w14:solidFill>
              </w14:textFill>
            </w:rPr>
            <w:t>（三）绩效评价原则</w:t>
          </w:r>
          <w:r>
            <w:rPr>
              <w:rFonts w:hint="default"/>
              <w:bCs/>
              <w:color w:val="000000" w:themeColor="text1"/>
              <w:sz w:val="21"/>
              <w:szCs w:val="21"/>
              <w:lang w:val="en-US" w:eastAsia="zh-CN"/>
              <w14:textFill>
                <w14:solidFill>
                  <w14:schemeClr w14:val="tx1"/>
                </w14:solidFill>
              </w14:textFill>
            </w:rPr>
            <w:t>及评价标准</w:t>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PAGEREF _Toc29578 \h </w:instrText>
          </w:r>
          <w:r>
            <w:rPr>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7</w:t>
          </w:r>
          <w:r>
            <w:rPr>
              <w:color w:val="000000" w:themeColor="text1"/>
              <w:sz w:val="21"/>
              <w:szCs w:val="21"/>
              <w14:textFill>
                <w14:solidFill>
                  <w14:schemeClr w14:val="tx1"/>
                </w14:solidFill>
              </w14:textFill>
            </w:rPr>
            <w:fldChar w:fldCharType="end"/>
          </w:r>
          <w:r>
            <w:rPr>
              <w:bCs/>
              <w:color w:val="000000" w:themeColor="text1"/>
              <w:sz w:val="21"/>
              <w:szCs w:val="21"/>
              <w14:textFill>
                <w14:solidFill>
                  <w14:schemeClr w14:val="tx1"/>
                </w14:solidFill>
              </w14:textFill>
            </w:rPr>
            <w:fldChar w:fldCharType="end"/>
          </w:r>
        </w:p>
        <w:p w14:paraId="2DEC2D36">
          <w:pPr>
            <w:pStyle w:val="20"/>
            <w:tabs>
              <w:tab w:val="right" w:leader="dot" w:pos="8306"/>
            </w:tabs>
            <w:rPr>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fldChar w:fldCharType="begin"/>
          </w:r>
          <w:r>
            <w:rPr>
              <w:bCs/>
              <w:color w:val="000000" w:themeColor="text1"/>
              <w:sz w:val="21"/>
              <w:szCs w:val="21"/>
              <w14:textFill>
                <w14:solidFill>
                  <w14:schemeClr w14:val="tx1"/>
                </w14:solidFill>
              </w14:textFill>
            </w:rPr>
            <w:instrText xml:space="preserve"> HYPERLINK \l _Toc15080 </w:instrText>
          </w:r>
          <w:r>
            <w:rPr>
              <w:bCs/>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（四）绩效评价思路及评价指标体系</w:t>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PAGEREF _Toc15080 \h </w:instrText>
          </w:r>
          <w:r>
            <w:rPr>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8</w:t>
          </w:r>
          <w:r>
            <w:rPr>
              <w:color w:val="000000" w:themeColor="text1"/>
              <w:sz w:val="21"/>
              <w:szCs w:val="21"/>
              <w14:textFill>
                <w14:solidFill>
                  <w14:schemeClr w14:val="tx1"/>
                </w14:solidFill>
              </w14:textFill>
            </w:rPr>
            <w:fldChar w:fldCharType="end"/>
          </w:r>
          <w:r>
            <w:rPr>
              <w:bCs/>
              <w:color w:val="000000" w:themeColor="text1"/>
              <w:sz w:val="21"/>
              <w:szCs w:val="21"/>
              <w14:textFill>
                <w14:solidFill>
                  <w14:schemeClr w14:val="tx1"/>
                </w14:solidFill>
              </w14:textFill>
            </w:rPr>
            <w:fldChar w:fldCharType="end"/>
          </w:r>
        </w:p>
        <w:p w14:paraId="1031C86C">
          <w:pPr>
            <w:pStyle w:val="20"/>
            <w:tabs>
              <w:tab w:val="right" w:leader="dot" w:pos="8306"/>
            </w:tabs>
            <w:rPr>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fldChar w:fldCharType="begin"/>
          </w:r>
          <w:r>
            <w:rPr>
              <w:bCs/>
              <w:color w:val="000000" w:themeColor="text1"/>
              <w:sz w:val="21"/>
              <w:szCs w:val="21"/>
              <w14:textFill>
                <w14:solidFill>
                  <w14:schemeClr w14:val="tx1"/>
                </w14:solidFill>
              </w14:textFill>
            </w:rPr>
            <w:instrText xml:space="preserve"> HYPERLINK \l _Toc27117 </w:instrText>
          </w:r>
          <w:r>
            <w:rPr>
              <w:bCs/>
              <w:color w:val="000000" w:themeColor="text1"/>
              <w:sz w:val="21"/>
              <w:szCs w:val="21"/>
              <w14:textFill>
                <w14:solidFill>
                  <w14:schemeClr w14:val="tx1"/>
                </w14:solidFill>
              </w14:textFill>
            </w:rPr>
            <w:fldChar w:fldCharType="separate"/>
          </w:r>
          <w:r>
            <w:rPr>
              <w:bCs/>
              <w:color w:val="000000" w:themeColor="text1"/>
              <w:sz w:val="21"/>
              <w:szCs w:val="21"/>
              <w14:textFill>
                <w14:solidFill>
                  <w14:schemeClr w14:val="tx1"/>
                </w14:solidFill>
              </w14:textFill>
            </w:rPr>
            <w:t>（五）绩效评价方法</w:t>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PAGEREF _Toc27117 \h </w:instrText>
          </w:r>
          <w:r>
            <w:rPr>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9</w:t>
          </w:r>
          <w:r>
            <w:rPr>
              <w:color w:val="000000" w:themeColor="text1"/>
              <w:sz w:val="21"/>
              <w:szCs w:val="21"/>
              <w14:textFill>
                <w14:solidFill>
                  <w14:schemeClr w14:val="tx1"/>
                </w14:solidFill>
              </w14:textFill>
            </w:rPr>
            <w:fldChar w:fldCharType="end"/>
          </w:r>
          <w:r>
            <w:rPr>
              <w:bCs/>
              <w:color w:val="000000" w:themeColor="text1"/>
              <w:sz w:val="21"/>
              <w:szCs w:val="21"/>
              <w14:textFill>
                <w14:solidFill>
                  <w14:schemeClr w14:val="tx1"/>
                </w14:solidFill>
              </w14:textFill>
            </w:rPr>
            <w:fldChar w:fldCharType="end"/>
          </w:r>
        </w:p>
        <w:p w14:paraId="354F3CD4">
          <w:pPr>
            <w:pStyle w:val="20"/>
            <w:tabs>
              <w:tab w:val="right" w:leader="dot" w:pos="8306"/>
            </w:tabs>
            <w:rPr>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fldChar w:fldCharType="begin"/>
          </w:r>
          <w:r>
            <w:rPr>
              <w:bCs/>
              <w:color w:val="000000" w:themeColor="text1"/>
              <w:sz w:val="21"/>
              <w:szCs w:val="21"/>
              <w14:textFill>
                <w14:solidFill>
                  <w14:schemeClr w14:val="tx1"/>
                </w14:solidFill>
              </w14:textFill>
            </w:rPr>
            <w:instrText xml:space="preserve"> HYPERLINK \l _Toc1775 </w:instrText>
          </w:r>
          <w:r>
            <w:rPr>
              <w:bCs/>
              <w:color w:val="000000" w:themeColor="text1"/>
              <w:sz w:val="21"/>
              <w:szCs w:val="21"/>
              <w14:textFill>
                <w14:solidFill>
                  <w14:schemeClr w14:val="tx1"/>
                </w14:solidFill>
              </w14:textFill>
            </w:rPr>
            <w:fldChar w:fldCharType="separate"/>
          </w:r>
          <w:r>
            <w:rPr>
              <w:rFonts w:ascii="Times New Roman" w:hAnsi="Times New Roman"/>
              <w:color w:val="000000" w:themeColor="text1"/>
              <w:sz w:val="21"/>
              <w:szCs w:val="21"/>
              <w14:textFill>
                <w14:solidFill>
                  <w14:schemeClr w14:val="tx1"/>
                </w14:solidFill>
              </w14:textFill>
            </w:rPr>
            <w:t>（六）</w:t>
          </w:r>
          <w:r>
            <w:rPr>
              <w:rFonts w:hint="default" w:ascii="Times New Roman" w:hAnsi="Times New Roman" w:cs="Times New Roman"/>
              <w:bCs w:val="0"/>
              <w:color w:val="000000" w:themeColor="text1"/>
              <w:sz w:val="21"/>
              <w:szCs w:val="21"/>
              <w:highlight w:val="none"/>
              <w14:textFill>
                <w14:solidFill>
                  <w14:schemeClr w14:val="tx1"/>
                </w14:solidFill>
              </w14:textFill>
            </w:rPr>
            <w:t>绩效评价过程</w:t>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PAGEREF _Toc1775 \h </w:instrText>
          </w:r>
          <w:r>
            <w:rPr>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11</w:t>
          </w:r>
          <w:r>
            <w:rPr>
              <w:color w:val="000000" w:themeColor="text1"/>
              <w:sz w:val="21"/>
              <w:szCs w:val="21"/>
              <w14:textFill>
                <w14:solidFill>
                  <w14:schemeClr w14:val="tx1"/>
                </w14:solidFill>
              </w14:textFill>
            </w:rPr>
            <w:fldChar w:fldCharType="end"/>
          </w:r>
          <w:r>
            <w:rPr>
              <w:bCs/>
              <w:color w:val="000000" w:themeColor="text1"/>
              <w:sz w:val="21"/>
              <w:szCs w:val="21"/>
              <w14:textFill>
                <w14:solidFill>
                  <w14:schemeClr w14:val="tx1"/>
                </w14:solidFill>
              </w14:textFill>
            </w:rPr>
            <w:fldChar w:fldCharType="end"/>
          </w:r>
        </w:p>
        <w:p w14:paraId="775221A4">
          <w:pPr>
            <w:pStyle w:val="17"/>
            <w:tabs>
              <w:tab w:val="right" w:leader="dot" w:pos="8306"/>
              <w:tab w:val="clear" w:pos="9356"/>
            </w:tabs>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bCs/>
              <w:color w:val="000000" w:themeColor="text1"/>
              <w:sz w:val="21"/>
              <w:szCs w:val="21"/>
              <w14:textFill>
                <w14:solidFill>
                  <w14:schemeClr w14:val="tx1"/>
                </w14:solidFill>
              </w14:textFill>
            </w:rPr>
            <w:fldChar w:fldCharType="begin"/>
          </w:r>
          <w:r>
            <w:rPr>
              <w:rFonts w:ascii="Times New Roman" w:hAnsi="Times New Roman" w:cs="Times New Roman"/>
              <w:bCs/>
              <w:color w:val="000000" w:themeColor="text1"/>
              <w:sz w:val="21"/>
              <w:szCs w:val="21"/>
              <w14:textFill>
                <w14:solidFill>
                  <w14:schemeClr w14:val="tx1"/>
                </w14:solidFill>
              </w14:textFill>
            </w:rPr>
            <w:instrText xml:space="preserve"> HYPERLINK \l _Toc17766 </w:instrText>
          </w:r>
          <w:r>
            <w:rPr>
              <w:rFonts w:ascii="Times New Roman" w:hAnsi="Times New Roman" w:cs="Times New Roman"/>
              <w:bCs/>
              <w:color w:val="000000" w:themeColor="text1"/>
              <w:sz w:val="21"/>
              <w:szCs w:val="21"/>
              <w14:textFill>
                <w14:solidFill>
                  <w14:schemeClr w14:val="tx1"/>
                </w14:solidFill>
              </w14:textFill>
            </w:rPr>
            <w:fldChar w:fldCharType="separate"/>
          </w:r>
          <w:r>
            <w:rPr>
              <w:rFonts w:ascii="Times New Roman" w:hAnsi="Times New Roman" w:cs="Times New Roman"/>
              <w:bCs/>
              <w:color w:val="000000" w:themeColor="text1"/>
              <w:kern w:val="44"/>
              <w:sz w:val="21"/>
              <w:szCs w:val="21"/>
              <w14:textFill>
                <w14:solidFill>
                  <w14:schemeClr w14:val="tx1"/>
                </w14:solidFill>
              </w14:textFill>
            </w:rPr>
            <w:t>三、综合评价情况及评价结论</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fldChar w:fldCharType="begin"/>
          </w:r>
          <w:r>
            <w:rPr>
              <w:rFonts w:ascii="Times New Roman" w:hAnsi="Times New Roman" w:cs="Times New Roman"/>
              <w:color w:val="000000" w:themeColor="text1"/>
              <w:sz w:val="21"/>
              <w:szCs w:val="21"/>
              <w14:textFill>
                <w14:solidFill>
                  <w14:schemeClr w14:val="tx1"/>
                </w14:solidFill>
              </w14:textFill>
            </w:rPr>
            <w:instrText xml:space="preserve"> PAGEREF _Toc17766 \h </w:instrText>
          </w:r>
          <w:r>
            <w:rPr>
              <w:rFonts w:ascii="Times New Roman" w:hAnsi="Times New Roman" w:cs="Times New Roman"/>
              <w:color w:val="000000" w:themeColor="text1"/>
              <w:sz w:val="21"/>
              <w:szCs w:val="21"/>
              <w14:textFill>
                <w14:solidFill>
                  <w14:schemeClr w14:val="tx1"/>
                </w14:solidFill>
              </w14:textFill>
            </w:rPr>
            <w:fldChar w:fldCharType="separate"/>
          </w:r>
          <w:r>
            <w:rPr>
              <w:rFonts w:ascii="Times New Roman" w:hAnsi="Times New Roman" w:cs="Times New Roman"/>
              <w:color w:val="000000" w:themeColor="text1"/>
              <w:sz w:val="21"/>
              <w:szCs w:val="21"/>
              <w14:textFill>
                <w14:solidFill>
                  <w14:schemeClr w14:val="tx1"/>
                </w14:solidFill>
              </w14:textFill>
            </w:rPr>
            <w:t>13</w:t>
          </w:r>
          <w:r>
            <w:rPr>
              <w:rFonts w:ascii="Times New Roman" w:hAnsi="Times New Roman" w:cs="Times New Roman"/>
              <w:color w:val="000000" w:themeColor="text1"/>
              <w:sz w:val="21"/>
              <w:szCs w:val="21"/>
              <w14:textFill>
                <w14:solidFill>
                  <w14:schemeClr w14:val="tx1"/>
                </w14:solidFill>
              </w14:textFill>
            </w:rPr>
            <w:fldChar w:fldCharType="end"/>
          </w:r>
          <w:r>
            <w:rPr>
              <w:rFonts w:ascii="Times New Roman" w:hAnsi="Times New Roman" w:cs="Times New Roman"/>
              <w:bCs/>
              <w:color w:val="000000" w:themeColor="text1"/>
              <w:sz w:val="21"/>
              <w:szCs w:val="21"/>
              <w14:textFill>
                <w14:solidFill>
                  <w14:schemeClr w14:val="tx1"/>
                </w14:solidFill>
              </w14:textFill>
            </w:rPr>
            <w:fldChar w:fldCharType="end"/>
          </w:r>
        </w:p>
        <w:p w14:paraId="5C507E1B">
          <w:pPr>
            <w:pStyle w:val="20"/>
            <w:tabs>
              <w:tab w:val="right" w:leader="dot" w:pos="8306"/>
            </w:tabs>
            <w:rPr>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fldChar w:fldCharType="begin"/>
          </w:r>
          <w:r>
            <w:rPr>
              <w:bCs/>
              <w:color w:val="000000" w:themeColor="text1"/>
              <w:sz w:val="21"/>
              <w:szCs w:val="21"/>
              <w14:textFill>
                <w14:solidFill>
                  <w14:schemeClr w14:val="tx1"/>
                </w14:solidFill>
              </w14:textFill>
            </w:rPr>
            <w:instrText xml:space="preserve"> HYPERLINK \l _Toc20092 </w:instrText>
          </w:r>
          <w:r>
            <w:rPr>
              <w:bCs/>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（一）绩效评价结果</w:t>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PAGEREF _Toc20092 \h </w:instrText>
          </w:r>
          <w:r>
            <w:rPr>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13</w:t>
          </w:r>
          <w:r>
            <w:rPr>
              <w:color w:val="000000" w:themeColor="text1"/>
              <w:sz w:val="21"/>
              <w:szCs w:val="21"/>
              <w14:textFill>
                <w14:solidFill>
                  <w14:schemeClr w14:val="tx1"/>
                </w14:solidFill>
              </w14:textFill>
            </w:rPr>
            <w:fldChar w:fldCharType="end"/>
          </w:r>
          <w:r>
            <w:rPr>
              <w:bCs/>
              <w:color w:val="000000" w:themeColor="text1"/>
              <w:sz w:val="21"/>
              <w:szCs w:val="21"/>
              <w14:textFill>
                <w14:solidFill>
                  <w14:schemeClr w14:val="tx1"/>
                </w14:solidFill>
              </w14:textFill>
            </w:rPr>
            <w:fldChar w:fldCharType="end"/>
          </w:r>
        </w:p>
        <w:p w14:paraId="3A91A6C3">
          <w:pPr>
            <w:pStyle w:val="20"/>
            <w:tabs>
              <w:tab w:val="right" w:leader="dot" w:pos="8306"/>
            </w:tabs>
            <w:rPr>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fldChar w:fldCharType="begin"/>
          </w:r>
          <w:r>
            <w:rPr>
              <w:bCs/>
              <w:color w:val="000000" w:themeColor="text1"/>
              <w:sz w:val="21"/>
              <w:szCs w:val="21"/>
              <w14:textFill>
                <w14:solidFill>
                  <w14:schemeClr w14:val="tx1"/>
                </w14:solidFill>
              </w14:textFill>
            </w:rPr>
            <w:instrText xml:space="preserve"> HYPERLINK \l _Toc5883 </w:instrText>
          </w:r>
          <w:r>
            <w:rPr>
              <w:bCs/>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（二）</w:t>
          </w:r>
          <w:r>
            <w:rPr>
              <w:bCs/>
              <w:color w:val="000000" w:themeColor="text1"/>
              <w:sz w:val="21"/>
              <w:szCs w:val="21"/>
              <w14:textFill>
                <w14:solidFill>
                  <w14:schemeClr w14:val="tx1"/>
                </w14:solidFill>
              </w14:textFill>
            </w:rPr>
            <w:t>综合评价结论</w:t>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PAGEREF _Toc5883 \h </w:instrText>
          </w:r>
          <w:r>
            <w:rPr>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13</w:t>
          </w:r>
          <w:r>
            <w:rPr>
              <w:color w:val="000000" w:themeColor="text1"/>
              <w:sz w:val="21"/>
              <w:szCs w:val="21"/>
              <w14:textFill>
                <w14:solidFill>
                  <w14:schemeClr w14:val="tx1"/>
                </w14:solidFill>
              </w14:textFill>
            </w:rPr>
            <w:fldChar w:fldCharType="end"/>
          </w:r>
          <w:r>
            <w:rPr>
              <w:bCs/>
              <w:color w:val="000000" w:themeColor="text1"/>
              <w:sz w:val="21"/>
              <w:szCs w:val="21"/>
              <w14:textFill>
                <w14:solidFill>
                  <w14:schemeClr w14:val="tx1"/>
                </w14:solidFill>
              </w14:textFill>
            </w:rPr>
            <w:fldChar w:fldCharType="end"/>
          </w:r>
        </w:p>
        <w:p w14:paraId="048017AC">
          <w:pPr>
            <w:pStyle w:val="17"/>
            <w:tabs>
              <w:tab w:val="right" w:leader="dot" w:pos="8306"/>
              <w:tab w:val="clear" w:pos="9356"/>
            </w:tabs>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bCs/>
              <w:color w:val="000000" w:themeColor="text1"/>
              <w:sz w:val="21"/>
              <w:szCs w:val="21"/>
              <w14:textFill>
                <w14:solidFill>
                  <w14:schemeClr w14:val="tx1"/>
                </w14:solidFill>
              </w14:textFill>
            </w:rPr>
            <w:fldChar w:fldCharType="begin"/>
          </w:r>
          <w:r>
            <w:rPr>
              <w:rFonts w:ascii="Times New Roman" w:hAnsi="Times New Roman" w:cs="Times New Roman"/>
              <w:bCs/>
              <w:color w:val="000000" w:themeColor="text1"/>
              <w:sz w:val="21"/>
              <w:szCs w:val="21"/>
              <w14:textFill>
                <w14:solidFill>
                  <w14:schemeClr w14:val="tx1"/>
                </w14:solidFill>
              </w14:textFill>
            </w:rPr>
            <w:instrText xml:space="preserve"> HYPERLINK \l _Toc16045 </w:instrText>
          </w:r>
          <w:r>
            <w:rPr>
              <w:rFonts w:ascii="Times New Roman" w:hAnsi="Times New Roman" w:cs="Times New Roman"/>
              <w:bCs/>
              <w:color w:val="000000" w:themeColor="text1"/>
              <w:sz w:val="21"/>
              <w:szCs w:val="21"/>
              <w14:textFill>
                <w14:solidFill>
                  <w14:schemeClr w14:val="tx1"/>
                </w14:solidFill>
              </w14:textFill>
            </w:rPr>
            <w:fldChar w:fldCharType="separate"/>
          </w:r>
          <w:r>
            <w:rPr>
              <w:rFonts w:ascii="Times New Roman" w:hAnsi="Times New Roman" w:cs="Times New Roman"/>
              <w:bCs/>
              <w:color w:val="000000" w:themeColor="text1"/>
              <w:kern w:val="44"/>
              <w:sz w:val="21"/>
              <w:szCs w:val="21"/>
              <w14:textFill>
                <w14:solidFill>
                  <w14:schemeClr w14:val="tx1"/>
                </w14:solidFill>
              </w14:textFill>
            </w:rPr>
            <w:t>四、绩效评价指标分析</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fldChar w:fldCharType="begin"/>
          </w:r>
          <w:r>
            <w:rPr>
              <w:rFonts w:ascii="Times New Roman" w:hAnsi="Times New Roman" w:cs="Times New Roman"/>
              <w:color w:val="000000" w:themeColor="text1"/>
              <w:sz w:val="21"/>
              <w:szCs w:val="21"/>
              <w14:textFill>
                <w14:solidFill>
                  <w14:schemeClr w14:val="tx1"/>
                </w14:solidFill>
              </w14:textFill>
            </w:rPr>
            <w:instrText xml:space="preserve"> PAGEREF _Toc16045 \h </w:instrText>
          </w:r>
          <w:r>
            <w:rPr>
              <w:rFonts w:ascii="Times New Roman" w:hAnsi="Times New Roman" w:cs="Times New Roman"/>
              <w:color w:val="000000" w:themeColor="text1"/>
              <w:sz w:val="21"/>
              <w:szCs w:val="21"/>
              <w14:textFill>
                <w14:solidFill>
                  <w14:schemeClr w14:val="tx1"/>
                </w14:solidFill>
              </w14:textFill>
            </w:rPr>
            <w:fldChar w:fldCharType="separate"/>
          </w:r>
          <w:r>
            <w:rPr>
              <w:rFonts w:ascii="Times New Roman" w:hAnsi="Times New Roman" w:cs="Times New Roman"/>
              <w:color w:val="000000" w:themeColor="text1"/>
              <w:sz w:val="21"/>
              <w:szCs w:val="21"/>
              <w14:textFill>
                <w14:solidFill>
                  <w14:schemeClr w14:val="tx1"/>
                </w14:solidFill>
              </w14:textFill>
            </w:rPr>
            <w:t>13</w:t>
          </w:r>
          <w:r>
            <w:rPr>
              <w:rFonts w:ascii="Times New Roman" w:hAnsi="Times New Roman" w:cs="Times New Roman"/>
              <w:color w:val="000000" w:themeColor="text1"/>
              <w:sz w:val="21"/>
              <w:szCs w:val="21"/>
              <w14:textFill>
                <w14:solidFill>
                  <w14:schemeClr w14:val="tx1"/>
                </w14:solidFill>
              </w14:textFill>
            </w:rPr>
            <w:fldChar w:fldCharType="end"/>
          </w:r>
          <w:r>
            <w:rPr>
              <w:rFonts w:ascii="Times New Roman" w:hAnsi="Times New Roman" w:cs="Times New Roman"/>
              <w:bCs/>
              <w:color w:val="000000" w:themeColor="text1"/>
              <w:sz w:val="21"/>
              <w:szCs w:val="21"/>
              <w14:textFill>
                <w14:solidFill>
                  <w14:schemeClr w14:val="tx1"/>
                </w14:solidFill>
              </w14:textFill>
            </w:rPr>
            <w:fldChar w:fldCharType="end"/>
          </w:r>
        </w:p>
        <w:p w14:paraId="1F5A50F2">
          <w:pPr>
            <w:pStyle w:val="20"/>
            <w:tabs>
              <w:tab w:val="right" w:leader="dot" w:pos="8306"/>
            </w:tabs>
            <w:rPr>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fldChar w:fldCharType="begin"/>
          </w:r>
          <w:r>
            <w:rPr>
              <w:bCs/>
              <w:color w:val="000000" w:themeColor="text1"/>
              <w:sz w:val="21"/>
              <w:szCs w:val="21"/>
              <w14:textFill>
                <w14:solidFill>
                  <w14:schemeClr w14:val="tx1"/>
                </w14:solidFill>
              </w14:textFill>
            </w:rPr>
            <w:instrText xml:space="preserve"> HYPERLINK \l _Toc32441 </w:instrText>
          </w:r>
          <w:r>
            <w:rPr>
              <w:bCs/>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（一）部门决策情况</w:t>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PAGEREF _Toc32441 \h </w:instrText>
          </w:r>
          <w:r>
            <w:rPr>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13</w:t>
          </w:r>
          <w:r>
            <w:rPr>
              <w:color w:val="000000" w:themeColor="text1"/>
              <w:sz w:val="21"/>
              <w:szCs w:val="21"/>
              <w14:textFill>
                <w14:solidFill>
                  <w14:schemeClr w14:val="tx1"/>
                </w14:solidFill>
              </w14:textFill>
            </w:rPr>
            <w:fldChar w:fldCharType="end"/>
          </w:r>
          <w:r>
            <w:rPr>
              <w:bCs/>
              <w:color w:val="000000" w:themeColor="text1"/>
              <w:sz w:val="21"/>
              <w:szCs w:val="21"/>
              <w14:textFill>
                <w14:solidFill>
                  <w14:schemeClr w14:val="tx1"/>
                </w14:solidFill>
              </w14:textFill>
            </w:rPr>
            <w:fldChar w:fldCharType="end"/>
          </w:r>
        </w:p>
        <w:p w14:paraId="497005AB">
          <w:pPr>
            <w:pStyle w:val="20"/>
            <w:tabs>
              <w:tab w:val="right" w:leader="dot" w:pos="8306"/>
            </w:tabs>
            <w:rPr>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fldChar w:fldCharType="begin"/>
          </w:r>
          <w:r>
            <w:rPr>
              <w:bCs/>
              <w:color w:val="000000" w:themeColor="text1"/>
              <w:sz w:val="21"/>
              <w:szCs w:val="21"/>
              <w14:textFill>
                <w14:solidFill>
                  <w14:schemeClr w14:val="tx1"/>
                </w14:solidFill>
              </w14:textFill>
            </w:rPr>
            <w:instrText xml:space="preserve"> HYPERLINK \l _Toc10525 </w:instrText>
          </w:r>
          <w:r>
            <w:rPr>
              <w:bCs/>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（二）部门管理情况</w:t>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PAGEREF _Toc10525 \h </w:instrText>
          </w:r>
          <w:r>
            <w:rPr>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16</w:t>
          </w:r>
          <w:r>
            <w:rPr>
              <w:color w:val="000000" w:themeColor="text1"/>
              <w:sz w:val="21"/>
              <w:szCs w:val="21"/>
              <w14:textFill>
                <w14:solidFill>
                  <w14:schemeClr w14:val="tx1"/>
                </w14:solidFill>
              </w14:textFill>
            </w:rPr>
            <w:fldChar w:fldCharType="end"/>
          </w:r>
          <w:r>
            <w:rPr>
              <w:bCs/>
              <w:color w:val="000000" w:themeColor="text1"/>
              <w:sz w:val="21"/>
              <w:szCs w:val="21"/>
              <w14:textFill>
                <w14:solidFill>
                  <w14:schemeClr w14:val="tx1"/>
                </w14:solidFill>
              </w14:textFill>
            </w:rPr>
            <w:fldChar w:fldCharType="end"/>
          </w:r>
        </w:p>
        <w:p w14:paraId="56958EAD">
          <w:pPr>
            <w:pStyle w:val="20"/>
            <w:tabs>
              <w:tab w:val="right" w:leader="dot" w:pos="8306"/>
            </w:tabs>
            <w:rPr>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fldChar w:fldCharType="begin"/>
          </w:r>
          <w:r>
            <w:rPr>
              <w:bCs/>
              <w:color w:val="000000" w:themeColor="text1"/>
              <w:sz w:val="21"/>
              <w:szCs w:val="21"/>
              <w14:textFill>
                <w14:solidFill>
                  <w14:schemeClr w14:val="tx1"/>
                </w14:solidFill>
              </w14:textFill>
            </w:rPr>
            <w:instrText xml:space="preserve"> HYPERLINK \l _Toc31374 </w:instrText>
          </w:r>
          <w:r>
            <w:rPr>
              <w:bCs/>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（三）部门绩效情况</w:t>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PAGEREF _Toc31374 \h </w:instrText>
          </w:r>
          <w:r>
            <w:rPr>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18</w:t>
          </w:r>
          <w:r>
            <w:rPr>
              <w:color w:val="000000" w:themeColor="text1"/>
              <w:sz w:val="21"/>
              <w:szCs w:val="21"/>
              <w14:textFill>
                <w14:solidFill>
                  <w14:schemeClr w14:val="tx1"/>
                </w14:solidFill>
              </w14:textFill>
            </w:rPr>
            <w:fldChar w:fldCharType="end"/>
          </w:r>
          <w:r>
            <w:rPr>
              <w:bCs/>
              <w:color w:val="000000" w:themeColor="text1"/>
              <w:sz w:val="21"/>
              <w:szCs w:val="21"/>
              <w14:textFill>
                <w14:solidFill>
                  <w14:schemeClr w14:val="tx1"/>
                </w14:solidFill>
              </w14:textFill>
            </w:rPr>
            <w:fldChar w:fldCharType="end"/>
          </w:r>
        </w:p>
        <w:p w14:paraId="4CFEE14D">
          <w:pPr>
            <w:pStyle w:val="17"/>
            <w:tabs>
              <w:tab w:val="right" w:leader="dot" w:pos="8306"/>
              <w:tab w:val="clear" w:pos="9356"/>
            </w:tabs>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bCs/>
              <w:color w:val="000000" w:themeColor="text1"/>
              <w:sz w:val="21"/>
              <w:szCs w:val="21"/>
              <w14:textFill>
                <w14:solidFill>
                  <w14:schemeClr w14:val="tx1"/>
                </w14:solidFill>
              </w14:textFill>
            </w:rPr>
            <w:fldChar w:fldCharType="begin"/>
          </w:r>
          <w:r>
            <w:rPr>
              <w:rFonts w:ascii="Times New Roman" w:hAnsi="Times New Roman" w:cs="Times New Roman"/>
              <w:bCs/>
              <w:color w:val="000000" w:themeColor="text1"/>
              <w:sz w:val="21"/>
              <w:szCs w:val="21"/>
              <w14:textFill>
                <w14:solidFill>
                  <w14:schemeClr w14:val="tx1"/>
                </w14:solidFill>
              </w14:textFill>
            </w:rPr>
            <w:instrText xml:space="preserve"> HYPERLINK \l _Toc9171 </w:instrText>
          </w:r>
          <w:r>
            <w:rPr>
              <w:rFonts w:ascii="Times New Roman" w:hAnsi="Times New Roman" w:cs="Times New Roman"/>
              <w:bCs/>
              <w:color w:val="000000" w:themeColor="text1"/>
              <w:sz w:val="21"/>
              <w:szCs w:val="21"/>
              <w14:textFill>
                <w14:solidFill>
                  <w14:schemeClr w14:val="tx1"/>
                </w14:solidFill>
              </w14:textFill>
            </w:rPr>
            <w:fldChar w:fldCharType="separate"/>
          </w:r>
          <w:r>
            <w:rPr>
              <w:rFonts w:ascii="Times New Roman" w:hAnsi="Times New Roman" w:cs="Times New Roman"/>
              <w:color w:val="000000" w:themeColor="text1"/>
              <w:kern w:val="44"/>
              <w:sz w:val="21"/>
              <w:szCs w:val="21"/>
              <w14:textFill>
                <w14:solidFill>
                  <w14:schemeClr w14:val="tx1"/>
                </w14:solidFill>
              </w14:textFill>
            </w:rPr>
            <w:t>五、主要经验及做法、存在的问题和建议</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fldChar w:fldCharType="begin"/>
          </w:r>
          <w:r>
            <w:rPr>
              <w:rFonts w:ascii="Times New Roman" w:hAnsi="Times New Roman" w:cs="Times New Roman"/>
              <w:color w:val="000000" w:themeColor="text1"/>
              <w:sz w:val="21"/>
              <w:szCs w:val="21"/>
              <w14:textFill>
                <w14:solidFill>
                  <w14:schemeClr w14:val="tx1"/>
                </w14:solidFill>
              </w14:textFill>
            </w:rPr>
            <w:instrText xml:space="preserve"> PAGEREF _Toc9171 \h </w:instrText>
          </w:r>
          <w:r>
            <w:rPr>
              <w:rFonts w:ascii="Times New Roman" w:hAnsi="Times New Roman" w:cs="Times New Roman"/>
              <w:color w:val="000000" w:themeColor="text1"/>
              <w:sz w:val="21"/>
              <w:szCs w:val="21"/>
              <w14:textFill>
                <w14:solidFill>
                  <w14:schemeClr w14:val="tx1"/>
                </w14:solidFill>
              </w14:textFill>
            </w:rPr>
            <w:fldChar w:fldCharType="separate"/>
          </w:r>
          <w:r>
            <w:rPr>
              <w:rFonts w:ascii="Times New Roman" w:hAnsi="Times New Roman" w:cs="Times New Roman"/>
              <w:color w:val="000000" w:themeColor="text1"/>
              <w:sz w:val="21"/>
              <w:szCs w:val="21"/>
              <w14:textFill>
                <w14:solidFill>
                  <w14:schemeClr w14:val="tx1"/>
                </w14:solidFill>
              </w14:textFill>
            </w:rPr>
            <w:t>21</w:t>
          </w:r>
          <w:r>
            <w:rPr>
              <w:rFonts w:ascii="Times New Roman" w:hAnsi="Times New Roman" w:cs="Times New Roman"/>
              <w:color w:val="000000" w:themeColor="text1"/>
              <w:sz w:val="21"/>
              <w:szCs w:val="21"/>
              <w14:textFill>
                <w14:solidFill>
                  <w14:schemeClr w14:val="tx1"/>
                </w14:solidFill>
              </w14:textFill>
            </w:rPr>
            <w:fldChar w:fldCharType="end"/>
          </w:r>
          <w:r>
            <w:rPr>
              <w:rFonts w:ascii="Times New Roman" w:hAnsi="Times New Roman" w:cs="Times New Roman"/>
              <w:bCs/>
              <w:color w:val="000000" w:themeColor="text1"/>
              <w:sz w:val="21"/>
              <w:szCs w:val="21"/>
              <w14:textFill>
                <w14:solidFill>
                  <w14:schemeClr w14:val="tx1"/>
                </w14:solidFill>
              </w14:textFill>
            </w:rPr>
            <w:fldChar w:fldCharType="end"/>
          </w:r>
        </w:p>
        <w:p w14:paraId="7BA9F742">
          <w:pPr>
            <w:pStyle w:val="20"/>
            <w:tabs>
              <w:tab w:val="right" w:leader="dot" w:pos="8306"/>
            </w:tabs>
            <w:rPr>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fldChar w:fldCharType="begin"/>
          </w:r>
          <w:r>
            <w:rPr>
              <w:bCs/>
              <w:color w:val="000000" w:themeColor="text1"/>
              <w:sz w:val="21"/>
              <w:szCs w:val="21"/>
              <w14:textFill>
                <w14:solidFill>
                  <w14:schemeClr w14:val="tx1"/>
                </w14:solidFill>
              </w14:textFill>
            </w:rPr>
            <w:instrText xml:space="preserve"> HYPERLINK \l _Toc24811 </w:instrText>
          </w:r>
          <w:r>
            <w:rPr>
              <w:bCs/>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（一）主要经验及做法</w:t>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PAGEREF _Toc24811 \h </w:instrText>
          </w:r>
          <w:r>
            <w:rPr>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21</w:t>
          </w:r>
          <w:r>
            <w:rPr>
              <w:color w:val="000000" w:themeColor="text1"/>
              <w:sz w:val="21"/>
              <w:szCs w:val="21"/>
              <w14:textFill>
                <w14:solidFill>
                  <w14:schemeClr w14:val="tx1"/>
                </w14:solidFill>
              </w14:textFill>
            </w:rPr>
            <w:fldChar w:fldCharType="end"/>
          </w:r>
          <w:r>
            <w:rPr>
              <w:bCs/>
              <w:color w:val="000000" w:themeColor="text1"/>
              <w:sz w:val="21"/>
              <w:szCs w:val="21"/>
              <w14:textFill>
                <w14:solidFill>
                  <w14:schemeClr w14:val="tx1"/>
                </w14:solidFill>
              </w14:textFill>
            </w:rPr>
            <w:fldChar w:fldCharType="end"/>
          </w:r>
        </w:p>
        <w:p w14:paraId="607DA412">
          <w:pPr>
            <w:pStyle w:val="20"/>
            <w:tabs>
              <w:tab w:val="right" w:leader="dot" w:pos="8306"/>
            </w:tabs>
            <w:rPr>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fldChar w:fldCharType="begin"/>
          </w:r>
          <w:r>
            <w:rPr>
              <w:bCs/>
              <w:color w:val="000000" w:themeColor="text1"/>
              <w:sz w:val="21"/>
              <w:szCs w:val="21"/>
              <w14:textFill>
                <w14:solidFill>
                  <w14:schemeClr w14:val="tx1"/>
                </w14:solidFill>
              </w14:textFill>
            </w:rPr>
            <w:instrText xml:space="preserve"> HYPERLINK \l _Toc2529 </w:instrText>
          </w:r>
          <w:r>
            <w:rPr>
              <w:bCs/>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（二）主要存在问题及原因分析</w:t>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PAGEREF _Toc2529 \h </w:instrText>
          </w:r>
          <w:r>
            <w:rPr>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21</w:t>
          </w:r>
          <w:r>
            <w:rPr>
              <w:color w:val="000000" w:themeColor="text1"/>
              <w:sz w:val="21"/>
              <w:szCs w:val="21"/>
              <w14:textFill>
                <w14:solidFill>
                  <w14:schemeClr w14:val="tx1"/>
                </w14:solidFill>
              </w14:textFill>
            </w:rPr>
            <w:fldChar w:fldCharType="end"/>
          </w:r>
          <w:r>
            <w:rPr>
              <w:bCs/>
              <w:color w:val="000000" w:themeColor="text1"/>
              <w:sz w:val="21"/>
              <w:szCs w:val="21"/>
              <w14:textFill>
                <w14:solidFill>
                  <w14:schemeClr w14:val="tx1"/>
                </w14:solidFill>
              </w14:textFill>
            </w:rPr>
            <w:fldChar w:fldCharType="end"/>
          </w:r>
        </w:p>
        <w:p w14:paraId="6C255FFF">
          <w:pPr>
            <w:pStyle w:val="20"/>
            <w:tabs>
              <w:tab w:val="right" w:leader="dot" w:pos="8306"/>
            </w:tabs>
            <w:rPr>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fldChar w:fldCharType="begin"/>
          </w:r>
          <w:r>
            <w:rPr>
              <w:bCs/>
              <w:color w:val="000000" w:themeColor="text1"/>
              <w:sz w:val="21"/>
              <w:szCs w:val="21"/>
              <w14:textFill>
                <w14:solidFill>
                  <w14:schemeClr w14:val="tx1"/>
                </w14:solidFill>
              </w14:textFill>
            </w:rPr>
            <w:instrText xml:space="preserve"> HYPERLINK \l _Toc3444 </w:instrText>
          </w:r>
          <w:r>
            <w:rPr>
              <w:bCs/>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（三）改进建议</w:t>
          </w:r>
          <w:r>
            <w:rPr>
              <w:color w:val="000000" w:themeColor="text1"/>
              <w:sz w:val="21"/>
              <w:szCs w:val="21"/>
              <w14:textFill>
                <w14:solidFill>
                  <w14:schemeClr w14:val="tx1"/>
                </w14:solidFill>
              </w14:textFill>
            </w:rPr>
            <w:tab/>
          </w:r>
          <w:r>
            <w:rPr>
              <w:color w:val="000000" w:themeColor="text1"/>
              <w:sz w:val="21"/>
              <w:szCs w:val="21"/>
              <w14:textFill>
                <w14:solidFill>
                  <w14:schemeClr w14:val="tx1"/>
                </w14:solidFill>
              </w14:textFill>
            </w:rPr>
            <w:fldChar w:fldCharType="begin"/>
          </w:r>
          <w:r>
            <w:rPr>
              <w:color w:val="000000" w:themeColor="text1"/>
              <w:sz w:val="21"/>
              <w:szCs w:val="21"/>
              <w14:textFill>
                <w14:solidFill>
                  <w14:schemeClr w14:val="tx1"/>
                </w14:solidFill>
              </w14:textFill>
            </w:rPr>
            <w:instrText xml:space="preserve"> PAGEREF _Toc3444 \h </w:instrText>
          </w:r>
          <w:r>
            <w:rPr>
              <w:color w:val="000000" w:themeColor="text1"/>
              <w:sz w:val="21"/>
              <w:szCs w:val="21"/>
              <w14:textFill>
                <w14:solidFill>
                  <w14:schemeClr w14:val="tx1"/>
                </w14:solidFill>
              </w14:textFill>
            </w:rPr>
            <w:fldChar w:fldCharType="separate"/>
          </w:r>
          <w:r>
            <w:rPr>
              <w:color w:val="000000" w:themeColor="text1"/>
              <w:sz w:val="21"/>
              <w:szCs w:val="21"/>
              <w14:textFill>
                <w14:solidFill>
                  <w14:schemeClr w14:val="tx1"/>
                </w14:solidFill>
              </w14:textFill>
            </w:rPr>
            <w:t>21</w:t>
          </w:r>
          <w:r>
            <w:rPr>
              <w:color w:val="000000" w:themeColor="text1"/>
              <w:sz w:val="21"/>
              <w:szCs w:val="21"/>
              <w14:textFill>
                <w14:solidFill>
                  <w14:schemeClr w14:val="tx1"/>
                </w14:solidFill>
              </w14:textFill>
            </w:rPr>
            <w:fldChar w:fldCharType="end"/>
          </w:r>
          <w:r>
            <w:rPr>
              <w:bCs/>
              <w:color w:val="000000" w:themeColor="text1"/>
              <w:sz w:val="21"/>
              <w:szCs w:val="21"/>
              <w14:textFill>
                <w14:solidFill>
                  <w14:schemeClr w14:val="tx1"/>
                </w14:solidFill>
              </w14:textFill>
            </w:rPr>
            <w:fldChar w:fldCharType="end"/>
          </w:r>
        </w:p>
        <w:p w14:paraId="64BBABF7">
          <w:pPr>
            <w:pStyle w:val="17"/>
            <w:tabs>
              <w:tab w:val="right" w:leader="dot" w:pos="8306"/>
              <w:tab w:val="clear" w:pos="9356"/>
            </w:tabs>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bCs/>
              <w:color w:val="000000" w:themeColor="text1"/>
              <w:sz w:val="21"/>
              <w:szCs w:val="21"/>
              <w14:textFill>
                <w14:solidFill>
                  <w14:schemeClr w14:val="tx1"/>
                </w14:solidFill>
              </w14:textFill>
            </w:rPr>
            <w:fldChar w:fldCharType="begin"/>
          </w:r>
          <w:r>
            <w:rPr>
              <w:rFonts w:ascii="Times New Roman" w:hAnsi="Times New Roman" w:cs="Times New Roman"/>
              <w:bCs/>
              <w:color w:val="000000" w:themeColor="text1"/>
              <w:sz w:val="21"/>
              <w:szCs w:val="21"/>
              <w14:textFill>
                <w14:solidFill>
                  <w14:schemeClr w14:val="tx1"/>
                </w14:solidFill>
              </w14:textFill>
            </w:rPr>
            <w:instrText xml:space="preserve"> HYPERLINK \l _Toc27080 </w:instrText>
          </w:r>
          <w:r>
            <w:rPr>
              <w:rFonts w:ascii="Times New Roman" w:hAnsi="Times New Roman" w:cs="Times New Roman"/>
              <w:bCs/>
              <w:color w:val="000000" w:themeColor="text1"/>
              <w:sz w:val="21"/>
              <w:szCs w:val="21"/>
              <w14:textFill>
                <w14:solidFill>
                  <w14:schemeClr w14:val="tx1"/>
                </w14:solidFill>
              </w14:textFill>
            </w:rPr>
            <w:fldChar w:fldCharType="separate"/>
          </w:r>
          <w:r>
            <w:rPr>
              <w:rFonts w:hint="default" w:ascii="Times New Roman" w:hAnsi="Times New Roman" w:eastAsia="宋体" w:cs="Times New Roman"/>
              <w:color w:val="000000" w:themeColor="text1"/>
              <w:kern w:val="44"/>
              <w:sz w:val="21"/>
              <w:szCs w:val="21"/>
              <w:lang w:val="en-US" w:eastAsia="zh-CN"/>
              <w14:textFill>
                <w14:solidFill>
                  <w14:schemeClr w14:val="tx1"/>
                </w14:solidFill>
              </w14:textFill>
            </w:rPr>
            <w:t>六、</w:t>
          </w:r>
          <w:r>
            <w:rPr>
              <w:rFonts w:ascii="Times New Roman" w:hAnsi="Times New Roman" w:eastAsia="宋体" w:cs="Times New Roman"/>
              <w:color w:val="000000" w:themeColor="text1"/>
              <w:kern w:val="44"/>
              <w:sz w:val="21"/>
              <w:szCs w:val="21"/>
              <w14:textFill>
                <w14:solidFill>
                  <w14:schemeClr w14:val="tx1"/>
                </w14:solidFill>
              </w14:textFill>
            </w:rPr>
            <w:t>绩效评价结果应用建议</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fldChar w:fldCharType="begin"/>
          </w:r>
          <w:r>
            <w:rPr>
              <w:rFonts w:ascii="Times New Roman" w:hAnsi="Times New Roman" w:cs="Times New Roman"/>
              <w:color w:val="000000" w:themeColor="text1"/>
              <w:sz w:val="21"/>
              <w:szCs w:val="21"/>
              <w14:textFill>
                <w14:solidFill>
                  <w14:schemeClr w14:val="tx1"/>
                </w14:solidFill>
              </w14:textFill>
            </w:rPr>
            <w:instrText xml:space="preserve"> PAGEREF _Toc27080 \h </w:instrText>
          </w:r>
          <w:r>
            <w:rPr>
              <w:rFonts w:ascii="Times New Roman" w:hAnsi="Times New Roman" w:cs="Times New Roman"/>
              <w:color w:val="000000" w:themeColor="text1"/>
              <w:sz w:val="21"/>
              <w:szCs w:val="21"/>
              <w14:textFill>
                <w14:solidFill>
                  <w14:schemeClr w14:val="tx1"/>
                </w14:solidFill>
              </w14:textFill>
            </w:rPr>
            <w:fldChar w:fldCharType="separate"/>
          </w:r>
          <w:r>
            <w:rPr>
              <w:rFonts w:ascii="Times New Roman" w:hAnsi="Times New Roman" w:cs="Times New Roman"/>
              <w:color w:val="000000" w:themeColor="text1"/>
              <w:sz w:val="21"/>
              <w:szCs w:val="21"/>
              <w14:textFill>
                <w14:solidFill>
                  <w14:schemeClr w14:val="tx1"/>
                </w14:solidFill>
              </w14:textFill>
            </w:rPr>
            <w:t>22</w:t>
          </w:r>
          <w:r>
            <w:rPr>
              <w:rFonts w:ascii="Times New Roman" w:hAnsi="Times New Roman" w:cs="Times New Roman"/>
              <w:color w:val="000000" w:themeColor="text1"/>
              <w:sz w:val="21"/>
              <w:szCs w:val="21"/>
              <w14:textFill>
                <w14:solidFill>
                  <w14:schemeClr w14:val="tx1"/>
                </w14:solidFill>
              </w14:textFill>
            </w:rPr>
            <w:fldChar w:fldCharType="end"/>
          </w:r>
          <w:r>
            <w:rPr>
              <w:rFonts w:ascii="Times New Roman" w:hAnsi="Times New Roman" w:cs="Times New Roman"/>
              <w:bCs/>
              <w:color w:val="000000" w:themeColor="text1"/>
              <w:sz w:val="21"/>
              <w:szCs w:val="21"/>
              <w14:textFill>
                <w14:solidFill>
                  <w14:schemeClr w14:val="tx1"/>
                </w14:solidFill>
              </w14:textFill>
            </w:rPr>
            <w:fldChar w:fldCharType="end"/>
          </w:r>
        </w:p>
        <w:p w14:paraId="07C581F9">
          <w:pPr>
            <w:pStyle w:val="17"/>
            <w:tabs>
              <w:tab w:val="right" w:leader="dot" w:pos="8306"/>
              <w:tab w:val="clear" w:pos="9356"/>
            </w:tabs>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bCs/>
              <w:color w:val="000000" w:themeColor="text1"/>
              <w:sz w:val="21"/>
              <w:szCs w:val="21"/>
              <w14:textFill>
                <w14:solidFill>
                  <w14:schemeClr w14:val="tx1"/>
                </w14:solidFill>
              </w14:textFill>
            </w:rPr>
            <w:fldChar w:fldCharType="begin"/>
          </w:r>
          <w:r>
            <w:rPr>
              <w:rFonts w:ascii="Times New Roman" w:hAnsi="Times New Roman" w:cs="Times New Roman"/>
              <w:bCs/>
              <w:color w:val="000000" w:themeColor="text1"/>
              <w:sz w:val="21"/>
              <w:szCs w:val="21"/>
              <w14:textFill>
                <w14:solidFill>
                  <w14:schemeClr w14:val="tx1"/>
                </w14:solidFill>
              </w14:textFill>
            </w:rPr>
            <w:instrText xml:space="preserve"> HYPERLINK \l _Toc14419 </w:instrText>
          </w:r>
          <w:r>
            <w:rPr>
              <w:rFonts w:ascii="Times New Roman" w:hAnsi="Times New Roman" w:cs="Times New Roman"/>
              <w:bCs/>
              <w:color w:val="000000" w:themeColor="text1"/>
              <w:sz w:val="21"/>
              <w:szCs w:val="21"/>
              <w14:textFill>
                <w14:solidFill>
                  <w14:schemeClr w14:val="tx1"/>
                </w14:solidFill>
              </w14:textFill>
            </w:rPr>
            <w:fldChar w:fldCharType="separate"/>
          </w:r>
          <w:r>
            <w:rPr>
              <w:rFonts w:hint="default" w:ascii="Times New Roman" w:hAnsi="Times New Roman" w:cs="Times New Roman"/>
              <w:color w:val="000000" w:themeColor="text1"/>
              <w:kern w:val="44"/>
              <w:sz w:val="21"/>
              <w:szCs w:val="21"/>
              <w:lang w:val="en-US" w:eastAsia="zh-CN"/>
              <w14:textFill>
                <w14:solidFill>
                  <w14:schemeClr w14:val="tx1"/>
                </w14:solidFill>
              </w14:textFill>
            </w:rPr>
            <w:t>七</w:t>
          </w:r>
          <w:r>
            <w:rPr>
              <w:rFonts w:ascii="Times New Roman" w:hAnsi="Times New Roman" w:cs="Times New Roman"/>
              <w:color w:val="000000" w:themeColor="text1"/>
              <w:kern w:val="44"/>
              <w:sz w:val="21"/>
              <w:szCs w:val="21"/>
              <w14:textFill>
                <w14:solidFill>
                  <w14:schemeClr w14:val="tx1"/>
                </w14:solidFill>
              </w14:textFill>
            </w:rPr>
            <w:t>、其他需要</w:t>
          </w:r>
          <w:r>
            <w:rPr>
              <w:rFonts w:ascii="Times New Roman" w:hAnsi="Times New Roman" w:eastAsia="宋体" w:cs="Times New Roman"/>
              <w:color w:val="000000" w:themeColor="text1"/>
              <w:kern w:val="44"/>
              <w:sz w:val="21"/>
              <w:szCs w:val="21"/>
              <w14:textFill>
                <w14:solidFill>
                  <w14:schemeClr w14:val="tx1"/>
                </w14:solidFill>
              </w14:textFill>
            </w:rPr>
            <w:t>说明</w:t>
          </w:r>
          <w:r>
            <w:rPr>
              <w:rFonts w:ascii="Times New Roman" w:hAnsi="Times New Roman" w:cs="Times New Roman"/>
              <w:color w:val="000000" w:themeColor="text1"/>
              <w:kern w:val="44"/>
              <w:sz w:val="21"/>
              <w:szCs w:val="21"/>
              <w14:textFill>
                <w14:solidFill>
                  <w14:schemeClr w14:val="tx1"/>
                </w14:solidFill>
              </w14:textFill>
            </w:rPr>
            <w:t>的问题</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fldChar w:fldCharType="begin"/>
          </w:r>
          <w:r>
            <w:rPr>
              <w:rFonts w:ascii="Times New Roman" w:hAnsi="Times New Roman" w:cs="Times New Roman"/>
              <w:color w:val="000000" w:themeColor="text1"/>
              <w:sz w:val="21"/>
              <w:szCs w:val="21"/>
              <w14:textFill>
                <w14:solidFill>
                  <w14:schemeClr w14:val="tx1"/>
                </w14:solidFill>
              </w14:textFill>
            </w:rPr>
            <w:instrText xml:space="preserve"> PAGEREF _Toc14419 \h </w:instrText>
          </w:r>
          <w:r>
            <w:rPr>
              <w:rFonts w:ascii="Times New Roman" w:hAnsi="Times New Roman" w:cs="Times New Roman"/>
              <w:color w:val="000000" w:themeColor="text1"/>
              <w:sz w:val="21"/>
              <w:szCs w:val="21"/>
              <w14:textFill>
                <w14:solidFill>
                  <w14:schemeClr w14:val="tx1"/>
                </w14:solidFill>
              </w14:textFill>
            </w:rPr>
            <w:fldChar w:fldCharType="separate"/>
          </w:r>
          <w:r>
            <w:rPr>
              <w:rFonts w:ascii="Times New Roman" w:hAnsi="Times New Roman" w:cs="Times New Roman"/>
              <w:color w:val="000000" w:themeColor="text1"/>
              <w:sz w:val="21"/>
              <w:szCs w:val="21"/>
              <w14:textFill>
                <w14:solidFill>
                  <w14:schemeClr w14:val="tx1"/>
                </w14:solidFill>
              </w14:textFill>
            </w:rPr>
            <w:t>23</w:t>
          </w:r>
          <w:r>
            <w:rPr>
              <w:rFonts w:ascii="Times New Roman" w:hAnsi="Times New Roman" w:cs="Times New Roman"/>
              <w:color w:val="000000" w:themeColor="text1"/>
              <w:sz w:val="21"/>
              <w:szCs w:val="21"/>
              <w14:textFill>
                <w14:solidFill>
                  <w14:schemeClr w14:val="tx1"/>
                </w14:solidFill>
              </w14:textFill>
            </w:rPr>
            <w:fldChar w:fldCharType="end"/>
          </w:r>
          <w:r>
            <w:rPr>
              <w:rFonts w:ascii="Times New Roman" w:hAnsi="Times New Roman" w:cs="Times New Roman"/>
              <w:bCs/>
              <w:color w:val="000000" w:themeColor="text1"/>
              <w:sz w:val="21"/>
              <w:szCs w:val="21"/>
              <w14:textFill>
                <w14:solidFill>
                  <w14:schemeClr w14:val="tx1"/>
                </w14:solidFill>
              </w14:textFill>
            </w:rPr>
            <w:fldChar w:fldCharType="end"/>
          </w:r>
        </w:p>
        <w:p w14:paraId="4087962B">
          <w:pPr>
            <w:pStyle w:val="17"/>
            <w:tabs>
              <w:tab w:val="right" w:leader="dot" w:pos="8306"/>
              <w:tab w:val="clear" w:pos="9356"/>
            </w:tabs>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bCs/>
              <w:color w:val="000000" w:themeColor="text1"/>
              <w:sz w:val="21"/>
              <w:szCs w:val="21"/>
              <w14:textFill>
                <w14:solidFill>
                  <w14:schemeClr w14:val="tx1"/>
                </w14:solidFill>
              </w14:textFill>
            </w:rPr>
            <w:fldChar w:fldCharType="begin"/>
          </w:r>
          <w:r>
            <w:rPr>
              <w:rFonts w:ascii="Times New Roman" w:hAnsi="Times New Roman" w:cs="Times New Roman"/>
              <w:bCs/>
              <w:color w:val="000000" w:themeColor="text1"/>
              <w:sz w:val="21"/>
              <w:szCs w:val="21"/>
              <w14:textFill>
                <w14:solidFill>
                  <w14:schemeClr w14:val="tx1"/>
                </w14:solidFill>
              </w14:textFill>
            </w:rPr>
            <w:instrText xml:space="preserve"> HYPERLINK \l _Toc6163 </w:instrText>
          </w:r>
          <w:r>
            <w:rPr>
              <w:rFonts w:ascii="Times New Roman" w:hAnsi="Times New Roman" w:cs="Times New Roman"/>
              <w:bCs/>
              <w:color w:val="000000" w:themeColor="text1"/>
              <w:sz w:val="21"/>
              <w:szCs w:val="21"/>
              <w14:textFill>
                <w14:solidFill>
                  <w14:schemeClr w14:val="tx1"/>
                </w14:solidFill>
              </w14:textFill>
            </w:rPr>
            <w:fldChar w:fldCharType="separate"/>
          </w:r>
          <w:r>
            <w:rPr>
              <w:rFonts w:ascii="Times New Roman" w:hAnsi="Times New Roman" w:cs="Times New Roman"/>
              <w:bCs/>
              <w:color w:val="000000" w:themeColor="text1"/>
              <w:kern w:val="44"/>
              <w:sz w:val="21"/>
              <w:szCs w:val="21"/>
              <w14:textFill>
                <w14:solidFill>
                  <w14:schemeClr w14:val="tx1"/>
                </w14:solidFill>
              </w14:textFill>
            </w:rPr>
            <w:t>附件1：绩效评价指标体系及综合评价表</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fldChar w:fldCharType="begin"/>
          </w:r>
          <w:r>
            <w:rPr>
              <w:rFonts w:ascii="Times New Roman" w:hAnsi="Times New Roman" w:cs="Times New Roman"/>
              <w:color w:val="000000" w:themeColor="text1"/>
              <w:sz w:val="21"/>
              <w:szCs w:val="21"/>
              <w14:textFill>
                <w14:solidFill>
                  <w14:schemeClr w14:val="tx1"/>
                </w14:solidFill>
              </w14:textFill>
            </w:rPr>
            <w:instrText xml:space="preserve"> PAGEREF _Toc6163 \h </w:instrText>
          </w:r>
          <w:r>
            <w:rPr>
              <w:rFonts w:ascii="Times New Roman" w:hAnsi="Times New Roman" w:cs="Times New Roman"/>
              <w:color w:val="000000" w:themeColor="text1"/>
              <w:sz w:val="21"/>
              <w:szCs w:val="21"/>
              <w14:textFill>
                <w14:solidFill>
                  <w14:schemeClr w14:val="tx1"/>
                </w14:solidFill>
              </w14:textFill>
            </w:rPr>
            <w:fldChar w:fldCharType="separate"/>
          </w:r>
          <w:r>
            <w:rPr>
              <w:rFonts w:ascii="Times New Roman" w:hAnsi="Times New Roman" w:cs="Times New Roman"/>
              <w:color w:val="000000" w:themeColor="text1"/>
              <w:sz w:val="21"/>
              <w:szCs w:val="21"/>
              <w14:textFill>
                <w14:solidFill>
                  <w14:schemeClr w14:val="tx1"/>
                </w14:solidFill>
              </w14:textFill>
            </w:rPr>
            <w:t>24</w:t>
          </w:r>
          <w:r>
            <w:rPr>
              <w:rFonts w:ascii="Times New Roman" w:hAnsi="Times New Roman" w:cs="Times New Roman"/>
              <w:color w:val="000000" w:themeColor="text1"/>
              <w:sz w:val="21"/>
              <w:szCs w:val="21"/>
              <w14:textFill>
                <w14:solidFill>
                  <w14:schemeClr w14:val="tx1"/>
                </w14:solidFill>
              </w14:textFill>
            </w:rPr>
            <w:fldChar w:fldCharType="end"/>
          </w:r>
          <w:r>
            <w:rPr>
              <w:rFonts w:ascii="Times New Roman" w:hAnsi="Times New Roman" w:cs="Times New Roman"/>
              <w:bCs/>
              <w:color w:val="000000" w:themeColor="text1"/>
              <w:sz w:val="21"/>
              <w:szCs w:val="21"/>
              <w14:textFill>
                <w14:solidFill>
                  <w14:schemeClr w14:val="tx1"/>
                </w14:solidFill>
              </w14:textFill>
            </w:rPr>
            <w:fldChar w:fldCharType="end"/>
          </w:r>
        </w:p>
        <w:p w14:paraId="109C7BE3">
          <w:pPr>
            <w:pStyle w:val="17"/>
            <w:tabs>
              <w:tab w:val="right" w:leader="dot" w:pos="8306"/>
              <w:tab w:val="clear" w:pos="9356"/>
            </w:tabs>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bCs/>
              <w:color w:val="000000" w:themeColor="text1"/>
              <w:sz w:val="21"/>
              <w:szCs w:val="21"/>
              <w14:textFill>
                <w14:solidFill>
                  <w14:schemeClr w14:val="tx1"/>
                </w14:solidFill>
              </w14:textFill>
            </w:rPr>
            <w:fldChar w:fldCharType="begin"/>
          </w:r>
          <w:r>
            <w:rPr>
              <w:rFonts w:ascii="Times New Roman" w:hAnsi="Times New Roman" w:cs="Times New Roman"/>
              <w:bCs/>
              <w:color w:val="000000" w:themeColor="text1"/>
              <w:sz w:val="21"/>
              <w:szCs w:val="21"/>
              <w14:textFill>
                <w14:solidFill>
                  <w14:schemeClr w14:val="tx1"/>
                </w14:solidFill>
              </w14:textFill>
            </w:rPr>
            <w:instrText xml:space="preserve"> HYPERLINK \l _Toc29915 </w:instrText>
          </w:r>
          <w:r>
            <w:rPr>
              <w:rFonts w:ascii="Times New Roman" w:hAnsi="Times New Roman" w:cs="Times New Roman"/>
              <w:bCs/>
              <w:color w:val="000000" w:themeColor="text1"/>
              <w:sz w:val="21"/>
              <w:szCs w:val="21"/>
              <w14:textFill>
                <w14:solidFill>
                  <w14:schemeClr w14:val="tx1"/>
                </w14:solidFill>
              </w14:textFill>
            </w:rPr>
            <w:fldChar w:fldCharType="separate"/>
          </w:r>
          <w:r>
            <w:rPr>
              <w:rFonts w:ascii="Times New Roman" w:hAnsi="Times New Roman" w:cs="Times New Roman"/>
              <w:bCs/>
              <w:color w:val="000000" w:themeColor="text1"/>
              <w:kern w:val="44"/>
              <w:sz w:val="21"/>
              <w:szCs w:val="21"/>
              <w14:textFill>
                <w14:solidFill>
                  <w14:schemeClr w14:val="tx1"/>
                </w14:solidFill>
              </w14:textFill>
            </w:rPr>
            <w:t>附件2：问卷调查分析报告—</w:t>
          </w:r>
          <w:r>
            <w:rPr>
              <w:rFonts w:hint="default" w:ascii="Times New Roman" w:hAnsi="Times New Roman" w:cs="Times New Roman"/>
              <w:bCs/>
              <w:color w:val="000000" w:themeColor="text1"/>
              <w:kern w:val="44"/>
              <w:sz w:val="21"/>
              <w:szCs w:val="21"/>
              <w:lang w:val="en-US" w:eastAsia="zh-CN"/>
              <w14:textFill>
                <w14:solidFill>
                  <w14:schemeClr w14:val="tx1"/>
                </w14:solidFill>
              </w14:textFill>
            </w:rPr>
            <w:t>统计工作人员</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fldChar w:fldCharType="begin"/>
          </w:r>
          <w:r>
            <w:rPr>
              <w:rFonts w:ascii="Times New Roman" w:hAnsi="Times New Roman" w:cs="Times New Roman"/>
              <w:color w:val="000000" w:themeColor="text1"/>
              <w:sz w:val="21"/>
              <w:szCs w:val="21"/>
              <w14:textFill>
                <w14:solidFill>
                  <w14:schemeClr w14:val="tx1"/>
                </w14:solidFill>
              </w14:textFill>
            </w:rPr>
            <w:instrText xml:space="preserve"> PAGEREF _Toc29915 \h </w:instrText>
          </w:r>
          <w:r>
            <w:rPr>
              <w:rFonts w:ascii="Times New Roman" w:hAnsi="Times New Roman" w:cs="Times New Roman"/>
              <w:color w:val="000000" w:themeColor="text1"/>
              <w:sz w:val="21"/>
              <w:szCs w:val="21"/>
              <w14:textFill>
                <w14:solidFill>
                  <w14:schemeClr w14:val="tx1"/>
                </w14:solidFill>
              </w14:textFill>
            </w:rPr>
            <w:fldChar w:fldCharType="separate"/>
          </w:r>
          <w:r>
            <w:rPr>
              <w:rFonts w:ascii="Times New Roman" w:hAnsi="Times New Roman" w:cs="Times New Roman"/>
              <w:color w:val="000000" w:themeColor="text1"/>
              <w:sz w:val="21"/>
              <w:szCs w:val="21"/>
              <w14:textFill>
                <w14:solidFill>
                  <w14:schemeClr w14:val="tx1"/>
                </w14:solidFill>
              </w14:textFill>
            </w:rPr>
            <w:t>29</w:t>
          </w:r>
          <w:r>
            <w:rPr>
              <w:rFonts w:ascii="Times New Roman" w:hAnsi="Times New Roman" w:cs="Times New Roman"/>
              <w:color w:val="000000" w:themeColor="text1"/>
              <w:sz w:val="21"/>
              <w:szCs w:val="21"/>
              <w14:textFill>
                <w14:solidFill>
                  <w14:schemeClr w14:val="tx1"/>
                </w14:solidFill>
              </w14:textFill>
            </w:rPr>
            <w:fldChar w:fldCharType="end"/>
          </w:r>
          <w:r>
            <w:rPr>
              <w:rFonts w:ascii="Times New Roman" w:hAnsi="Times New Roman" w:cs="Times New Roman"/>
              <w:bCs/>
              <w:color w:val="000000" w:themeColor="text1"/>
              <w:sz w:val="21"/>
              <w:szCs w:val="21"/>
              <w14:textFill>
                <w14:solidFill>
                  <w14:schemeClr w14:val="tx1"/>
                </w14:solidFill>
              </w14:textFill>
            </w:rPr>
            <w:fldChar w:fldCharType="end"/>
          </w:r>
        </w:p>
        <w:p w14:paraId="160F1CC6">
          <w:pPr>
            <w:pStyle w:val="17"/>
            <w:tabs>
              <w:tab w:val="right" w:leader="dot" w:pos="8306"/>
              <w:tab w:val="clear" w:pos="9356"/>
            </w:tabs>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bCs/>
              <w:color w:val="000000" w:themeColor="text1"/>
              <w:sz w:val="21"/>
              <w:szCs w:val="21"/>
              <w14:textFill>
                <w14:solidFill>
                  <w14:schemeClr w14:val="tx1"/>
                </w14:solidFill>
              </w14:textFill>
            </w:rPr>
            <w:fldChar w:fldCharType="begin"/>
          </w:r>
          <w:r>
            <w:rPr>
              <w:rFonts w:ascii="Times New Roman" w:hAnsi="Times New Roman" w:cs="Times New Roman"/>
              <w:bCs/>
              <w:color w:val="000000" w:themeColor="text1"/>
              <w:sz w:val="21"/>
              <w:szCs w:val="21"/>
              <w14:textFill>
                <w14:solidFill>
                  <w14:schemeClr w14:val="tx1"/>
                </w14:solidFill>
              </w14:textFill>
            </w:rPr>
            <w:instrText xml:space="preserve"> HYPERLINK \l _Toc4052 </w:instrText>
          </w:r>
          <w:r>
            <w:rPr>
              <w:rFonts w:ascii="Times New Roman" w:hAnsi="Times New Roman" w:cs="Times New Roman"/>
              <w:bCs/>
              <w:color w:val="000000" w:themeColor="text1"/>
              <w:sz w:val="21"/>
              <w:szCs w:val="21"/>
              <w14:textFill>
                <w14:solidFill>
                  <w14:schemeClr w14:val="tx1"/>
                </w14:solidFill>
              </w14:textFill>
            </w:rPr>
            <w:fldChar w:fldCharType="separate"/>
          </w:r>
          <w:r>
            <w:rPr>
              <w:rFonts w:ascii="Times New Roman" w:hAnsi="Times New Roman" w:cs="Times New Roman"/>
              <w:bCs/>
              <w:color w:val="000000" w:themeColor="text1"/>
              <w:kern w:val="44"/>
              <w:sz w:val="21"/>
              <w:szCs w:val="21"/>
              <w14:textFill>
                <w14:solidFill>
                  <w14:schemeClr w14:val="tx1"/>
                </w14:solidFill>
              </w14:textFill>
            </w:rPr>
            <w:t>附件3：问卷调查分析报告—</w:t>
          </w:r>
          <w:r>
            <w:rPr>
              <w:rFonts w:hint="default" w:ascii="Times New Roman" w:hAnsi="Times New Roman" w:cs="Times New Roman"/>
              <w:bCs/>
              <w:color w:val="000000" w:themeColor="text1"/>
              <w:kern w:val="44"/>
              <w:sz w:val="21"/>
              <w:szCs w:val="21"/>
              <w:lang w:val="en-US" w:eastAsia="zh-CN"/>
              <w14:textFill>
                <w14:solidFill>
                  <w14:schemeClr w14:val="tx1"/>
                </w14:solidFill>
              </w14:textFill>
            </w:rPr>
            <w:t>纳统</w:t>
          </w:r>
          <w:r>
            <w:rPr>
              <w:rFonts w:ascii="Times New Roman" w:hAnsi="Times New Roman" w:cs="Times New Roman"/>
              <w:bCs/>
              <w:color w:val="000000" w:themeColor="text1"/>
              <w:kern w:val="44"/>
              <w:sz w:val="21"/>
              <w:szCs w:val="21"/>
              <w14:textFill>
                <w14:solidFill>
                  <w14:schemeClr w14:val="tx1"/>
                </w14:solidFill>
              </w14:textFill>
            </w:rPr>
            <w:t>企业</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fldChar w:fldCharType="begin"/>
          </w:r>
          <w:r>
            <w:rPr>
              <w:rFonts w:ascii="Times New Roman" w:hAnsi="Times New Roman" w:cs="Times New Roman"/>
              <w:color w:val="000000" w:themeColor="text1"/>
              <w:sz w:val="21"/>
              <w:szCs w:val="21"/>
              <w14:textFill>
                <w14:solidFill>
                  <w14:schemeClr w14:val="tx1"/>
                </w14:solidFill>
              </w14:textFill>
            </w:rPr>
            <w:instrText xml:space="preserve"> PAGEREF _Toc4052 \h </w:instrText>
          </w:r>
          <w:r>
            <w:rPr>
              <w:rFonts w:ascii="Times New Roman" w:hAnsi="Times New Roman" w:cs="Times New Roman"/>
              <w:color w:val="000000" w:themeColor="text1"/>
              <w:sz w:val="21"/>
              <w:szCs w:val="21"/>
              <w14:textFill>
                <w14:solidFill>
                  <w14:schemeClr w14:val="tx1"/>
                </w14:solidFill>
              </w14:textFill>
            </w:rPr>
            <w:fldChar w:fldCharType="separate"/>
          </w:r>
          <w:r>
            <w:rPr>
              <w:rFonts w:ascii="Times New Roman" w:hAnsi="Times New Roman" w:cs="Times New Roman"/>
              <w:color w:val="000000" w:themeColor="text1"/>
              <w:sz w:val="21"/>
              <w:szCs w:val="21"/>
              <w14:textFill>
                <w14:solidFill>
                  <w14:schemeClr w14:val="tx1"/>
                </w14:solidFill>
              </w14:textFill>
            </w:rPr>
            <w:t>33</w:t>
          </w:r>
          <w:r>
            <w:rPr>
              <w:rFonts w:ascii="Times New Roman" w:hAnsi="Times New Roman" w:cs="Times New Roman"/>
              <w:color w:val="000000" w:themeColor="text1"/>
              <w:sz w:val="21"/>
              <w:szCs w:val="21"/>
              <w14:textFill>
                <w14:solidFill>
                  <w14:schemeClr w14:val="tx1"/>
                </w14:solidFill>
              </w14:textFill>
            </w:rPr>
            <w:fldChar w:fldCharType="end"/>
          </w:r>
          <w:r>
            <w:rPr>
              <w:rFonts w:ascii="Times New Roman" w:hAnsi="Times New Roman" w:cs="Times New Roman"/>
              <w:bCs/>
              <w:color w:val="000000" w:themeColor="text1"/>
              <w:sz w:val="21"/>
              <w:szCs w:val="21"/>
              <w14:textFill>
                <w14:solidFill>
                  <w14:schemeClr w14:val="tx1"/>
                </w14:solidFill>
              </w14:textFill>
            </w:rPr>
            <w:fldChar w:fldCharType="end"/>
          </w:r>
        </w:p>
        <w:p w14:paraId="14081700">
          <w:pPr>
            <w:pStyle w:val="17"/>
            <w:tabs>
              <w:tab w:val="right" w:leader="dot" w:pos="8306"/>
              <w:tab w:val="clear" w:pos="9356"/>
            </w:tabs>
            <w:rPr>
              <w:color w:val="000000" w:themeColor="text1"/>
              <w:sz w:val="21"/>
              <w:szCs w:val="21"/>
              <w14:textFill>
                <w14:solidFill>
                  <w14:schemeClr w14:val="tx1"/>
                </w14:solidFill>
              </w14:textFill>
            </w:rPr>
          </w:pPr>
          <w:r>
            <w:rPr>
              <w:rFonts w:ascii="Times New Roman" w:hAnsi="Times New Roman" w:cs="Times New Roman"/>
              <w:bCs/>
              <w:color w:val="000000" w:themeColor="text1"/>
              <w:sz w:val="21"/>
              <w:szCs w:val="21"/>
              <w14:textFill>
                <w14:solidFill>
                  <w14:schemeClr w14:val="tx1"/>
                </w14:solidFill>
              </w14:textFill>
            </w:rPr>
            <w:fldChar w:fldCharType="begin"/>
          </w:r>
          <w:r>
            <w:rPr>
              <w:rFonts w:ascii="Times New Roman" w:hAnsi="Times New Roman" w:cs="Times New Roman"/>
              <w:bCs/>
              <w:color w:val="000000" w:themeColor="text1"/>
              <w:sz w:val="21"/>
              <w:szCs w:val="21"/>
              <w14:textFill>
                <w14:solidFill>
                  <w14:schemeClr w14:val="tx1"/>
                </w14:solidFill>
              </w14:textFill>
            </w:rPr>
            <w:instrText xml:space="preserve"> HYPERLINK \l _Toc31402 </w:instrText>
          </w:r>
          <w:r>
            <w:rPr>
              <w:rFonts w:ascii="Times New Roman" w:hAnsi="Times New Roman" w:cs="Times New Roman"/>
              <w:bCs/>
              <w:color w:val="000000" w:themeColor="text1"/>
              <w:sz w:val="21"/>
              <w:szCs w:val="21"/>
              <w14:textFill>
                <w14:solidFill>
                  <w14:schemeClr w14:val="tx1"/>
                </w14:solidFill>
              </w14:textFill>
            </w:rPr>
            <w:fldChar w:fldCharType="separate"/>
          </w:r>
          <w:r>
            <w:rPr>
              <w:rFonts w:ascii="Times New Roman" w:hAnsi="Times New Roman" w:cs="Times New Roman"/>
              <w:bCs/>
              <w:color w:val="000000" w:themeColor="text1"/>
              <w:kern w:val="44"/>
              <w:sz w:val="21"/>
              <w:szCs w:val="21"/>
              <w14:textFill>
                <w14:solidFill>
                  <w14:schemeClr w14:val="tx1"/>
                </w14:solidFill>
              </w14:textFill>
            </w:rPr>
            <w:t>附件4：绩效评价报告意见反馈结果</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fldChar w:fldCharType="begin"/>
          </w:r>
          <w:r>
            <w:rPr>
              <w:rFonts w:ascii="Times New Roman" w:hAnsi="Times New Roman" w:cs="Times New Roman"/>
              <w:color w:val="000000" w:themeColor="text1"/>
              <w:sz w:val="21"/>
              <w:szCs w:val="21"/>
              <w14:textFill>
                <w14:solidFill>
                  <w14:schemeClr w14:val="tx1"/>
                </w14:solidFill>
              </w14:textFill>
            </w:rPr>
            <w:instrText xml:space="preserve"> PAGEREF _Toc31402 \h </w:instrText>
          </w:r>
          <w:r>
            <w:rPr>
              <w:rFonts w:ascii="Times New Roman" w:hAnsi="Times New Roman" w:cs="Times New Roman"/>
              <w:color w:val="000000" w:themeColor="text1"/>
              <w:sz w:val="21"/>
              <w:szCs w:val="21"/>
              <w14:textFill>
                <w14:solidFill>
                  <w14:schemeClr w14:val="tx1"/>
                </w14:solidFill>
              </w14:textFill>
            </w:rPr>
            <w:fldChar w:fldCharType="separate"/>
          </w:r>
          <w:r>
            <w:rPr>
              <w:rFonts w:ascii="Times New Roman" w:hAnsi="Times New Roman" w:cs="Times New Roman"/>
              <w:color w:val="000000" w:themeColor="text1"/>
              <w:sz w:val="21"/>
              <w:szCs w:val="21"/>
              <w14:textFill>
                <w14:solidFill>
                  <w14:schemeClr w14:val="tx1"/>
                </w14:solidFill>
              </w14:textFill>
            </w:rPr>
            <w:t>37</w:t>
          </w:r>
          <w:r>
            <w:rPr>
              <w:rFonts w:ascii="Times New Roman" w:hAnsi="Times New Roman" w:cs="Times New Roman"/>
              <w:color w:val="000000" w:themeColor="text1"/>
              <w:sz w:val="21"/>
              <w:szCs w:val="21"/>
              <w14:textFill>
                <w14:solidFill>
                  <w14:schemeClr w14:val="tx1"/>
                </w14:solidFill>
              </w14:textFill>
            </w:rPr>
            <w:fldChar w:fldCharType="end"/>
          </w:r>
          <w:r>
            <w:rPr>
              <w:rFonts w:ascii="Times New Roman" w:hAnsi="Times New Roman" w:cs="Times New Roman"/>
              <w:bCs/>
              <w:color w:val="000000" w:themeColor="text1"/>
              <w:sz w:val="21"/>
              <w:szCs w:val="21"/>
              <w14:textFill>
                <w14:solidFill>
                  <w14:schemeClr w14:val="tx1"/>
                </w14:solidFill>
              </w14:textFill>
            </w:rPr>
            <w:fldChar w:fldCharType="end"/>
          </w:r>
        </w:p>
        <w:p w14:paraId="219A3ABC">
          <w:pPr>
            <w:spacing w:line="300" w:lineRule="auto"/>
            <w:ind w:firstLine="420" w:firstLineChars="0"/>
            <w:jc w:val="center"/>
            <w:rPr>
              <w:color w:val="000000" w:themeColor="text1"/>
              <w:sz w:val="21"/>
              <w:szCs w:val="21"/>
              <w14:textFill>
                <w14:solidFill>
                  <w14:schemeClr w14:val="tx1"/>
                </w14:solidFill>
              </w14:textFill>
            </w:rPr>
          </w:pPr>
          <w:r>
            <w:rPr>
              <w:bCs/>
              <w:color w:val="000000" w:themeColor="text1"/>
              <w:sz w:val="21"/>
              <w:szCs w:val="21"/>
              <w14:textFill>
                <w14:solidFill>
                  <w14:schemeClr w14:val="tx1"/>
                </w14:solidFill>
              </w14:textFill>
            </w:rPr>
            <w:fldChar w:fldCharType="end"/>
          </w:r>
        </w:p>
      </w:sdtContent>
    </w:sdt>
    <w:p w14:paraId="3B3C7487">
      <w:pPr>
        <w:spacing w:line="300" w:lineRule="auto"/>
        <w:ind w:firstLine="0" w:firstLineChars="0"/>
        <w:jc w:val="center"/>
        <w:rPr>
          <w:rFonts w:eastAsia="仿宋_GB2312"/>
          <w:b/>
          <w:color w:val="000000" w:themeColor="text1"/>
          <w:sz w:val="21"/>
          <w:szCs w:val="21"/>
          <w14:textFill>
            <w14:solidFill>
              <w14:schemeClr w14:val="tx1"/>
            </w14:solidFill>
          </w14:textFill>
        </w:rPr>
        <w:sectPr>
          <w:footerReference r:id="rId15" w:type="default"/>
          <w:pgSz w:w="11906" w:h="16838"/>
          <w:pgMar w:top="1440" w:right="1800" w:bottom="1440" w:left="1800" w:header="851" w:footer="907" w:gutter="0"/>
          <w:pgNumType w:start="1"/>
          <w:cols w:space="720" w:num="1"/>
          <w:docGrid w:type="lines" w:linePitch="312" w:charSpace="0"/>
        </w:sectPr>
      </w:pPr>
    </w:p>
    <w:p w14:paraId="28A3C578">
      <w:pPr>
        <w:spacing w:line="300" w:lineRule="auto"/>
        <w:ind w:firstLine="0" w:firstLineChars="0"/>
        <w:jc w:val="center"/>
        <w:rPr>
          <w:rFonts w:eastAsia="楷体_GB2312"/>
          <w:b/>
          <w:color w:val="000000" w:themeColor="text1"/>
          <w:sz w:val="48"/>
          <w:szCs w:val="48"/>
          <w14:textFill>
            <w14:solidFill>
              <w14:schemeClr w14:val="tx1"/>
            </w14:solidFill>
          </w14:textFill>
        </w:rPr>
      </w:pPr>
      <w:r>
        <w:rPr>
          <w:rFonts w:eastAsia="仿宋_GB2312"/>
          <w:b/>
          <w:color w:val="000000" w:themeColor="text1"/>
          <w:sz w:val="48"/>
          <w:szCs w:val="48"/>
          <w14:textFill>
            <w14:solidFill>
              <w14:schemeClr w14:val="tx1"/>
            </w14:solidFill>
          </w14:textFill>
        </w:rPr>
        <w:t>新疆驰远天合有限责任会计师事务所</w:t>
      </w:r>
      <w:bookmarkEnd w:id="25"/>
    </w:p>
    <w:p w14:paraId="5034F085">
      <w:pPr>
        <w:pageBreakBefore w:val="0"/>
        <w:kinsoku/>
        <w:wordWrap/>
        <w:overflowPunct/>
        <w:topLinePunct w:val="0"/>
        <w:autoSpaceDE/>
        <w:autoSpaceDN/>
        <w:bidi w:val="0"/>
        <w:adjustRightInd/>
        <w:snapToGrid w:val="0"/>
        <w:spacing w:before="0" w:after="0" w:line="360" w:lineRule="auto"/>
        <w:ind w:firstLine="0" w:firstLineChars="0"/>
        <w:jc w:val="center"/>
        <w:rPr>
          <w:color w:val="000000" w:themeColor="text1"/>
          <w:sz w:val="24"/>
          <w:szCs w:val="24"/>
          <w14:textFill>
            <w14:solidFill>
              <w14:schemeClr w14:val="tx1"/>
            </w14:solidFill>
          </w14:textFill>
        </w:rPr>
      </w:pPr>
      <w:r>
        <w:rPr>
          <w:rFonts w:eastAsia="宋体"/>
          <w:color w:val="000000" w:themeColor="text1"/>
          <w:sz w:val="24"/>
          <w:szCs w:val="24"/>
          <w14:textFill>
            <w14:solidFill>
              <w14:schemeClr w14:val="tx1"/>
            </w14:solidFill>
          </w14:textFill>
        </w:rPr>
        <w:t>Xinjiang Chiyuantianhe Certified Public Accountants Co.,Ltd</w:t>
      </w:r>
      <w:r>
        <w:rPr>
          <w:rFonts w:hint="eastAsia"/>
          <w:color w:val="000000" w:themeColor="text1"/>
          <w:sz w:val="24"/>
          <w:szCs w:val="24"/>
          <w14:textFill>
            <w14:solidFill>
              <w14:schemeClr w14:val="tx1"/>
            </w14:solidFill>
          </w14:textFill>
        </w:rPr>
        <w:t>.</w:t>
      </w:r>
    </w:p>
    <w:p w14:paraId="783F68F6">
      <w:pPr>
        <w:autoSpaceDE w:val="0"/>
        <w:spacing w:line="440" w:lineRule="exact"/>
        <w:ind w:firstLine="0" w:firstLineChars="0"/>
        <w:jc w:val="center"/>
        <w:outlineLvl w:val="0"/>
        <w:rPr>
          <w:color w:val="000000" w:themeColor="text1"/>
          <w14:textFill>
            <w14:solidFill>
              <w14:schemeClr w14:val="tx1"/>
            </w14:solidFill>
          </w14:textFill>
        </w:rPr>
      </w:pPr>
      <w:bookmarkStart w:id="26" w:name="_Toc11722"/>
      <w:bookmarkEnd w:id="26"/>
      <w:bookmarkStart w:id="27" w:name="_Toc4177"/>
      <w:bookmarkEnd w:id="27"/>
      <w:bookmarkStart w:id="28" w:name="_Toc23718"/>
      <w:bookmarkEnd w:id="28"/>
      <w:bookmarkStart w:id="29" w:name="_Toc21607"/>
      <w:bookmarkStart w:id="30" w:name="_Toc25134"/>
      <w:bookmarkStart w:id="31" w:name="_Toc17933"/>
      <w:bookmarkStart w:id="32" w:name="_Toc25484"/>
      <w:r>
        <w:rPr>
          <w:b/>
          <w:color w:val="000000" w:themeColor="text1"/>
          <w:spacing w:val="66"/>
          <w:sz w:val="44"/>
          <w:szCs w:val="44"/>
          <w14:textFill>
            <w14:solidFill>
              <w14:schemeClr w14:val="tx1"/>
            </w14:solidFill>
          </w14:textFill>
        </w:rPr>
        <w:t>绩效评价报</w:t>
      </w:r>
      <w:bookmarkEnd w:id="29"/>
      <w:r>
        <w:rPr>
          <w:b/>
          <w:color w:val="000000" w:themeColor="text1"/>
          <w:sz w:val="44"/>
          <w:szCs w:val="44"/>
          <w14:textFill>
            <w14:solidFill>
              <w14:schemeClr w14:val="tx1"/>
            </w14:solidFill>
          </w14:textFill>
        </w:rPr>
        <w:t>告</w:t>
      </w:r>
      <w:bookmarkEnd w:id="30"/>
      <w:bookmarkEnd w:id="31"/>
      <w:bookmarkEnd w:id="32"/>
    </w:p>
    <w:p w14:paraId="7E0F120A">
      <w:pPr>
        <w:autoSpaceDE w:val="0"/>
        <w:spacing w:before="156" w:beforeLines="50"/>
        <w:ind w:firstLine="0" w:firstLineChars="0"/>
        <w:jc w:val="center"/>
        <w:rPr>
          <w:b/>
          <w:color w:val="000000" w:themeColor="text1"/>
          <w14:textFill>
            <w14:solidFill>
              <w14:schemeClr w14:val="tx1"/>
            </w14:solidFill>
          </w14:textFill>
        </w:rPr>
      </w:pPr>
      <w:r>
        <w:rPr>
          <w:b/>
          <w:color w:val="000000" w:themeColor="text1"/>
          <w14:textFill>
            <w14:solidFill>
              <w14:schemeClr w14:val="tx1"/>
            </w14:solidFill>
          </w14:textFill>
        </w:rPr>
        <w:t>驰天会咨字[202</w:t>
      </w:r>
      <w:r>
        <w:rPr>
          <w:rFonts w:hint="eastAsia"/>
          <w:b/>
          <w:color w:val="000000" w:themeColor="text1"/>
          <w:lang w:val="en-US" w:eastAsia="zh-CN"/>
          <w14:textFill>
            <w14:solidFill>
              <w14:schemeClr w14:val="tx1"/>
            </w14:solidFill>
          </w14:textFill>
        </w:rPr>
        <w:t>5</w:t>
      </w:r>
      <w:r>
        <w:rPr>
          <w:b/>
          <w:color w:val="000000" w:themeColor="text1"/>
          <w14:textFill>
            <w14:solidFill>
              <w14:schemeClr w14:val="tx1"/>
            </w14:solidFill>
          </w14:textFill>
        </w:rPr>
        <w:t>]1-0</w:t>
      </w:r>
      <w:r>
        <w:rPr>
          <w:rFonts w:hint="eastAsia"/>
          <w:b/>
          <w:color w:val="000000" w:themeColor="text1"/>
          <w:lang w:val="en-US" w:eastAsia="zh-CN"/>
          <w14:textFill>
            <w14:solidFill>
              <w14:schemeClr w14:val="tx1"/>
            </w14:solidFill>
          </w14:textFill>
        </w:rPr>
        <w:t>171</w:t>
      </w:r>
      <w:r>
        <w:rPr>
          <w:b/>
          <w:color w:val="000000" w:themeColor="text1"/>
          <w14:textFill>
            <w14:solidFill>
              <w14:schemeClr w14:val="tx1"/>
            </w14:solidFill>
          </w14:textFill>
        </w:rPr>
        <w:t>号</w:t>
      </w:r>
    </w:p>
    <w:p w14:paraId="7CF96E36">
      <w:pPr>
        <w:ind w:firstLine="0" w:firstLineChars="0"/>
        <w:rPr>
          <w:bCs/>
          <w:color w:val="000000" w:themeColor="text1"/>
          <w14:textFill>
            <w14:solidFill>
              <w14:schemeClr w14:val="tx1"/>
            </w14:solidFill>
          </w14:textFill>
        </w:rPr>
      </w:pPr>
    </w:p>
    <w:p w14:paraId="56F56389">
      <w:pPr>
        <w:ind w:firstLine="0" w:firstLineChars="0"/>
        <w:rPr>
          <w:color w:val="000000" w:themeColor="text1"/>
          <w14:textFill>
            <w14:solidFill>
              <w14:schemeClr w14:val="tx1"/>
            </w14:solidFill>
          </w14:textFill>
        </w:rPr>
      </w:pPr>
      <w:r>
        <w:rPr>
          <w:color w:val="000000" w:themeColor="text1"/>
          <w14:textFill>
            <w14:solidFill>
              <w14:schemeClr w14:val="tx1"/>
            </w14:solidFill>
          </w14:textFill>
        </w:rPr>
        <w:t>吉木萨尔县财政局：</w:t>
      </w:r>
    </w:p>
    <w:p w14:paraId="1C180499">
      <w:pPr>
        <w:ind w:firstLine="420"/>
        <w:rPr>
          <w:bCs/>
          <w:color w:val="000000" w:themeColor="text1"/>
          <w14:textFill>
            <w14:solidFill>
              <w14:schemeClr w14:val="tx1"/>
            </w14:solidFill>
          </w14:textFill>
        </w:rPr>
      </w:pPr>
      <w:r>
        <w:rPr>
          <w:color w:val="000000" w:themeColor="text1"/>
          <w14:textFill>
            <w14:solidFill>
              <w14:schemeClr w14:val="tx1"/>
            </w14:solidFill>
          </w14:textFill>
        </w:rPr>
        <w:t>为贯彻落实全面推进预算绩效管理工作的要求，完善部门预算管理，强化预算支出责任，提高</w:t>
      </w:r>
      <w:r>
        <w:rPr>
          <w:rFonts w:hint="eastAsia"/>
          <w:color w:val="000000" w:themeColor="text1"/>
          <w:lang w:eastAsia="zh-CN"/>
          <w14:textFill>
            <w14:solidFill>
              <w14:schemeClr w14:val="tx1"/>
            </w14:solidFill>
          </w14:textFill>
        </w:rPr>
        <w:t>财政资金使用</w:t>
      </w:r>
      <w:r>
        <w:rPr>
          <w:color w:val="000000" w:themeColor="text1"/>
          <w14:textFill>
            <w14:solidFill>
              <w14:schemeClr w14:val="tx1"/>
            </w14:solidFill>
          </w14:textFill>
        </w:rPr>
        <w:t>效益，推动提高部门和单位整体绩效水平，根据《中华人民共和国预算法》《</w:t>
      </w:r>
      <w:r>
        <w:rPr>
          <w:rFonts w:hint="eastAsia"/>
          <w:color w:val="000000" w:themeColor="text1"/>
          <w:lang w:eastAsia="zh-CN"/>
          <w14:textFill>
            <w14:solidFill>
              <w14:schemeClr w14:val="tx1"/>
            </w14:solidFill>
          </w14:textFill>
        </w:rPr>
        <w:t>中共中央、国务院</w:t>
      </w:r>
      <w:r>
        <w:rPr>
          <w:color w:val="000000" w:themeColor="text1"/>
          <w14:textFill>
            <w14:solidFill>
              <w14:schemeClr w14:val="tx1"/>
            </w14:solidFill>
          </w14:textFill>
        </w:rPr>
        <w:t>关于全面实施预算绩效管理的意见》（中发〔2018〕34号）、《自治区党委自治区人民政府关于全面实施预算绩效管理的实施意见》（新党发〔2018〕30号）、《关于进一步加强和规范第三方机构参与预算绩效管理的通知》（新财预〔2021〕49号）、《自治区财政支出绩效评价管理暂行办法》（新财预〔2018〕189号）等系列文件的要求，受吉木萨尔县财政局的委托，新疆驰远天合有限责任会计师事务所以第三方社会评价机构的身份，承担了吉木萨尔县</w:t>
      </w:r>
      <w:r>
        <w:rPr>
          <w:rFonts w:hint="eastAsia"/>
          <w:color w:val="000000" w:themeColor="text1"/>
          <w:lang w:eastAsia="zh-CN"/>
          <w14:textFill>
            <w14:solidFill>
              <w14:schemeClr w14:val="tx1"/>
            </w14:solidFill>
          </w14:textFill>
        </w:rPr>
        <w:t>统计局2024</w:t>
      </w:r>
      <w:r>
        <w:rPr>
          <w:color w:val="000000" w:themeColor="text1"/>
          <w14:textFill>
            <w14:solidFill>
              <w14:schemeClr w14:val="tx1"/>
            </w14:solidFill>
          </w14:textFill>
        </w:rPr>
        <w:t>年度的部门整体支出绩效评价工作并形成绩效评价报告。吉木萨尔县</w:t>
      </w:r>
      <w:r>
        <w:rPr>
          <w:rFonts w:hint="eastAsia"/>
          <w:color w:val="000000" w:themeColor="text1"/>
          <w:lang w:eastAsia="zh-CN"/>
          <w14:textFill>
            <w14:solidFill>
              <w14:schemeClr w14:val="tx1"/>
            </w14:solidFill>
          </w14:textFill>
        </w:rPr>
        <w:t>统计局</w:t>
      </w:r>
      <w:r>
        <w:rPr>
          <w:color w:val="000000" w:themeColor="text1"/>
          <w14:textFill>
            <w14:solidFill>
              <w14:schemeClr w14:val="tx1"/>
            </w14:solidFill>
          </w14:textFill>
        </w:rPr>
        <w:t>负责提供与本次绩效评价相关的部门单位工作资料并保证资料的真实、合法、准确和完整，现将部门整体支出绩效评价情况报告如下：</w:t>
      </w:r>
    </w:p>
    <w:p w14:paraId="643C9242">
      <w:pPr>
        <w:keepNext/>
        <w:keepLines/>
        <w:ind w:firstLine="482"/>
        <w:outlineLvl w:val="0"/>
        <w:rPr>
          <w:b/>
          <w:bCs/>
          <w:color w:val="000000" w:themeColor="text1"/>
          <w:kern w:val="44"/>
          <w:sz w:val="24"/>
          <w:szCs w:val="24"/>
          <w14:textFill>
            <w14:solidFill>
              <w14:schemeClr w14:val="tx1"/>
            </w14:solidFill>
          </w14:textFill>
        </w:rPr>
      </w:pPr>
      <w:bookmarkStart w:id="33" w:name="_Toc68364657"/>
      <w:bookmarkEnd w:id="33"/>
      <w:bookmarkStart w:id="34" w:name="_Toc32323"/>
      <w:r>
        <w:rPr>
          <w:b/>
          <w:bCs/>
          <w:color w:val="000000" w:themeColor="text1"/>
          <w:kern w:val="44"/>
          <w:sz w:val="24"/>
          <w:szCs w:val="24"/>
          <w14:textFill>
            <w14:solidFill>
              <w14:schemeClr w14:val="tx1"/>
            </w14:solidFill>
          </w14:textFill>
        </w:rPr>
        <w:t>一、部门基本情况</w:t>
      </w:r>
      <w:bookmarkEnd w:id="34"/>
    </w:p>
    <w:p w14:paraId="04BAE02B">
      <w:pPr>
        <w:keepNext/>
        <w:keepLines/>
        <w:ind w:firstLine="422"/>
        <w:jc w:val="left"/>
        <w:outlineLvl w:val="1"/>
        <w:rPr>
          <w:b/>
          <w:color w:val="000000" w:themeColor="text1"/>
          <w14:textFill>
            <w14:solidFill>
              <w14:schemeClr w14:val="tx1"/>
            </w14:solidFill>
          </w14:textFill>
        </w:rPr>
      </w:pPr>
      <w:bookmarkStart w:id="35" w:name="_Toc16513"/>
      <w:bookmarkStart w:id="36" w:name="_Toc68364658"/>
      <w:r>
        <w:rPr>
          <w:b/>
          <w:color w:val="000000" w:themeColor="text1"/>
          <w14:textFill>
            <w14:solidFill>
              <w14:schemeClr w14:val="tx1"/>
            </w14:solidFill>
          </w14:textFill>
        </w:rPr>
        <w:t>（一）单位概况</w:t>
      </w:r>
      <w:bookmarkEnd w:id="35"/>
      <w:bookmarkEnd w:id="36"/>
    </w:p>
    <w:p w14:paraId="65180091">
      <w:pPr>
        <w:pStyle w:val="4"/>
        <w:ind w:firstLine="422"/>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1.部门单位设立的背景</w:t>
      </w:r>
    </w:p>
    <w:p w14:paraId="5A92652D">
      <w:pPr>
        <w:ind w:firstLine="560"/>
        <w:rPr>
          <w:rFonts w:hint="eastAsia" w:ascii="Times New Roman" w:hAnsi="Times New Roman" w:cs="Times New Roman"/>
          <w:bCs/>
          <w:color w:val="000000" w:themeColor="text1"/>
          <w:szCs w:val="32"/>
          <w14:textFill>
            <w14:solidFill>
              <w14:schemeClr w14:val="tx1"/>
            </w14:solidFill>
          </w14:textFill>
        </w:rPr>
      </w:pPr>
      <w:r>
        <w:rPr>
          <w:rFonts w:hint="eastAsia" w:ascii="Times New Roman" w:hAnsi="Times New Roman" w:cs="Times New Roman"/>
          <w:bCs/>
          <w:color w:val="000000" w:themeColor="text1"/>
          <w:szCs w:val="32"/>
          <w14:textFill>
            <w14:solidFill>
              <w14:schemeClr w14:val="tx1"/>
            </w14:solidFill>
          </w14:textFill>
        </w:rPr>
        <w:t>1983年通过的《中华人民共和国统计法》首次以法律形式明确“县级以上地方人民政府设立独立的统计机构”，目的在于终结以往“上下脱节、数出多门”的混乱局面，为全国建立集中统一、分级负责的统计体系奠定组织基础。党的十八大以来，党中央、国务院将防范和惩治统计造假、提高数据质量提到前所未有的高度，要求基层必须有一个“看得见、管得住、测得准”的法定机构来承接国家调查任务，确保</w:t>
      </w:r>
      <w:r>
        <w:rPr>
          <w:rFonts w:hint="eastAsia" w:cs="Times New Roman"/>
          <w:bCs/>
          <w:color w:val="000000" w:themeColor="text1"/>
          <w:szCs w:val="32"/>
          <w:lang w:eastAsia="zh-CN"/>
          <w14:textFill>
            <w14:solidFill>
              <w14:schemeClr w14:val="tx1"/>
            </w14:solidFill>
          </w14:textFill>
        </w:rPr>
        <w:t>党中央决策部署</w:t>
      </w:r>
      <w:r>
        <w:rPr>
          <w:rFonts w:hint="eastAsia" w:ascii="Times New Roman" w:hAnsi="Times New Roman" w:cs="Times New Roman"/>
          <w:bCs/>
          <w:color w:val="000000" w:themeColor="text1"/>
          <w:szCs w:val="32"/>
          <w14:textFill>
            <w14:solidFill>
              <w14:schemeClr w14:val="tx1"/>
            </w14:solidFill>
          </w14:textFill>
        </w:rPr>
        <w:t>在基层落地见效。随着县域经济日趋多元、市场主体迅速增加，仅靠市级以上统计力量已难以及时、准确捕捉基层动态；县级统计局成为政府进行宏观调控、产业扶持、民生保障必不可少的“数字底座”。在此大背景下，吉木萨尔县积极响应国家和上级政府的政策要求，为有效履行经济调节、市场监管、公共管理和社会服务等职能，全面、准确、及时地掌握本地区经济社会发展数据，进而设立了吉木萨尔统计局部门单位，负责开展各类统计调查、分析预测以及数据发布等工作，为地方政府决策和社会发展提供坚实的数据支撑与统计保障。</w:t>
      </w:r>
    </w:p>
    <w:p w14:paraId="2DC1101F">
      <w:pPr>
        <w:ind w:firstLine="560"/>
        <w:rPr>
          <w:rFonts w:hint="eastAsia" w:ascii="Times New Roman" w:hAnsi="Times New Roman" w:eastAsia="宋体" w:cs="Times New Roman"/>
          <w:bCs/>
          <w:color w:val="000000" w:themeColor="text1"/>
          <w:szCs w:val="32"/>
          <w:lang w:eastAsia="zh-CN"/>
          <w14:textFill>
            <w14:solidFill>
              <w14:schemeClr w14:val="tx1"/>
            </w14:solidFill>
          </w14:textFill>
        </w:rPr>
      </w:pPr>
      <w:r>
        <w:rPr>
          <w:rFonts w:hint="eastAsia" w:ascii="Times New Roman" w:hAnsi="Times New Roman" w:cs="Times New Roman"/>
          <w:bCs/>
          <w:color w:val="000000" w:themeColor="text1"/>
          <w:szCs w:val="32"/>
          <w14:textFill>
            <w14:solidFill>
              <w14:schemeClr w14:val="tx1"/>
            </w14:solidFill>
          </w14:textFill>
        </w:rPr>
        <w:t>吉木萨尔县统计局，属于县人民政府工作部门，为正科级</w:t>
      </w:r>
      <w:r>
        <w:rPr>
          <w:rFonts w:hint="eastAsia" w:cs="Times New Roman"/>
          <w:bCs/>
          <w:color w:val="000000" w:themeColor="text1"/>
          <w:szCs w:val="32"/>
          <w:lang w:val="en-US" w:eastAsia="zh-CN"/>
          <w14:textFill>
            <w14:solidFill>
              <w14:schemeClr w14:val="tx1"/>
            </w14:solidFill>
          </w14:textFill>
        </w:rPr>
        <w:t>单位</w:t>
      </w:r>
      <w:r>
        <w:rPr>
          <w:rFonts w:hint="eastAsia" w:ascii="Times New Roman" w:hAnsi="Times New Roman" w:cs="Times New Roman"/>
          <w:bCs/>
          <w:color w:val="000000" w:themeColor="text1"/>
          <w:szCs w:val="32"/>
          <w14:textFill>
            <w14:solidFill>
              <w14:schemeClr w14:val="tx1"/>
            </w14:solidFill>
          </w14:textFill>
        </w:rPr>
        <w:t>。由中共吉木萨尔县委员会机构编制委员会办公室批准注册登记，统一社会信用代码证书：11652327738377250-D；机构地址</w:t>
      </w:r>
      <w:r>
        <w:rPr>
          <w:rFonts w:hint="eastAsia" w:ascii="Times New Roman" w:hAnsi="Times New Roman" w:cs="Times New Roman"/>
          <w:bCs/>
          <w:color w:val="000000" w:themeColor="text1"/>
          <w:szCs w:val="32"/>
          <w:lang w:eastAsia="zh-CN"/>
          <w14:textFill>
            <w14:solidFill>
              <w14:schemeClr w14:val="tx1"/>
            </w14:solidFill>
          </w14:textFill>
        </w:rPr>
        <w:t>：</w:t>
      </w:r>
      <w:r>
        <w:rPr>
          <w:rFonts w:hint="eastAsia" w:ascii="Times New Roman" w:hAnsi="Times New Roman" w:cs="Times New Roman"/>
          <w:bCs/>
          <w:color w:val="000000" w:themeColor="text1"/>
          <w:szCs w:val="32"/>
          <w14:textFill>
            <w14:solidFill>
              <w14:schemeClr w14:val="tx1"/>
            </w14:solidFill>
          </w14:textFill>
        </w:rPr>
        <w:t>吉木萨尔县文明西路3号政府大院内2号综合楼</w:t>
      </w:r>
      <w:r>
        <w:rPr>
          <w:rFonts w:hint="eastAsia" w:ascii="Times New Roman" w:hAnsi="Times New Roman" w:cs="Times New Roman"/>
          <w:bCs/>
          <w:color w:val="000000" w:themeColor="text1"/>
          <w:szCs w:val="32"/>
          <w:lang w:eastAsia="zh-CN"/>
          <w14:textFill>
            <w14:solidFill>
              <w14:schemeClr w14:val="tx1"/>
            </w14:solidFill>
          </w14:textFill>
        </w:rPr>
        <w:t>。</w:t>
      </w:r>
    </w:p>
    <w:p w14:paraId="4FAFC5B3">
      <w:pPr>
        <w:pStyle w:val="4"/>
        <w:ind w:firstLine="422"/>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2.部门单位职责</w:t>
      </w:r>
    </w:p>
    <w:p w14:paraId="3CE71693">
      <w:pPr>
        <w:ind w:firstLine="560"/>
        <w:rPr>
          <w:rFonts w:hint="eastAsia" w:ascii="Times New Roman" w:hAnsi="Times New Roman" w:cs="Times New Roman"/>
          <w:bCs/>
          <w:color w:val="000000" w:themeColor="text1"/>
          <w:szCs w:val="32"/>
          <w14:textFill>
            <w14:solidFill>
              <w14:schemeClr w14:val="tx1"/>
            </w14:solidFill>
          </w14:textFill>
        </w:rPr>
      </w:pPr>
      <w:r>
        <w:rPr>
          <w:color w:val="000000" w:themeColor="text1"/>
          <w14:textFill>
            <w14:solidFill>
              <w14:schemeClr w14:val="tx1"/>
            </w14:solidFill>
          </w14:textFill>
        </w:rPr>
        <w:t>（1）</w:t>
      </w:r>
      <w:r>
        <w:rPr>
          <w:rFonts w:hint="eastAsia" w:ascii="Times New Roman" w:hAnsi="Times New Roman" w:cs="Times New Roman"/>
          <w:bCs/>
          <w:color w:val="000000" w:themeColor="text1"/>
          <w:szCs w:val="32"/>
          <w14:textFill>
            <w14:solidFill>
              <w14:schemeClr w14:val="tx1"/>
            </w14:solidFill>
          </w14:textFill>
        </w:rPr>
        <w:t>完成国家统计调查任务，执行国家统一基本统计报表制度；</w:t>
      </w:r>
    </w:p>
    <w:p w14:paraId="61EF6169">
      <w:pPr>
        <w:ind w:firstLine="420"/>
        <w:rPr>
          <w:rFonts w:hint="eastAsia" w:ascii="Times New Roman" w:hAnsi="Times New Roman" w:cs="Times New Roman"/>
          <w:bCs/>
          <w:color w:val="000000" w:themeColor="text1"/>
          <w:szCs w:val="32"/>
          <w14:textFill>
            <w14:solidFill>
              <w14:schemeClr w14:val="tx1"/>
            </w14:solidFill>
          </w14:textFill>
        </w:rPr>
      </w:pPr>
      <w:r>
        <w:rPr>
          <w:color w:val="000000" w:themeColor="text1"/>
          <w14:textFill>
            <w14:solidFill>
              <w14:schemeClr w14:val="tx1"/>
            </w14:solidFill>
          </w14:textFill>
        </w:rPr>
        <w:t>（2）</w:t>
      </w:r>
      <w:r>
        <w:rPr>
          <w:rFonts w:hint="eastAsia" w:ascii="Times New Roman" w:hAnsi="Times New Roman" w:cs="Times New Roman"/>
          <w:bCs/>
          <w:color w:val="000000" w:themeColor="text1"/>
          <w:szCs w:val="32"/>
          <w14:textFill>
            <w14:solidFill>
              <w14:schemeClr w14:val="tx1"/>
            </w14:solidFill>
          </w14:textFill>
        </w:rPr>
        <w:t>制定本行政区域内统计工作规划、统计调查</w:t>
      </w:r>
      <w:r>
        <w:rPr>
          <w:rFonts w:hint="eastAsia" w:cs="Times New Roman"/>
          <w:bCs/>
          <w:color w:val="000000" w:themeColor="text1"/>
          <w:szCs w:val="32"/>
          <w:lang w:val="en-US" w:eastAsia="zh-CN"/>
          <w14:textFill>
            <w14:solidFill>
              <w14:schemeClr w14:val="tx1"/>
            </w14:solidFill>
          </w14:textFill>
        </w:rPr>
        <w:t>计划</w:t>
      </w:r>
      <w:r>
        <w:rPr>
          <w:rFonts w:hint="eastAsia" w:ascii="Times New Roman" w:hAnsi="Times New Roman" w:cs="Times New Roman"/>
          <w:bCs/>
          <w:color w:val="000000" w:themeColor="text1"/>
          <w:szCs w:val="32"/>
          <w14:textFill>
            <w14:solidFill>
              <w14:schemeClr w14:val="tx1"/>
            </w14:solidFill>
          </w14:textFill>
        </w:rPr>
        <w:t>和方案，统一领导和协调本行政区域内包括中央和地方单位的统计工作，监督检查统计法规和统计制度的实施；</w:t>
      </w:r>
    </w:p>
    <w:p w14:paraId="61568750">
      <w:pPr>
        <w:ind w:firstLine="420"/>
        <w:rPr>
          <w:color w:val="000000" w:themeColor="text1"/>
          <w14:textFill>
            <w14:solidFill>
              <w14:schemeClr w14:val="tx1"/>
            </w14:solidFill>
          </w14:textFill>
        </w:rPr>
      </w:pPr>
      <w:r>
        <w:rPr>
          <w:color w:val="000000" w:themeColor="text1"/>
          <w14:textFill>
            <w14:solidFill>
              <w14:schemeClr w14:val="tx1"/>
            </w14:solidFill>
          </w14:textFill>
        </w:rPr>
        <w:t>（3）</w:t>
      </w:r>
      <w:r>
        <w:rPr>
          <w:rFonts w:hint="eastAsia" w:ascii="Times New Roman" w:hAnsi="Times New Roman" w:cs="Times New Roman"/>
          <w:bCs/>
          <w:color w:val="000000" w:themeColor="text1"/>
          <w:szCs w:val="32"/>
          <w14:textFill>
            <w14:solidFill>
              <w14:schemeClr w14:val="tx1"/>
            </w14:solidFill>
          </w14:textFill>
        </w:rPr>
        <w:t>根据本行政区域内规划和管理的需要，搜集整理，提供基本统计资料，对本行政区域内国民经济和社会发展情况进行统计分析、统计预测和统计监督；</w:t>
      </w:r>
    </w:p>
    <w:p w14:paraId="6C0D2C62">
      <w:pPr>
        <w:ind w:firstLine="420"/>
        <w:rPr>
          <w:rFonts w:hint="eastAsia" w:ascii="Times New Roman" w:hAnsi="Times New Roman" w:cs="Times New Roman"/>
          <w:bCs/>
          <w:color w:val="000000" w:themeColor="text1"/>
          <w:szCs w:val="32"/>
          <w14:textFill>
            <w14:solidFill>
              <w14:schemeClr w14:val="tx1"/>
            </w14:solidFill>
          </w14:textFill>
        </w:rPr>
      </w:pPr>
      <w:r>
        <w:rPr>
          <w:color w:val="000000" w:themeColor="text1"/>
          <w14:textFill>
            <w14:solidFill>
              <w14:schemeClr w14:val="tx1"/>
            </w14:solidFill>
          </w14:textFill>
        </w:rPr>
        <w:t>（4）</w:t>
      </w:r>
      <w:r>
        <w:rPr>
          <w:rFonts w:hint="eastAsia" w:ascii="Times New Roman" w:hAnsi="Times New Roman" w:cs="Times New Roman"/>
          <w:bCs/>
          <w:color w:val="000000" w:themeColor="text1"/>
          <w:szCs w:val="32"/>
          <w14:textFill>
            <w14:solidFill>
              <w14:schemeClr w14:val="tx1"/>
            </w14:solidFill>
          </w14:textFill>
        </w:rPr>
        <w:t>审查本行政区域内各部门的统计调查JH和统计调查方案，管理本行政区域内各部门制发的统计调查表；</w:t>
      </w:r>
    </w:p>
    <w:p w14:paraId="19209F2A">
      <w:pPr>
        <w:ind w:firstLine="420"/>
        <w:rPr>
          <w:color w:val="000000" w:themeColor="text1"/>
          <w14:textFill>
            <w14:solidFill>
              <w14:schemeClr w14:val="tx1"/>
            </w14:solidFill>
          </w14:textFill>
        </w:rPr>
      </w:pPr>
      <w:r>
        <w:rPr>
          <w:color w:val="000000" w:themeColor="text1"/>
          <w14:textFill>
            <w14:solidFill>
              <w14:schemeClr w14:val="tx1"/>
            </w14:solidFill>
          </w14:textFill>
        </w:rPr>
        <w:t>（5）</w:t>
      </w:r>
      <w:r>
        <w:rPr>
          <w:rFonts w:hint="eastAsia" w:ascii="Times New Roman" w:hAnsi="Times New Roman" w:cs="Times New Roman"/>
          <w:bCs/>
          <w:color w:val="000000" w:themeColor="text1"/>
          <w:szCs w:val="32"/>
          <w14:textFill>
            <w14:solidFill>
              <w14:schemeClr w14:val="tx1"/>
            </w14:solidFill>
          </w14:textFill>
        </w:rPr>
        <w:t>检查、审定、管理、公布、出版本行政区域内的基本统计资料，发布本行政区域内国民经济和社会发展情况的统计公报；</w:t>
      </w:r>
    </w:p>
    <w:p w14:paraId="5AFC947B">
      <w:pPr>
        <w:ind w:firstLine="420"/>
        <w:rPr>
          <w:color w:val="000000" w:themeColor="text1"/>
          <w14:textFill>
            <w14:solidFill>
              <w14:schemeClr w14:val="tx1"/>
            </w14:solidFill>
          </w14:textFill>
        </w:rPr>
      </w:pPr>
      <w:r>
        <w:rPr>
          <w:color w:val="000000" w:themeColor="text1"/>
          <w14:textFill>
            <w14:solidFill>
              <w14:schemeClr w14:val="tx1"/>
            </w14:solidFill>
          </w14:textFill>
        </w:rPr>
        <w:t>（6）</w:t>
      </w:r>
      <w:r>
        <w:rPr>
          <w:rFonts w:hint="eastAsia" w:ascii="Times New Roman" w:hAnsi="Times New Roman" w:cs="Times New Roman"/>
          <w:bCs/>
          <w:color w:val="000000" w:themeColor="text1"/>
          <w:szCs w:val="32"/>
          <w14:textFill>
            <w14:solidFill>
              <w14:schemeClr w14:val="tx1"/>
            </w14:solidFill>
          </w14:textFill>
        </w:rPr>
        <w:t>统一管理本行政区域内城市和农村社会经济抽样调查队；</w:t>
      </w:r>
    </w:p>
    <w:p w14:paraId="5CC522D8">
      <w:pPr>
        <w:ind w:firstLine="420"/>
        <w:rPr>
          <w:color w:val="000000" w:themeColor="text1"/>
          <w14:textFill>
            <w14:solidFill>
              <w14:schemeClr w14:val="tx1"/>
            </w14:solidFill>
          </w14:textFill>
        </w:rPr>
      </w:pPr>
      <w:r>
        <w:rPr>
          <w:color w:val="000000" w:themeColor="text1"/>
          <w14:textFill>
            <w14:solidFill>
              <w14:schemeClr w14:val="tx1"/>
            </w14:solidFill>
          </w14:textFill>
        </w:rPr>
        <w:t>（7）</w:t>
      </w:r>
      <w:r>
        <w:rPr>
          <w:rFonts w:hint="eastAsia" w:ascii="Times New Roman" w:hAnsi="Times New Roman" w:cs="Times New Roman"/>
          <w:bCs/>
          <w:color w:val="000000" w:themeColor="text1"/>
          <w:szCs w:val="32"/>
          <w14:textFill>
            <w14:solidFill>
              <w14:schemeClr w14:val="tx1"/>
            </w14:solidFill>
          </w14:textFill>
        </w:rPr>
        <w:t>对本行政区域内人民政府统计机构干部和乡镇统计员进行协助管理，业务上受上级人民政府统计机构领导为主。</w:t>
      </w:r>
    </w:p>
    <w:p w14:paraId="62823487">
      <w:pPr>
        <w:ind w:firstLine="420"/>
        <w:rPr>
          <w:color w:val="000000" w:themeColor="text1"/>
          <w14:textFill>
            <w14:solidFill>
              <w14:schemeClr w14:val="tx1"/>
            </w14:solidFill>
          </w14:textFill>
        </w:rPr>
      </w:pPr>
      <w:r>
        <w:rPr>
          <w:color w:val="000000" w:themeColor="text1"/>
          <w14:textFill>
            <w14:solidFill>
              <w14:schemeClr w14:val="tx1"/>
            </w14:solidFill>
          </w14:textFill>
        </w:rPr>
        <w:t>（8）</w:t>
      </w:r>
      <w:r>
        <w:rPr>
          <w:rFonts w:hint="eastAsia" w:ascii="Times New Roman" w:hAnsi="Times New Roman" w:cs="Times New Roman"/>
          <w:bCs/>
          <w:color w:val="000000" w:themeColor="text1"/>
          <w:szCs w:val="32"/>
          <w14:textFill>
            <w14:solidFill>
              <w14:schemeClr w14:val="tx1"/>
            </w14:solidFill>
          </w14:textFill>
        </w:rPr>
        <w:t>承办</w:t>
      </w:r>
      <w:r>
        <w:rPr>
          <w:rFonts w:hint="eastAsia" w:cs="Times New Roman"/>
          <w:bCs/>
          <w:color w:val="000000" w:themeColor="text1"/>
          <w:szCs w:val="32"/>
          <w:lang w:eastAsia="zh-CN"/>
          <w14:textFill>
            <w14:solidFill>
              <w14:schemeClr w14:val="tx1"/>
            </w14:solidFill>
          </w14:textFill>
        </w:rPr>
        <w:t>县委、县政府</w:t>
      </w:r>
      <w:r>
        <w:rPr>
          <w:rFonts w:hint="eastAsia" w:ascii="Times New Roman" w:hAnsi="Times New Roman" w:cs="Times New Roman"/>
          <w:bCs/>
          <w:color w:val="000000" w:themeColor="text1"/>
          <w:szCs w:val="32"/>
          <w14:textFill>
            <w14:solidFill>
              <w14:schemeClr w14:val="tx1"/>
            </w14:solidFill>
          </w14:textFill>
        </w:rPr>
        <w:t>交办的事项。</w:t>
      </w:r>
    </w:p>
    <w:p w14:paraId="028F273D">
      <w:pPr>
        <w:pStyle w:val="4"/>
        <w:ind w:firstLine="422"/>
        <w:rPr>
          <w:rFonts w:ascii="Times New Roman" w:hAnsi="Times New Roman"/>
          <w:color w:val="000000" w:themeColor="text1"/>
          <w14:textFill>
            <w14:solidFill>
              <w14:schemeClr w14:val="tx1"/>
            </w14:solidFill>
          </w14:textFill>
        </w:rPr>
      </w:pPr>
      <w:r>
        <w:rPr>
          <w:rFonts w:ascii="Times New Roman" w:hAnsi="Times New Roman"/>
          <w:color w:val="000000" w:themeColor="text1"/>
          <w14:textFill>
            <w14:solidFill>
              <w14:schemeClr w14:val="tx1"/>
            </w14:solidFill>
          </w14:textFill>
        </w:rPr>
        <w:t>3.机构设置及人员编制情况</w:t>
      </w:r>
    </w:p>
    <w:p w14:paraId="7BC24704">
      <w:pPr>
        <w:ind w:firstLine="560"/>
        <w:rPr>
          <w:rFonts w:ascii="Times New Roman" w:hAnsi="Times New Roman" w:cs="Times New Roman"/>
          <w:bCs/>
          <w:color w:val="000000" w:themeColor="text1"/>
          <w:szCs w:val="32"/>
          <w14:textFill>
            <w14:solidFill>
              <w14:schemeClr w14:val="tx1"/>
            </w14:solidFill>
          </w14:textFill>
        </w:rPr>
      </w:pPr>
      <w:bookmarkStart w:id="37" w:name="_Toc27993"/>
      <w:r>
        <w:rPr>
          <w:rFonts w:hint="eastAsia" w:ascii="Times New Roman" w:hAnsi="Times New Roman" w:cs="Times New Roman"/>
          <w:bCs/>
          <w:color w:val="000000" w:themeColor="text1"/>
          <w:szCs w:val="32"/>
          <w14:textFill>
            <w14:solidFill>
              <w14:schemeClr w14:val="tx1"/>
            </w14:solidFill>
          </w14:textFill>
        </w:rPr>
        <w:t>吉木萨尔县统计局</w:t>
      </w:r>
      <w:r>
        <w:rPr>
          <w:rFonts w:hint="eastAsia" w:cs="Times New Roman"/>
          <w:bCs/>
          <w:color w:val="000000" w:themeColor="text1"/>
          <w:szCs w:val="32"/>
          <w:lang w:val="en-US" w:eastAsia="zh-CN"/>
          <w14:textFill>
            <w14:solidFill>
              <w14:schemeClr w14:val="tx1"/>
            </w14:solidFill>
          </w14:textFill>
        </w:rPr>
        <w:t>内</w:t>
      </w:r>
      <w:r>
        <w:rPr>
          <w:rFonts w:hint="eastAsia" w:ascii="Times New Roman" w:hAnsi="Times New Roman" w:cs="Times New Roman"/>
          <w:bCs/>
          <w:color w:val="000000" w:themeColor="text1"/>
          <w:szCs w:val="32"/>
          <w14:textFill>
            <w14:solidFill>
              <w14:schemeClr w14:val="tx1"/>
            </w14:solidFill>
          </w14:textFill>
        </w:rPr>
        <w:t>设综合业务股和执法监督科2个科室；</w:t>
      </w:r>
      <w:r>
        <w:rPr>
          <w:rFonts w:hint="eastAsia" w:cs="Times New Roman"/>
          <w:bCs/>
          <w:color w:val="000000" w:themeColor="text1"/>
          <w:szCs w:val="32"/>
          <w:lang w:val="en-US" w:eastAsia="zh-CN"/>
          <w14:textFill>
            <w14:solidFill>
              <w14:schemeClr w14:val="tx1"/>
            </w14:solidFill>
          </w14:textFill>
        </w:rPr>
        <w:t>无下属预算单位</w:t>
      </w:r>
      <w:r>
        <w:rPr>
          <w:rFonts w:hint="eastAsia" w:ascii="Times New Roman" w:hAnsi="Times New Roman" w:cs="Times New Roman"/>
          <w:bCs/>
          <w:color w:val="000000" w:themeColor="text1"/>
          <w:szCs w:val="32"/>
          <w14:textFill>
            <w14:solidFill>
              <w14:schemeClr w14:val="tx1"/>
            </w14:solidFill>
          </w14:textFill>
        </w:rPr>
        <w:t>。</w:t>
      </w:r>
      <w:r>
        <w:rPr>
          <w:rFonts w:hint="eastAsia" w:cs="Times New Roman"/>
          <w:bCs/>
          <w:color w:val="000000" w:themeColor="text1"/>
          <w:szCs w:val="32"/>
          <w:lang w:val="en-US" w:eastAsia="zh-CN"/>
          <w14:textFill>
            <w14:solidFill>
              <w14:schemeClr w14:val="tx1"/>
            </w14:solidFill>
          </w14:textFill>
        </w:rPr>
        <w:t>截至2024年12月31日，</w:t>
      </w:r>
      <w:r>
        <w:rPr>
          <w:rFonts w:hint="eastAsia" w:ascii="Times New Roman" w:hAnsi="Times New Roman" w:cs="Times New Roman"/>
          <w:bCs/>
          <w:color w:val="000000" w:themeColor="text1"/>
          <w:szCs w:val="32"/>
          <w14:textFill>
            <w14:solidFill>
              <w14:schemeClr w14:val="tx1"/>
            </w14:solidFill>
          </w14:textFill>
        </w:rPr>
        <w:t>吉木萨尔县统计局编制数 16</w:t>
      </w:r>
      <w:r>
        <w:rPr>
          <w:rFonts w:hint="eastAsia" w:cs="Times New Roman"/>
          <w:bCs/>
          <w:color w:val="000000" w:themeColor="text1"/>
          <w:szCs w:val="32"/>
          <w:lang w:val="en-US" w:eastAsia="zh-CN"/>
          <w14:textFill>
            <w14:solidFill>
              <w14:schemeClr w14:val="tx1"/>
            </w14:solidFill>
          </w14:textFill>
        </w:rPr>
        <w:t>人</w:t>
      </w:r>
      <w:r>
        <w:rPr>
          <w:rFonts w:hint="eastAsia" w:ascii="Times New Roman" w:hAnsi="Times New Roman" w:cs="Times New Roman"/>
          <w:bCs/>
          <w:color w:val="000000" w:themeColor="text1"/>
          <w:szCs w:val="32"/>
          <w14:textFill>
            <w14:solidFill>
              <w14:schemeClr w14:val="tx1"/>
            </w14:solidFill>
          </w14:textFill>
        </w:rPr>
        <w:t>，实有人数 22人，其中</w:t>
      </w:r>
      <w:r>
        <w:rPr>
          <w:rFonts w:hint="eastAsia" w:cs="Times New Roman"/>
          <w:bCs/>
          <w:color w:val="000000" w:themeColor="text1"/>
          <w:szCs w:val="32"/>
          <w:lang w:eastAsia="zh-CN"/>
          <w14:textFill>
            <w14:solidFill>
              <w14:schemeClr w14:val="tx1"/>
            </w14:solidFill>
          </w14:textFill>
        </w:rPr>
        <w:t>：</w:t>
      </w:r>
      <w:r>
        <w:rPr>
          <w:rFonts w:hint="eastAsia" w:ascii="Times New Roman" w:hAnsi="Times New Roman" w:cs="Times New Roman"/>
          <w:bCs/>
          <w:color w:val="000000" w:themeColor="text1"/>
          <w:szCs w:val="32"/>
          <w14:textFill>
            <w14:solidFill>
              <w14:schemeClr w14:val="tx1"/>
            </w14:solidFill>
          </w14:textFill>
        </w:rPr>
        <w:t>在职13人，退休9人。</w:t>
      </w:r>
    </w:p>
    <w:p w14:paraId="025E4F36">
      <w:pPr>
        <w:keepNext/>
        <w:keepLines/>
        <w:numPr>
          <w:ilvl w:val="0"/>
          <w:numId w:val="1"/>
        </w:numPr>
        <w:ind w:firstLine="422"/>
        <w:jc w:val="left"/>
        <w:outlineLvl w:val="1"/>
        <w:rPr>
          <w:color w:val="000000" w:themeColor="text1"/>
          <w14:textFill>
            <w14:solidFill>
              <w14:schemeClr w14:val="tx1"/>
            </w14:solidFill>
          </w14:textFill>
        </w:rPr>
      </w:pPr>
      <w:r>
        <w:rPr>
          <w:b/>
          <w:color w:val="000000" w:themeColor="text1"/>
          <w14:textFill>
            <w14:solidFill>
              <w14:schemeClr w14:val="tx1"/>
            </w14:solidFill>
          </w14:textFill>
        </w:rPr>
        <w:t>部门资金投入和使用情况</w:t>
      </w:r>
      <w:bookmarkEnd w:id="37"/>
    </w:p>
    <w:p w14:paraId="5942AD2B">
      <w:pPr>
        <w:pStyle w:val="4"/>
        <w:ind w:firstLine="422"/>
        <w:rPr>
          <w:rFonts w:ascii="Times New Roman" w:hAnsi="Times New Roman"/>
          <w:color w:val="000000" w:themeColor="text1"/>
          <w14:textFill>
            <w14:solidFill>
              <w14:schemeClr w14:val="tx1"/>
            </w14:solidFill>
          </w14:textFill>
        </w:rPr>
      </w:pPr>
      <w:bookmarkStart w:id="38" w:name="_Toc68364659"/>
      <w:bookmarkEnd w:id="38"/>
      <w:r>
        <w:rPr>
          <w:rFonts w:ascii="Times New Roman" w:hAnsi="Times New Roman"/>
          <w:bCs w:val="0"/>
          <w:color w:val="000000" w:themeColor="text1"/>
          <w14:textFill>
            <w14:solidFill>
              <w14:schemeClr w14:val="tx1"/>
            </w14:solidFill>
          </w14:textFill>
        </w:rPr>
        <w:t>1.</w:t>
      </w:r>
      <w:r>
        <w:rPr>
          <w:rFonts w:ascii="Times New Roman" w:hAnsi="Times New Roman"/>
          <w:color w:val="000000" w:themeColor="text1"/>
          <w14:textFill>
            <w14:solidFill>
              <w14:schemeClr w14:val="tx1"/>
            </w14:solidFill>
          </w14:textFill>
        </w:rPr>
        <w:t>部门年度收入预算情况</w:t>
      </w:r>
    </w:p>
    <w:p w14:paraId="4871224E">
      <w:pPr>
        <w:ind w:firstLine="420"/>
        <w:jc w:val="left"/>
        <w:rPr>
          <w:color w:val="000000" w:themeColor="text1"/>
          <w14:textFill>
            <w14:solidFill>
              <w14:schemeClr w14:val="tx1"/>
            </w14:solidFill>
          </w14:textFill>
        </w:rPr>
      </w:pPr>
      <w:r>
        <w:rPr>
          <w:rFonts w:eastAsiaTheme="minorEastAsia"/>
          <w:bCs/>
          <w:color w:val="000000" w:themeColor="text1"/>
          <w14:textFill>
            <w14:solidFill>
              <w14:schemeClr w14:val="tx1"/>
            </w14:solidFill>
          </w14:textFill>
        </w:rPr>
        <w:t>吉木萨尔县</w:t>
      </w:r>
      <w:r>
        <w:rPr>
          <w:rFonts w:hint="eastAsia" w:eastAsiaTheme="minorEastAsia"/>
          <w:bCs/>
          <w:color w:val="000000" w:themeColor="text1"/>
          <w:lang w:eastAsia="zh-CN"/>
          <w14:textFill>
            <w14:solidFill>
              <w14:schemeClr w14:val="tx1"/>
            </w14:solidFill>
          </w14:textFill>
        </w:rPr>
        <w:t>统计局2024</w:t>
      </w:r>
      <w:r>
        <w:rPr>
          <w:rFonts w:eastAsiaTheme="minorEastAsia"/>
          <w:bCs/>
          <w:color w:val="000000" w:themeColor="text1"/>
          <w14:textFill>
            <w14:solidFill>
              <w14:schemeClr w14:val="tx1"/>
            </w14:solidFill>
          </w14:textFill>
        </w:rPr>
        <w:t>年度部门收入年初预算</w:t>
      </w:r>
      <w:r>
        <w:rPr>
          <w:rFonts w:hint="eastAsia" w:eastAsiaTheme="minorEastAsia"/>
          <w:bCs/>
          <w:color w:val="000000" w:themeColor="text1"/>
          <w14:textFill>
            <w14:solidFill>
              <w14:schemeClr w14:val="tx1"/>
            </w14:solidFill>
          </w14:textFill>
        </w:rPr>
        <w:t>282</w:t>
      </w:r>
      <w:r>
        <w:rPr>
          <w:rFonts w:hint="eastAsia" w:eastAsiaTheme="minorEastAsia"/>
          <w:bCs/>
          <w:color w:val="000000" w:themeColor="text1"/>
          <w:lang w:val="en-US" w:eastAsia="zh-CN"/>
          <w14:textFill>
            <w14:solidFill>
              <w14:schemeClr w14:val="tx1"/>
            </w14:solidFill>
          </w14:textFill>
        </w:rPr>
        <w:t>.</w:t>
      </w:r>
      <w:r>
        <w:rPr>
          <w:rFonts w:hint="eastAsia" w:eastAsiaTheme="minorEastAsia"/>
          <w:bCs/>
          <w:color w:val="000000" w:themeColor="text1"/>
          <w14:textFill>
            <w14:solidFill>
              <w14:schemeClr w14:val="tx1"/>
            </w14:solidFill>
          </w14:textFill>
        </w:rPr>
        <w:t>4</w:t>
      </w:r>
      <w:r>
        <w:rPr>
          <w:rFonts w:hint="eastAsia" w:eastAsiaTheme="minorEastAsia"/>
          <w:bCs/>
          <w:color w:val="000000" w:themeColor="text1"/>
          <w:lang w:val="en-US" w:eastAsia="zh-CN"/>
          <w14:textFill>
            <w14:solidFill>
              <w14:schemeClr w14:val="tx1"/>
            </w14:solidFill>
          </w14:textFill>
        </w:rPr>
        <w:t>2</w:t>
      </w:r>
      <w:r>
        <w:rPr>
          <w:rFonts w:eastAsiaTheme="minorEastAsia"/>
          <w:bCs/>
          <w:color w:val="000000" w:themeColor="text1"/>
          <w14:textFill>
            <w14:solidFill>
              <w14:schemeClr w14:val="tx1"/>
            </w14:solidFill>
          </w14:textFill>
        </w:rPr>
        <w:t>万元，其中：一般公共预算财政拨款收入</w:t>
      </w:r>
      <w:r>
        <w:rPr>
          <w:rFonts w:hint="eastAsia" w:eastAsiaTheme="minorEastAsia"/>
          <w:bCs/>
          <w:color w:val="000000" w:themeColor="text1"/>
          <w14:textFill>
            <w14:solidFill>
              <w14:schemeClr w14:val="tx1"/>
            </w14:solidFill>
          </w14:textFill>
        </w:rPr>
        <w:t>265</w:t>
      </w:r>
      <w:r>
        <w:rPr>
          <w:rFonts w:hint="eastAsia" w:eastAsiaTheme="minorEastAsia"/>
          <w:bCs/>
          <w:color w:val="000000" w:themeColor="text1"/>
          <w:lang w:val="en-US" w:eastAsia="zh-CN"/>
          <w14:textFill>
            <w14:solidFill>
              <w14:schemeClr w14:val="tx1"/>
            </w14:solidFill>
          </w14:textFill>
        </w:rPr>
        <w:t>.</w:t>
      </w:r>
      <w:r>
        <w:rPr>
          <w:rFonts w:hint="eastAsia" w:eastAsiaTheme="minorEastAsia"/>
          <w:bCs/>
          <w:color w:val="000000" w:themeColor="text1"/>
          <w14:textFill>
            <w14:solidFill>
              <w14:schemeClr w14:val="tx1"/>
            </w14:solidFill>
          </w14:textFill>
        </w:rPr>
        <w:t>67</w:t>
      </w:r>
      <w:r>
        <w:rPr>
          <w:rFonts w:eastAsiaTheme="minorEastAsia"/>
          <w:bCs/>
          <w:color w:val="000000" w:themeColor="text1"/>
          <w14:textFill>
            <w14:solidFill>
              <w14:schemeClr w14:val="tx1"/>
            </w14:solidFill>
          </w14:textFill>
        </w:rPr>
        <w:t>万元，其他收入</w:t>
      </w:r>
      <w:r>
        <w:rPr>
          <w:rFonts w:hint="eastAsia" w:eastAsiaTheme="minorEastAsia"/>
          <w:bCs/>
          <w:color w:val="000000" w:themeColor="text1"/>
          <w:lang w:val="en-US" w:eastAsia="zh-CN"/>
          <w14:textFill>
            <w14:solidFill>
              <w14:schemeClr w14:val="tx1"/>
            </w14:solidFill>
          </w14:textFill>
        </w:rPr>
        <w:t>16.75</w:t>
      </w:r>
      <w:r>
        <w:rPr>
          <w:rFonts w:eastAsiaTheme="minorEastAsia"/>
          <w:bCs/>
          <w:color w:val="000000" w:themeColor="text1"/>
          <w14:textFill>
            <w14:solidFill>
              <w14:schemeClr w14:val="tx1"/>
            </w14:solidFill>
          </w14:textFill>
        </w:rPr>
        <w:t>万元。调整后部门</w:t>
      </w:r>
      <w:r>
        <w:rPr>
          <w:rFonts w:hint="eastAsia" w:eastAsiaTheme="minorEastAsia"/>
          <w:bCs/>
          <w:color w:val="000000" w:themeColor="text1"/>
          <w:lang w:val="en-US" w:eastAsia="zh-CN"/>
          <w14:textFill>
            <w14:solidFill>
              <w14:schemeClr w14:val="tx1"/>
            </w14:solidFill>
          </w14:textFill>
        </w:rPr>
        <w:t>全年</w:t>
      </w:r>
      <w:r>
        <w:rPr>
          <w:rFonts w:eastAsiaTheme="minorEastAsia"/>
          <w:bCs/>
          <w:color w:val="000000" w:themeColor="text1"/>
          <w14:textFill>
            <w14:solidFill>
              <w14:schemeClr w14:val="tx1"/>
            </w14:solidFill>
          </w14:textFill>
        </w:rPr>
        <w:t>收入预算为</w:t>
      </w:r>
      <w:r>
        <w:rPr>
          <w:rFonts w:hint="eastAsia" w:eastAsiaTheme="minorEastAsia"/>
          <w:bCs/>
          <w:color w:val="000000" w:themeColor="text1"/>
          <w14:textFill>
            <w14:solidFill>
              <w14:schemeClr w14:val="tx1"/>
            </w14:solidFill>
          </w14:textFill>
        </w:rPr>
        <w:t>423</w:t>
      </w:r>
      <w:r>
        <w:rPr>
          <w:rFonts w:hint="eastAsia" w:eastAsiaTheme="minorEastAsia"/>
          <w:bCs/>
          <w:color w:val="000000" w:themeColor="text1"/>
          <w:lang w:val="en-US" w:eastAsia="zh-CN"/>
          <w14:textFill>
            <w14:solidFill>
              <w14:schemeClr w14:val="tx1"/>
            </w14:solidFill>
          </w14:textFill>
        </w:rPr>
        <w:t>.</w:t>
      </w:r>
      <w:r>
        <w:rPr>
          <w:rFonts w:hint="eastAsia" w:eastAsiaTheme="minorEastAsia"/>
          <w:bCs/>
          <w:color w:val="000000" w:themeColor="text1"/>
          <w14:textFill>
            <w14:solidFill>
              <w14:schemeClr w14:val="tx1"/>
            </w14:solidFill>
          </w14:textFill>
        </w:rPr>
        <w:t>03</w:t>
      </w:r>
      <w:r>
        <w:rPr>
          <w:rFonts w:eastAsiaTheme="minorEastAsia"/>
          <w:bCs/>
          <w:color w:val="000000" w:themeColor="text1"/>
          <w14:textFill>
            <w14:solidFill>
              <w14:schemeClr w14:val="tx1"/>
            </w14:solidFill>
          </w14:textFill>
        </w:rPr>
        <w:t>万元，其中：一般公共预算财政拨款收入为</w:t>
      </w:r>
      <w:r>
        <w:rPr>
          <w:rFonts w:hint="eastAsia" w:eastAsiaTheme="minorEastAsia"/>
          <w:bCs/>
          <w:color w:val="000000" w:themeColor="text1"/>
          <w14:textFill>
            <w14:solidFill>
              <w14:schemeClr w14:val="tx1"/>
            </w14:solidFill>
          </w14:textFill>
        </w:rPr>
        <w:t>399</w:t>
      </w:r>
      <w:r>
        <w:rPr>
          <w:rFonts w:hint="eastAsia" w:eastAsiaTheme="minorEastAsia"/>
          <w:bCs/>
          <w:color w:val="000000" w:themeColor="text1"/>
          <w:lang w:val="en-US" w:eastAsia="zh-CN"/>
          <w14:textFill>
            <w14:solidFill>
              <w14:schemeClr w14:val="tx1"/>
            </w14:solidFill>
          </w14:textFill>
        </w:rPr>
        <w:t>.</w:t>
      </w:r>
      <w:r>
        <w:rPr>
          <w:rFonts w:hint="eastAsia" w:eastAsiaTheme="minorEastAsia"/>
          <w:bCs/>
          <w:color w:val="000000" w:themeColor="text1"/>
          <w14:textFill>
            <w14:solidFill>
              <w14:schemeClr w14:val="tx1"/>
            </w14:solidFill>
          </w14:textFill>
        </w:rPr>
        <w:t>9</w:t>
      </w:r>
      <w:r>
        <w:rPr>
          <w:rFonts w:hint="eastAsia" w:eastAsiaTheme="minorEastAsia"/>
          <w:bCs/>
          <w:color w:val="000000" w:themeColor="text1"/>
          <w:lang w:val="en-US" w:eastAsia="zh-CN"/>
          <w14:textFill>
            <w14:solidFill>
              <w14:schemeClr w14:val="tx1"/>
            </w14:solidFill>
          </w14:textFill>
        </w:rPr>
        <w:t>5</w:t>
      </w:r>
      <w:r>
        <w:rPr>
          <w:rFonts w:eastAsiaTheme="minorEastAsia"/>
          <w:bCs/>
          <w:color w:val="000000" w:themeColor="text1"/>
          <w14:textFill>
            <w14:solidFill>
              <w14:schemeClr w14:val="tx1"/>
            </w14:solidFill>
          </w14:textFill>
        </w:rPr>
        <w:t>万元，其他收入</w:t>
      </w:r>
      <w:r>
        <w:rPr>
          <w:rFonts w:hint="eastAsia" w:eastAsiaTheme="minorEastAsia"/>
          <w:bCs/>
          <w:color w:val="000000" w:themeColor="text1"/>
          <w14:textFill>
            <w14:solidFill>
              <w14:schemeClr w14:val="tx1"/>
            </w14:solidFill>
          </w14:textFill>
        </w:rPr>
        <w:t>20</w:t>
      </w:r>
      <w:r>
        <w:rPr>
          <w:rFonts w:hint="eastAsia" w:eastAsiaTheme="minorEastAsia"/>
          <w:bCs/>
          <w:color w:val="000000" w:themeColor="text1"/>
          <w:lang w:val="en-US" w:eastAsia="zh-CN"/>
          <w14:textFill>
            <w14:solidFill>
              <w14:schemeClr w14:val="tx1"/>
            </w14:solidFill>
          </w14:textFill>
        </w:rPr>
        <w:t>.</w:t>
      </w:r>
      <w:r>
        <w:rPr>
          <w:rFonts w:hint="eastAsia" w:eastAsiaTheme="minorEastAsia"/>
          <w:bCs/>
          <w:color w:val="000000" w:themeColor="text1"/>
          <w14:textFill>
            <w14:solidFill>
              <w14:schemeClr w14:val="tx1"/>
            </w14:solidFill>
          </w14:textFill>
        </w:rPr>
        <w:t>73</w:t>
      </w:r>
      <w:r>
        <w:rPr>
          <w:rFonts w:eastAsiaTheme="minorEastAsia"/>
          <w:bCs/>
          <w:color w:val="000000" w:themeColor="text1"/>
          <w14:textFill>
            <w14:solidFill>
              <w14:schemeClr w14:val="tx1"/>
            </w14:solidFill>
          </w14:textFill>
        </w:rPr>
        <w:t>万元</w:t>
      </w:r>
      <w:r>
        <w:rPr>
          <w:rFonts w:hint="eastAsia" w:eastAsiaTheme="minorEastAsia"/>
          <w:bCs/>
          <w:color w:val="000000" w:themeColor="text1"/>
          <w:lang w:val="en-US" w:eastAsia="zh-CN"/>
          <w14:textFill>
            <w14:solidFill>
              <w14:schemeClr w14:val="tx1"/>
            </w14:solidFill>
          </w14:textFill>
        </w:rPr>
        <w:t>，年初结转和结余2.35万元。</w:t>
      </w:r>
      <w:r>
        <w:rPr>
          <w:rFonts w:hint="eastAsia" w:eastAsiaTheme="minorEastAsia"/>
          <w:bCs/>
          <w:color w:val="000000" w:themeColor="text1"/>
          <w14:textFill>
            <w14:solidFill>
              <w14:schemeClr w14:val="tx1"/>
            </w14:solidFill>
          </w14:textFill>
        </w:rPr>
        <w:t>调增140</w:t>
      </w:r>
      <w:r>
        <w:rPr>
          <w:rFonts w:hint="eastAsia" w:eastAsiaTheme="minorEastAsia"/>
          <w:bCs/>
          <w:color w:val="000000" w:themeColor="text1"/>
          <w:lang w:val="en-US" w:eastAsia="zh-CN"/>
          <w14:textFill>
            <w14:solidFill>
              <w14:schemeClr w14:val="tx1"/>
            </w14:solidFill>
          </w14:textFill>
        </w:rPr>
        <w:t>.</w:t>
      </w:r>
      <w:r>
        <w:rPr>
          <w:rFonts w:hint="eastAsia" w:eastAsiaTheme="minorEastAsia"/>
          <w:bCs/>
          <w:color w:val="000000" w:themeColor="text1"/>
          <w14:textFill>
            <w14:solidFill>
              <w14:schemeClr w14:val="tx1"/>
            </w14:solidFill>
          </w14:textFill>
        </w:rPr>
        <w:t>61</w:t>
      </w:r>
      <w:r>
        <w:rPr>
          <w:rFonts w:eastAsiaTheme="minorEastAsia"/>
          <w:bCs/>
          <w:color w:val="000000" w:themeColor="text1"/>
          <w14:textFill>
            <w14:solidFill>
              <w14:schemeClr w14:val="tx1"/>
            </w14:solidFill>
          </w14:textFill>
        </w:rPr>
        <w:t>万元，收入预算调整率为</w:t>
      </w:r>
      <w:r>
        <w:rPr>
          <w:rFonts w:hint="eastAsia" w:eastAsiaTheme="minorEastAsia"/>
          <w:bCs/>
          <w:color w:val="000000" w:themeColor="text1"/>
          <w:lang w:val="en-US" w:eastAsia="zh-CN"/>
          <w14:textFill>
            <w14:solidFill>
              <w14:schemeClr w14:val="tx1"/>
            </w14:solidFill>
          </w14:textFill>
        </w:rPr>
        <w:t>49.79</w:t>
      </w:r>
      <w:r>
        <w:rPr>
          <w:rFonts w:eastAsiaTheme="minorEastAsia"/>
          <w:color w:val="000000" w:themeColor="text1"/>
          <w:lang w:bidi="ar"/>
          <w14:textFill>
            <w14:solidFill>
              <w14:schemeClr w14:val="tx1"/>
            </w14:solidFill>
          </w14:textFill>
        </w:rPr>
        <w:t>%</w:t>
      </w:r>
      <w:r>
        <w:rPr>
          <w:rFonts w:hint="eastAsia" w:eastAsiaTheme="minorEastAsia"/>
          <w:color w:val="000000" w:themeColor="text1"/>
          <w:lang w:eastAsia="zh-CN" w:bidi="ar"/>
          <w14:textFill>
            <w14:solidFill>
              <w14:schemeClr w14:val="tx1"/>
            </w14:solidFill>
          </w14:textFill>
        </w:rPr>
        <w:t>。</w:t>
      </w:r>
      <w:r>
        <w:rPr>
          <w:color w:val="000000" w:themeColor="text1"/>
          <w14:textFill>
            <w14:solidFill>
              <w14:schemeClr w14:val="tx1"/>
            </w14:solidFill>
          </w14:textFill>
        </w:rPr>
        <w:t>具体情况见下表：</w:t>
      </w:r>
    </w:p>
    <w:p w14:paraId="22691592">
      <w:pPr>
        <w:ind w:firstLine="422"/>
        <w:jc w:val="center"/>
        <w:rPr>
          <w:rFonts w:hint="eastAsia" w:ascii="黑体" w:hAnsi="黑体" w:eastAsia="黑体" w:cs="黑体"/>
          <w:b w:val="0"/>
          <w:bCs w:val="0"/>
          <w:color w:val="000000" w:themeColor="text1"/>
          <w14:textFill>
            <w14:solidFill>
              <w14:schemeClr w14:val="tx1"/>
            </w14:solidFill>
          </w14:textFill>
        </w:rPr>
      </w:pPr>
      <w:r>
        <w:rPr>
          <w:rFonts w:hint="eastAsia" w:ascii="黑体" w:hAnsi="黑体" w:eastAsia="黑体" w:cs="黑体"/>
          <w:b w:val="0"/>
          <w:bCs w:val="0"/>
          <w:color w:val="000000" w:themeColor="text1"/>
          <w14:textFill>
            <w14:solidFill>
              <w14:schemeClr w14:val="tx1"/>
            </w14:solidFill>
          </w14:textFill>
        </w:rPr>
        <w:t>表1-1</w:t>
      </w:r>
      <w:r>
        <w:rPr>
          <w:rFonts w:hint="eastAsia" w:ascii="黑体" w:hAnsi="黑体" w:eastAsia="黑体" w:cs="黑体"/>
          <w:b w:val="0"/>
          <w:bCs w:val="0"/>
          <w:color w:val="000000" w:themeColor="text1"/>
          <w:lang w:eastAsia="zh-CN"/>
          <w14:textFill>
            <w14:solidFill>
              <w14:schemeClr w14:val="tx1"/>
            </w14:solidFill>
          </w14:textFill>
        </w:rPr>
        <w:t>:2024</w:t>
      </w:r>
      <w:r>
        <w:rPr>
          <w:rFonts w:hint="eastAsia" w:ascii="黑体" w:hAnsi="黑体" w:eastAsia="黑体" w:cs="黑体"/>
          <w:b w:val="0"/>
          <w:bCs w:val="0"/>
          <w:color w:val="000000" w:themeColor="text1"/>
          <w14:textFill>
            <w14:solidFill>
              <w14:schemeClr w14:val="tx1"/>
            </w14:solidFill>
          </w14:textFill>
        </w:rPr>
        <w:t>年部门预算收入情况表</w:t>
      </w:r>
    </w:p>
    <w:p w14:paraId="27A8CBDD">
      <w:pPr>
        <w:ind w:firstLine="0" w:firstLineChars="0"/>
        <w:jc w:val="right"/>
        <w:rPr>
          <w:color w:val="000000" w:themeColor="text1"/>
          <w14:textFill>
            <w14:solidFill>
              <w14:schemeClr w14:val="tx1"/>
            </w14:solidFill>
          </w14:textFill>
        </w:rPr>
      </w:pPr>
      <w:r>
        <w:rPr>
          <w:color w:val="000000" w:themeColor="text1"/>
          <w14:textFill>
            <w14:solidFill>
              <w14:schemeClr w14:val="tx1"/>
            </w14:solidFill>
          </w14:textFill>
        </w:rPr>
        <w:t>单位：</w:t>
      </w:r>
      <w:r>
        <w:rPr>
          <w:rFonts w:hint="eastAsia"/>
          <w:color w:val="000000" w:themeColor="text1"/>
          <w:lang w:val="en-US" w:eastAsia="zh-CN"/>
          <w14:textFill>
            <w14:solidFill>
              <w14:schemeClr w14:val="tx1"/>
            </w14:solidFill>
          </w14:textFill>
        </w:rPr>
        <w:t>万</w:t>
      </w:r>
      <w:r>
        <w:rPr>
          <w:color w:val="000000" w:themeColor="text1"/>
          <w14:textFill>
            <w14:solidFill>
              <w14:schemeClr w14:val="tx1"/>
            </w14:solidFill>
          </w14:textFill>
        </w:rPr>
        <w:t>元</w:t>
      </w:r>
    </w:p>
    <w:tbl>
      <w:tblPr>
        <w:tblStyle w:val="2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087"/>
        <w:gridCol w:w="1478"/>
        <w:gridCol w:w="1478"/>
        <w:gridCol w:w="1482"/>
      </w:tblGrid>
      <w:tr w14:paraId="0A424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blHeader/>
        </w:trPr>
        <w:tc>
          <w:tcPr>
            <w:tcW w:w="2397" w:type="pct"/>
            <w:shd w:val="clear" w:color="auto" w:fill="FFFFFF"/>
            <w:noWrap/>
            <w:vAlign w:val="center"/>
          </w:tcPr>
          <w:p w14:paraId="59832AE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18"/>
                <w:szCs w:val="18"/>
                <w:highlight w:val="none"/>
                <w:u w:val="none"/>
                <w:lang w:val="en-US" w:eastAsia="zh-CN" w:bidi="ar"/>
                <w14:textFill>
                  <w14:solidFill>
                    <w14:schemeClr w14:val="tx1"/>
                  </w14:solidFill>
                </w14:textFill>
              </w:rPr>
              <w:t>项目</w:t>
            </w:r>
          </w:p>
        </w:tc>
        <w:tc>
          <w:tcPr>
            <w:tcW w:w="867" w:type="pct"/>
            <w:shd w:val="clear" w:color="auto" w:fill="FFFFFF"/>
            <w:noWrap/>
            <w:vAlign w:val="center"/>
          </w:tcPr>
          <w:p w14:paraId="18AE222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18"/>
                <w:szCs w:val="18"/>
                <w:highlight w:val="none"/>
                <w:u w:val="none"/>
                <w:lang w:val="en-US" w:eastAsia="zh-CN" w:bidi="ar"/>
                <w14:textFill>
                  <w14:solidFill>
                    <w14:schemeClr w14:val="tx1"/>
                  </w14:solidFill>
                </w14:textFill>
              </w:rPr>
              <w:t>年初预算数</w:t>
            </w:r>
          </w:p>
        </w:tc>
        <w:tc>
          <w:tcPr>
            <w:tcW w:w="867" w:type="pct"/>
            <w:shd w:val="clear" w:color="auto" w:fill="FFFFFF"/>
            <w:noWrap/>
            <w:vAlign w:val="center"/>
          </w:tcPr>
          <w:p w14:paraId="05359ED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18"/>
                <w:szCs w:val="18"/>
                <w:highlight w:val="none"/>
                <w:u w:val="none"/>
                <w:lang w:val="en-US" w:eastAsia="zh-CN" w:bidi="ar"/>
                <w14:textFill>
                  <w14:solidFill>
                    <w14:schemeClr w14:val="tx1"/>
                  </w14:solidFill>
                </w14:textFill>
              </w:rPr>
              <w:t>全年预算数</w:t>
            </w:r>
          </w:p>
        </w:tc>
        <w:tc>
          <w:tcPr>
            <w:tcW w:w="867" w:type="pct"/>
            <w:shd w:val="clear" w:color="auto" w:fill="FFFFFF"/>
            <w:noWrap/>
            <w:vAlign w:val="center"/>
          </w:tcPr>
          <w:p w14:paraId="04364B2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18"/>
                <w:szCs w:val="18"/>
                <w:highlight w:val="none"/>
                <w:u w:val="none"/>
                <w:lang w:val="en-US" w:eastAsia="zh-CN" w:bidi="ar"/>
                <w14:textFill>
                  <w14:solidFill>
                    <w14:schemeClr w14:val="tx1"/>
                  </w14:solidFill>
                </w14:textFill>
              </w:rPr>
              <w:t>预算调整率</w:t>
            </w:r>
          </w:p>
        </w:tc>
      </w:tr>
      <w:tr w14:paraId="4206BC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397" w:type="pct"/>
            <w:shd w:val="clear" w:color="auto" w:fill="FFFFFF"/>
            <w:noWrap/>
            <w:vAlign w:val="center"/>
          </w:tcPr>
          <w:p w14:paraId="0AE14543">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一、一般公共预算财政拨款收入</w:t>
            </w:r>
          </w:p>
        </w:tc>
        <w:tc>
          <w:tcPr>
            <w:tcW w:w="867" w:type="pct"/>
            <w:shd w:val="clear" w:color="auto" w:fill="FFFFFF"/>
            <w:noWrap/>
            <w:vAlign w:val="center"/>
          </w:tcPr>
          <w:p w14:paraId="3CB8DC0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highlight w:val="none"/>
                <w:u w:val="none"/>
                <w:lang w:val="en-US" w:eastAsia="zh-CN" w:bidi="ar"/>
                <w14:textFill>
                  <w14:solidFill>
                    <w14:schemeClr w14:val="tx1"/>
                  </w14:solidFill>
                </w14:textFill>
              </w:rPr>
              <w:t>265.67</w:t>
            </w:r>
          </w:p>
        </w:tc>
        <w:tc>
          <w:tcPr>
            <w:tcW w:w="867" w:type="pct"/>
            <w:shd w:val="clear" w:color="auto" w:fill="FFFFFF"/>
            <w:noWrap/>
            <w:vAlign w:val="center"/>
          </w:tcPr>
          <w:p w14:paraId="2DBC27D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highlight w:val="none"/>
                <w:u w:val="none"/>
                <w:lang w:val="en-US" w:eastAsia="zh-CN" w:bidi="ar"/>
                <w14:textFill>
                  <w14:solidFill>
                    <w14:schemeClr w14:val="tx1"/>
                  </w14:solidFill>
                </w14:textFill>
              </w:rPr>
              <w:t>399.95</w:t>
            </w:r>
          </w:p>
        </w:tc>
        <w:tc>
          <w:tcPr>
            <w:tcW w:w="867" w:type="pct"/>
            <w:shd w:val="clear" w:color="auto" w:fill="FFFFFF"/>
            <w:noWrap/>
            <w:vAlign w:val="center"/>
          </w:tcPr>
          <w:p w14:paraId="338736B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highlight w:val="none"/>
                <w:u w:val="none"/>
                <w:lang w:val="en-US" w:eastAsia="zh-CN" w:bidi="ar"/>
                <w14:textFill>
                  <w14:solidFill>
                    <w14:schemeClr w14:val="tx1"/>
                  </w14:solidFill>
                </w14:textFill>
              </w:rPr>
              <w:t>50.54%</w:t>
            </w:r>
          </w:p>
        </w:tc>
      </w:tr>
      <w:tr w14:paraId="40B1C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397" w:type="pct"/>
            <w:shd w:val="clear" w:color="auto" w:fill="FFFFFF"/>
            <w:noWrap/>
            <w:vAlign w:val="center"/>
          </w:tcPr>
          <w:p w14:paraId="7582956E">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二、政府性基金预算财政拨款收入</w:t>
            </w:r>
          </w:p>
        </w:tc>
        <w:tc>
          <w:tcPr>
            <w:tcW w:w="867" w:type="pct"/>
            <w:shd w:val="clear" w:color="auto" w:fill="FFFFFF"/>
            <w:noWrap/>
            <w:vAlign w:val="center"/>
          </w:tcPr>
          <w:p w14:paraId="2D12E9FB">
            <w:pPr>
              <w:keepNext w:val="0"/>
              <w:keepLines w:val="0"/>
              <w:pageBreakBefore w:val="0"/>
              <w:widowControl/>
              <w:kinsoku/>
              <w:wordWrap/>
              <w:overflowPunct/>
              <w:topLinePunct w:val="0"/>
              <w:autoSpaceDE/>
              <w:autoSpaceDN/>
              <w:bidi w:val="0"/>
              <w:spacing w:line="240" w:lineRule="auto"/>
              <w:ind w:firstLine="0" w:firstLineChars="0"/>
              <w:jc w:val="right"/>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p>
        </w:tc>
        <w:tc>
          <w:tcPr>
            <w:tcW w:w="867" w:type="pct"/>
            <w:shd w:val="clear" w:color="auto" w:fill="FFFFFF"/>
            <w:noWrap/>
            <w:vAlign w:val="center"/>
          </w:tcPr>
          <w:p w14:paraId="19A20B36">
            <w:pPr>
              <w:keepNext w:val="0"/>
              <w:keepLines w:val="0"/>
              <w:pageBreakBefore w:val="0"/>
              <w:widowControl/>
              <w:kinsoku/>
              <w:wordWrap/>
              <w:overflowPunct/>
              <w:topLinePunct w:val="0"/>
              <w:autoSpaceDE/>
              <w:autoSpaceDN/>
              <w:bidi w:val="0"/>
              <w:spacing w:line="240" w:lineRule="auto"/>
              <w:ind w:firstLine="0" w:firstLineChars="0"/>
              <w:jc w:val="right"/>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p>
        </w:tc>
        <w:tc>
          <w:tcPr>
            <w:tcW w:w="867" w:type="pct"/>
            <w:shd w:val="clear" w:color="auto" w:fill="FFFFFF"/>
            <w:noWrap/>
            <w:vAlign w:val="center"/>
          </w:tcPr>
          <w:p w14:paraId="32A0A96D">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p>
        </w:tc>
      </w:tr>
      <w:tr w14:paraId="3AC8F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397" w:type="pct"/>
            <w:shd w:val="clear" w:color="auto" w:fill="FFFFFF"/>
            <w:noWrap/>
            <w:vAlign w:val="center"/>
          </w:tcPr>
          <w:p w14:paraId="62B8809C">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三、国有资本经营预算财政拨款收入</w:t>
            </w:r>
          </w:p>
        </w:tc>
        <w:tc>
          <w:tcPr>
            <w:tcW w:w="867" w:type="pct"/>
            <w:shd w:val="clear" w:color="auto" w:fill="FFFFFF"/>
            <w:noWrap/>
            <w:vAlign w:val="center"/>
          </w:tcPr>
          <w:p w14:paraId="2A09402D">
            <w:pPr>
              <w:keepNext w:val="0"/>
              <w:keepLines w:val="0"/>
              <w:pageBreakBefore w:val="0"/>
              <w:widowControl/>
              <w:kinsoku/>
              <w:wordWrap/>
              <w:overflowPunct/>
              <w:topLinePunct w:val="0"/>
              <w:autoSpaceDE/>
              <w:autoSpaceDN/>
              <w:bidi w:val="0"/>
              <w:spacing w:line="240" w:lineRule="auto"/>
              <w:ind w:firstLine="0" w:firstLineChars="0"/>
              <w:jc w:val="right"/>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p>
        </w:tc>
        <w:tc>
          <w:tcPr>
            <w:tcW w:w="867" w:type="pct"/>
            <w:shd w:val="clear" w:color="auto" w:fill="FFFFFF"/>
            <w:noWrap/>
            <w:vAlign w:val="center"/>
          </w:tcPr>
          <w:p w14:paraId="31602E66">
            <w:pPr>
              <w:keepNext w:val="0"/>
              <w:keepLines w:val="0"/>
              <w:pageBreakBefore w:val="0"/>
              <w:widowControl/>
              <w:kinsoku/>
              <w:wordWrap/>
              <w:overflowPunct/>
              <w:topLinePunct w:val="0"/>
              <w:autoSpaceDE/>
              <w:autoSpaceDN/>
              <w:bidi w:val="0"/>
              <w:spacing w:line="240" w:lineRule="auto"/>
              <w:ind w:firstLine="0" w:firstLineChars="0"/>
              <w:jc w:val="right"/>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p>
        </w:tc>
        <w:tc>
          <w:tcPr>
            <w:tcW w:w="867" w:type="pct"/>
            <w:shd w:val="clear" w:color="auto" w:fill="FFFFFF"/>
            <w:noWrap/>
            <w:vAlign w:val="center"/>
          </w:tcPr>
          <w:p w14:paraId="7CEC7364">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p>
        </w:tc>
      </w:tr>
      <w:tr w14:paraId="2108D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397" w:type="pct"/>
            <w:shd w:val="clear" w:color="auto" w:fill="FFFFFF"/>
            <w:noWrap/>
            <w:vAlign w:val="center"/>
          </w:tcPr>
          <w:p w14:paraId="4F6EF62F">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四、上级补助收入</w:t>
            </w:r>
          </w:p>
        </w:tc>
        <w:tc>
          <w:tcPr>
            <w:tcW w:w="867" w:type="pct"/>
            <w:shd w:val="clear" w:color="auto" w:fill="FFFFFF"/>
            <w:noWrap/>
            <w:vAlign w:val="center"/>
          </w:tcPr>
          <w:p w14:paraId="7CF7F6E2">
            <w:pPr>
              <w:keepNext w:val="0"/>
              <w:keepLines w:val="0"/>
              <w:pageBreakBefore w:val="0"/>
              <w:widowControl/>
              <w:kinsoku/>
              <w:wordWrap/>
              <w:overflowPunct/>
              <w:topLinePunct w:val="0"/>
              <w:autoSpaceDE/>
              <w:autoSpaceDN/>
              <w:bidi w:val="0"/>
              <w:spacing w:line="240" w:lineRule="auto"/>
              <w:ind w:firstLine="0" w:firstLineChars="0"/>
              <w:jc w:val="right"/>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p>
        </w:tc>
        <w:tc>
          <w:tcPr>
            <w:tcW w:w="867" w:type="pct"/>
            <w:shd w:val="clear" w:color="auto" w:fill="FFFFFF"/>
            <w:noWrap/>
            <w:vAlign w:val="center"/>
          </w:tcPr>
          <w:p w14:paraId="512EC3A6">
            <w:pPr>
              <w:keepNext w:val="0"/>
              <w:keepLines w:val="0"/>
              <w:pageBreakBefore w:val="0"/>
              <w:widowControl/>
              <w:kinsoku/>
              <w:wordWrap/>
              <w:overflowPunct/>
              <w:topLinePunct w:val="0"/>
              <w:autoSpaceDE/>
              <w:autoSpaceDN/>
              <w:bidi w:val="0"/>
              <w:spacing w:line="240" w:lineRule="auto"/>
              <w:ind w:firstLine="0" w:firstLineChars="0"/>
              <w:jc w:val="right"/>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p>
        </w:tc>
        <w:tc>
          <w:tcPr>
            <w:tcW w:w="867" w:type="pct"/>
            <w:shd w:val="clear" w:color="auto" w:fill="FFFFFF"/>
            <w:noWrap/>
            <w:vAlign w:val="center"/>
          </w:tcPr>
          <w:p w14:paraId="3C4B93FA">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p>
        </w:tc>
      </w:tr>
      <w:tr w14:paraId="6D474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397" w:type="pct"/>
            <w:shd w:val="clear" w:color="auto" w:fill="FFFFFF"/>
            <w:noWrap/>
            <w:vAlign w:val="center"/>
          </w:tcPr>
          <w:p w14:paraId="2662ECB0">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五、事业收入</w:t>
            </w:r>
          </w:p>
        </w:tc>
        <w:tc>
          <w:tcPr>
            <w:tcW w:w="867" w:type="pct"/>
            <w:shd w:val="clear" w:color="auto" w:fill="FFFFFF"/>
            <w:noWrap/>
            <w:vAlign w:val="center"/>
          </w:tcPr>
          <w:p w14:paraId="47FB7A7B">
            <w:pPr>
              <w:keepNext w:val="0"/>
              <w:keepLines w:val="0"/>
              <w:pageBreakBefore w:val="0"/>
              <w:widowControl/>
              <w:kinsoku/>
              <w:wordWrap/>
              <w:overflowPunct/>
              <w:topLinePunct w:val="0"/>
              <w:autoSpaceDE/>
              <w:autoSpaceDN/>
              <w:bidi w:val="0"/>
              <w:spacing w:line="240" w:lineRule="auto"/>
              <w:ind w:firstLine="0" w:firstLineChars="0"/>
              <w:jc w:val="right"/>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p>
        </w:tc>
        <w:tc>
          <w:tcPr>
            <w:tcW w:w="867" w:type="pct"/>
            <w:shd w:val="clear" w:color="auto" w:fill="FFFFFF"/>
            <w:noWrap/>
            <w:vAlign w:val="center"/>
          </w:tcPr>
          <w:p w14:paraId="400F1D3D">
            <w:pPr>
              <w:keepNext w:val="0"/>
              <w:keepLines w:val="0"/>
              <w:pageBreakBefore w:val="0"/>
              <w:widowControl/>
              <w:kinsoku/>
              <w:wordWrap/>
              <w:overflowPunct/>
              <w:topLinePunct w:val="0"/>
              <w:autoSpaceDE/>
              <w:autoSpaceDN/>
              <w:bidi w:val="0"/>
              <w:spacing w:line="240" w:lineRule="auto"/>
              <w:ind w:firstLine="0" w:firstLineChars="0"/>
              <w:jc w:val="right"/>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p>
        </w:tc>
        <w:tc>
          <w:tcPr>
            <w:tcW w:w="867" w:type="pct"/>
            <w:shd w:val="clear" w:color="auto" w:fill="FFFFFF"/>
            <w:noWrap/>
            <w:vAlign w:val="center"/>
          </w:tcPr>
          <w:p w14:paraId="5811592E">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p>
        </w:tc>
      </w:tr>
      <w:tr w14:paraId="4688DA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397" w:type="pct"/>
            <w:shd w:val="clear" w:color="auto" w:fill="FFFFFF"/>
            <w:noWrap/>
            <w:vAlign w:val="center"/>
          </w:tcPr>
          <w:p w14:paraId="5B8565B0">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六、经营收入</w:t>
            </w:r>
          </w:p>
        </w:tc>
        <w:tc>
          <w:tcPr>
            <w:tcW w:w="867" w:type="pct"/>
            <w:shd w:val="clear" w:color="auto" w:fill="FFFFFF"/>
            <w:noWrap/>
            <w:vAlign w:val="center"/>
          </w:tcPr>
          <w:p w14:paraId="598DC374">
            <w:pPr>
              <w:keepNext w:val="0"/>
              <w:keepLines w:val="0"/>
              <w:pageBreakBefore w:val="0"/>
              <w:widowControl/>
              <w:kinsoku/>
              <w:wordWrap/>
              <w:overflowPunct/>
              <w:topLinePunct w:val="0"/>
              <w:autoSpaceDE/>
              <w:autoSpaceDN/>
              <w:bidi w:val="0"/>
              <w:spacing w:line="240" w:lineRule="auto"/>
              <w:ind w:firstLine="0" w:firstLineChars="0"/>
              <w:jc w:val="right"/>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p>
        </w:tc>
        <w:tc>
          <w:tcPr>
            <w:tcW w:w="867" w:type="pct"/>
            <w:shd w:val="clear" w:color="auto" w:fill="FFFFFF"/>
            <w:noWrap/>
            <w:vAlign w:val="center"/>
          </w:tcPr>
          <w:p w14:paraId="13678A67">
            <w:pPr>
              <w:keepNext w:val="0"/>
              <w:keepLines w:val="0"/>
              <w:pageBreakBefore w:val="0"/>
              <w:widowControl/>
              <w:kinsoku/>
              <w:wordWrap/>
              <w:overflowPunct/>
              <w:topLinePunct w:val="0"/>
              <w:autoSpaceDE/>
              <w:autoSpaceDN/>
              <w:bidi w:val="0"/>
              <w:spacing w:line="240" w:lineRule="auto"/>
              <w:ind w:firstLine="0" w:firstLineChars="0"/>
              <w:jc w:val="right"/>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p>
        </w:tc>
        <w:tc>
          <w:tcPr>
            <w:tcW w:w="867" w:type="pct"/>
            <w:shd w:val="clear" w:color="auto" w:fill="FFFFFF"/>
            <w:noWrap/>
            <w:vAlign w:val="center"/>
          </w:tcPr>
          <w:p w14:paraId="6C771C9B">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p>
        </w:tc>
      </w:tr>
      <w:tr w14:paraId="525B44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397" w:type="pct"/>
            <w:shd w:val="clear" w:color="auto" w:fill="FFFFFF"/>
            <w:noWrap/>
            <w:vAlign w:val="center"/>
          </w:tcPr>
          <w:p w14:paraId="340CB20C">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七、附属单位上缴收入</w:t>
            </w:r>
          </w:p>
        </w:tc>
        <w:tc>
          <w:tcPr>
            <w:tcW w:w="867" w:type="pct"/>
            <w:shd w:val="clear" w:color="auto" w:fill="FFFFFF"/>
            <w:noWrap/>
            <w:vAlign w:val="center"/>
          </w:tcPr>
          <w:p w14:paraId="22E33178">
            <w:pPr>
              <w:keepNext w:val="0"/>
              <w:keepLines w:val="0"/>
              <w:pageBreakBefore w:val="0"/>
              <w:widowControl/>
              <w:kinsoku/>
              <w:wordWrap/>
              <w:overflowPunct/>
              <w:topLinePunct w:val="0"/>
              <w:autoSpaceDE/>
              <w:autoSpaceDN/>
              <w:bidi w:val="0"/>
              <w:spacing w:line="240" w:lineRule="auto"/>
              <w:ind w:firstLine="0" w:firstLineChars="0"/>
              <w:jc w:val="right"/>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p>
        </w:tc>
        <w:tc>
          <w:tcPr>
            <w:tcW w:w="867" w:type="pct"/>
            <w:shd w:val="clear" w:color="auto" w:fill="FFFFFF"/>
            <w:noWrap/>
            <w:vAlign w:val="center"/>
          </w:tcPr>
          <w:p w14:paraId="3790F52B">
            <w:pPr>
              <w:keepNext w:val="0"/>
              <w:keepLines w:val="0"/>
              <w:pageBreakBefore w:val="0"/>
              <w:widowControl/>
              <w:kinsoku/>
              <w:wordWrap/>
              <w:overflowPunct/>
              <w:topLinePunct w:val="0"/>
              <w:autoSpaceDE/>
              <w:autoSpaceDN/>
              <w:bidi w:val="0"/>
              <w:spacing w:line="240" w:lineRule="auto"/>
              <w:ind w:firstLine="0" w:firstLineChars="0"/>
              <w:jc w:val="right"/>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p>
        </w:tc>
        <w:tc>
          <w:tcPr>
            <w:tcW w:w="867" w:type="pct"/>
            <w:shd w:val="clear" w:color="auto" w:fill="FFFFFF"/>
            <w:noWrap/>
            <w:vAlign w:val="center"/>
          </w:tcPr>
          <w:p w14:paraId="47EA52FE">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p>
        </w:tc>
      </w:tr>
      <w:tr w14:paraId="2B110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397" w:type="pct"/>
            <w:shd w:val="clear" w:color="auto" w:fill="FFFFFF"/>
            <w:noWrap/>
            <w:vAlign w:val="center"/>
          </w:tcPr>
          <w:p w14:paraId="4A0DB83D">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八、其他收入</w:t>
            </w:r>
          </w:p>
        </w:tc>
        <w:tc>
          <w:tcPr>
            <w:tcW w:w="867" w:type="pct"/>
            <w:shd w:val="clear" w:color="auto" w:fill="FFFFFF"/>
            <w:noWrap/>
            <w:vAlign w:val="center"/>
          </w:tcPr>
          <w:p w14:paraId="526E3A5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highlight w:val="none"/>
                <w:u w:val="none"/>
                <w:lang w:val="en-US" w:eastAsia="zh-CN" w:bidi="ar"/>
                <w14:textFill>
                  <w14:solidFill>
                    <w14:schemeClr w14:val="tx1"/>
                  </w14:solidFill>
                </w14:textFill>
              </w:rPr>
              <w:t>16.7</w:t>
            </w:r>
            <w:r>
              <w:rPr>
                <w:rFonts w:hint="eastAsia" w:cs="Times New Roman"/>
                <w:i w:val="0"/>
                <w:iCs w:val="0"/>
                <w:color w:val="000000" w:themeColor="text1"/>
                <w:kern w:val="0"/>
                <w:sz w:val="18"/>
                <w:szCs w:val="18"/>
                <w:highlight w:val="none"/>
                <w:u w:val="none"/>
                <w:lang w:val="en-US" w:eastAsia="zh-CN" w:bidi="ar"/>
                <w14:textFill>
                  <w14:solidFill>
                    <w14:schemeClr w14:val="tx1"/>
                  </w14:solidFill>
                </w14:textFill>
              </w:rPr>
              <w:t>5</w:t>
            </w:r>
          </w:p>
        </w:tc>
        <w:tc>
          <w:tcPr>
            <w:tcW w:w="867" w:type="pct"/>
            <w:shd w:val="clear" w:color="auto" w:fill="FFFFFF"/>
            <w:noWrap/>
            <w:vAlign w:val="center"/>
          </w:tcPr>
          <w:p w14:paraId="0A9962A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highlight w:val="none"/>
                <w:u w:val="none"/>
                <w:lang w:val="en-US" w:eastAsia="zh-CN" w:bidi="ar"/>
                <w14:textFill>
                  <w14:solidFill>
                    <w14:schemeClr w14:val="tx1"/>
                  </w14:solidFill>
                </w14:textFill>
              </w:rPr>
              <w:t>20.73</w:t>
            </w:r>
          </w:p>
        </w:tc>
        <w:tc>
          <w:tcPr>
            <w:tcW w:w="867" w:type="pct"/>
            <w:shd w:val="clear" w:color="auto" w:fill="FFFFFF"/>
            <w:noWrap/>
            <w:vAlign w:val="center"/>
          </w:tcPr>
          <w:p w14:paraId="3AEB99E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highlight w:val="none"/>
                <w:u w:val="none"/>
                <w:lang w:val="en-US" w:eastAsia="zh-CN" w:bidi="ar"/>
                <w14:textFill>
                  <w14:solidFill>
                    <w14:schemeClr w14:val="tx1"/>
                  </w14:solidFill>
                </w14:textFill>
              </w:rPr>
              <w:t>23.84%</w:t>
            </w:r>
          </w:p>
        </w:tc>
      </w:tr>
      <w:tr w14:paraId="0B146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397" w:type="pct"/>
            <w:shd w:val="clear" w:color="auto" w:fill="FFFFFF"/>
            <w:noWrap/>
            <w:vAlign w:val="center"/>
          </w:tcPr>
          <w:p w14:paraId="2B5DC380">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本年收入合计</w:t>
            </w:r>
          </w:p>
        </w:tc>
        <w:tc>
          <w:tcPr>
            <w:tcW w:w="867" w:type="pct"/>
            <w:shd w:val="clear" w:color="auto" w:fill="FFFFFF"/>
            <w:noWrap/>
            <w:vAlign w:val="center"/>
          </w:tcPr>
          <w:p w14:paraId="3604C1B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000000" w:themeColor="text1"/>
                <w:sz w:val="18"/>
                <w:szCs w:val="18"/>
                <w:highlight w:val="none"/>
                <w:u w:val="none"/>
                <w:lang w:val="en-US"/>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highlight w:val="none"/>
                <w:u w:val="none"/>
                <w:lang w:val="en-US" w:eastAsia="zh-CN" w:bidi="ar"/>
                <w14:textFill>
                  <w14:solidFill>
                    <w14:schemeClr w14:val="tx1"/>
                  </w14:solidFill>
                </w14:textFill>
              </w:rPr>
              <w:t>282.</w:t>
            </w:r>
            <w:r>
              <w:rPr>
                <w:rFonts w:hint="eastAsia" w:cs="Times New Roman"/>
                <w:i w:val="0"/>
                <w:iCs w:val="0"/>
                <w:color w:val="000000" w:themeColor="text1"/>
                <w:kern w:val="0"/>
                <w:sz w:val="18"/>
                <w:szCs w:val="18"/>
                <w:highlight w:val="none"/>
                <w:u w:val="none"/>
                <w:lang w:val="en-US" w:eastAsia="zh-CN" w:bidi="ar"/>
                <w14:textFill>
                  <w14:solidFill>
                    <w14:schemeClr w14:val="tx1"/>
                  </w14:solidFill>
                </w14:textFill>
              </w:rPr>
              <w:t>42</w:t>
            </w:r>
          </w:p>
        </w:tc>
        <w:tc>
          <w:tcPr>
            <w:tcW w:w="867" w:type="pct"/>
            <w:shd w:val="clear" w:color="auto" w:fill="FFFFFF"/>
            <w:noWrap/>
            <w:vAlign w:val="center"/>
          </w:tcPr>
          <w:p w14:paraId="783D168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highlight w:val="none"/>
                <w:u w:val="none"/>
                <w:lang w:val="en-US" w:eastAsia="zh-CN" w:bidi="ar"/>
                <w14:textFill>
                  <w14:solidFill>
                    <w14:schemeClr w14:val="tx1"/>
                  </w14:solidFill>
                </w14:textFill>
              </w:rPr>
              <w:t>420.68</w:t>
            </w:r>
          </w:p>
        </w:tc>
        <w:tc>
          <w:tcPr>
            <w:tcW w:w="867" w:type="pct"/>
            <w:shd w:val="clear" w:color="auto" w:fill="FFFFFF"/>
            <w:noWrap/>
            <w:vAlign w:val="center"/>
          </w:tcPr>
          <w:p w14:paraId="370B10B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highlight w:val="none"/>
                <w:u w:val="none"/>
                <w:lang w:val="en-US" w:eastAsia="zh-CN" w:bidi="ar"/>
                <w14:textFill>
                  <w14:solidFill>
                    <w14:schemeClr w14:val="tx1"/>
                  </w14:solidFill>
                </w14:textFill>
              </w:rPr>
              <w:t>48.96%</w:t>
            </w:r>
          </w:p>
        </w:tc>
      </w:tr>
      <w:tr w14:paraId="2985D9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397" w:type="pct"/>
            <w:shd w:val="clear" w:color="auto" w:fill="FFFFFF"/>
            <w:noWrap/>
            <w:vAlign w:val="center"/>
          </w:tcPr>
          <w:p w14:paraId="58D97256">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使用非财政拨款结余（含专用结余）</w:t>
            </w:r>
          </w:p>
        </w:tc>
        <w:tc>
          <w:tcPr>
            <w:tcW w:w="867" w:type="pct"/>
            <w:shd w:val="clear" w:color="auto" w:fill="FFFFFF"/>
            <w:noWrap/>
            <w:vAlign w:val="center"/>
          </w:tcPr>
          <w:p w14:paraId="58F8BFF6">
            <w:pPr>
              <w:keepNext w:val="0"/>
              <w:keepLines w:val="0"/>
              <w:pageBreakBefore w:val="0"/>
              <w:widowControl/>
              <w:kinsoku/>
              <w:wordWrap/>
              <w:overflowPunct/>
              <w:topLinePunct w:val="0"/>
              <w:autoSpaceDE/>
              <w:autoSpaceDN/>
              <w:bidi w:val="0"/>
              <w:spacing w:line="240" w:lineRule="auto"/>
              <w:ind w:firstLine="0" w:firstLineChars="0"/>
              <w:jc w:val="right"/>
              <w:rPr>
                <w:rFonts w:hint="eastAsia" w:ascii="宋体" w:hAnsi="宋体" w:eastAsia="宋体" w:cs="宋体"/>
                <w:i w:val="0"/>
                <w:iCs w:val="0"/>
                <w:color w:val="000000" w:themeColor="text1"/>
                <w:sz w:val="18"/>
                <w:szCs w:val="18"/>
                <w:highlight w:val="none"/>
                <w:u w:val="none"/>
                <w14:textFill>
                  <w14:solidFill>
                    <w14:schemeClr w14:val="tx1"/>
                  </w14:solidFill>
                </w14:textFill>
              </w:rPr>
            </w:pPr>
          </w:p>
        </w:tc>
        <w:tc>
          <w:tcPr>
            <w:tcW w:w="867" w:type="pct"/>
            <w:shd w:val="clear" w:color="auto" w:fill="FFFFFF"/>
            <w:noWrap/>
            <w:vAlign w:val="center"/>
          </w:tcPr>
          <w:p w14:paraId="2A21A884">
            <w:pPr>
              <w:keepNext w:val="0"/>
              <w:keepLines w:val="0"/>
              <w:pageBreakBefore w:val="0"/>
              <w:widowControl/>
              <w:kinsoku/>
              <w:wordWrap/>
              <w:overflowPunct/>
              <w:topLinePunct w:val="0"/>
              <w:autoSpaceDE/>
              <w:autoSpaceDN/>
              <w:bidi w:val="0"/>
              <w:spacing w:line="240" w:lineRule="auto"/>
              <w:ind w:firstLine="0" w:firstLineChars="0"/>
              <w:jc w:val="right"/>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p>
        </w:tc>
        <w:tc>
          <w:tcPr>
            <w:tcW w:w="867" w:type="pct"/>
            <w:shd w:val="clear" w:color="auto" w:fill="FFFFFF"/>
            <w:noWrap/>
            <w:vAlign w:val="center"/>
          </w:tcPr>
          <w:p w14:paraId="1BE5956A">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p>
        </w:tc>
      </w:tr>
      <w:tr w14:paraId="52E37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397" w:type="pct"/>
            <w:shd w:val="clear" w:color="auto" w:fill="FFFFFF"/>
            <w:noWrap/>
            <w:vAlign w:val="center"/>
          </w:tcPr>
          <w:p w14:paraId="23D6CA84">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年初结转和结余</w:t>
            </w:r>
          </w:p>
        </w:tc>
        <w:tc>
          <w:tcPr>
            <w:tcW w:w="867" w:type="pct"/>
            <w:shd w:val="clear" w:color="auto" w:fill="FFFFFF"/>
            <w:noWrap/>
            <w:vAlign w:val="center"/>
          </w:tcPr>
          <w:p w14:paraId="3C48ADD7">
            <w:pPr>
              <w:keepNext w:val="0"/>
              <w:keepLines w:val="0"/>
              <w:pageBreakBefore w:val="0"/>
              <w:widowControl/>
              <w:kinsoku/>
              <w:wordWrap/>
              <w:overflowPunct/>
              <w:topLinePunct w:val="0"/>
              <w:autoSpaceDE/>
              <w:autoSpaceDN/>
              <w:bidi w:val="0"/>
              <w:spacing w:line="240" w:lineRule="auto"/>
              <w:ind w:firstLine="0" w:firstLineChars="0"/>
              <w:jc w:val="right"/>
              <w:rPr>
                <w:rFonts w:hint="eastAsia" w:ascii="宋体" w:hAnsi="宋体" w:eastAsia="宋体" w:cs="宋体"/>
                <w:i w:val="0"/>
                <w:iCs w:val="0"/>
                <w:color w:val="000000" w:themeColor="text1"/>
                <w:sz w:val="18"/>
                <w:szCs w:val="18"/>
                <w:highlight w:val="none"/>
                <w:u w:val="none"/>
                <w14:textFill>
                  <w14:solidFill>
                    <w14:schemeClr w14:val="tx1"/>
                  </w14:solidFill>
                </w14:textFill>
              </w:rPr>
            </w:pPr>
          </w:p>
        </w:tc>
        <w:tc>
          <w:tcPr>
            <w:tcW w:w="867" w:type="pct"/>
            <w:shd w:val="clear" w:color="auto" w:fill="FFFFFF"/>
            <w:noWrap/>
            <w:vAlign w:val="center"/>
          </w:tcPr>
          <w:p w14:paraId="1D1DDC5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highlight w:val="none"/>
                <w:u w:val="none"/>
                <w:lang w:val="en-US" w:eastAsia="zh-CN" w:bidi="ar"/>
                <w14:textFill>
                  <w14:solidFill>
                    <w14:schemeClr w14:val="tx1"/>
                  </w14:solidFill>
                </w14:textFill>
              </w:rPr>
              <w:t>2.35</w:t>
            </w:r>
          </w:p>
        </w:tc>
        <w:tc>
          <w:tcPr>
            <w:tcW w:w="867" w:type="pct"/>
            <w:shd w:val="clear" w:color="auto" w:fill="FFFFFF"/>
            <w:noWrap/>
            <w:vAlign w:val="center"/>
          </w:tcPr>
          <w:p w14:paraId="28F8A741">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p>
        </w:tc>
      </w:tr>
      <w:tr w14:paraId="4B5D2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2397" w:type="pct"/>
            <w:shd w:val="clear" w:color="auto" w:fill="FFFFFF"/>
            <w:noWrap/>
            <w:vAlign w:val="center"/>
          </w:tcPr>
          <w:p w14:paraId="11BEA808">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合计</w:t>
            </w:r>
          </w:p>
        </w:tc>
        <w:tc>
          <w:tcPr>
            <w:tcW w:w="867" w:type="pct"/>
            <w:shd w:val="clear" w:color="auto" w:fill="FFFFFF"/>
            <w:noWrap/>
            <w:vAlign w:val="center"/>
          </w:tcPr>
          <w:p w14:paraId="5E14DC8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000000" w:themeColor="text1"/>
                <w:sz w:val="18"/>
                <w:szCs w:val="18"/>
                <w:highlight w:val="none"/>
                <w:u w:val="none"/>
                <w:lang w:val="en-US"/>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highlight w:val="none"/>
                <w:u w:val="none"/>
                <w:lang w:val="en-US" w:eastAsia="zh-CN" w:bidi="ar"/>
                <w14:textFill>
                  <w14:solidFill>
                    <w14:schemeClr w14:val="tx1"/>
                  </w14:solidFill>
                </w14:textFill>
              </w:rPr>
              <w:t>282.4</w:t>
            </w:r>
            <w:r>
              <w:rPr>
                <w:rFonts w:hint="eastAsia" w:cs="Times New Roman"/>
                <w:i w:val="0"/>
                <w:iCs w:val="0"/>
                <w:color w:val="000000" w:themeColor="text1"/>
                <w:kern w:val="0"/>
                <w:sz w:val="18"/>
                <w:szCs w:val="18"/>
                <w:highlight w:val="none"/>
                <w:u w:val="none"/>
                <w:lang w:val="en-US" w:eastAsia="zh-CN" w:bidi="ar"/>
                <w14:textFill>
                  <w14:solidFill>
                    <w14:schemeClr w14:val="tx1"/>
                  </w14:solidFill>
                </w14:textFill>
              </w:rPr>
              <w:t>2</w:t>
            </w:r>
          </w:p>
        </w:tc>
        <w:tc>
          <w:tcPr>
            <w:tcW w:w="867" w:type="pct"/>
            <w:shd w:val="clear" w:color="auto" w:fill="FFFFFF"/>
            <w:noWrap/>
            <w:vAlign w:val="center"/>
          </w:tcPr>
          <w:p w14:paraId="0754B32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000000" w:themeColor="text1"/>
                <w:sz w:val="18"/>
                <w:szCs w:val="18"/>
                <w:highlight w:val="none"/>
                <w:u w:val="none"/>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highlight w:val="none"/>
                <w:u w:val="none"/>
                <w:lang w:val="en-US" w:eastAsia="zh-CN" w:bidi="ar"/>
                <w14:textFill>
                  <w14:solidFill>
                    <w14:schemeClr w14:val="tx1"/>
                  </w14:solidFill>
                </w14:textFill>
              </w:rPr>
              <w:t>423.03</w:t>
            </w:r>
          </w:p>
        </w:tc>
        <w:tc>
          <w:tcPr>
            <w:tcW w:w="867" w:type="pct"/>
            <w:shd w:val="clear" w:color="auto" w:fill="FFFFFF"/>
            <w:noWrap/>
            <w:vAlign w:val="center"/>
          </w:tcPr>
          <w:p w14:paraId="12E229F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themeColor="text1"/>
                <w:sz w:val="18"/>
                <w:szCs w:val="18"/>
                <w:highlight w:val="none"/>
                <w:u w:val="none"/>
                <w:lang w:val="en-US"/>
                <w14:textFill>
                  <w14:solidFill>
                    <w14:schemeClr w14:val="tx1"/>
                  </w14:solidFill>
                </w14:textFill>
              </w:rPr>
            </w:pPr>
            <w:r>
              <w:rPr>
                <w:rFonts w:hint="eastAsia" w:cs="Times New Roman"/>
                <w:i w:val="0"/>
                <w:iCs w:val="0"/>
                <w:color w:val="000000" w:themeColor="text1"/>
                <w:kern w:val="0"/>
                <w:sz w:val="18"/>
                <w:szCs w:val="18"/>
                <w:highlight w:val="none"/>
                <w:u w:val="none"/>
                <w:lang w:val="en-US" w:eastAsia="zh-CN" w:bidi="ar"/>
                <w14:textFill>
                  <w14:solidFill>
                    <w14:schemeClr w14:val="tx1"/>
                  </w14:solidFill>
                </w14:textFill>
              </w:rPr>
              <w:t>49.79%</w:t>
            </w:r>
          </w:p>
        </w:tc>
      </w:tr>
      <w:tr w14:paraId="021ED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5000" w:type="pct"/>
            <w:gridSpan w:val="4"/>
            <w:shd w:val="clear" w:color="auto" w:fill="FFFFFF"/>
            <w:noWrap/>
            <w:vAlign w:val="center"/>
          </w:tcPr>
          <w:p w14:paraId="10AED2A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18"/>
                <w:szCs w:val="18"/>
                <w:highlight w:val="none"/>
                <w:u w:val="none"/>
                <w14:textFill>
                  <w14:solidFill>
                    <w14:schemeClr w14:val="tx1"/>
                  </w14:solidFill>
                </w14:textFill>
              </w:rPr>
            </w:pPr>
            <w:r>
              <w:rPr>
                <w:rFonts w:hint="eastAsia" w:ascii="宋体" w:hAnsi="宋体" w:eastAsia="宋体" w:cs="宋体"/>
                <w:i w:val="0"/>
                <w:iCs w:val="0"/>
                <w:color w:val="000000" w:themeColor="text1"/>
                <w:kern w:val="0"/>
                <w:sz w:val="18"/>
                <w:szCs w:val="18"/>
                <w:highlight w:val="none"/>
                <w:u w:val="none"/>
                <w:lang w:val="en-US" w:eastAsia="zh-CN" w:bidi="ar"/>
                <w14:textFill>
                  <w14:solidFill>
                    <w14:schemeClr w14:val="tx1"/>
                  </w14:solidFill>
                </w14:textFill>
              </w:rPr>
              <w:t>注：年初预算批复时，2024年吉木萨尔县财政局只对一般公共预算收入进行了批复。</w:t>
            </w:r>
          </w:p>
        </w:tc>
      </w:tr>
    </w:tbl>
    <w:p w14:paraId="61776F05">
      <w:pPr>
        <w:ind w:firstLine="420"/>
        <w:jc w:val="left"/>
        <w:rPr>
          <w:color w:val="000000" w:themeColor="text1"/>
          <w14:textFill>
            <w14:solidFill>
              <w14:schemeClr w14:val="tx1"/>
            </w14:solidFill>
          </w14:textFill>
        </w:rPr>
      </w:pPr>
    </w:p>
    <w:p w14:paraId="63ABC571">
      <w:pPr>
        <w:pStyle w:val="4"/>
        <w:ind w:firstLine="422"/>
        <w:rPr>
          <w:rFonts w:ascii="Times New Roman" w:hAnsi="Times New Roman"/>
          <w:bCs w:val="0"/>
          <w:color w:val="000000" w:themeColor="text1"/>
          <w14:textFill>
            <w14:solidFill>
              <w14:schemeClr w14:val="tx1"/>
            </w14:solidFill>
          </w14:textFill>
        </w:rPr>
      </w:pPr>
      <w:r>
        <w:rPr>
          <w:rFonts w:ascii="Times New Roman" w:hAnsi="Times New Roman"/>
          <w:bCs w:val="0"/>
          <w:color w:val="000000" w:themeColor="text1"/>
          <w14:textFill>
            <w14:solidFill>
              <w14:schemeClr w14:val="tx1"/>
            </w14:solidFill>
          </w14:textFill>
        </w:rPr>
        <w:t>2.部门年度支出预决算情况</w:t>
      </w:r>
    </w:p>
    <w:p w14:paraId="47967DCB">
      <w:pPr>
        <w:ind w:firstLine="420"/>
        <w:jc w:val="left"/>
        <w:rPr>
          <w:color w:val="000000" w:themeColor="text1"/>
          <w14:textFill>
            <w14:solidFill>
              <w14:schemeClr w14:val="tx1"/>
            </w14:solidFill>
          </w14:textFill>
        </w:rPr>
      </w:pPr>
      <w:r>
        <w:rPr>
          <w:color w:val="000000" w:themeColor="text1"/>
          <w14:textFill>
            <w14:solidFill>
              <w14:schemeClr w14:val="tx1"/>
            </w14:solidFill>
          </w14:textFill>
        </w:rPr>
        <w:t>吉木萨尔县</w:t>
      </w:r>
      <w:r>
        <w:rPr>
          <w:rFonts w:hint="eastAsia"/>
          <w:color w:val="000000" w:themeColor="text1"/>
          <w:lang w:eastAsia="zh-CN"/>
          <w14:textFill>
            <w14:solidFill>
              <w14:schemeClr w14:val="tx1"/>
            </w14:solidFill>
          </w14:textFill>
        </w:rPr>
        <w:t>统计局2024</w:t>
      </w:r>
      <w:r>
        <w:rPr>
          <w:color w:val="000000" w:themeColor="text1"/>
          <w14:textFill>
            <w14:solidFill>
              <w14:schemeClr w14:val="tx1"/>
            </w14:solidFill>
          </w14:textFill>
        </w:rPr>
        <w:t>年年初支出预算</w:t>
      </w:r>
      <w:r>
        <w:rPr>
          <w:rFonts w:hint="eastAsia"/>
          <w:color w:val="000000" w:themeColor="text1"/>
          <w14:textFill>
            <w14:solidFill>
              <w14:schemeClr w14:val="tx1"/>
            </w14:solidFill>
          </w14:textFill>
        </w:rPr>
        <w:t>2</w:t>
      </w:r>
      <w:r>
        <w:rPr>
          <w:rFonts w:hint="eastAsia"/>
          <w:color w:val="000000" w:themeColor="text1"/>
          <w:lang w:val="en-US" w:eastAsia="zh-CN"/>
          <w14:textFill>
            <w14:solidFill>
              <w14:schemeClr w14:val="tx1"/>
            </w14:solidFill>
          </w14:textFill>
        </w:rPr>
        <w:t>82.42</w:t>
      </w:r>
      <w:r>
        <w:rPr>
          <w:color w:val="000000" w:themeColor="text1"/>
          <w14:textFill>
            <w14:solidFill>
              <w14:schemeClr w14:val="tx1"/>
            </w14:solidFill>
          </w14:textFill>
        </w:rPr>
        <w:t>万元，其中：基本支出</w:t>
      </w:r>
      <w:r>
        <w:rPr>
          <w:rFonts w:hint="eastAsia"/>
          <w:color w:val="000000" w:themeColor="text1"/>
          <w14:textFill>
            <w14:solidFill>
              <w14:schemeClr w14:val="tx1"/>
            </w14:solidFill>
          </w14:textFill>
        </w:rPr>
        <w:t>2</w:t>
      </w:r>
      <w:r>
        <w:rPr>
          <w:rFonts w:hint="eastAsia"/>
          <w:color w:val="000000" w:themeColor="text1"/>
          <w:lang w:val="en-US" w:eastAsia="zh-CN"/>
          <w14:textFill>
            <w14:solidFill>
              <w14:schemeClr w14:val="tx1"/>
            </w14:solidFill>
          </w14:textFill>
        </w:rPr>
        <w:t>82.42</w:t>
      </w:r>
      <w:r>
        <w:rPr>
          <w:color w:val="000000" w:themeColor="text1"/>
          <w14:textFill>
            <w14:solidFill>
              <w14:schemeClr w14:val="tx1"/>
            </w14:solidFill>
          </w14:textFill>
        </w:rPr>
        <w:t>万元，项目支出</w:t>
      </w:r>
      <w:r>
        <w:rPr>
          <w:rFonts w:hint="eastAsia"/>
          <w:color w:val="000000" w:themeColor="text1"/>
          <w:lang w:val="en-US" w:eastAsia="zh-CN"/>
          <w14:textFill>
            <w14:solidFill>
              <w14:schemeClr w14:val="tx1"/>
            </w14:solidFill>
          </w14:textFill>
        </w:rPr>
        <w:t>0</w:t>
      </w:r>
      <w:r>
        <w:rPr>
          <w:color w:val="000000" w:themeColor="text1"/>
          <w14:textFill>
            <w14:solidFill>
              <w14:schemeClr w14:val="tx1"/>
            </w14:solidFill>
          </w14:textFill>
        </w:rPr>
        <w:t>万元。调整后</w:t>
      </w:r>
      <w:r>
        <w:rPr>
          <w:rFonts w:hint="eastAsia"/>
          <w:color w:val="000000" w:themeColor="text1"/>
          <w14:textFill>
            <w14:solidFill>
              <w14:schemeClr w14:val="tx1"/>
            </w14:solidFill>
          </w14:textFill>
        </w:rPr>
        <w:t>支出</w:t>
      </w:r>
      <w:r>
        <w:rPr>
          <w:color w:val="000000" w:themeColor="text1"/>
          <w14:textFill>
            <w14:solidFill>
              <w14:schemeClr w14:val="tx1"/>
            </w14:solidFill>
          </w14:textFill>
        </w:rPr>
        <w:t>预算为</w:t>
      </w:r>
      <w:r>
        <w:rPr>
          <w:rFonts w:hint="eastAsia"/>
          <w:color w:val="000000" w:themeColor="text1"/>
          <w:lang w:val="en-US" w:eastAsia="zh-CN"/>
          <w14:textFill>
            <w14:solidFill>
              <w14:schemeClr w14:val="tx1"/>
            </w14:solidFill>
          </w14:textFill>
        </w:rPr>
        <w:t>423.03</w:t>
      </w:r>
      <w:r>
        <w:rPr>
          <w:color w:val="000000" w:themeColor="text1"/>
          <w14:textFill>
            <w14:solidFill>
              <w14:schemeClr w14:val="tx1"/>
            </w14:solidFill>
          </w14:textFill>
        </w:rPr>
        <w:t>万元，其中：基本支出</w:t>
      </w:r>
      <w:r>
        <w:rPr>
          <w:rFonts w:hint="eastAsia"/>
          <w:color w:val="000000" w:themeColor="text1"/>
          <w:lang w:val="en-US" w:eastAsia="zh-CN"/>
          <w14:textFill>
            <w14:solidFill>
              <w14:schemeClr w14:val="tx1"/>
            </w14:solidFill>
          </w14:textFill>
        </w:rPr>
        <w:t>423.03</w:t>
      </w:r>
      <w:r>
        <w:rPr>
          <w:color w:val="000000" w:themeColor="text1"/>
          <w14:textFill>
            <w14:solidFill>
              <w14:schemeClr w14:val="tx1"/>
            </w14:solidFill>
          </w14:textFill>
        </w:rPr>
        <w:t>万元，项目支出</w:t>
      </w:r>
      <w:r>
        <w:rPr>
          <w:rFonts w:hint="eastAsia"/>
          <w:color w:val="000000" w:themeColor="text1"/>
          <w:lang w:val="en-US" w:eastAsia="zh-CN"/>
          <w14:textFill>
            <w14:solidFill>
              <w14:schemeClr w14:val="tx1"/>
            </w14:solidFill>
          </w14:textFill>
        </w:rPr>
        <w:t>0</w:t>
      </w:r>
      <w:r>
        <w:rPr>
          <w:color w:val="000000" w:themeColor="text1"/>
          <w14:textFill>
            <w14:solidFill>
              <w14:schemeClr w14:val="tx1"/>
            </w14:solidFill>
          </w14:textFill>
        </w:rPr>
        <w:t>万元。</w:t>
      </w:r>
    </w:p>
    <w:p w14:paraId="3E9BC17D">
      <w:pPr>
        <w:ind w:firstLine="420"/>
        <w:jc w:val="left"/>
        <w:rPr>
          <w:color w:val="000000" w:themeColor="text1"/>
          <w14:textFill>
            <w14:solidFill>
              <w14:schemeClr w14:val="tx1"/>
            </w14:solidFill>
          </w14:textFill>
        </w:rPr>
      </w:pPr>
      <w:r>
        <w:rPr>
          <w:rFonts w:hint="eastAsia"/>
          <w:color w:val="000000" w:themeColor="text1"/>
          <w:lang w:eastAsia="zh-CN"/>
          <w14:textFill>
            <w14:solidFill>
              <w14:schemeClr w14:val="tx1"/>
            </w14:solidFill>
          </w14:textFill>
        </w:rPr>
        <w:t>2024</w:t>
      </w:r>
      <w:r>
        <w:rPr>
          <w:color w:val="000000" w:themeColor="text1"/>
          <w14:textFill>
            <w14:solidFill>
              <w14:schemeClr w14:val="tx1"/>
            </w14:solidFill>
          </w14:textFill>
        </w:rPr>
        <w:t>年度部门全年支出决算</w:t>
      </w:r>
      <w:r>
        <w:rPr>
          <w:rFonts w:hint="eastAsia"/>
          <w:color w:val="000000" w:themeColor="text1"/>
          <w:lang w:val="en-US" w:eastAsia="zh-CN"/>
          <w14:textFill>
            <w14:solidFill>
              <w14:schemeClr w14:val="tx1"/>
            </w14:solidFill>
          </w14:textFill>
        </w:rPr>
        <w:t>423.03</w:t>
      </w:r>
      <w:r>
        <w:rPr>
          <w:color w:val="000000" w:themeColor="text1"/>
          <w14:textFill>
            <w14:solidFill>
              <w14:schemeClr w14:val="tx1"/>
            </w14:solidFill>
          </w14:textFill>
        </w:rPr>
        <w:t>万元，其中：基本支出</w:t>
      </w:r>
      <w:r>
        <w:rPr>
          <w:rFonts w:hint="eastAsia"/>
          <w:color w:val="000000" w:themeColor="text1"/>
          <w:lang w:val="en-US" w:eastAsia="zh-CN"/>
          <w14:textFill>
            <w14:solidFill>
              <w14:schemeClr w14:val="tx1"/>
            </w14:solidFill>
          </w14:textFill>
        </w:rPr>
        <w:t>423.03</w:t>
      </w:r>
      <w:r>
        <w:rPr>
          <w:color w:val="000000" w:themeColor="text1"/>
          <w14:textFill>
            <w14:solidFill>
              <w14:schemeClr w14:val="tx1"/>
            </w14:solidFill>
          </w14:textFill>
        </w:rPr>
        <w:t>万元，项目支出</w:t>
      </w:r>
      <w:r>
        <w:rPr>
          <w:rFonts w:hint="eastAsia"/>
          <w:color w:val="000000" w:themeColor="text1"/>
          <w:lang w:val="en-US" w:eastAsia="zh-CN"/>
          <w14:textFill>
            <w14:solidFill>
              <w14:schemeClr w14:val="tx1"/>
            </w14:solidFill>
          </w14:textFill>
        </w:rPr>
        <w:t>0</w:t>
      </w:r>
      <w:r>
        <w:rPr>
          <w:color w:val="000000" w:themeColor="text1"/>
          <w14:textFill>
            <w14:solidFill>
              <w14:schemeClr w14:val="tx1"/>
            </w14:solidFill>
          </w14:textFill>
        </w:rPr>
        <w:t>万元，部门年度预算执行率为</w:t>
      </w:r>
      <w:r>
        <w:rPr>
          <w:rFonts w:hint="eastAsia"/>
          <w:color w:val="000000" w:themeColor="text1"/>
          <w:lang w:val="en-US" w:eastAsia="zh-CN"/>
          <w14:textFill>
            <w14:solidFill>
              <w14:schemeClr w14:val="tx1"/>
            </w14:solidFill>
          </w14:textFill>
        </w:rPr>
        <w:t>100.00</w:t>
      </w:r>
      <w:r>
        <w:rPr>
          <w:color w:val="000000" w:themeColor="text1"/>
          <w14:textFill>
            <w14:solidFill>
              <w14:schemeClr w14:val="tx1"/>
            </w14:solidFill>
          </w14:textFill>
        </w:rPr>
        <w:t>%。具体情况见下表：</w:t>
      </w:r>
    </w:p>
    <w:p w14:paraId="794EE414">
      <w:pPr>
        <w:ind w:firstLine="422"/>
        <w:jc w:val="center"/>
        <w:rPr>
          <w:rFonts w:hint="eastAsia" w:ascii="黑体" w:hAnsi="黑体" w:eastAsia="黑体" w:cs="黑体"/>
          <w:b w:val="0"/>
          <w:bCs w:val="0"/>
          <w:color w:val="000000" w:themeColor="text1"/>
          <w14:textFill>
            <w14:solidFill>
              <w14:schemeClr w14:val="tx1"/>
            </w14:solidFill>
          </w14:textFill>
        </w:rPr>
      </w:pPr>
      <w:r>
        <w:rPr>
          <w:rFonts w:hint="eastAsia" w:ascii="黑体" w:hAnsi="黑体" w:eastAsia="黑体" w:cs="黑体"/>
          <w:b w:val="0"/>
          <w:bCs w:val="0"/>
          <w:color w:val="000000" w:themeColor="text1"/>
          <w14:textFill>
            <w14:solidFill>
              <w14:schemeClr w14:val="tx1"/>
            </w14:solidFill>
          </w14:textFill>
        </w:rPr>
        <w:t>表1-2：吉木萨尔县</w:t>
      </w:r>
      <w:r>
        <w:rPr>
          <w:rFonts w:hint="eastAsia" w:ascii="黑体" w:hAnsi="黑体" w:eastAsia="黑体" w:cs="黑体"/>
          <w:b w:val="0"/>
          <w:bCs w:val="0"/>
          <w:color w:val="000000" w:themeColor="text1"/>
          <w:lang w:eastAsia="zh-CN"/>
          <w14:textFill>
            <w14:solidFill>
              <w14:schemeClr w14:val="tx1"/>
            </w14:solidFill>
          </w14:textFill>
        </w:rPr>
        <w:t>统计局2024</w:t>
      </w:r>
      <w:r>
        <w:rPr>
          <w:rFonts w:hint="eastAsia" w:ascii="黑体" w:hAnsi="黑体" w:eastAsia="黑体" w:cs="黑体"/>
          <w:b w:val="0"/>
          <w:bCs w:val="0"/>
          <w:color w:val="000000" w:themeColor="text1"/>
          <w14:textFill>
            <w14:solidFill>
              <w14:schemeClr w14:val="tx1"/>
            </w14:solidFill>
          </w14:textFill>
        </w:rPr>
        <w:t>年部门整体支出预决算情况表</w:t>
      </w:r>
    </w:p>
    <w:p w14:paraId="4C2C03CC">
      <w:pPr>
        <w:ind w:firstLine="0" w:firstLineChars="0"/>
        <w:jc w:val="right"/>
        <w:rPr>
          <w:rFonts w:hint="eastAsia" w:ascii="黑体" w:hAnsi="黑体" w:eastAsia="黑体" w:cs="黑体"/>
          <w:b w:val="0"/>
          <w:bCs/>
          <w:color w:val="000000" w:themeColor="text1"/>
          <w14:textFill>
            <w14:solidFill>
              <w14:schemeClr w14:val="tx1"/>
            </w14:solidFill>
          </w14:textFill>
        </w:rPr>
      </w:pPr>
      <w:r>
        <w:rPr>
          <w:rFonts w:hint="eastAsia" w:ascii="黑体" w:hAnsi="黑体" w:eastAsia="黑体" w:cs="黑体"/>
          <w:b w:val="0"/>
          <w:bCs/>
          <w:color w:val="000000" w:themeColor="text1"/>
          <w14:textFill>
            <w14:solidFill>
              <w14:schemeClr w14:val="tx1"/>
            </w14:solidFill>
          </w14:textFill>
        </w:rPr>
        <w:t>单位：万元</w:t>
      </w:r>
    </w:p>
    <w:tbl>
      <w:tblPr>
        <w:tblStyle w:val="24"/>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42"/>
        <w:gridCol w:w="1549"/>
        <w:gridCol w:w="1549"/>
        <w:gridCol w:w="1336"/>
        <w:gridCol w:w="1549"/>
      </w:tblGrid>
      <w:tr w14:paraId="696C0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40" w:type="dxa"/>
            <w:shd w:val="clear" w:color="auto" w:fill="FFFFFF"/>
            <w:noWrap/>
            <w:vAlign w:val="center"/>
          </w:tcPr>
          <w:p w14:paraId="4E615D1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b/>
                <w:bCs/>
                <w:color w:val="000000" w:themeColor="text1"/>
                <w:sz w:val="18"/>
                <w:szCs w:val="18"/>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项目</w:t>
            </w:r>
          </w:p>
        </w:tc>
        <w:tc>
          <w:tcPr>
            <w:tcW w:w="1548" w:type="dxa"/>
            <w:shd w:val="clear" w:color="auto" w:fill="FFFFFF"/>
            <w:noWrap/>
            <w:vAlign w:val="center"/>
          </w:tcPr>
          <w:p w14:paraId="1F2AC5C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b/>
                <w:bCs/>
                <w:color w:val="000000" w:themeColor="text1"/>
                <w:sz w:val="18"/>
                <w:szCs w:val="18"/>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年初预算数</w:t>
            </w:r>
          </w:p>
        </w:tc>
        <w:tc>
          <w:tcPr>
            <w:tcW w:w="1548" w:type="dxa"/>
            <w:shd w:val="clear" w:color="auto" w:fill="FFFFFF"/>
            <w:noWrap/>
            <w:vAlign w:val="center"/>
          </w:tcPr>
          <w:p w14:paraId="3DBBCCC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b/>
                <w:bCs/>
                <w:color w:val="000000" w:themeColor="text1"/>
                <w:sz w:val="18"/>
                <w:szCs w:val="18"/>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全年预算数</w:t>
            </w:r>
          </w:p>
        </w:tc>
        <w:tc>
          <w:tcPr>
            <w:tcW w:w="1335" w:type="dxa"/>
            <w:shd w:val="clear" w:color="auto" w:fill="FFFFFF"/>
            <w:noWrap/>
            <w:vAlign w:val="center"/>
          </w:tcPr>
          <w:p w14:paraId="23D6D36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b/>
                <w:bCs/>
                <w:color w:val="000000" w:themeColor="text1"/>
                <w:sz w:val="18"/>
                <w:szCs w:val="18"/>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决算数</w:t>
            </w:r>
          </w:p>
        </w:tc>
        <w:tc>
          <w:tcPr>
            <w:tcW w:w="1548" w:type="dxa"/>
            <w:shd w:val="clear" w:color="auto" w:fill="FFFFFF"/>
            <w:noWrap/>
            <w:vAlign w:val="center"/>
          </w:tcPr>
          <w:p w14:paraId="49F20EC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b/>
                <w:bCs/>
                <w:color w:val="000000" w:themeColor="text1"/>
                <w:sz w:val="18"/>
                <w:szCs w:val="18"/>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预算执行率</w:t>
            </w:r>
          </w:p>
        </w:tc>
      </w:tr>
      <w:tr w14:paraId="7AD0FC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40" w:type="dxa"/>
            <w:shd w:val="clear" w:color="auto" w:fill="FFFFFF"/>
            <w:noWrap/>
            <w:vAlign w:val="center"/>
          </w:tcPr>
          <w:p w14:paraId="3601132B">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color w:val="000000" w:themeColor="text1"/>
                <w:sz w:val="18"/>
                <w:szCs w:val="18"/>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一、基本支出</w:t>
            </w:r>
          </w:p>
        </w:tc>
        <w:tc>
          <w:tcPr>
            <w:tcW w:w="1548" w:type="dxa"/>
            <w:shd w:val="clear" w:color="auto" w:fill="auto"/>
            <w:noWrap/>
            <w:vAlign w:val="center"/>
          </w:tcPr>
          <w:p w14:paraId="5C5F888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color w:val="000000" w:themeColor="text1"/>
                <w:sz w:val="18"/>
                <w:szCs w:val="18"/>
                <w:lang w:bidi="ar"/>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282.42</w:t>
            </w:r>
          </w:p>
        </w:tc>
        <w:tc>
          <w:tcPr>
            <w:tcW w:w="1548" w:type="dxa"/>
            <w:shd w:val="clear" w:color="auto" w:fill="auto"/>
            <w:noWrap/>
            <w:vAlign w:val="center"/>
          </w:tcPr>
          <w:p w14:paraId="68F8FF7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color w:val="000000" w:themeColor="text1"/>
                <w:sz w:val="18"/>
                <w:szCs w:val="18"/>
                <w:lang w:bidi="ar"/>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423.03</w:t>
            </w:r>
          </w:p>
        </w:tc>
        <w:tc>
          <w:tcPr>
            <w:tcW w:w="1335" w:type="dxa"/>
            <w:shd w:val="clear" w:color="auto" w:fill="auto"/>
            <w:noWrap/>
            <w:vAlign w:val="center"/>
          </w:tcPr>
          <w:p w14:paraId="7DDB831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color w:val="000000" w:themeColor="text1"/>
                <w:sz w:val="18"/>
                <w:szCs w:val="18"/>
                <w:lang w:bidi="ar"/>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423.03</w:t>
            </w:r>
          </w:p>
        </w:tc>
        <w:tc>
          <w:tcPr>
            <w:tcW w:w="1548" w:type="dxa"/>
            <w:shd w:val="clear" w:color="auto" w:fill="FFFFFF"/>
            <w:noWrap/>
            <w:vAlign w:val="center"/>
          </w:tcPr>
          <w:p w14:paraId="2BEA60C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color w:val="000000" w:themeColor="text1"/>
                <w:sz w:val="18"/>
                <w:szCs w:val="18"/>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100.00%</w:t>
            </w:r>
          </w:p>
        </w:tc>
      </w:tr>
      <w:tr w14:paraId="7AA86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40" w:type="dxa"/>
            <w:shd w:val="clear" w:color="auto" w:fill="FFFFFF"/>
            <w:noWrap/>
            <w:vAlign w:val="center"/>
          </w:tcPr>
          <w:p w14:paraId="18344B0E">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color w:val="000000" w:themeColor="text1"/>
                <w:sz w:val="18"/>
                <w:szCs w:val="18"/>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人员经费</w:t>
            </w:r>
          </w:p>
        </w:tc>
        <w:tc>
          <w:tcPr>
            <w:tcW w:w="1548" w:type="dxa"/>
            <w:shd w:val="clear" w:color="auto" w:fill="auto"/>
            <w:noWrap/>
            <w:vAlign w:val="center"/>
          </w:tcPr>
          <w:p w14:paraId="3E58562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color w:val="000000" w:themeColor="text1"/>
                <w:sz w:val="18"/>
                <w:szCs w:val="18"/>
                <w:lang w:bidi="ar"/>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238.54</w:t>
            </w:r>
          </w:p>
        </w:tc>
        <w:tc>
          <w:tcPr>
            <w:tcW w:w="1548" w:type="dxa"/>
            <w:shd w:val="clear" w:color="auto" w:fill="auto"/>
            <w:noWrap/>
            <w:vAlign w:val="center"/>
          </w:tcPr>
          <w:p w14:paraId="30FB240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color w:val="000000" w:themeColor="text1"/>
                <w:sz w:val="18"/>
                <w:szCs w:val="18"/>
                <w:lang w:bidi="ar"/>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280.81</w:t>
            </w:r>
          </w:p>
        </w:tc>
        <w:tc>
          <w:tcPr>
            <w:tcW w:w="1335" w:type="dxa"/>
            <w:shd w:val="clear" w:color="auto" w:fill="auto"/>
            <w:noWrap/>
            <w:vAlign w:val="center"/>
          </w:tcPr>
          <w:p w14:paraId="4C0305E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color w:val="000000" w:themeColor="text1"/>
                <w:sz w:val="18"/>
                <w:szCs w:val="18"/>
                <w:lang w:bidi="ar"/>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280.81</w:t>
            </w:r>
          </w:p>
        </w:tc>
        <w:tc>
          <w:tcPr>
            <w:tcW w:w="1548" w:type="dxa"/>
            <w:shd w:val="clear" w:color="auto" w:fill="FFFFFF"/>
            <w:noWrap/>
            <w:vAlign w:val="center"/>
          </w:tcPr>
          <w:p w14:paraId="6786BBAB">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color w:val="000000" w:themeColor="text1"/>
                <w:sz w:val="18"/>
                <w:szCs w:val="18"/>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100.00%</w:t>
            </w:r>
          </w:p>
        </w:tc>
      </w:tr>
      <w:tr w14:paraId="49BABC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40" w:type="dxa"/>
            <w:shd w:val="clear" w:color="auto" w:fill="FFFFFF"/>
            <w:noWrap/>
            <w:vAlign w:val="center"/>
          </w:tcPr>
          <w:p w14:paraId="3AD3C7D4">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color w:val="000000" w:themeColor="text1"/>
                <w:sz w:val="18"/>
                <w:szCs w:val="18"/>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公用经费</w:t>
            </w:r>
          </w:p>
        </w:tc>
        <w:tc>
          <w:tcPr>
            <w:tcW w:w="1548" w:type="dxa"/>
            <w:shd w:val="clear" w:color="auto" w:fill="auto"/>
            <w:noWrap/>
            <w:vAlign w:val="center"/>
          </w:tcPr>
          <w:p w14:paraId="5645AE5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color w:val="000000" w:themeColor="text1"/>
                <w:sz w:val="18"/>
                <w:szCs w:val="18"/>
                <w:lang w:bidi="ar"/>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43.88</w:t>
            </w:r>
          </w:p>
        </w:tc>
        <w:tc>
          <w:tcPr>
            <w:tcW w:w="1548" w:type="dxa"/>
            <w:shd w:val="clear" w:color="auto" w:fill="auto"/>
            <w:noWrap/>
            <w:vAlign w:val="center"/>
          </w:tcPr>
          <w:p w14:paraId="47FE8ED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color w:val="000000" w:themeColor="text1"/>
                <w:sz w:val="18"/>
                <w:szCs w:val="18"/>
                <w:lang w:bidi="ar"/>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142.22</w:t>
            </w:r>
          </w:p>
        </w:tc>
        <w:tc>
          <w:tcPr>
            <w:tcW w:w="1335" w:type="dxa"/>
            <w:shd w:val="clear" w:color="auto" w:fill="auto"/>
            <w:noWrap/>
            <w:vAlign w:val="center"/>
          </w:tcPr>
          <w:p w14:paraId="38B871F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color w:val="000000" w:themeColor="text1"/>
                <w:sz w:val="18"/>
                <w:szCs w:val="18"/>
                <w:lang w:val="en-US" w:bidi="ar"/>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142.22</w:t>
            </w:r>
          </w:p>
        </w:tc>
        <w:tc>
          <w:tcPr>
            <w:tcW w:w="1548" w:type="dxa"/>
            <w:shd w:val="clear" w:color="auto" w:fill="FFFFFF"/>
            <w:noWrap/>
            <w:vAlign w:val="center"/>
          </w:tcPr>
          <w:p w14:paraId="0AB4EFC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color w:val="000000" w:themeColor="text1"/>
                <w:sz w:val="18"/>
                <w:szCs w:val="18"/>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100.00%</w:t>
            </w:r>
          </w:p>
        </w:tc>
      </w:tr>
      <w:tr w14:paraId="56906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40" w:type="dxa"/>
            <w:shd w:val="clear" w:color="auto" w:fill="FFFFFF"/>
            <w:noWrap/>
            <w:vAlign w:val="center"/>
          </w:tcPr>
          <w:p w14:paraId="5CFB4D93">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color w:val="000000" w:themeColor="text1"/>
                <w:sz w:val="18"/>
                <w:szCs w:val="18"/>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二、项目支出</w:t>
            </w:r>
          </w:p>
        </w:tc>
        <w:tc>
          <w:tcPr>
            <w:tcW w:w="1548" w:type="dxa"/>
            <w:shd w:val="clear" w:color="auto" w:fill="auto"/>
            <w:noWrap/>
            <w:vAlign w:val="center"/>
          </w:tcPr>
          <w:p w14:paraId="64D40AA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color w:val="000000" w:themeColor="text1"/>
                <w:sz w:val="18"/>
                <w:szCs w:val="18"/>
                <w:lang w:val="en-US" w:eastAsia="zh-CN" w:bidi="ar"/>
                <w14:textFill>
                  <w14:solidFill>
                    <w14:schemeClr w14:val="tx1"/>
                  </w14:solidFill>
                </w14:textFill>
              </w:rPr>
            </w:pPr>
          </w:p>
        </w:tc>
        <w:tc>
          <w:tcPr>
            <w:tcW w:w="1548" w:type="dxa"/>
            <w:shd w:val="clear" w:color="auto" w:fill="auto"/>
            <w:noWrap/>
            <w:vAlign w:val="center"/>
          </w:tcPr>
          <w:p w14:paraId="3504CDA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color w:val="000000" w:themeColor="text1"/>
                <w:sz w:val="18"/>
                <w:szCs w:val="18"/>
                <w:lang w:val="en-US" w:eastAsia="zh-CN" w:bidi="ar"/>
                <w14:textFill>
                  <w14:solidFill>
                    <w14:schemeClr w14:val="tx1"/>
                  </w14:solidFill>
                </w14:textFill>
              </w:rPr>
            </w:pPr>
          </w:p>
        </w:tc>
        <w:tc>
          <w:tcPr>
            <w:tcW w:w="1335" w:type="dxa"/>
            <w:shd w:val="clear" w:color="auto" w:fill="auto"/>
            <w:noWrap/>
            <w:vAlign w:val="center"/>
          </w:tcPr>
          <w:p w14:paraId="7E0F743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color w:val="000000" w:themeColor="text1"/>
                <w:sz w:val="18"/>
                <w:szCs w:val="18"/>
                <w:lang w:val="en-US" w:eastAsia="zh-CN" w:bidi="ar"/>
                <w14:textFill>
                  <w14:solidFill>
                    <w14:schemeClr w14:val="tx1"/>
                  </w14:solidFill>
                </w14:textFill>
              </w:rPr>
            </w:pPr>
          </w:p>
        </w:tc>
        <w:tc>
          <w:tcPr>
            <w:tcW w:w="1548" w:type="dxa"/>
            <w:shd w:val="clear" w:color="auto" w:fill="FFFFFF"/>
            <w:noWrap/>
            <w:vAlign w:val="center"/>
          </w:tcPr>
          <w:p w14:paraId="3BB7527C">
            <w:pPr>
              <w:keepNext w:val="0"/>
              <w:keepLines w:val="0"/>
              <w:pageBreakBefore w:val="0"/>
              <w:widowControl/>
              <w:kinsoku/>
              <w:wordWrap/>
              <w:overflowPunct/>
              <w:topLinePunct w:val="0"/>
              <w:autoSpaceDE/>
              <w:autoSpaceDN/>
              <w:bidi w:val="0"/>
              <w:spacing w:line="240" w:lineRule="auto"/>
              <w:ind w:firstLine="0" w:firstLineChars="0"/>
              <w:jc w:val="right"/>
              <w:rPr>
                <w:rFonts w:hint="default" w:eastAsia="宋体"/>
                <w:color w:val="000000" w:themeColor="text1"/>
                <w:sz w:val="18"/>
                <w:szCs w:val="18"/>
                <w:lang w:val="en-US" w:eastAsia="zh-CN"/>
                <w14:textFill>
                  <w14:solidFill>
                    <w14:schemeClr w14:val="tx1"/>
                  </w14:solidFill>
                </w14:textFill>
              </w:rPr>
            </w:pPr>
          </w:p>
        </w:tc>
      </w:tr>
      <w:tr w14:paraId="6729F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540" w:type="dxa"/>
            <w:shd w:val="clear" w:color="auto" w:fill="FFFFFF"/>
            <w:noWrap/>
            <w:vAlign w:val="center"/>
          </w:tcPr>
          <w:p w14:paraId="3F808072">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color w:val="000000" w:themeColor="text1"/>
                <w:sz w:val="18"/>
                <w:szCs w:val="18"/>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本年支出合计</w:t>
            </w:r>
          </w:p>
        </w:tc>
        <w:tc>
          <w:tcPr>
            <w:tcW w:w="1548" w:type="dxa"/>
            <w:shd w:val="clear" w:color="auto" w:fill="auto"/>
            <w:noWrap/>
            <w:vAlign w:val="center"/>
          </w:tcPr>
          <w:p w14:paraId="6DF8725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color w:val="000000" w:themeColor="text1"/>
                <w:sz w:val="18"/>
                <w:szCs w:val="18"/>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282.42</w:t>
            </w:r>
          </w:p>
        </w:tc>
        <w:tc>
          <w:tcPr>
            <w:tcW w:w="1548" w:type="dxa"/>
            <w:shd w:val="clear" w:color="auto" w:fill="auto"/>
            <w:noWrap/>
            <w:vAlign w:val="center"/>
          </w:tcPr>
          <w:p w14:paraId="41EE6FF7">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color w:val="000000" w:themeColor="text1"/>
                <w:sz w:val="18"/>
                <w:szCs w:val="18"/>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423.03</w:t>
            </w:r>
          </w:p>
        </w:tc>
        <w:tc>
          <w:tcPr>
            <w:tcW w:w="1335" w:type="dxa"/>
            <w:shd w:val="clear" w:color="auto" w:fill="auto"/>
            <w:noWrap/>
            <w:vAlign w:val="center"/>
          </w:tcPr>
          <w:p w14:paraId="63998EC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color w:val="000000" w:themeColor="text1"/>
                <w:sz w:val="18"/>
                <w:szCs w:val="18"/>
                <w:lang w:val="en-US" w:eastAsia="zh-CN" w:bidi="ar"/>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423.03</w:t>
            </w:r>
          </w:p>
        </w:tc>
        <w:tc>
          <w:tcPr>
            <w:tcW w:w="1548" w:type="dxa"/>
            <w:shd w:val="clear" w:color="auto" w:fill="FFFFFF"/>
            <w:noWrap/>
            <w:vAlign w:val="center"/>
          </w:tcPr>
          <w:p w14:paraId="7A23A99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color w:val="000000" w:themeColor="text1"/>
                <w:sz w:val="18"/>
                <w:szCs w:val="18"/>
                <w14:textFill>
                  <w14:solidFill>
                    <w14:schemeClr w14:val="tx1"/>
                  </w14:solidFill>
                </w14:textFill>
              </w:rPr>
            </w:pPr>
            <w:r>
              <w:rPr>
                <w:rFonts w:hint="default" w:ascii="Times New Roman" w:hAnsi="Times New Roman" w:eastAsia="宋体" w:cs="Times New Roman"/>
                <w:i w:val="0"/>
                <w:iCs w:val="0"/>
                <w:color w:val="000000" w:themeColor="text1"/>
                <w:kern w:val="0"/>
                <w:sz w:val="18"/>
                <w:szCs w:val="18"/>
                <w:u w:val="none"/>
                <w:lang w:val="en-US" w:eastAsia="zh-CN" w:bidi="ar"/>
                <w14:textFill>
                  <w14:solidFill>
                    <w14:schemeClr w14:val="tx1"/>
                  </w14:solidFill>
                </w14:textFill>
              </w:rPr>
              <w:t>100.00%</w:t>
            </w:r>
          </w:p>
        </w:tc>
      </w:tr>
    </w:tbl>
    <w:p w14:paraId="0387619A">
      <w:pPr>
        <w:ind w:firstLine="422"/>
        <w:jc w:val="left"/>
        <w:rPr>
          <w:b/>
          <w:color w:val="000000" w:themeColor="text1"/>
          <w14:textFill>
            <w14:solidFill>
              <w14:schemeClr w14:val="tx1"/>
            </w14:solidFill>
          </w14:textFill>
        </w:rPr>
      </w:pPr>
    </w:p>
    <w:p w14:paraId="7489AE0A">
      <w:pPr>
        <w:ind w:firstLine="422"/>
        <w:jc w:val="left"/>
        <w:rPr>
          <w:b/>
          <w:color w:val="000000" w:themeColor="text1"/>
          <w14:textFill>
            <w14:solidFill>
              <w14:schemeClr w14:val="tx1"/>
            </w14:solidFill>
          </w14:textFill>
        </w:rPr>
      </w:pPr>
      <w:r>
        <w:rPr>
          <w:b/>
          <w:color w:val="000000" w:themeColor="text1"/>
          <w14:textFill>
            <w14:solidFill>
              <w14:schemeClr w14:val="tx1"/>
            </w14:solidFill>
          </w14:textFill>
        </w:rPr>
        <w:t>（1）基本支出预算及执行情况</w:t>
      </w:r>
    </w:p>
    <w:p w14:paraId="39C599A5">
      <w:pPr>
        <w:ind w:firstLine="420"/>
        <w:jc w:val="left"/>
        <w:rPr>
          <w:rFonts w:eastAsiaTheme="minorEastAsia"/>
          <w:bCs/>
          <w:color w:val="000000" w:themeColor="text1"/>
          <w14:textFill>
            <w14:solidFill>
              <w14:schemeClr w14:val="tx1"/>
            </w14:solidFill>
          </w14:textFill>
        </w:rPr>
      </w:pPr>
      <w:r>
        <w:rPr>
          <w:rFonts w:eastAsiaTheme="minorEastAsia"/>
          <w:bCs/>
          <w:color w:val="000000" w:themeColor="text1"/>
          <w14:textFill>
            <w14:solidFill>
              <w14:schemeClr w14:val="tx1"/>
            </w14:solidFill>
          </w14:textFill>
        </w:rPr>
        <w:t>基本支出预算是指为保障部门正常运转、完成日常工作任务而制定的本单位人员薪酬福利支出计划和日常办公经费支出计划，可分为人员经费支出和公用经费支出。</w:t>
      </w:r>
      <w:r>
        <w:rPr>
          <w:rFonts w:hint="eastAsia" w:eastAsiaTheme="minorEastAsia"/>
          <w:bCs/>
          <w:color w:val="000000" w:themeColor="text1"/>
          <w:lang w:eastAsia="zh-CN"/>
          <w14:textFill>
            <w14:solidFill>
              <w14:schemeClr w14:val="tx1"/>
            </w14:solidFill>
          </w14:textFill>
        </w:rPr>
        <w:t>2024</w:t>
      </w:r>
      <w:r>
        <w:rPr>
          <w:rFonts w:eastAsiaTheme="minorEastAsia"/>
          <w:bCs/>
          <w:color w:val="000000" w:themeColor="text1"/>
          <w14:textFill>
            <w14:solidFill>
              <w14:schemeClr w14:val="tx1"/>
            </w14:solidFill>
          </w14:textFill>
        </w:rPr>
        <w:t>年吉木萨尔县</w:t>
      </w:r>
      <w:r>
        <w:rPr>
          <w:rFonts w:hint="eastAsia" w:eastAsiaTheme="minorEastAsia"/>
          <w:bCs/>
          <w:color w:val="000000" w:themeColor="text1"/>
          <w:lang w:eastAsia="zh-CN"/>
          <w14:textFill>
            <w14:solidFill>
              <w14:schemeClr w14:val="tx1"/>
            </w14:solidFill>
          </w14:textFill>
        </w:rPr>
        <w:t>统计局</w:t>
      </w:r>
      <w:r>
        <w:rPr>
          <w:rFonts w:eastAsiaTheme="minorEastAsia"/>
          <w:bCs/>
          <w:color w:val="000000" w:themeColor="text1"/>
          <w14:textFill>
            <w14:solidFill>
              <w14:schemeClr w14:val="tx1"/>
            </w14:solidFill>
          </w14:textFill>
        </w:rPr>
        <w:t>基本支出年初预算数</w:t>
      </w:r>
      <w:r>
        <w:rPr>
          <w:rFonts w:hint="eastAsia" w:eastAsiaTheme="minorEastAsia"/>
          <w:bCs/>
          <w:color w:val="000000" w:themeColor="text1"/>
          <w:lang w:val="en-US" w:eastAsia="zh-CN"/>
          <w14:textFill>
            <w14:solidFill>
              <w14:schemeClr w14:val="tx1"/>
            </w14:solidFill>
          </w14:textFill>
        </w:rPr>
        <w:t>282.42</w:t>
      </w:r>
      <w:r>
        <w:rPr>
          <w:rFonts w:eastAsiaTheme="minorEastAsia"/>
          <w:bCs/>
          <w:color w:val="000000" w:themeColor="text1"/>
          <w14:textFill>
            <w14:solidFill>
              <w14:schemeClr w14:val="tx1"/>
            </w14:solidFill>
          </w14:textFill>
        </w:rPr>
        <w:t>万元，全年预算数</w:t>
      </w:r>
      <w:r>
        <w:rPr>
          <w:rFonts w:hint="eastAsia"/>
          <w:color w:val="000000" w:themeColor="text1"/>
          <w:lang w:val="en-US" w:eastAsia="zh-CN"/>
          <w14:textFill>
            <w14:solidFill>
              <w14:schemeClr w14:val="tx1"/>
            </w14:solidFill>
          </w14:textFill>
        </w:rPr>
        <w:t>423.03</w:t>
      </w:r>
      <w:r>
        <w:rPr>
          <w:rFonts w:eastAsiaTheme="minorEastAsia"/>
          <w:bCs/>
          <w:color w:val="000000" w:themeColor="text1"/>
          <w14:textFill>
            <w14:solidFill>
              <w14:schemeClr w14:val="tx1"/>
            </w14:solidFill>
          </w14:textFill>
        </w:rPr>
        <w:t>万元，基本支出决算数为</w:t>
      </w:r>
      <w:r>
        <w:rPr>
          <w:rFonts w:hint="eastAsia"/>
          <w:color w:val="000000" w:themeColor="text1"/>
          <w:lang w:val="en-US" w:eastAsia="zh-CN"/>
          <w14:textFill>
            <w14:solidFill>
              <w14:schemeClr w14:val="tx1"/>
            </w14:solidFill>
          </w14:textFill>
        </w:rPr>
        <w:t>423.03</w:t>
      </w:r>
      <w:r>
        <w:rPr>
          <w:rFonts w:eastAsiaTheme="minorEastAsia"/>
          <w:bCs/>
          <w:color w:val="000000" w:themeColor="text1"/>
          <w14:textFill>
            <w14:solidFill>
              <w14:schemeClr w14:val="tx1"/>
            </w14:solidFill>
          </w14:textFill>
        </w:rPr>
        <w:t>万元，预算执行率</w:t>
      </w:r>
      <w:r>
        <w:rPr>
          <w:rFonts w:hint="eastAsia" w:eastAsiaTheme="minorEastAsia"/>
          <w:bCs/>
          <w:color w:val="000000" w:themeColor="text1"/>
          <w:lang w:val="en-US" w:eastAsia="zh-CN"/>
          <w14:textFill>
            <w14:solidFill>
              <w14:schemeClr w14:val="tx1"/>
            </w14:solidFill>
          </w14:textFill>
        </w:rPr>
        <w:t>100.00</w:t>
      </w:r>
      <w:r>
        <w:rPr>
          <w:rFonts w:eastAsiaTheme="minorEastAsia"/>
          <w:bCs/>
          <w:color w:val="000000" w:themeColor="text1"/>
          <w14:textFill>
            <w14:solidFill>
              <w14:schemeClr w14:val="tx1"/>
            </w14:solidFill>
          </w14:textFill>
        </w:rPr>
        <w:t>%。基本支出严格按照财务管理制度执行，人员工资由相关部门逐个审核，按月申报及发放，其中：</w:t>
      </w:r>
    </w:p>
    <w:p w14:paraId="581E8C8E">
      <w:pPr>
        <w:ind w:firstLine="420"/>
        <w:jc w:val="left"/>
        <w:rPr>
          <w:rFonts w:eastAsiaTheme="minorEastAsia"/>
          <w:bCs/>
          <w:color w:val="000000" w:themeColor="text1"/>
          <w14:textFill>
            <w14:solidFill>
              <w14:schemeClr w14:val="tx1"/>
            </w14:solidFill>
          </w14:textFill>
        </w:rPr>
      </w:pPr>
      <w:r>
        <w:rPr>
          <w:rFonts w:eastAsiaTheme="minorEastAsia"/>
          <w:bCs/>
          <w:color w:val="000000" w:themeColor="text1"/>
          <w14:textFill>
            <w14:solidFill>
              <w14:schemeClr w14:val="tx1"/>
            </w14:solidFill>
          </w14:textFill>
        </w:rPr>
        <w:t>人员经费支出</w:t>
      </w:r>
      <w:r>
        <w:rPr>
          <w:rFonts w:hint="eastAsia" w:eastAsiaTheme="minorEastAsia"/>
          <w:bCs/>
          <w:color w:val="000000" w:themeColor="text1"/>
          <w:lang w:val="en-US" w:eastAsia="zh-CN"/>
          <w14:textFill>
            <w14:solidFill>
              <w14:schemeClr w14:val="tx1"/>
            </w14:solidFill>
          </w14:textFill>
        </w:rPr>
        <w:t>280.81</w:t>
      </w:r>
      <w:r>
        <w:rPr>
          <w:rFonts w:eastAsiaTheme="minorEastAsia"/>
          <w:bCs/>
          <w:color w:val="000000" w:themeColor="text1"/>
          <w14:textFill>
            <w14:solidFill>
              <w14:schemeClr w14:val="tx1"/>
            </w14:solidFill>
          </w14:textFill>
        </w:rPr>
        <w:t>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14:paraId="471113E2">
      <w:pPr>
        <w:ind w:firstLine="420"/>
        <w:rPr>
          <w:rFonts w:eastAsiaTheme="minorEastAsia"/>
          <w:bCs/>
          <w:color w:val="000000" w:themeColor="text1"/>
          <w14:textFill>
            <w14:solidFill>
              <w14:schemeClr w14:val="tx1"/>
            </w14:solidFill>
          </w14:textFill>
        </w:rPr>
      </w:pPr>
      <w:r>
        <w:rPr>
          <w:rFonts w:eastAsiaTheme="minorEastAsia"/>
          <w:bCs/>
          <w:color w:val="000000" w:themeColor="text1"/>
          <w14:textFill>
            <w14:solidFill>
              <w14:schemeClr w14:val="tx1"/>
            </w14:solidFill>
          </w14:textFill>
        </w:rPr>
        <w:t>公用经费支出</w:t>
      </w:r>
      <w:r>
        <w:rPr>
          <w:rFonts w:hint="eastAsia" w:eastAsiaTheme="minorEastAsia"/>
          <w:bCs/>
          <w:color w:val="000000" w:themeColor="text1"/>
          <w:lang w:val="en-US" w:eastAsia="zh-CN"/>
          <w14:textFill>
            <w14:solidFill>
              <w14:schemeClr w14:val="tx1"/>
            </w14:solidFill>
          </w14:textFill>
        </w:rPr>
        <w:t>142.22</w:t>
      </w:r>
      <w:r>
        <w:rPr>
          <w:rFonts w:eastAsiaTheme="minorEastAsia"/>
          <w:bCs/>
          <w:color w:val="000000" w:themeColor="text1"/>
          <w14:textFill>
            <w14:solidFill>
              <w14:schemeClr w14:val="tx1"/>
            </w14:solidFill>
          </w14:textFill>
        </w:rPr>
        <w:t>万元，主要包括：办公费、印刷费、水费、电费、邮电费、取暖费、物业管理费、差旅费、培训费、公务接待费、工会经费、福利费、公务用车运行维护费、其他交通费用、其他商品和服务支出。</w:t>
      </w:r>
    </w:p>
    <w:p w14:paraId="2333E06A">
      <w:pPr>
        <w:ind w:firstLine="422"/>
        <w:jc w:val="left"/>
        <w:rPr>
          <w:b/>
          <w:color w:val="000000" w:themeColor="text1"/>
          <w14:textFill>
            <w14:solidFill>
              <w14:schemeClr w14:val="tx1"/>
            </w14:solidFill>
          </w14:textFill>
        </w:rPr>
      </w:pPr>
      <w:r>
        <w:rPr>
          <w:b/>
          <w:color w:val="000000" w:themeColor="text1"/>
          <w14:textFill>
            <w14:solidFill>
              <w14:schemeClr w14:val="tx1"/>
            </w14:solidFill>
          </w14:textFill>
        </w:rPr>
        <w:t>（2）项目支出预算及执行情况</w:t>
      </w:r>
    </w:p>
    <w:p w14:paraId="059B0A57">
      <w:pPr>
        <w:ind w:firstLine="420"/>
        <w:rPr>
          <w:color w:val="000000" w:themeColor="text1"/>
          <w14:textFill>
            <w14:solidFill>
              <w14:schemeClr w14:val="tx1"/>
            </w14:solidFill>
          </w14:textFill>
        </w:rPr>
      </w:pPr>
      <w:r>
        <w:rPr>
          <w:rFonts w:eastAsiaTheme="minorEastAsia"/>
          <w:bCs/>
          <w:color w:val="000000" w:themeColor="text1"/>
          <w14:textFill>
            <w14:solidFill>
              <w14:schemeClr w14:val="tx1"/>
            </w14:solidFill>
          </w14:textFill>
        </w:rPr>
        <w:t>吉木萨尔县</w:t>
      </w:r>
      <w:r>
        <w:rPr>
          <w:rFonts w:hint="eastAsia" w:eastAsiaTheme="minorEastAsia"/>
          <w:bCs/>
          <w:color w:val="000000" w:themeColor="text1"/>
          <w:lang w:eastAsia="zh-CN"/>
          <w14:textFill>
            <w14:solidFill>
              <w14:schemeClr w14:val="tx1"/>
            </w14:solidFill>
          </w14:textFill>
        </w:rPr>
        <w:t>统计局2024</w:t>
      </w:r>
      <w:r>
        <w:rPr>
          <w:rFonts w:eastAsiaTheme="minorEastAsia"/>
          <w:bCs/>
          <w:color w:val="000000" w:themeColor="text1"/>
          <w14:textFill>
            <w14:solidFill>
              <w14:schemeClr w14:val="tx1"/>
            </w14:solidFill>
          </w14:textFill>
        </w:rPr>
        <w:t>年</w:t>
      </w:r>
      <w:r>
        <w:rPr>
          <w:rFonts w:hint="eastAsia" w:eastAsiaTheme="minorEastAsia"/>
          <w:bCs/>
          <w:color w:val="000000" w:themeColor="text1"/>
          <w:lang w:val="en-US" w:eastAsia="zh-CN"/>
          <w14:textFill>
            <w14:solidFill>
              <w14:schemeClr w14:val="tx1"/>
            </w14:solidFill>
          </w14:textFill>
        </w:rPr>
        <w:t>未安排</w:t>
      </w:r>
      <w:r>
        <w:rPr>
          <w:rFonts w:eastAsiaTheme="minorEastAsia"/>
          <w:bCs/>
          <w:color w:val="000000" w:themeColor="text1"/>
          <w14:textFill>
            <w14:solidFill>
              <w14:schemeClr w14:val="tx1"/>
            </w14:solidFill>
          </w14:textFill>
        </w:rPr>
        <w:t>部门项目</w:t>
      </w:r>
      <w:r>
        <w:rPr>
          <w:rFonts w:hint="eastAsia" w:eastAsiaTheme="minorEastAsia"/>
          <w:bCs/>
          <w:color w:val="000000" w:themeColor="text1"/>
          <w:lang w:val="en-US" w:eastAsia="zh-CN"/>
          <w14:textFill>
            <w14:solidFill>
              <w14:schemeClr w14:val="tx1"/>
            </w14:solidFill>
          </w14:textFill>
        </w:rPr>
        <w:t>支出</w:t>
      </w:r>
      <w:r>
        <w:rPr>
          <w:rFonts w:eastAsiaTheme="minorEastAsia"/>
          <w:bCs/>
          <w:color w:val="000000" w:themeColor="text1"/>
          <w14:textFill>
            <w14:solidFill>
              <w14:schemeClr w14:val="tx1"/>
            </w14:solidFill>
          </w14:textFill>
        </w:rPr>
        <w:t>预算</w:t>
      </w:r>
      <w:r>
        <w:rPr>
          <w:color w:val="000000" w:themeColor="text1"/>
          <w14:textFill>
            <w14:solidFill>
              <w14:schemeClr w14:val="tx1"/>
            </w14:solidFill>
          </w14:textFill>
        </w:rPr>
        <w:t>。</w:t>
      </w:r>
    </w:p>
    <w:p w14:paraId="6E2F374A">
      <w:pPr>
        <w:ind w:firstLine="422"/>
        <w:rPr>
          <w:b/>
          <w:bCs/>
          <w:color w:val="000000" w:themeColor="text1"/>
          <w14:textFill>
            <w14:solidFill>
              <w14:schemeClr w14:val="tx1"/>
            </w14:solidFill>
          </w14:textFill>
        </w:rPr>
      </w:pPr>
      <w:r>
        <w:rPr>
          <w:b/>
          <w:bCs/>
          <w:color w:val="000000" w:themeColor="text1"/>
          <w14:textFill>
            <w14:solidFill>
              <w14:schemeClr w14:val="tx1"/>
            </w14:solidFill>
          </w14:textFill>
        </w:rPr>
        <w:t>3.部门</w:t>
      </w:r>
      <w:r>
        <w:rPr>
          <w:rFonts w:hint="eastAsia"/>
          <w:b/>
          <w:bCs/>
          <w:color w:val="000000" w:themeColor="text1"/>
          <w:lang w:eastAsia="zh-CN"/>
          <w14:textFill>
            <w14:solidFill>
              <w14:schemeClr w14:val="tx1"/>
            </w14:solidFill>
          </w14:textFill>
        </w:rPr>
        <w:t>“三公”经费</w:t>
      </w:r>
      <w:r>
        <w:rPr>
          <w:b/>
          <w:bCs/>
          <w:color w:val="000000" w:themeColor="text1"/>
          <w14:textFill>
            <w14:solidFill>
              <w14:schemeClr w14:val="tx1"/>
            </w14:solidFill>
          </w14:textFill>
        </w:rPr>
        <w:t>执行情况</w:t>
      </w:r>
    </w:p>
    <w:p w14:paraId="376C175C">
      <w:pPr>
        <w:ind w:firstLine="420"/>
        <w:rPr>
          <w:color w:val="000000" w:themeColor="text1"/>
          <w14:textFill>
            <w14:solidFill>
              <w14:schemeClr w14:val="tx1"/>
            </w14:solidFill>
          </w14:textFill>
        </w:rPr>
      </w:pPr>
      <w:r>
        <w:rPr>
          <w:color w:val="000000" w:themeColor="text1"/>
          <w14:textFill>
            <w14:solidFill>
              <w14:schemeClr w14:val="tx1"/>
            </w14:solidFill>
          </w14:textFill>
        </w:rPr>
        <w:t>吉木萨尔县</w:t>
      </w:r>
      <w:r>
        <w:rPr>
          <w:rFonts w:hint="eastAsia"/>
          <w:color w:val="000000" w:themeColor="text1"/>
          <w:lang w:eastAsia="zh-CN"/>
          <w14:textFill>
            <w14:solidFill>
              <w14:schemeClr w14:val="tx1"/>
            </w14:solidFill>
          </w14:textFill>
        </w:rPr>
        <w:t>统计局</w:t>
      </w:r>
      <w:r>
        <w:rPr>
          <w:color w:val="000000" w:themeColor="text1"/>
          <w14:textFill>
            <w14:solidFill>
              <w14:schemeClr w14:val="tx1"/>
            </w14:solidFill>
          </w14:textFill>
        </w:rPr>
        <w:t>贯彻落实中央、自治区关于政府过紧日子、厉行节约的工作要求，提倡本单位全体干部职工，勤俭节约，切实降低行政运行成本，确保每年</w:t>
      </w:r>
      <w:r>
        <w:rPr>
          <w:rFonts w:hint="eastAsia"/>
          <w:color w:val="000000" w:themeColor="text1"/>
          <w:lang w:eastAsia="zh-CN"/>
          <w14:textFill>
            <w14:solidFill>
              <w14:schemeClr w14:val="tx1"/>
            </w14:solidFill>
          </w14:textFill>
        </w:rPr>
        <w:t>“三公”经费</w:t>
      </w:r>
      <w:r>
        <w:rPr>
          <w:color w:val="000000" w:themeColor="text1"/>
          <w14:textFill>
            <w14:solidFill>
              <w14:schemeClr w14:val="tx1"/>
            </w14:solidFill>
          </w14:textFill>
        </w:rPr>
        <w:t>只减不增。</w:t>
      </w:r>
      <w:r>
        <w:rPr>
          <w:rFonts w:hint="eastAsia"/>
          <w:color w:val="000000" w:themeColor="text1"/>
          <w:lang w:eastAsia="zh-CN"/>
          <w14:textFill>
            <w14:solidFill>
              <w14:schemeClr w14:val="tx1"/>
            </w14:solidFill>
          </w14:textFill>
        </w:rPr>
        <w:t>2024</w:t>
      </w:r>
      <w:r>
        <w:rPr>
          <w:color w:val="000000" w:themeColor="text1"/>
          <w14:textFill>
            <w14:solidFill>
              <w14:schemeClr w14:val="tx1"/>
            </w14:solidFill>
          </w14:textFill>
        </w:rPr>
        <w:t>年一般公共预算“三公”经费预算数为</w:t>
      </w:r>
      <w:r>
        <w:rPr>
          <w:rFonts w:hint="eastAsia"/>
          <w:color w:val="000000" w:themeColor="text1"/>
          <w:lang w:val="en-US" w:eastAsia="zh-CN"/>
          <w14:textFill>
            <w14:solidFill>
              <w14:schemeClr w14:val="tx1"/>
            </w14:solidFill>
          </w14:textFill>
        </w:rPr>
        <w:t>2.00</w:t>
      </w:r>
      <w:r>
        <w:rPr>
          <w:color w:val="000000" w:themeColor="text1"/>
          <w14:textFill>
            <w14:solidFill>
              <w14:schemeClr w14:val="tx1"/>
            </w14:solidFill>
          </w14:textFill>
        </w:rPr>
        <w:t>万元，实际支出</w:t>
      </w:r>
      <w:r>
        <w:rPr>
          <w:rFonts w:hint="eastAsia"/>
          <w:color w:val="000000" w:themeColor="text1"/>
          <w:lang w:val="en-US" w:eastAsia="zh-CN"/>
          <w14:textFill>
            <w14:solidFill>
              <w14:schemeClr w14:val="tx1"/>
            </w14:solidFill>
          </w14:textFill>
        </w:rPr>
        <w:t>2.00</w:t>
      </w:r>
      <w:r>
        <w:rPr>
          <w:color w:val="000000" w:themeColor="text1"/>
          <w14:textFill>
            <w14:solidFill>
              <w14:schemeClr w14:val="tx1"/>
            </w14:solidFill>
          </w14:textFill>
        </w:rPr>
        <w:t>万元，</w:t>
      </w:r>
      <w:r>
        <w:rPr>
          <w:rFonts w:hint="eastAsia"/>
          <w:color w:val="000000" w:themeColor="text1"/>
          <w:lang w:eastAsia="zh-CN"/>
          <w14:textFill>
            <w14:solidFill>
              <w14:schemeClr w14:val="tx1"/>
            </w14:solidFill>
          </w14:textFill>
        </w:rPr>
        <w:t>“三公”经费</w:t>
      </w:r>
      <w:r>
        <w:rPr>
          <w:color w:val="000000" w:themeColor="text1"/>
          <w14:textFill>
            <w14:solidFill>
              <w14:schemeClr w14:val="tx1"/>
            </w14:solidFill>
          </w14:textFill>
        </w:rPr>
        <w:t>控制率为100.00%，</w:t>
      </w:r>
      <w:r>
        <w:rPr>
          <w:rFonts w:hint="eastAsia"/>
          <w:color w:val="000000" w:themeColor="text1"/>
          <w:lang w:eastAsia="zh-CN"/>
          <w14:textFill>
            <w14:solidFill>
              <w14:schemeClr w14:val="tx1"/>
            </w14:solidFill>
          </w14:textFill>
        </w:rPr>
        <w:t>2024</w:t>
      </w:r>
      <w:r>
        <w:rPr>
          <w:color w:val="000000" w:themeColor="text1"/>
          <w14:textFill>
            <w14:solidFill>
              <w14:schemeClr w14:val="tx1"/>
            </w14:solidFill>
          </w14:textFill>
        </w:rPr>
        <w:t>年</w:t>
      </w:r>
      <w:r>
        <w:rPr>
          <w:rFonts w:hint="eastAsia"/>
          <w:color w:val="000000" w:themeColor="text1"/>
          <w:lang w:eastAsia="zh-CN"/>
          <w14:textFill>
            <w14:solidFill>
              <w14:schemeClr w14:val="tx1"/>
            </w14:solidFill>
          </w14:textFill>
        </w:rPr>
        <w:t>“三公”经费</w:t>
      </w:r>
      <w:r>
        <w:rPr>
          <w:color w:val="000000" w:themeColor="text1"/>
          <w14:textFill>
            <w14:solidFill>
              <w14:schemeClr w14:val="tx1"/>
            </w14:solidFill>
          </w14:textFill>
        </w:rPr>
        <w:t>支出控制较好。其中</w:t>
      </w:r>
      <w:r>
        <w:rPr>
          <w:rFonts w:hint="eastAsia"/>
          <w:color w:val="000000" w:themeColor="text1"/>
          <w:lang w:eastAsia="zh-CN"/>
          <w14:textFill>
            <w14:solidFill>
              <w14:schemeClr w14:val="tx1"/>
            </w14:solidFill>
          </w14:textFill>
        </w:rPr>
        <w:t>：</w:t>
      </w:r>
      <w:r>
        <w:rPr>
          <w:color w:val="000000" w:themeColor="text1"/>
          <w14:textFill>
            <w14:solidFill>
              <w14:schemeClr w14:val="tx1"/>
            </w14:solidFill>
          </w14:textFill>
        </w:rPr>
        <w:t>因公出国</w:t>
      </w:r>
      <w:r>
        <w:rPr>
          <w:rFonts w:hint="eastAsia"/>
          <w:color w:val="000000" w:themeColor="text1"/>
          <w:lang w:eastAsia="zh-CN"/>
          <w14:textFill>
            <w14:solidFill>
              <w14:schemeClr w14:val="tx1"/>
            </w14:solidFill>
          </w14:textFill>
        </w:rPr>
        <w:t>及</w:t>
      </w:r>
      <w:r>
        <w:rPr>
          <w:rFonts w:hint="eastAsia"/>
          <w:color w:val="000000" w:themeColor="text1"/>
          <w:lang w:val="en-US" w:eastAsia="zh-CN"/>
          <w14:textFill>
            <w14:solidFill>
              <w14:schemeClr w14:val="tx1"/>
            </w14:solidFill>
          </w14:textFill>
        </w:rPr>
        <w:t>公务接待事项</w:t>
      </w:r>
      <w:r>
        <w:rPr>
          <w:color w:val="000000" w:themeColor="text1"/>
          <w14:textFill>
            <w14:solidFill>
              <w14:schemeClr w14:val="tx1"/>
            </w14:solidFill>
          </w14:textFill>
        </w:rPr>
        <w:t>，公务用车运行维护费支出2</w:t>
      </w:r>
      <w:r>
        <w:rPr>
          <w:rFonts w:hint="eastAsia"/>
          <w:color w:val="000000" w:themeColor="text1"/>
          <w:lang w:val="en-US" w:eastAsia="zh-CN"/>
          <w14:textFill>
            <w14:solidFill>
              <w14:schemeClr w14:val="tx1"/>
            </w14:solidFill>
          </w14:textFill>
        </w:rPr>
        <w:t>.00</w:t>
      </w:r>
      <w:r>
        <w:rPr>
          <w:color w:val="000000" w:themeColor="text1"/>
          <w14:textFill>
            <w14:solidFill>
              <w14:schemeClr w14:val="tx1"/>
            </w14:solidFill>
          </w14:textFill>
        </w:rPr>
        <w:t>万元。</w:t>
      </w:r>
    </w:p>
    <w:p w14:paraId="3CBB4E10">
      <w:pPr>
        <w:keepNext/>
        <w:keepLines/>
        <w:ind w:firstLine="422"/>
        <w:jc w:val="left"/>
        <w:outlineLvl w:val="1"/>
        <w:rPr>
          <w:b/>
          <w:color w:val="000000" w:themeColor="text1"/>
          <w14:textFill>
            <w14:solidFill>
              <w14:schemeClr w14:val="tx1"/>
            </w14:solidFill>
          </w14:textFill>
        </w:rPr>
      </w:pPr>
      <w:bookmarkStart w:id="39" w:name="_Toc12171"/>
      <w:r>
        <w:rPr>
          <w:b/>
          <w:color w:val="000000" w:themeColor="text1"/>
          <w14:textFill>
            <w14:solidFill>
              <w14:schemeClr w14:val="tx1"/>
            </w14:solidFill>
          </w14:textFill>
        </w:rPr>
        <w:t>（三）部门资产情况</w:t>
      </w:r>
      <w:bookmarkEnd w:id="39"/>
    </w:p>
    <w:p w14:paraId="3FC271AA">
      <w:pPr>
        <w:ind w:firstLine="420"/>
        <w:rPr>
          <w:rFonts w:eastAsiaTheme="minorEastAsia"/>
          <w:color w:val="000000" w:themeColor="text1"/>
          <w14:textFill>
            <w14:solidFill>
              <w14:schemeClr w14:val="tx1"/>
            </w14:solidFill>
          </w14:textFill>
        </w:rPr>
      </w:pPr>
      <w:r>
        <w:rPr>
          <w:rFonts w:eastAsiaTheme="minorEastAsia"/>
          <w:bCs/>
          <w:color w:val="000000" w:themeColor="text1"/>
          <w14:textFill>
            <w14:solidFill>
              <w14:schemeClr w14:val="tx1"/>
            </w14:solidFill>
          </w14:textFill>
        </w:rPr>
        <w:t>吉木萨尔县</w:t>
      </w:r>
      <w:r>
        <w:rPr>
          <w:rFonts w:hint="eastAsia" w:eastAsiaTheme="minorEastAsia"/>
          <w:bCs/>
          <w:color w:val="000000" w:themeColor="text1"/>
          <w:lang w:eastAsia="zh-CN"/>
          <w14:textFill>
            <w14:solidFill>
              <w14:schemeClr w14:val="tx1"/>
            </w14:solidFill>
          </w14:textFill>
        </w:rPr>
        <w:t>统计局</w:t>
      </w:r>
      <w:r>
        <w:rPr>
          <w:rFonts w:hint="eastAsia" w:eastAsiaTheme="minorEastAsia"/>
          <w:color w:val="000000" w:themeColor="text1"/>
          <w:lang w:eastAsia="zh-CN"/>
          <w14:textFill>
            <w14:solidFill>
              <w14:schemeClr w14:val="tx1"/>
            </w14:solidFill>
          </w14:textFill>
        </w:rPr>
        <w:t>2024</w:t>
      </w:r>
      <w:r>
        <w:rPr>
          <w:rFonts w:eastAsiaTheme="minorEastAsia"/>
          <w:color w:val="000000" w:themeColor="text1"/>
          <w14:textFill>
            <w14:solidFill>
              <w14:schemeClr w14:val="tx1"/>
            </w14:solidFill>
          </w14:textFill>
        </w:rPr>
        <w:t>年末资产总额</w:t>
      </w:r>
      <w:r>
        <w:rPr>
          <w:rFonts w:hint="eastAsia" w:eastAsiaTheme="minorEastAsia"/>
          <w:color w:val="000000" w:themeColor="text1"/>
          <w:lang w:val="en-US" w:eastAsia="zh-CN"/>
          <w14:textFill>
            <w14:solidFill>
              <w14:schemeClr w14:val="tx1"/>
            </w14:solidFill>
          </w14:textFill>
        </w:rPr>
        <w:t>20.96</w:t>
      </w:r>
      <w:r>
        <w:rPr>
          <w:rFonts w:eastAsiaTheme="minorEastAsia"/>
          <w:color w:val="000000" w:themeColor="text1"/>
          <w14:textFill>
            <w14:solidFill>
              <w14:schemeClr w14:val="tx1"/>
            </w14:solidFill>
          </w14:textFill>
        </w:rPr>
        <w:t>万元，其中：</w:t>
      </w:r>
    </w:p>
    <w:p w14:paraId="62514D91">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（1）流动资产</w:t>
      </w:r>
      <w:r>
        <w:rPr>
          <w:rFonts w:hint="eastAsia" w:eastAsiaTheme="minorEastAsia"/>
          <w:color w:val="000000" w:themeColor="text1"/>
          <w:lang w:val="en-US" w:eastAsia="zh-CN"/>
          <w14:textFill>
            <w14:solidFill>
              <w14:schemeClr w14:val="tx1"/>
            </w14:solidFill>
          </w14:textFill>
        </w:rPr>
        <w:t>5.66</w:t>
      </w:r>
      <w:r>
        <w:rPr>
          <w:rFonts w:eastAsiaTheme="minorEastAsia"/>
          <w:color w:val="000000" w:themeColor="text1"/>
          <w14:textFill>
            <w14:solidFill>
              <w14:schemeClr w14:val="tx1"/>
            </w14:solidFill>
          </w14:textFill>
        </w:rPr>
        <w:t>万元，其中：货币资金</w:t>
      </w:r>
      <w:r>
        <w:rPr>
          <w:rFonts w:hint="eastAsia" w:eastAsiaTheme="minorEastAsia"/>
          <w:color w:val="000000" w:themeColor="text1"/>
          <w:lang w:val="en-US" w:eastAsia="zh-CN"/>
          <w14:textFill>
            <w14:solidFill>
              <w14:schemeClr w14:val="tx1"/>
            </w14:solidFill>
          </w14:textFill>
        </w:rPr>
        <w:t>5.06</w:t>
      </w:r>
      <w:r>
        <w:rPr>
          <w:rFonts w:eastAsiaTheme="minorEastAsia"/>
          <w:color w:val="000000" w:themeColor="text1"/>
          <w14:textFill>
            <w14:solidFill>
              <w14:schemeClr w14:val="tx1"/>
            </w14:solidFill>
          </w14:textFill>
        </w:rPr>
        <w:t>万元。</w:t>
      </w:r>
    </w:p>
    <w:p w14:paraId="4C25873A">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（2）非流动资产期末账面净值</w:t>
      </w:r>
      <w:r>
        <w:rPr>
          <w:rFonts w:hint="eastAsia" w:eastAsiaTheme="minorEastAsia"/>
          <w:color w:val="000000" w:themeColor="text1"/>
          <w:lang w:val="en-US" w:eastAsia="zh-CN"/>
          <w14:textFill>
            <w14:solidFill>
              <w14:schemeClr w14:val="tx1"/>
            </w14:solidFill>
          </w14:textFill>
        </w:rPr>
        <w:t>15.30</w:t>
      </w:r>
      <w:r>
        <w:rPr>
          <w:rFonts w:eastAsiaTheme="minorEastAsia"/>
          <w:color w:val="000000" w:themeColor="text1"/>
          <w14:textFill>
            <w14:solidFill>
              <w14:schemeClr w14:val="tx1"/>
            </w14:solidFill>
          </w14:textFill>
        </w:rPr>
        <w:t>万元，其中：固定资产期末账面原值</w:t>
      </w:r>
      <w:r>
        <w:rPr>
          <w:rFonts w:hint="eastAsia" w:eastAsiaTheme="minorEastAsia"/>
          <w:color w:val="000000" w:themeColor="text1"/>
          <w:lang w:val="en-US" w:eastAsia="zh-CN"/>
          <w14:textFill>
            <w14:solidFill>
              <w14:schemeClr w14:val="tx1"/>
            </w14:solidFill>
          </w14:textFill>
        </w:rPr>
        <w:t>84.14</w:t>
      </w:r>
      <w:r>
        <w:rPr>
          <w:rFonts w:eastAsiaTheme="minorEastAsia"/>
          <w:color w:val="000000" w:themeColor="text1"/>
          <w14:textFill>
            <w14:solidFill>
              <w14:schemeClr w14:val="tx1"/>
            </w14:solidFill>
          </w14:textFill>
        </w:rPr>
        <w:t>万元，累计折旧</w:t>
      </w:r>
      <w:r>
        <w:rPr>
          <w:rFonts w:hint="eastAsia" w:eastAsiaTheme="minorEastAsia"/>
          <w:color w:val="000000" w:themeColor="text1"/>
          <w:lang w:val="en-US" w:eastAsia="zh-CN"/>
          <w14:textFill>
            <w14:solidFill>
              <w14:schemeClr w14:val="tx1"/>
            </w14:solidFill>
          </w14:textFill>
        </w:rPr>
        <w:t>68.84</w:t>
      </w:r>
      <w:r>
        <w:rPr>
          <w:rFonts w:eastAsiaTheme="minorEastAsia"/>
          <w:color w:val="000000" w:themeColor="text1"/>
          <w14:textFill>
            <w14:solidFill>
              <w14:schemeClr w14:val="tx1"/>
            </w14:solidFill>
          </w14:textFill>
        </w:rPr>
        <w:t>万元。固定资产情况具体如下：</w:t>
      </w:r>
    </w:p>
    <w:p w14:paraId="12225F9C">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①设备期末账面数量为</w:t>
      </w:r>
      <w:r>
        <w:rPr>
          <w:rFonts w:hint="eastAsia" w:eastAsiaTheme="minorEastAsia"/>
          <w:color w:val="000000" w:themeColor="text1"/>
          <w:lang w:val="en-US" w:eastAsia="zh-CN"/>
          <w14:textFill>
            <w14:solidFill>
              <w14:schemeClr w14:val="tx1"/>
            </w14:solidFill>
          </w14:textFill>
        </w:rPr>
        <w:t>198</w:t>
      </w:r>
      <w:r>
        <w:rPr>
          <w:rFonts w:eastAsiaTheme="minorEastAsia"/>
          <w:color w:val="000000" w:themeColor="text1"/>
          <w14:textFill>
            <w14:solidFill>
              <w14:schemeClr w14:val="tx1"/>
            </w14:solidFill>
          </w14:textFill>
        </w:rPr>
        <w:t>个（个、台、辆等），期末账面原值为</w:t>
      </w:r>
      <w:r>
        <w:rPr>
          <w:rFonts w:hint="eastAsia" w:eastAsiaTheme="minorEastAsia"/>
          <w:color w:val="000000" w:themeColor="text1"/>
          <w:lang w:val="en-US" w:eastAsia="zh-CN"/>
          <w14:textFill>
            <w14:solidFill>
              <w14:schemeClr w14:val="tx1"/>
            </w14:solidFill>
          </w14:textFill>
        </w:rPr>
        <w:t>74.25</w:t>
      </w:r>
      <w:r>
        <w:rPr>
          <w:rFonts w:eastAsiaTheme="minorEastAsia"/>
          <w:color w:val="000000" w:themeColor="text1"/>
          <w14:textFill>
            <w14:solidFill>
              <w14:schemeClr w14:val="tx1"/>
            </w14:solidFill>
          </w14:textFill>
        </w:rPr>
        <w:t>万元，累计折旧</w:t>
      </w:r>
      <w:r>
        <w:rPr>
          <w:rFonts w:hint="eastAsia" w:eastAsiaTheme="minorEastAsia"/>
          <w:color w:val="000000" w:themeColor="text1"/>
          <w:lang w:val="en-US" w:eastAsia="zh-CN"/>
          <w14:textFill>
            <w14:solidFill>
              <w14:schemeClr w14:val="tx1"/>
            </w14:solidFill>
          </w14:textFill>
        </w:rPr>
        <w:t>62.36</w:t>
      </w:r>
      <w:r>
        <w:rPr>
          <w:rFonts w:eastAsiaTheme="minorEastAsia"/>
          <w:color w:val="000000" w:themeColor="text1"/>
          <w14:textFill>
            <w14:solidFill>
              <w14:schemeClr w14:val="tx1"/>
            </w14:solidFill>
          </w14:textFill>
        </w:rPr>
        <w:t>万元，期末账面净值</w:t>
      </w:r>
      <w:r>
        <w:rPr>
          <w:rFonts w:hint="eastAsia" w:eastAsiaTheme="minorEastAsia"/>
          <w:color w:val="000000" w:themeColor="text1"/>
          <w:lang w:val="en-US" w:eastAsia="zh-CN"/>
          <w14:textFill>
            <w14:solidFill>
              <w14:schemeClr w14:val="tx1"/>
            </w14:solidFill>
          </w14:textFill>
        </w:rPr>
        <w:t>11.89</w:t>
      </w:r>
      <w:r>
        <w:rPr>
          <w:rFonts w:eastAsiaTheme="minorEastAsia"/>
          <w:color w:val="000000" w:themeColor="text1"/>
          <w14:textFill>
            <w14:solidFill>
              <w14:schemeClr w14:val="tx1"/>
            </w14:solidFill>
          </w14:textFill>
        </w:rPr>
        <w:t>万元。</w:t>
      </w:r>
    </w:p>
    <w:p w14:paraId="3C6E93AA">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②家具和用具末账面数量为</w:t>
      </w:r>
      <w:r>
        <w:rPr>
          <w:rFonts w:hint="eastAsia" w:eastAsiaTheme="minorEastAsia"/>
          <w:color w:val="000000" w:themeColor="text1"/>
          <w:lang w:val="en-US" w:eastAsia="zh-CN"/>
          <w14:textFill>
            <w14:solidFill>
              <w14:schemeClr w14:val="tx1"/>
            </w14:solidFill>
          </w14:textFill>
        </w:rPr>
        <w:t>66</w:t>
      </w:r>
      <w:r>
        <w:rPr>
          <w:rFonts w:eastAsiaTheme="minorEastAsia"/>
          <w:color w:val="000000" w:themeColor="text1"/>
          <w14:textFill>
            <w14:solidFill>
              <w14:schemeClr w14:val="tx1"/>
            </w14:solidFill>
          </w14:textFill>
        </w:rPr>
        <w:t>（个、套等），期末账面原值为</w:t>
      </w:r>
      <w:r>
        <w:rPr>
          <w:rFonts w:hint="eastAsia" w:eastAsiaTheme="minorEastAsia"/>
          <w:color w:val="000000" w:themeColor="text1"/>
          <w:lang w:val="en-US" w:eastAsia="zh-CN"/>
          <w14:textFill>
            <w14:solidFill>
              <w14:schemeClr w14:val="tx1"/>
            </w14:solidFill>
          </w14:textFill>
        </w:rPr>
        <w:t>9.89</w:t>
      </w:r>
      <w:r>
        <w:rPr>
          <w:rFonts w:eastAsiaTheme="minorEastAsia"/>
          <w:color w:val="000000" w:themeColor="text1"/>
          <w14:textFill>
            <w14:solidFill>
              <w14:schemeClr w14:val="tx1"/>
            </w14:solidFill>
          </w14:textFill>
        </w:rPr>
        <w:t>万元，累计折旧</w:t>
      </w:r>
      <w:r>
        <w:rPr>
          <w:rFonts w:hint="eastAsia" w:eastAsiaTheme="minorEastAsia"/>
          <w:color w:val="000000" w:themeColor="text1"/>
          <w:lang w:val="en-US" w:eastAsia="zh-CN"/>
          <w14:textFill>
            <w14:solidFill>
              <w14:schemeClr w14:val="tx1"/>
            </w14:solidFill>
          </w14:textFill>
        </w:rPr>
        <w:t>6.48</w:t>
      </w:r>
      <w:r>
        <w:rPr>
          <w:rFonts w:eastAsiaTheme="minorEastAsia"/>
          <w:color w:val="000000" w:themeColor="text1"/>
          <w14:textFill>
            <w14:solidFill>
              <w14:schemeClr w14:val="tx1"/>
            </w14:solidFill>
          </w14:textFill>
        </w:rPr>
        <w:t>万元，期末账面净值</w:t>
      </w:r>
      <w:r>
        <w:rPr>
          <w:rFonts w:hint="eastAsia" w:eastAsiaTheme="minorEastAsia"/>
          <w:color w:val="000000" w:themeColor="text1"/>
          <w:lang w:val="en-US" w:eastAsia="zh-CN"/>
          <w14:textFill>
            <w14:solidFill>
              <w14:schemeClr w14:val="tx1"/>
            </w14:solidFill>
          </w14:textFill>
        </w:rPr>
        <w:t>3.41</w:t>
      </w:r>
      <w:r>
        <w:rPr>
          <w:rFonts w:eastAsiaTheme="minorEastAsia"/>
          <w:color w:val="000000" w:themeColor="text1"/>
          <w14:textFill>
            <w14:solidFill>
              <w14:schemeClr w14:val="tx1"/>
            </w14:solidFill>
          </w14:textFill>
        </w:rPr>
        <w:t>万元。</w:t>
      </w:r>
    </w:p>
    <w:p w14:paraId="5848D08F">
      <w:pPr>
        <w:pStyle w:val="9"/>
        <w:ind w:firstLine="420"/>
        <w:rPr>
          <w:color w:val="000000" w:themeColor="text1"/>
          <w14:textFill>
            <w14:solidFill>
              <w14:schemeClr w14:val="tx1"/>
            </w14:solidFill>
          </w14:textFill>
        </w:rPr>
      </w:pPr>
    </w:p>
    <w:p w14:paraId="431FE9E1">
      <w:pPr>
        <w:keepNext/>
        <w:keepLines/>
        <w:ind w:firstLine="422"/>
        <w:jc w:val="left"/>
        <w:outlineLvl w:val="1"/>
        <w:rPr>
          <w:b/>
          <w:color w:val="000000" w:themeColor="text1"/>
          <w14:textFill>
            <w14:solidFill>
              <w14:schemeClr w14:val="tx1"/>
            </w14:solidFill>
          </w14:textFill>
        </w:rPr>
      </w:pPr>
      <w:bookmarkStart w:id="40" w:name="_Toc25718"/>
      <w:r>
        <w:rPr>
          <w:b/>
          <w:color w:val="000000" w:themeColor="text1"/>
          <w14:textFill>
            <w14:solidFill>
              <w14:schemeClr w14:val="tx1"/>
            </w14:solidFill>
          </w14:textFill>
        </w:rPr>
        <w:t>（四）部门整体绩效目标</w:t>
      </w:r>
      <w:bookmarkEnd w:id="40"/>
    </w:p>
    <w:p w14:paraId="2FE86CBB">
      <w:pPr>
        <w:keepNext/>
        <w:keepLines/>
        <w:ind w:firstLine="422"/>
        <w:outlineLvl w:val="2"/>
        <w:rPr>
          <w:bCs/>
          <w:color w:val="000000" w:themeColor="text1"/>
          <w14:textFill>
            <w14:solidFill>
              <w14:schemeClr w14:val="tx1"/>
            </w14:solidFill>
          </w14:textFill>
        </w:rPr>
      </w:pPr>
      <w:r>
        <w:rPr>
          <w:b/>
          <w:color w:val="000000" w:themeColor="text1"/>
          <w14:textFill>
            <w14:solidFill>
              <w14:schemeClr w14:val="tx1"/>
            </w14:solidFill>
          </w14:textFill>
        </w:rPr>
        <w:t>1.部门中长期规划</w:t>
      </w:r>
    </w:p>
    <w:p w14:paraId="733182E1">
      <w:pPr>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全面提升统计调查工作水平。进一步夯实统计基础，完善“三新”统计，对国民经济、社会发展、科技进步和资源环境等情况进行统计调查。推进国民经济核算改革，推动加快构建现代化统计调查体系，为加强和改善宏观调控、深化供给侧结构性改革、科学制定中长期发展规划、推进国家治理体系和治理能力现代化提供科学准确的统计支持。加强对经济形势分析研判。围绕保持经济运行在合理区间，从经济增长、就业、物价、居民收入等方面深入分析研判经济运行态势，强化预判预警，及时研判经济运行中的苗头性、趋势性、倾向性问题，切实发挥好统计分析监测预警职能。强化统计监督。努力提高政治站位，聚焦统计法定职责履行、统计违纪违法现象治理、统计数据质量提升，扎实开展统计执法监督检查，坚决纠治统计造假不收手不收敛、屡禁难绝问题。完成经济普查的工作，开展宣传动员，完成人员选调与培训，开展单位清查、综合试点等工作</w:t>
      </w:r>
    </w:p>
    <w:p w14:paraId="2770C97D">
      <w:pPr>
        <w:keepNext/>
        <w:keepLines/>
        <w:ind w:firstLine="422"/>
        <w:outlineLvl w:val="2"/>
        <w:rPr>
          <w:b/>
          <w:color w:val="000000" w:themeColor="text1"/>
          <w14:textFill>
            <w14:solidFill>
              <w14:schemeClr w14:val="tx1"/>
            </w14:solidFill>
          </w14:textFill>
        </w:rPr>
      </w:pPr>
      <w:r>
        <w:rPr>
          <w:b/>
          <w:color w:val="000000" w:themeColor="text1"/>
          <w14:textFill>
            <w14:solidFill>
              <w14:schemeClr w14:val="tx1"/>
            </w14:solidFill>
          </w14:textFill>
        </w:rPr>
        <w:t>2.部门年度工作任务</w:t>
      </w:r>
    </w:p>
    <w:p w14:paraId="4EEA9A8B">
      <w:pPr>
        <w:ind w:firstLine="422"/>
        <w:rPr>
          <w:rFonts w:eastAsiaTheme="minorEastAsia"/>
          <w:b/>
          <w:color w:val="000000" w:themeColor="text1"/>
          <w:highlight w:val="none"/>
          <w14:textFill>
            <w14:solidFill>
              <w14:schemeClr w14:val="tx1"/>
            </w14:solidFill>
          </w14:textFill>
        </w:rPr>
      </w:pPr>
      <w:r>
        <w:rPr>
          <w:rFonts w:hint="eastAsia" w:eastAsiaTheme="minorEastAsia"/>
          <w:b/>
          <w:color w:val="000000" w:themeColor="text1"/>
          <w:highlight w:val="none"/>
          <w14:textFill>
            <w14:solidFill>
              <w14:schemeClr w14:val="tx1"/>
            </w14:solidFill>
          </w14:textFill>
        </w:rPr>
        <w:t>（</w:t>
      </w:r>
      <w:r>
        <w:rPr>
          <w:rFonts w:hint="eastAsia" w:eastAsiaTheme="minorEastAsia"/>
          <w:b/>
          <w:color w:val="000000" w:themeColor="text1"/>
          <w:highlight w:val="none"/>
          <w:lang w:val="en-US" w:eastAsia="zh-CN"/>
          <w14:textFill>
            <w14:solidFill>
              <w14:schemeClr w14:val="tx1"/>
            </w14:solidFill>
          </w14:textFill>
        </w:rPr>
        <w:t>1</w:t>
      </w:r>
      <w:r>
        <w:rPr>
          <w:rFonts w:hint="eastAsia" w:eastAsiaTheme="minorEastAsia"/>
          <w:b/>
          <w:color w:val="000000" w:themeColor="text1"/>
          <w:highlight w:val="none"/>
          <w14:textFill>
            <w14:solidFill>
              <w14:schemeClr w14:val="tx1"/>
            </w14:solidFill>
          </w14:textFill>
        </w:rPr>
        <w:t>）高效推进经普，确保数据质量</w:t>
      </w:r>
    </w:p>
    <w:p w14:paraId="75B3BAB9">
      <w:pPr>
        <w:ind w:firstLine="422"/>
        <w:rPr>
          <w:rFonts w:hint="default" w:eastAsia="宋体"/>
          <w:color w:val="000000" w:themeColor="text1"/>
          <w:highlight w:val="none"/>
          <w:lang w:val="en-US" w:eastAsia="zh-CN"/>
          <w14:textFill>
            <w14:solidFill>
              <w14:schemeClr w14:val="tx1"/>
            </w14:solidFill>
          </w14:textFill>
        </w:rPr>
      </w:pPr>
      <w:r>
        <w:rPr>
          <w:rFonts w:hint="eastAsia"/>
          <w:color w:val="000000" w:themeColor="text1"/>
          <w:highlight w:val="none"/>
          <w14:textFill>
            <w14:solidFill>
              <w14:schemeClr w14:val="tx1"/>
            </w14:solidFill>
          </w14:textFill>
        </w:rPr>
        <w:t>坚持法治理念，全面做好经济普查。高站位推动参与普查。多部门高效协作，通过数据比对、联合入户等方式提升数据质量。建立包联指导机制，严格落实普查条例，执行“即报即审”等要求，第五次全国经济普查登记一套表单位106家，第五次全国经济普查上报率100%</w:t>
      </w:r>
      <w:r>
        <w:rPr>
          <w:rFonts w:hint="eastAsia"/>
          <w:color w:val="000000" w:themeColor="text1"/>
          <w:highlight w:val="none"/>
          <w:lang w:eastAsia="zh-CN"/>
          <w14:textFill>
            <w14:solidFill>
              <w14:schemeClr w14:val="tx1"/>
            </w14:solidFill>
          </w14:textFill>
        </w:rPr>
        <w:t>，</w:t>
      </w:r>
      <w:r>
        <w:rPr>
          <w:rFonts w:hint="eastAsia"/>
          <w:color w:val="000000" w:themeColor="text1"/>
          <w:highlight w:val="none"/>
          <w:lang w:val="en-US" w:eastAsia="zh-CN"/>
          <w14:textFill>
            <w14:solidFill>
              <w14:schemeClr w14:val="tx1"/>
            </w14:solidFill>
          </w14:textFill>
        </w:rPr>
        <w:t>按时保质保量完成第五次经济普查。</w:t>
      </w:r>
    </w:p>
    <w:p w14:paraId="212C5006">
      <w:pPr>
        <w:ind w:firstLine="422"/>
        <w:rPr>
          <w:rFonts w:hint="eastAsia" w:eastAsiaTheme="minorEastAsia"/>
          <w:b/>
          <w:color w:val="000000" w:themeColor="text1"/>
          <w:highlight w:val="none"/>
          <w14:textFill>
            <w14:solidFill>
              <w14:schemeClr w14:val="tx1"/>
            </w14:solidFill>
          </w14:textFill>
        </w:rPr>
      </w:pPr>
      <w:r>
        <w:rPr>
          <w:rFonts w:hint="eastAsia" w:eastAsiaTheme="minorEastAsia"/>
          <w:b/>
          <w:color w:val="000000" w:themeColor="text1"/>
          <w:highlight w:val="none"/>
          <w14:textFill>
            <w14:solidFill>
              <w14:schemeClr w14:val="tx1"/>
            </w14:solidFill>
          </w14:textFill>
        </w:rPr>
        <w:t>（</w:t>
      </w:r>
      <w:r>
        <w:rPr>
          <w:rFonts w:hint="eastAsia" w:eastAsiaTheme="minorEastAsia"/>
          <w:b/>
          <w:color w:val="000000" w:themeColor="text1"/>
          <w:highlight w:val="none"/>
          <w:lang w:val="en-US" w:eastAsia="zh-CN"/>
          <w14:textFill>
            <w14:solidFill>
              <w14:schemeClr w14:val="tx1"/>
            </w14:solidFill>
          </w14:textFill>
        </w:rPr>
        <w:t>2</w:t>
      </w:r>
      <w:r>
        <w:rPr>
          <w:rFonts w:hint="eastAsia" w:eastAsiaTheme="minorEastAsia"/>
          <w:b/>
          <w:color w:val="000000" w:themeColor="text1"/>
          <w:highlight w:val="none"/>
          <w14:textFill>
            <w14:solidFill>
              <w14:schemeClr w14:val="tx1"/>
            </w14:solidFill>
          </w14:textFill>
        </w:rPr>
        <w:t>）夯实基层基础，提升数据品质</w:t>
      </w:r>
      <w:r>
        <w:rPr>
          <w:rFonts w:hint="eastAsia" w:eastAsiaTheme="minorEastAsia"/>
          <w:b/>
          <w:color w:val="000000" w:themeColor="text1"/>
          <w:highlight w:val="none"/>
          <w:lang w:eastAsia="zh-CN"/>
          <w14:textFill>
            <w14:solidFill>
              <w14:schemeClr w14:val="tx1"/>
            </w14:solidFill>
          </w14:textFill>
        </w:rPr>
        <w:t>，</w:t>
      </w:r>
      <w:r>
        <w:rPr>
          <w:rFonts w:hint="eastAsia" w:eastAsiaTheme="minorEastAsia"/>
          <w:b/>
          <w:color w:val="000000" w:themeColor="text1"/>
          <w:highlight w:val="none"/>
          <w14:textFill>
            <w14:solidFill>
              <w14:schemeClr w14:val="tx1"/>
            </w14:solidFill>
          </w14:textFill>
        </w:rPr>
        <w:t>服务经济发展</w:t>
      </w:r>
    </w:p>
    <w:p w14:paraId="466EE747">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严格持续巩固好自治区统计局三年统计基层基础工作取得的良好成果，督促各乡镇继续不折不扣落实政策文件精神，定期组织各乡镇统计人员开展业务培训，引导基层依法依规做好种植业、畜牧业、城乡住户调查、劳动力调查、基本单位名录库维护等各项统计工作。</w:t>
      </w:r>
    </w:p>
    <w:p w14:paraId="5163A60A">
      <w:pPr>
        <w:bidi w:val="0"/>
        <w:rPr>
          <w:rFonts w:hint="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紧紧围绕县委、县政府中心工作，用数据说话，为决策服务，强化统计分析工作。完成对规模以上工业企业、固定资产投资项目、限额以上批发零售住宿餐饮业和县域综合经济运行情况、特点、存在的问题，提出对策建议，不断提升统计服务水平。</w:t>
      </w:r>
    </w:p>
    <w:p w14:paraId="5D8D1024">
      <w:pPr>
        <w:keepNext/>
        <w:keepLines/>
        <w:ind w:firstLine="422"/>
        <w:outlineLvl w:val="2"/>
        <w:rPr>
          <w:b/>
          <w:color w:val="000000" w:themeColor="text1"/>
          <w14:textFill>
            <w14:solidFill>
              <w14:schemeClr w14:val="tx1"/>
            </w14:solidFill>
          </w14:textFill>
        </w:rPr>
      </w:pPr>
      <w:r>
        <w:rPr>
          <w:b/>
          <w:color w:val="000000" w:themeColor="text1"/>
          <w14:textFill>
            <w14:solidFill>
              <w14:schemeClr w14:val="tx1"/>
            </w14:solidFill>
          </w14:textFill>
        </w:rPr>
        <w:t>3.单位绩效目标</w:t>
      </w:r>
    </w:p>
    <w:p w14:paraId="09915C2A">
      <w:pPr>
        <w:ind w:firstLine="422"/>
        <w:rPr>
          <w:b/>
          <w:color w:val="000000" w:themeColor="text1"/>
          <w14:textFill>
            <w14:solidFill>
              <w14:schemeClr w14:val="tx1"/>
            </w14:solidFill>
          </w14:textFill>
        </w:rPr>
      </w:pPr>
      <w:r>
        <w:rPr>
          <w:b/>
          <w:color w:val="000000" w:themeColor="text1"/>
          <w14:textFill>
            <w14:solidFill>
              <w14:schemeClr w14:val="tx1"/>
            </w14:solidFill>
          </w14:textFill>
        </w:rPr>
        <w:t>（1）部门年度绩效总目标</w:t>
      </w:r>
    </w:p>
    <w:p w14:paraId="7C21CC9E">
      <w:pPr>
        <w:ind w:firstLine="420"/>
        <w:rPr>
          <w:rFonts w:hint="eastAsia"/>
          <w:color w:val="000000" w:themeColor="text1"/>
          <w14:textFill>
            <w14:solidFill>
              <w14:schemeClr w14:val="tx1"/>
            </w14:solidFill>
          </w14:textFill>
        </w:rPr>
      </w:pPr>
      <w:r>
        <w:rPr>
          <w:rFonts w:hint="eastAsia"/>
          <w:color w:val="000000" w:themeColor="text1"/>
          <w14:textFill>
            <w14:solidFill>
              <w14:schemeClr w14:val="tx1"/>
            </w14:solidFill>
          </w14:textFill>
        </w:rPr>
        <w:t>严格落实习近平总书记关于统计工作重要讲话指示批示精神和党中央、国务院关于统计改革发展重大决策部署，在</w:t>
      </w:r>
      <w:r>
        <w:rPr>
          <w:rFonts w:hint="eastAsia"/>
          <w:color w:val="000000" w:themeColor="text1"/>
          <w:lang w:val="en-US" w:eastAsia="zh-CN"/>
          <w14:textFill>
            <w14:solidFill>
              <w14:schemeClr w14:val="tx1"/>
            </w14:solidFill>
          </w14:textFill>
        </w:rPr>
        <w:t>县</w:t>
      </w:r>
      <w:r>
        <w:rPr>
          <w:rFonts w:hint="eastAsia"/>
          <w:color w:val="000000" w:themeColor="text1"/>
          <w14:textFill>
            <w14:solidFill>
              <w14:schemeClr w14:val="tx1"/>
            </w14:solidFill>
          </w14:textFill>
        </w:rPr>
        <w:t>委、</w:t>
      </w:r>
      <w:r>
        <w:rPr>
          <w:rFonts w:hint="eastAsia"/>
          <w:color w:val="000000" w:themeColor="text1"/>
          <w:lang w:val="en-US" w:eastAsia="zh-CN"/>
          <w14:textFill>
            <w14:solidFill>
              <w14:schemeClr w14:val="tx1"/>
            </w14:solidFill>
          </w14:textFill>
        </w:rPr>
        <w:t>县</w:t>
      </w:r>
      <w:r>
        <w:rPr>
          <w:rFonts w:hint="eastAsia"/>
          <w:color w:val="000000" w:themeColor="text1"/>
          <w14:textFill>
            <w14:solidFill>
              <w14:schemeClr w14:val="tx1"/>
            </w14:solidFill>
          </w14:textFill>
        </w:rPr>
        <w:t>政府的领导下，紧紧围绕</w:t>
      </w:r>
      <w:r>
        <w:rPr>
          <w:rFonts w:hint="eastAsia"/>
          <w:color w:val="000000" w:themeColor="text1"/>
          <w:lang w:val="en-US" w:eastAsia="zh-CN"/>
          <w14:textFill>
            <w14:solidFill>
              <w14:schemeClr w14:val="tx1"/>
            </w14:solidFill>
          </w14:textFill>
        </w:rPr>
        <w:t>吉木萨尔县</w:t>
      </w:r>
      <w:r>
        <w:rPr>
          <w:rFonts w:hint="eastAsia"/>
          <w:color w:val="000000" w:themeColor="text1"/>
          <w14:textFill>
            <w14:solidFill>
              <w14:schemeClr w14:val="tx1"/>
            </w14:solidFill>
          </w14:textFill>
        </w:rPr>
        <w:t>经济社会发展各项目标，认真履行统计法定职责，科学有效地开展</w:t>
      </w:r>
      <w:r>
        <w:rPr>
          <w:rFonts w:hint="eastAsia"/>
          <w:color w:val="000000" w:themeColor="text1"/>
          <w:lang w:val="en-US" w:eastAsia="zh-CN"/>
          <w14:textFill>
            <w14:solidFill>
              <w14:schemeClr w14:val="tx1"/>
            </w14:solidFill>
          </w14:textFill>
        </w:rPr>
        <w:t>吉木萨尔县</w:t>
      </w:r>
      <w:r>
        <w:rPr>
          <w:rFonts w:hint="eastAsia"/>
          <w:color w:val="000000" w:themeColor="text1"/>
          <w14:textFill>
            <w14:solidFill>
              <w14:schemeClr w14:val="tx1"/>
            </w14:solidFill>
          </w14:textFill>
        </w:rPr>
        <w:t>各类统计工作。</w:t>
      </w:r>
      <w:r>
        <w:rPr>
          <w:rFonts w:hint="eastAsia"/>
          <w:color w:val="000000" w:themeColor="text1"/>
          <w:highlight w:val="none"/>
          <w:lang w:val="en-US" w:eastAsia="zh-CN"/>
          <w14:textFill>
            <w14:solidFill>
              <w14:schemeClr w14:val="tx1"/>
            </w14:solidFill>
          </w14:textFill>
        </w:rPr>
        <w:t>按时保质保量完成第五次经济普查。</w:t>
      </w:r>
      <w:r>
        <w:rPr>
          <w:rFonts w:hint="eastAsia"/>
          <w:color w:val="000000" w:themeColor="text1"/>
          <w14:textFill>
            <w14:solidFill>
              <w14:schemeClr w14:val="tx1"/>
            </w14:solidFill>
          </w14:textFill>
        </w:rPr>
        <w:t>不断强化统计普法责任，积极探索统计普法有效形式，持续扩大统计法治宣传教育影响力和覆盖面，牢固树立统计守法意识、彰显统计法律尊严。强化统计监督，保障统计信息的准确性、及时性和全面性，提高统计质量。探索和完善统计对象发现机制，实现应统尽统。加强统计信息分析和研究</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为</w:t>
      </w:r>
      <w:r>
        <w:rPr>
          <w:rFonts w:hint="eastAsia"/>
          <w:color w:val="000000" w:themeColor="text1"/>
          <w:lang w:val="en-US" w:eastAsia="zh-CN"/>
          <w14:textFill>
            <w14:solidFill>
              <w14:schemeClr w14:val="tx1"/>
            </w14:solidFill>
          </w14:textFill>
        </w:rPr>
        <w:t>吉木萨尔县</w:t>
      </w:r>
      <w:r>
        <w:rPr>
          <w:rFonts w:hint="eastAsia"/>
          <w:color w:val="000000" w:themeColor="text1"/>
          <w14:textFill>
            <w14:solidFill>
              <w14:schemeClr w14:val="tx1"/>
            </w14:solidFill>
          </w14:textFill>
        </w:rPr>
        <w:t>乃至</w:t>
      </w:r>
      <w:r>
        <w:rPr>
          <w:rFonts w:hint="eastAsia"/>
          <w:color w:val="000000" w:themeColor="text1"/>
          <w:lang w:val="en-US" w:eastAsia="zh-CN"/>
          <w14:textFill>
            <w14:solidFill>
              <w14:schemeClr w14:val="tx1"/>
            </w14:solidFill>
          </w14:textFill>
        </w:rPr>
        <w:t>昌吉州</w:t>
      </w:r>
      <w:r>
        <w:rPr>
          <w:rFonts w:hint="eastAsia"/>
          <w:color w:val="000000" w:themeColor="text1"/>
          <w14:textFill>
            <w14:solidFill>
              <w14:schemeClr w14:val="tx1"/>
            </w14:solidFill>
          </w14:textFill>
        </w:rPr>
        <w:t>经济社会发展贡献统计力量。</w:t>
      </w:r>
    </w:p>
    <w:p w14:paraId="74D79A0A">
      <w:pPr>
        <w:ind w:firstLine="640"/>
        <w:rPr>
          <w:rFonts w:hint="default" w:ascii="Times New Roman" w:hAnsi="Times New Roman" w:cs="Times New Roman" w:eastAsiaTheme="minorEastAsia"/>
          <w:b/>
          <w:bCs w:val="0"/>
          <w:color w:val="000000" w:themeColor="text1"/>
          <w14:textFill>
            <w14:solidFill>
              <w14:schemeClr w14:val="tx1"/>
            </w14:solidFill>
          </w14:textFill>
        </w:rPr>
      </w:pPr>
      <w:r>
        <w:rPr>
          <w:rFonts w:hint="default" w:ascii="Times New Roman" w:hAnsi="Times New Roman" w:cs="Times New Roman"/>
          <w:b/>
          <w:bCs w:val="0"/>
          <w:color w:val="000000" w:themeColor="text1"/>
          <w14:textFill>
            <w14:solidFill>
              <w14:schemeClr w14:val="tx1"/>
            </w14:solidFill>
          </w14:textFill>
        </w:rPr>
        <w:t>（2）阶段性目标分解</w:t>
      </w:r>
    </w:p>
    <w:p w14:paraId="34FF37AA">
      <w:pPr>
        <w:ind w:firstLine="420"/>
        <w:rPr>
          <w:color w:val="000000" w:themeColor="text1"/>
          <w14:textFill>
            <w14:solidFill>
              <w14:schemeClr w14:val="tx1"/>
            </w14:solidFill>
          </w14:textFill>
        </w:rPr>
      </w:pPr>
      <w:r>
        <w:rPr>
          <w:rFonts w:hint="eastAsia" w:eastAsiaTheme="minorEastAsia"/>
          <w:color w:val="000000" w:themeColor="text1"/>
          <w:lang w:eastAsia="zh-CN"/>
          <w14:textFill>
            <w14:solidFill>
              <w14:schemeClr w14:val="tx1"/>
            </w14:solidFill>
          </w14:textFill>
        </w:rPr>
        <w:t>2024</w:t>
      </w:r>
      <w:r>
        <w:rPr>
          <w:rFonts w:eastAsiaTheme="minorEastAsia"/>
          <w:color w:val="000000" w:themeColor="text1"/>
          <w14:textFill>
            <w14:solidFill>
              <w14:schemeClr w14:val="tx1"/>
            </w14:solidFill>
          </w14:textFill>
        </w:rPr>
        <w:t>年部门年度绩效目标以</w:t>
      </w:r>
      <w:r>
        <w:rPr>
          <w:color w:val="000000" w:themeColor="text1"/>
          <w14:textFill>
            <w14:solidFill>
              <w14:schemeClr w14:val="tx1"/>
            </w14:solidFill>
          </w14:textFill>
        </w:rPr>
        <w:t>吉木萨尔县</w:t>
      </w:r>
      <w:r>
        <w:rPr>
          <w:rFonts w:hint="eastAsia"/>
          <w:color w:val="000000" w:themeColor="text1"/>
          <w:lang w:eastAsia="zh-CN"/>
          <w14:textFill>
            <w14:solidFill>
              <w14:schemeClr w14:val="tx1"/>
            </w14:solidFill>
          </w14:textFill>
        </w:rPr>
        <w:t>统计局</w:t>
      </w:r>
      <w:r>
        <w:rPr>
          <w:rFonts w:hint="eastAsia"/>
          <w:color w:val="000000" w:themeColor="text1"/>
          <w:lang w:val="en-US" w:eastAsia="zh-CN"/>
          <w14:textFill>
            <w14:solidFill>
              <w14:schemeClr w14:val="tx1"/>
            </w14:solidFill>
          </w14:textFill>
        </w:rPr>
        <w:t>2024年工作计划</w:t>
      </w:r>
      <w:r>
        <w:rPr>
          <w:color w:val="000000" w:themeColor="text1"/>
          <w14:textFill>
            <w14:solidFill>
              <w14:schemeClr w14:val="tx1"/>
            </w14:solidFill>
          </w14:textFill>
        </w:rPr>
        <w:t>为基础，依据单位职能，参照部门单位年度工作计划，以《</w:t>
      </w:r>
      <w:r>
        <w:rPr>
          <w:rFonts w:hint="eastAsia"/>
          <w:color w:val="000000" w:themeColor="text1"/>
          <w14:textFill>
            <w14:solidFill>
              <w14:schemeClr w14:val="tx1"/>
            </w14:solidFill>
          </w14:textFill>
        </w:rPr>
        <w:t>吉木萨尔县统计局2023年工作总结及2024年工作计划</w:t>
      </w:r>
      <w:r>
        <w:rPr>
          <w:color w:val="000000" w:themeColor="text1"/>
          <w14:textFill>
            <w14:solidFill>
              <w14:schemeClr w14:val="tx1"/>
            </w14:solidFill>
          </w14:textFill>
        </w:rPr>
        <w:t>》等相关材料为基础，</w:t>
      </w:r>
      <w:r>
        <w:rPr>
          <w:rFonts w:hint="eastAsia"/>
          <w:color w:val="000000" w:themeColor="text1"/>
          <w:lang w:val="en-US" w:eastAsia="zh-CN"/>
          <w14:textFill>
            <w14:solidFill>
              <w14:schemeClr w14:val="tx1"/>
            </w14:solidFill>
          </w14:textFill>
        </w:rPr>
        <w:t>从</w:t>
      </w:r>
      <w:r>
        <w:rPr>
          <w:rFonts w:hint="eastAsia"/>
          <w:color w:val="000000" w:themeColor="text1"/>
          <w:sz w:val="20"/>
          <w:szCs w:val="20"/>
          <w:lang w:val="en-US" w:eastAsia="zh-CN" w:bidi="ar"/>
          <w14:textFill>
            <w14:solidFill>
              <w14:schemeClr w14:val="tx1"/>
            </w14:solidFill>
          </w14:textFill>
        </w:rPr>
        <w:t>全面服务经济发展</w:t>
      </w:r>
      <w:r>
        <w:rPr>
          <w:color w:val="000000" w:themeColor="text1"/>
          <w14:textFill>
            <w14:solidFill>
              <w14:schemeClr w14:val="tx1"/>
            </w14:solidFill>
          </w14:textFill>
        </w:rPr>
        <w:t>、经济普查</w:t>
      </w:r>
      <w:r>
        <w:rPr>
          <w:rFonts w:hint="eastAsia"/>
          <w:color w:val="000000" w:themeColor="text1"/>
          <w:lang w:eastAsia="zh-CN"/>
          <w14:textFill>
            <w14:solidFill>
              <w14:schemeClr w14:val="tx1"/>
            </w14:solidFill>
          </w14:textFill>
        </w:rPr>
        <w:t>两个</w:t>
      </w:r>
      <w:r>
        <w:rPr>
          <w:color w:val="000000" w:themeColor="text1"/>
          <w14:textFill>
            <w14:solidFill>
              <w14:schemeClr w14:val="tx1"/>
            </w14:solidFill>
          </w14:textFill>
        </w:rPr>
        <w:t>统计局的工作板块入手，构建一个绩效目标评价体系，通过量化指标、设定评价标准来衡量工作成效</w:t>
      </w:r>
      <w:r>
        <w:rPr>
          <w:rFonts w:eastAsiaTheme="minorEastAsia"/>
          <w:color w:val="000000" w:themeColor="text1"/>
          <w14:textFill>
            <w14:solidFill>
              <w14:schemeClr w14:val="tx1"/>
            </w14:solidFill>
          </w14:textFill>
        </w:rPr>
        <w:t>，</w:t>
      </w:r>
      <w:r>
        <w:rPr>
          <w:color w:val="000000" w:themeColor="text1"/>
          <w14:textFill>
            <w14:solidFill>
              <w14:schemeClr w14:val="tx1"/>
            </w14:solidFill>
          </w14:textFill>
        </w:rPr>
        <w:t>将年度目标细化分解为个性指标，具体如下：</w:t>
      </w:r>
    </w:p>
    <w:p w14:paraId="272AABE0">
      <w:pPr>
        <w:rPr>
          <w:rFonts w:hint="eastAsia" w:ascii="黑体" w:hAnsi="黑体" w:eastAsia="黑体" w:cs="黑体"/>
          <w:b w:val="0"/>
          <w:bCs w:val="0"/>
          <w:color w:val="000000" w:themeColor="text1"/>
          <w14:textFill>
            <w14:solidFill>
              <w14:schemeClr w14:val="tx1"/>
            </w14:solidFill>
          </w14:textFill>
        </w:rPr>
      </w:pPr>
      <w:r>
        <w:rPr>
          <w:rFonts w:hint="eastAsia" w:ascii="黑体" w:hAnsi="黑体" w:eastAsia="黑体" w:cs="黑体"/>
          <w:b w:val="0"/>
          <w:bCs w:val="0"/>
          <w:color w:val="000000" w:themeColor="text1"/>
          <w14:textFill>
            <w14:solidFill>
              <w14:schemeClr w14:val="tx1"/>
            </w14:solidFill>
          </w14:textFill>
        </w:rPr>
        <w:br w:type="page"/>
      </w:r>
    </w:p>
    <w:p w14:paraId="79045E33">
      <w:pPr>
        <w:ind w:firstLine="0" w:firstLineChars="0"/>
        <w:jc w:val="center"/>
        <w:rPr>
          <w:rFonts w:hint="eastAsia" w:ascii="黑体" w:hAnsi="黑体" w:eastAsia="黑体" w:cs="黑体"/>
          <w:b w:val="0"/>
          <w:bCs w:val="0"/>
          <w:color w:val="000000" w:themeColor="text1"/>
          <w14:textFill>
            <w14:solidFill>
              <w14:schemeClr w14:val="tx1"/>
            </w14:solidFill>
          </w14:textFill>
        </w:rPr>
      </w:pPr>
      <w:r>
        <w:rPr>
          <w:rFonts w:hint="eastAsia" w:ascii="黑体" w:hAnsi="黑体" w:eastAsia="黑体" w:cs="黑体"/>
          <w:b w:val="0"/>
          <w:bCs w:val="0"/>
          <w:color w:val="000000" w:themeColor="text1"/>
          <w14:textFill>
            <w14:solidFill>
              <w14:schemeClr w14:val="tx1"/>
            </w14:solidFill>
          </w14:textFill>
        </w:rPr>
        <w:t>表1-</w:t>
      </w:r>
      <w:r>
        <w:rPr>
          <w:rFonts w:hint="eastAsia" w:ascii="黑体" w:hAnsi="黑体" w:eastAsia="黑体" w:cs="黑体"/>
          <w:b w:val="0"/>
          <w:bCs w:val="0"/>
          <w:color w:val="000000" w:themeColor="text1"/>
          <w:lang w:val="en-US" w:eastAsia="zh-CN"/>
          <w14:textFill>
            <w14:solidFill>
              <w14:schemeClr w14:val="tx1"/>
            </w14:solidFill>
          </w14:textFill>
        </w:rPr>
        <w:t>3</w:t>
      </w:r>
      <w:r>
        <w:rPr>
          <w:rFonts w:hint="eastAsia" w:ascii="黑体" w:hAnsi="黑体" w:eastAsia="黑体" w:cs="黑体"/>
          <w:b w:val="0"/>
          <w:bCs w:val="0"/>
          <w:color w:val="000000" w:themeColor="text1"/>
          <w14:textFill>
            <w14:solidFill>
              <w14:schemeClr w14:val="tx1"/>
            </w14:solidFill>
          </w14:textFill>
        </w:rPr>
        <w:t>：吉木萨尔县</w:t>
      </w:r>
      <w:r>
        <w:rPr>
          <w:rFonts w:hint="eastAsia" w:ascii="黑体" w:hAnsi="黑体" w:eastAsia="黑体" w:cs="黑体"/>
          <w:b w:val="0"/>
          <w:bCs w:val="0"/>
          <w:color w:val="000000" w:themeColor="text1"/>
          <w:lang w:eastAsia="zh-CN"/>
          <w14:textFill>
            <w14:solidFill>
              <w14:schemeClr w14:val="tx1"/>
            </w14:solidFill>
          </w14:textFill>
        </w:rPr>
        <w:t>统计局2024</w:t>
      </w:r>
      <w:r>
        <w:rPr>
          <w:rFonts w:hint="eastAsia" w:ascii="黑体" w:hAnsi="黑体" w:eastAsia="黑体" w:cs="黑体"/>
          <w:b w:val="0"/>
          <w:bCs w:val="0"/>
          <w:color w:val="000000" w:themeColor="text1"/>
          <w14:textFill>
            <w14:solidFill>
              <w14:schemeClr w14:val="tx1"/>
            </w14:solidFill>
          </w14:textFill>
        </w:rPr>
        <w:t>年度部门整体绩效阶段性目标</w:t>
      </w:r>
    </w:p>
    <w:tbl>
      <w:tblPr>
        <w:tblStyle w:val="24"/>
        <w:tblW w:w="4998" w:type="pct"/>
        <w:tblInd w:w="0" w:type="dxa"/>
        <w:tblLayout w:type="autofit"/>
        <w:tblCellMar>
          <w:top w:w="0" w:type="dxa"/>
          <w:left w:w="108" w:type="dxa"/>
          <w:bottom w:w="0" w:type="dxa"/>
          <w:right w:w="108" w:type="dxa"/>
        </w:tblCellMar>
      </w:tblPr>
      <w:tblGrid>
        <w:gridCol w:w="3039"/>
        <w:gridCol w:w="3987"/>
        <w:gridCol w:w="1499"/>
      </w:tblGrid>
      <w:tr w14:paraId="2AAAE646">
        <w:tblPrEx>
          <w:tblCellMar>
            <w:top w:w="0" w:type="dxa"/>
            <w:left w:w="108" w:type="dxa"/>
            <w:bottom w:w="0" w:type="dxa"/>
            <w:right w:w="108" w:type="dxa"/>
          </w:tblCellMar>
        </w:tblPrEx>
        <w:trPr>
          <w:trHeight w:val="397" w:hRule="atLeast"/>
          <w:tblHeader/>
        </w:trPr>
        <w:tc>
          <w:tcPr>
            <w:tcW w:w="1782"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8909D1">
            <w:pPr>
              <w:widowControl/>
              <w:spacing w:line="240" w:lineRule="auto"/>
              <w:ind w:firstLine="0" w:firstLineChars="0"/>
              <w:jc w:val="center"/>
              <w:textAlignment w:val="center"/>
              <w:rPr>
                <w:b/>
                <w:bCs/>
                <w:color w:val="000000" w:themeColor="text1"/>
                <w:sz w:val="20"/>
                <w:szCs w:val="20"/>
                <w:highlight w:val="none"/>
                <w:lang w:bidi="ar"/>
                <w14:textFill>
                  <w14:solidFill>
                    <w14:schemeClr w14:val="tx1"/>
                  </w14:solidFill>
                </w14:textFill>
              </w:rPr>
            </w:pPr>
            <w:r>
              <w:rPr>
                <w:b/>
                <w:bCs/>
                <w:color w:val="000000" w:themeColor="text1"/>
                <w:sz w:val="20"/>
                <w:szCs w:val="20"/>
                <w:highlight w:val="none"/>
                <w:lang w:bidi="ar"/>
                <w14:textFill>
                  <w14:solidFill>
                    <w14:schemeClr w14:val="tx1"/>
                  </w14:solidFill>
                </w14:textFill>
              </w:rPr>
              <w:t>工作任务</w:t>
            </w:r>
          </w:p>
        </w:tc>
        <w:tc>
          <w:tcPr>
            <w:tcW w:w="2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7C2176">
            <w:pPr>
              <w:widowControl/>
              <w:spacing w:line="240" w:lineRule="auto"/>
              <w:ind w:firstLine="0" w:firstLineChars="0"/>
              <w:jc w:val="center"/>
              <w:textAlignment w:val="center"/>
              <w:rPr>
                <w:b/>
                <w:bCs/>
                <w:color w:val="000000" w:themeColor="text1"/>
                <w:sz w:val="20"/>
                <w:szCs w:val="20"/>
                <w:highlight w:val="none"/>
                <w:lang w:bidi="ar"/>
                <w14:textFill>
                  <w14:solidFill>
                    <w14:schemeClr w14:val="tx1"/>
                  </w14:solidFill>
                </w14:textFill>
              </w:rPr>
            </w:pPr>
            <w:r>
              <w:rPr>
                <w:b/>
                <w:bCs/>
                <w:color w:val="000000" w:themeColor="text1"/>
                <w:sz w:val="20"/>
                <w:szCs w:val="20"/>
                <w:highlight w:val="none"/>
                <w:lang w:bidi="ar"/>
                <w14:textFill>
                  <w14:solidFill>
                    <w14:schemeClr w14:val="tx1"/>
                  </w14:solidFill>
                </w14:textFill>
              </w:rPr>
              <w:t>绩效目标</w:t>
            </w:r>
          </w:p>
        </w:tc>
        <w:tc>
          <w:tcPr>
            <w:tcW w:w="8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344E28">
            <w:pPr>
              <w:widowControl/>
              <w:spacing w:line="240" w:lineRule="auto"/>
              <w:ind w:firstLine="0" w:firstLineChars="0"/>
              <w:jc w:val="center"/>
              <w:textAlignment w:val="center"/>
              <w:rPr>
                <w:b/>
                <w:bCs/>
                <w:color w:val="000000" w:themeColor="text1"/>
                <w:sz w:val="20"/>
                <w:szCs w:val="20"/>
                <w:highlight w:val="none"/>
                <w:lang w:bidi="ar"/>
                <w14:textFill>
                  <w14:solidFill>
                    <w14:schemeClr w14:val="tx1"/>
                  </w14:solidFill>
                </w14:textFill>
              </w:rPr>
            </w:pPr>
            <w:r>
              <w:rPr>
                <w:b/>
                <w:bCs/>
                <w:color w:val="000000" w:themeColor="text1"/>
                <w:sz w:val="18"/>
                <w:szCs w:val="18"/>
                <w:highlight w:val="none"/>
                <w14:textFill>
                  <w14:solidFill>
                    <w14:schemeClr w14:val="tx1"/>
                  </w14:solidFill>
                </w14:textFill>
              </w:rPr>
              <w:t>业绩值</w:t>
            </w:r>
          </w:p>
        </w:tc>
      </w:tr>
      <w:tr w14:paraId="410861BA">
        <w:tblPrEx>
          <w:tblCellMar>
            <w:top w:w="0" w:type="dxa"/>
            <w:left w:w="108" w:type="dxa"/>
            <w:bottom w:w="0" w:type="dxa"/>
            <w:right w:w="108" w:type="dxa"/>
          </w:tblCellMar>
        </w:tblPrEx>
        <w:trPr>
          <w:trHeight w:val="397" w:hRule="atLeast"/>
        </w:trPr>
        <w:tc>
          <w:tcPr>
            <w:tcW w:w="17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7A37EC">
            <w:pPr>
              <w:widowControl/>
              <w:spacing w:line="240" w:lineRule="auto"/>
              <w:ind w:firstLine="0" w:firstLineChars="0"/>
              <w:jc w:val="left"/>
              <w:textAlignment w:val="center"/>
              <w:rPr>
                <w:rFonts w:hint="eastAsia"/>
                <w:color w:val="000000" w:themeColor="text1"/>
                <w:sz w:val="20"/>
                <w:szCs w:val="20"/>
                <w:highlight w:val="none"/>
                <w:lang w:val="en-US" w:eastAsia="zh-CN" w:bidi="ar"/>
                <w14:textFill>
                  <w14:solidFill>
                    <w14:schemeClr w14:val="tx1"/>
                  </w14:solidFill>
                </w14:textFill>
              </w:rPr>
            </w:pPr>
            <w:r>
              <w:rPr>
                <w:rFonts w:hint="eastAsia"/>
                <w:color w:val="000000" w:themeColor="text1"/>
                <w:sz w:val="20"/>
                <w:szCs w:val="20"/>
                <w:highlight w:val="none"/>
                <w:lang w:val="en-US" w:eastAsia="zh-CN" w:bidi="ar"/>
                <w14:textFill>
                  <w14:solidFill>
                    <w14:schemeClr w14:val="tx1"/>
                  </w14:solidFill>
                </w14:textFill>
              </w:rPr>
              <w:t>C1履职效能-全面服务经济发展</w:t>
            </w:r>
          </w:p>
        </w:tc>
        <w:tc>
          <w:tcPr>
            <w:tcW w:w="2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DCCF92">
            <w:pPr>
              <w:widowControl/>
              <w:spacing w:line="240" w:lineRule="auto"/>
              <w:ind w:firstLine="0" w:firstLineChars="0"/>
              <w:jc w:val="left"/>
              <w:textAlignment w:val="center"/>
              <w:rPr>
                <w:color w:val="000000" w:themeColor="text1"/>
                <w:sz w:val="20"/>
                <w:szCs w:val="20"/>
                <w:highlight w:val="none"/>
                <w:lang w:bidi="ar"/>
                <w14:textFill>
                  <w14:solidFill>
                    <w14:schemeClr w14:val="tx1"/>
                  </w14:solidFill>
                </w14:textFill>
              </w:rPr>
            </w:pPr>
            <w:r>
              <w:rPr>
                <w:rFonts w:hint="eastAsia"/>
                <w:color w:val="000000" w:themeColor="text1"/>
                <w:sz w:val="20"/>
                <w:szCs w:val="20"/>
                <w:highlight w:val="none"/>
                <w:lang w:val="en-US" w:eastAsia="zh-CN" w:bidi="ar"/>
                <w14:textFill>
                  <w14:solidFill>
                    <w14:schemeClr w14:val="tx1"/>
                  </w14:solidFill>
                </w14:textFill>
              </w:rPr>
              <w:t>C11撰写综合分析报告和专题分析报告数量</w:t>
            </w:r>
          </w:p>
        </w:tc>
        <w:tc>
          <w:tcPr>
            <w:tcW w:w="8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66A77E">
            <w:pPr>
              <w:widowControl/>
              <w:spacing w:line="240" w:lineRule="auto"/>
              <w:ind w:firstLine="0" w:firstLineChars="0"/>
              <w:jc w:val="center"/>
              <w:textAlignment w:val="center"/>
              <w:rPr>
                <w:rFonts w:hint="eastAsia"/>
                <w:color w:val="000000" w:themeColor="text1"/>
                <w:sz w:val="20"/>
                <w:szCs w:val="20"/>
                <w:highlight w:val="none"/>
                <w:lang w:val="en-US" w:eastAsia="zh-CN" w:bidi="ar"/>
                <w14:textFill>
                  <w14:solidFill>
                    <w14:schemeClr w14:val="tx1"/>
                  </w14:solidFill>
                </w14:textFill>
              </w:rPr>
            </w:pPr>
            <w:r>
              <w:rPr>
                <w:rFonts w:hint="eastAsia"/>
                <w:color w:val="000000" w:themeColor="text1"/>
                <w:sz w:val="20"/>
                <w:szCs w:val="20"/>
                <w:highlight w:val="none"/>
                <w:lang w:val="en-US" w:eastAsia="zh-CN" w:bidi="ar"/>
                <w14:textFill>
                  <w14:solidFill>
                    <w14:schemeClr w14:val="tx1"/>
                  </w14:solidFill>
                </w14:textFill>
              </w:rPr>
              <w:t>≥64篇</w:t>
            </w:r>
          </w:p>
        </w:tc>
      </w:tr>
      <w:tr w14:paraId="6EA4441A">
        <w:tblPrEx>
          <w:tblCellMar>
            <w:top w:w="0" w:type="dxa"/>
            <w:left w:w="108" w:type="dxa"/>
            <w:bottom w:w="0" w:type="dxa"/>
            <w:right w:w="108" w:type="dxa"/>
          </w:tblCellMar>
        </w:tblPrEx>
        <w:trPr>
          <w:trHeight w:val="397" w:hRule="atLeast"/>
        </w:trPr>
        <w:tc>
          <w:tcPr>
            <w:tcW w:w="17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913CE1">
            <w:pPr>
              <w:widowControl/>
              <w:spacing w:line="240" w:lineRule="auto"/>
              <w:ind w:firstLine="0" w:firstLineChars="0"/>
              <w:jc w:val="left"/>
              <w:textAlignment w:val="center"/>
              <w:rPr>
                <w:rFonts w:hint="eastAsia"/>
                <w:color w:val="000000" w:themeColor="text1"/>
                <w:sz w:val="20"/>
                <w:szCs w:val="20"/>
                <w:highlight w:val="none"/>
                <w:lang w:val="en-US" w:eastAsia="zh-CN" w:bidi="ar"/>
                <w14:textFill>
                  <w14:solidFill>
                    <w14:schemeClr w14:val="tx1"/>
                  </w14:solidFill>
                </w14:textFill>
              </w:rPr>
            </w:pPr>
          </w:p>
        </w:tc>
        <w:tc>
          <w:tcPr>
            <w:tcW w:w="2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C129A9">
            <w:pPr>
              <w:widowControl/>
              <w:spacing w:line="240" w:lineRule="auto"/>
              <w:ind w:firstLine="0" w:firstLineChars="0"/>
              <w:jc w:val="left"/>
              <w:textAlignment w:val="center"/>
              <w:rPr>
                <w:rFonts w:hint="default" w:ascii="Times New Roman" w:hAnsi="Times New Roman" w:eastAsia="宋体" w:cs="Times New Roman"/>
                <w:color w:val="000000" w:themeColor="text1"/>
                <w:sz w:val="20"/>
                <w:szCs w:val="20"/>
                <w:highlight w:val="none"/>
                <w:lang w:val="en-US" w:eastAsia="zh-CN" w:bidi="ar"/>
                <w14:textFill>
                  <w14:solidFill>
                    <w14:schemeClr w14:val="tx1"/>
                  </w14:solidFill>
                </w14:textFill>
              </w:rPr>
            </w:pPr>
            <w:r>
              <w:rPr>
                <w:rFonts w:hint="eastAsia" w:cs="Times New Roman"/>
                <w:color w:val="000000" w:themeColor="text1"/>
                <w:sz w:val="20"/>
                <w:szCs w:val="20"/>
                <w:highlight w:val="none"/>
                <w:lang w:val="en-US" w:eastAsia="zh-CN" w:bidi="ar"/>
                <w14:textFill>
                  <w14:solidFill>
                    <w14:schemeClr w14:val="tx1"/>
                  </w14:solidFill>
                </w14:textFill>
              </w:rPr>
              <w:t>C12</w:t>
            </w:r>
            <w:r>
              <w:rPr>
                <w:rFonts w:hint="eastAsia" w:ascii="Times New Roman" w:hAnsi="Times New Roman" w:eastAsia="宋体" w:cs="Times New Roman"/>
                <w:color w:val="000000" w:themeColor="text1"/>
                <w:sz w:val="20"/>
                <w:szCs w:val="20"/>
                <w:highlight w:val="none"/>
                <w:lang w:val="en-US" w:eastAsia="zh-CN" w:bidi="ar"/>
                <w14:textFill>
                  <w14:solidFill>
                    <w14:schemeClr w14:val="tx1"/>
                  </w14:solidFill>
                </w14:textFill>
              </w:rPr>
              <w:t>统计数据质量</w:t>
            </w:r>
            <w:r>
              <w:rPr>
                <w:rFonts w:hint="eastAsia" w:cs="Times New Roman"/>
                <w:color w:val="000000" w:themeColor="text1"/>
                <w:sz w:val="20"/>
                <w:szCs w:val="20"/>
                <w:highlight w:val="none"/>
                <w:lang w:val="en-US" w:eastAsia="zh-CN" w:bidi="ar"/>
                <w14:textFill>
                  <w14:solidFill>
                    <w14:schemeClr w14:val="tx1"/>
                  </w14:solidFill>
                </w14:textFill>
              </w:rPr>
              <w:t>保障率</w:t>
            </w:r>
          </w:p>
        </w:tc>
        <w:tc>
          <w:tcPr>
            <w:tcW w:w="8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5269D96">
            <w:pPr>
              <w:widowControl/>
              <w:spacing w:line="240" w:lineRule="auto"/>
              <w:ind w:firstLine="0" w:firstLineChars="0"/>
              <w:jc w:val="center"/>
              <w:textAlignment w:val="center"/>
              <w:rPr>
                <w:rFonts w:hint="default" w:ascii="Times New Roman" w:hAnsi="Times New Roman" w:eastAsia="宋体" w:cs="Times New Roman"/>
                <w:color w:val="000000" w:themeColor="text1"/>
                <w:sz w:val="20"/>
                <w:szCs w:val="20"/>
                <w:highlight w:val="none"/>
                <w:lang w:val="en-US" w:eastAsia="zh-CN" w:bidi="ar"/>
                <w14:textFill>
                  <w14:solidFill>
                    <w14:schemeClr w14:val="tx1"/>
                  </w14:solidFill>
                </w14:textFill>
              </w:rPr>
            </w:pPr>
            <w:r>
              <w:rPr>
                <w:rFonts w:hint="eastAsia" w:cs="Times New Roman"/>
                <w:color w:val="000000" w:themeColor="text1"/>
                <w:sz w:val="20"/>
                <w:szCs w:val="20"/>
                <w:highlight w:val="none"/>
                <w:lang w:val="en-US" w:eastAsia="zh-CN" w:bidi="ar"/>
                <w14:textFill>
                  <w14:solidFill>
                    <w14:schemeClr w14:val="tx1"/>
                  </w14:solidFill>
                </w14:textFill>
              </w:rPr>
              <w:t>100%</w:t>
            </w:r>
          </w:p>
        </w:tc>
      </w:tr>
      <w:tr w14:paraId="055A3979">
        <w:tblPrEx>
          <w:tblCellMar>
            <w:top w:w="0" w:type="dxa"/>
            <w:left w:w="108" w:type="dxa"/>
            <w:bottom w:w="0" w:type="dxa"/>
            <w:right w:w="108" w:type="dxa"/>
          </w:tblCellMar>
        </w:tblPrEx>
        <w:trPr>
          <w:trHeight w:val="397" w:hRule="atLeast"/>
        </w:trPr>
        <w:tc>
          <w:tcPr>
            <w:tcW w:w="17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1EF991">
            <w:pPr>
              <w:widowControl/>
              <w:spacing w:line="240" w:lineRule="auto"/>
              <w:ind w:firstLine="0" w:firstLineChars="0"/>
              <w:jc w:val="left"/>
              <w:textAlignment w:val="center"/>
              <w:rPr>
                <w:rFonts w:hint="eastAsia"/>
                <w:color w:val="000000" w:themeColor="text1"/>
                <w:sz w:val="20"/>
                <w:szCs w:val="20"/>
                <w:highlight w:val="none"/>
                <w:lang w:val="en-US" w:eastAsia="zh-CN" w:bidi="ar"/>
                <w14:textFill>
                  <w14:solidFill>
                    <w14:schemeClr w14:val="tx1"/>
                  </w14:solidFill>
                </w14:textFill>
              </w:rPr>
            </w:pPr>
          </w:p>
        </w:tc>
        <w:tc>
          <w:tcPr>
            <w:tcW w:w="2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149FF3">
            <w:pPr>
              <w:widowControl/>
              <w:spacing w:line="240" w:lineRule="auto"/>
              <w:ind w:firstLine="0" w:firstLineChars="0"/>
              <w:jc w:val="left"/>
              <w:textAlignment w:val="center"/>
              <w:rPr>
                <w:rFonts w:hint="default" w:ascii="Times New Roman" w:hAnsi="Times New Roman" w:eastAsia="宋体" w:cs="Times New Roman"/>
                <w:color w:val="000000" w:themeColor="text1"/>
                <w:sz w:val="20"/>
                <w:szCs w:val="20"/>
                <w:highlight w:val="none"/>
                <w:lang w:val="en-US" w:eastAsia="zh-CN" w:bidi="ar"/>
                <w14:textFill>
                  <w14:solidFill>
                    <w14:schemeClr w14:val="tx1"/>
                  </w14:solidFill>
                </w14:textFill>
              </w:rPr>
            </w:pPr>
            <w:r>
              <w:rPr>
                <w:rFonts w:hint="eastAsia"/>
                <w:color w:val="000000" w:themeColor="text1"/>
                <w:sz w:val="20"/>
                <w:szCs w:val="20"/>
                <w:highlight w:val="none"/>
                <w:lang w:val="en-US" w:eastAsia="zh-CN" w:bidi="ar"/>
                <w14:textFill>
                  <w14:solidFill>
                    <w14:schemeClr w14:val="tx1"/>
                  </w14:solidFill>
                </w14:textFill>
              </w:rPr>
              <w:t>C13统计上门服务完成率</w:t>
            </w:r>
          </w:p>
        </w:tc>
        <w:tc>
          <w:tcPr>
            <w:tcW w:w="8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0424BF">
            <w:pPr>
              <w:widowControl/>
              <w:spacing w:line="240" w:lineRule="auto"/>
              <w:ind w:firstLine="0" w:firstLineChars="0"/>
              <w:jc w:val="center"/>
              <w:textAlignment w:val="center"/>
              <w:rPr>
                <w:rFonts w:hint="eastAsia" w:ascii="Times New Roman" w:hAnsi="Times New Roman" w:eastAsia="宋体" w:cs="Times New Roman"/>
                <w:color w:val="000000" w:themeColor="text1"/>
                <w:sz w:val="20"/>
                <w:szCs w:val="20"/>
                <w:highlight w:val="none"/>
                <w:lang w:val="en-US" w:eastAsia="zh-CN" w:bidi="ar"/>
                <w14:textFill>
                  <w14:solidFill>
                    <w14:schemeClr w14:val="tx1"/>
                  </w14:solidFill>
                </w14:textFill>
              </w:rPr>
            </w:pPr>
            <w:r>
              <w:rPr>
                <w:rFonts w:hint="eastAsia" w:cs="Times New Roman"/>
                <w:color w:val="000000" w:themeColor="text1"/>
                <w:sz w:val="20"/>
                <w:szCs w:val="20"/>
                <w:highlight w:val="none"/>
                <w:lang w:val="en-US" w:eastAsia="zh-CN" w:bidi="ar"/>
                <w14:textFill>
                  <w14:solidFill>
                    <w14:schemeClr w14:val="tx1"/>
                  </w14:solidFill>
                </w14:textFill>
              </w:rPr>
              <w:t>100%</w:t>
            </w:r>
          </w:p>
        </w:tc>
      </w:tr>
      <w:tr w14:paraId="31630DF0">
        <w:tblPrEx>
          <w:tblCellMar>
            <w:top w:w="0" w:type="dxa"/>
            <w:left w:w="108" w:type="dxa"/>
            <w:bottom w:w="0" w:type="dxa"/>
            <w:right w:w="108" w:type="dxa"/>
          </w:tblCellMar>
        </w:tblPrEx>
        <w:trPr>
          <w:trHeight w:val="397" w:hRule="atLeast"/>
        </w:trPr>
        <w:tc>
          <w:tcPr>
            <w:tcW w:w="1782" w:type="pct"/>
            <w:vMerge w:val="restart"/>
            <w:tcBorders>
              <w:top w:val="single" w:color="000000" w:sz="4" w:space="0"/>
              <w:left w:val="single" w:color="000000" w:sz="4" w:space="0"/>
              <w:right w:val="single" w:color="000000" w:sz="4" w:space="0"/>
            </w:tcBorders>
            <w:shd w:val="clear" w:color="auto" w:fill="auto"/>
            <w:vAlign w:val="center"/>
          </w:tcPr>
          <w:p w14:paraId="5E8AC564">
            <w:pPr>
              <w:widowControl/>
              <w:spacing w:line="240" w:lineRule="auto"/>
              <w:ind w:firstLine="0" w:firstLineChars="0"/>
              <w:jc w:val="left"/>
              <w:textAlignment w:val="center"/>
              <w:rPr>
                <w:rFonts w:hint="eastAsia"/>
                <w:color w:val="000000" w:themeColor="text1"/>
                <w:sz w:val="20"/>
                <w:szCs w:val="20"/>
                <w:highlight w:val="none"/>
                <w:lang w:val="en-US" w:eastAsia="zh-CN" w:bidi="ar"/>
                <w14:textFill>
                  <w14:solidFill>
                    <w14:schemeClr w14:val="tx1"/>
                  </w14:solidFill>
                </w14:textFill>
              </w:rPr>
            </w:pPr>
            <w:r>
              <w:rPr>
                <w:rFonts w:hint="eastAsia"/>
                <w:color w:val="000000" w:themeColor="text1"/>
                <w:sz w:val="20"/>
                <w:szCs w:val="20"/>
                <w:highlight w:val="none"/>
                <w:lang w:val="en-US" w:eastAsia="zh-CN" w:bidi="ar"/>
                <w14:textFill>
                  <w14:solidFill>
                    <w14:schemeClr w14:val="tx1"/>
                  </w14:solidFill>
                </w14:textFill>
              </w:rPr>
              <w:t>C2履职效能-全面做好经济普查</w:t>
            </w:r>
          </w:p>
        </w:tc>
        <w:tc>
          <w:tcPr>
            <w:tcW w:w="2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E944A4">
            <w:pPr>
              <w:widowControl/>
              <w:spacing w:line="240" w:lineRule="auto"/>
              <w:ind w:firstLine="0" w:firstLineChars="0"/>
              <w:jc w:val="left"/>
              <w:textAlignment w:val="center"/>
              <w:rPr>
                <w:rFonts w:ascii="Times New Roman" w:hAnsi="Times New Roman" w:eastAsia="宋体" w:cs="Times New Roman"/>
                <w:color w:val="000000" w:themeColor="text1"/>
                <w:sz w:val="20"/>
                <w:szCs w:val="20"/>
                <w:highlight w:val="none"/>
                <w:lang w:val="en-US" w:eastAsia="zh-CN" w:bidi="ar"/>
                <w14:textFill>
                  <w14:solidFill>
                    <w14:schemeClr w14:val="tx1"/>
                  </w14:solidFill>
                </w14:textFill>
              </w:rPr>
            </w:pPr>
            <w:r>
              <w:rPr>
                <w:rFonts w:hint="eastAsia"/>
                <w:color w:val="000000" w:themeColor="text1"/>
                <w:sz w:val="20"/>
                <w:szCs w:val="20"/>
                <w:highlight w:val="none"/>
                <w:lang w:val="en-US" w:eastAsia="zh-CN" w:bidi="ar"/>
                <w14:textFill>
                  <w14:solidFill>
                    <w14:schemeClr w14:val="tx1"/>
                  </w14:solidFill>
                </w14:textFill>
              </w:rPr>
              <w:t>C21第五次全国经济普查共登记一套表单位</w:t>
            </w:r>
          </w:p>
        </w:tc>
        <w:tc>
          <w:tcPr>
            <w:tcW w:w="8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5AEDEE">
            <w:pPr>
              <w:widowControl/>
              <w:spacing w:line="240" w:lineRule="auto"/>
              <w:ind w:firstLine="0" w:firstLineChars="0"/>
              <w:jc w:val="center"/>
              <w:textAlignment w:val="center"/>
              <w:rPr>
                <w:rFonts w:hint="eastAsia" w:ascii="Times New Roman" w:hAnsi="Times New Roman" w:eastAsia="宋体" w:cs="Times New Roman"/>
                <w:color w:val="000000" w:themeColor="text1"/>
                <w:sz w:val="20"/>
                <w:szCs w:val="20"/>
                <w:highlight w:val="none"/>
                <w:lang w:val="en-US" w:eastAsia="zh-CN" w:bidi="ar"/>
                <w14:textFill>
                  <w14:solidFill>
                    <w14:schemeClr w14:val="tx1"/>
                  </w14:solidFill>
                </w14:textFill>
              </w:rPr>
            </w:pPr>
            <w:r>
              <w:rPr>
                <w:rFonts w:hint="eastAsia"/>
                <w:color w:val="000000" w:themeColor="text1"/>
                <w:sz w:val="20"/>
                <w:szCs w:val="20"/>
                <w:highlight w:val="none"/>
                <w:lang w:val="en-US" w:eastAsia="zh-CN" w:bidi="ar"/>
                <w14:textFill>
                  <w14:solidFill>
                    <w14:schemeClr w14:val="tx1"/>
                  </w14:solidFill>
                </w14:textFill>
              </w:rPr>
              <w:t>≥106家</w:t>
            </w:r>
          </w:p>
        </w:tc>
      </w:tr>
      <w:tr w14:paraId="103681E8">
        <w:tblPrEx>
          <w:tblCellMar>
            <w:top w:w="0" w:type="dxa"/>
            <w:left w:w="108" w:type="dxa"/>
            <w:bottom w:w="0" w:type="dxa"/>
            <w:right w:w="108" w:type="dxa"/>
          </w:tblCellMar>
        </w:tblPrEx>
        <w:trPr>
          <w:trHeight w:val="397" w:hRule="atLeast"/>
        </w:trPr>
        <w:tc>
          <w:tcPr>
            <w:tcW w:w="1782" w:type="pct"/>
            <w:vMerge w:val="continue"/>
            <w:tcBorders>
              <w:left w:val="single" w:color="000000" w:sz="4" w:space="0"/>
              <w:right w:val="single" w:color="000000" w:sz="4" w:space="0"/>
            </w:tcBorders>
            <w:shd w:val="clear" w:color="auto" w:fill="auto"/>
            <w:vAlign w:val="center"/>
          </w:tcPr>
          <w:p w14:paraId="5B92C15A">
            <w:pPr>
              <w:widowControl/>
              <w:spacing w:line="240" w:lineRule="auto"/>
              <w:ind w:firstLine="0" w:firstLineChars="0"/>
              <w:jc w:val="left"/>
              <w:textAlignment w:val="center"/>
              <w:rPr>
                <w:rFonts w:hint="eastAsia"/>
                <w:color w:val="000000" w:themeColor="text1"/>
                <w:sz w:val="20"/>
                <w:szCs w:val="20"/>
                <w:highlight w:val="none"/>
                <w:lang w:val="en-US" w:eastAsia="zh-CN" w:bidi="ar"/>
                <w14:textFill>
                  <w14:solidFill>
                    <w14:schemeClr w14:val="tx1"/>
                  </w14:solidFill>
                </w14:textFill>
              </w:rPr>
            </w:pPr>
          </w:p>
        </w:tc>
        <w:tc>
          <w:tcPr>
            <w:tcW w:w="2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9EA1DF">
            <w:pPr>
              <w:widowControl/>
              <w:spacing w:line="240" w:lineRule="auto"/>
              <w:ind w:firstLine="0" w:firstLineChars="0"/>
              <w:jc w:val="left"/>
              <w:textAlignment w:val="center"/>
              <w:rPr>
                <w:rFonts w:ascii="Times New Roman" w:hAnsi="Times New Roman" w:eastAsia="宋体" w:cs="Times New Roman"/>
                <w:color w:val="000000" w:themeColor="text1"/>
                <w:sz w:val="20"/>
                <w:szCs w:val="20"/>
                <w:highlight w:val="none"/>
                <w:lang w:val="en-US" w:eastAsia="zh-CN" w:bidi="ar"/>
                <w14:textFill>
                  <w14:solidFill>
                    <w14:schemeClr w14:val="tx1"/>
                  </w14:solidFill>
                </w14:textFill>
              </w:rPr>
            </w:pPr>
            <w:r>
              <w:rPr>
                <w:rFonts w:hint="eastAsia"/>
                <w:color w:val="000000" w:themeColor="text1"/>
                <w:sz w:val="20"/>
                <w:szCs w:val="20"/>
                <w:highlight w:val="none"/>
                <w:lang w:val="en-US" w:eastAsia="zh-CN" w:bidi="ar"/>
                <w14:textFill>
                  <w14:solidFill>
                    <w14:schemeClr w14:val="tx1"/>
                  </w14:solidFill>
                </w14:textFill>
              </w:rPr>
              <w:t>C22第五次全国经济普查上报率</w:t>
            </w:r>
          </w:p>
        </w:tc>
        <w:tc>
          <w:tcPr>
            <w:tcW w:w="8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5992623">
            <w:pPr>
              <w:widowControl/>
              <w:spacing w:line="240" w:lineRule="auto"/>
              <w:ind w:firstLine="0" w:firstLineChars="0"/>
              <w:jc w:val="center"/>
              <w:textAlignment w:val="center"/>
              <w:rPr>
                <w:rFonts w:hint="eastAsia" w:ascii="Times New Roman" w:hAnsi="Times New Roman" w:eastAsia="宋体" w:cs="Times New Roman"/>
                <w:color w:val="000000" w:themeColor="text1"/>
                <w:sz w:val="20"/>
                <w:szCs w:val="20"/>
                <w:highlight w:val="none"/>
                <w:lang w:val="en-US" w:eastAsia="zh-CN" w:bidi="ar"/>
                <w14:textFill>
                  <w14:solidFill>
                    <w14:schemeClr w14:val="tx1"/>
                  </w14:solidFill>
                </w14:textFill>
              </w:rPr>
            </w:pPr>
            <w:r>
              <w:rPr>
                <w:rFonts w:hint="eastAsia"/>
                <w:color w:val="000000" w:themeColor="text1"/>
                <w:sz w:val="20"/>
                <w:szCs w:val="20"/>
                <w:highlight w:val="none"/>
                <w:lang w:val="en-US" w:eastAsia="zh-CN" w:bidi="ar"/>
                <w14:textFill>
                  <w14:solidFill>
                    <w14:schemeClr w14:val="tx1"/>
                  </w14:solidFill>
                </w14:textFill>
              </w:rPr>
              <w:t>100.00%</w:t>
            </w:r>
          </w:p>
        </w:tc>
      </w:tr>
      <w:tr w14:paraId="60114B4C">
        <w:tblPrEx>
          <w:tblCellMar>
            <w:top w:w="0" w:type="dxa"/>
            <w:left w:w="108" w:type="dxa"/>
            <w:bottom w:w="0" w:type="dxa"/>
            <w:right w:w="108" w:type="dxa"/>
          </w:tblCellMar>
        </w:tblPrEx>
        <w:trPr>
          <w:trHeight w:val="397" w:hRule="atLeast"/>
        </w:trPr>
        <w:tc>
          <w:tcPr>
            <w:tcW w:w="1782" w:type="pct"/>
            <w:vMerge w:val="continue"/>
            <w:tcBorders>
              <w:left w:val="single" w:color="000000" w:sz="4" w:space="0"/>
              <w:right w:val="single" w:color="000000" w:sz="4" w:space="0"/>
            </w:tcBorders>
            <w:shd w:val="clear" w:color="auto" w:fill="auto"/>
            <w:vAlign w:val="center"/>
          </w:tcPr>
          <w:p w14:paraId="52DA764F">
            <w:pPr>
              <w:widowControl/>
              <w:spacing w:line="240" w:lineRule="auto"/>
              <w:ind w:firstLine="0" w:firstLineChars="0"/>
              <w:jc w:val="left"/>
              <w:textAlignment w:val="center"/>
              <w:rPr>
                <w:rFonts w:hint="eastAsia"/>
                <w:color w:val="000000" w:themeColor="text1"/>
                <w:sz w:val="20"/>
                <w:szCs w:val="20"/>
                <w:highlight w:val="none"/>
                <w:lang w:val="en-US" w:eastAsia="zh-CN" w:bidi="ar"/>
                <w14:textFill>
                  <w14:solidFill>
                    <w14:schemeClr w14:val="tx1"/>
                  </w14:solidFill>
                </w14:textFill>
              </w:rPr>
            </w:pPr>
          </w:p>
        </w:tc>
        <w:tc>
          <w:tcPr>
            <w:tcW w:w="2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2BD2A68">
            <w:pPr>
              <w:widowControl/>
              <w:spacing w:line="240" w:lineRule="auto"/>
              <w:ind w:firstLine="0" w:firstLineChars="0"/>
              <w:jc w:val="left"/>
              <w:textAlignment w:val="center"/>
              <w:rPr>
                <w:color w:val="000000" w:themeColor="text1"/>
                <w:sz w:val="20"/>
                <w:szCs w:val="20"/>
                <w:highlight w:val="none"/>
                <w:lang w:bidi="ar"/>
                <w14:textFill>
                  <w14:solidFill>
                    <w14:schemeClr w14:val="tx1"/>
                  </w14:solidFill>
                </w14:textFill>
              </w:rPr>
            </w:pPr>
            <w:r>
              <w:rPr>
                <w:rFonts w:hint="eastAsia"/>
                <w:color w:val="000000" w:themeColor="text1"/>
                <w:sz w:val="20"/>
                <w:szCs w:val="20"/>
                <w:highlight w:val="none"/>
                <w:lang w:val="en-US" w:eastAsia="zh-CN" w:bidi="ar"/>
                <w14:textFill>
                  <w14:solidFill>
                    <w14:schemeClr w14:val="tx1"/>
                  </w14:solidFill>
                </w14:textFill>
              </w:rPr>
              <w:t>C23第五次经济普查工作完成及时性</w:t>
            </w:r>
          </w:p>
        </w:tc>
        <w:tc>
          <w:tcPr>
            <w:tcW w:w="8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055C85">
            <w:pPr>
              <w:widowControl/>
              <w:spacing w:line="240" w:lineRule="auto"/>
              <w:ind w:firstLine="0" w:firstLineChars="0"/>
              <w:jc w:val="center"/>
              <w:textAlignment w:val="center"/>
              <w:rPr>
                <w:rFonts w:hint="eastAsia"/>
                <w:color w:val="000000" w:themeColor="text1"/>
                <w:sz w:val="20"/>
                <w:szCs w:val="20"/>
                <w:highlight w:val="none"/>
                <w:lang w:val="en-US" w:eastAsia="zh-CN" w:bidi="ar"/>
                <w14:textFill>
                  <w14:solidFill>
                    <w14:schemeClr w14:val="tx1"/>
                  </w14:solidFill>
                </w14:textFill>
              </w:rPr>
            </w:pPr>
            <w:r>
              <w:rPr>
                <w:rFonts w:hint="eastAsia"/>
                <w:color w:val="000000" w:themeColor="text1"/>
                <w:sz w:val="20"/>
                <w:szCs w:val="20"/>
                <w:highlight w:val="none"/>
                <w:lang w:val="en-US" w:eastAsia="zh-CN" w:bidi="ar"/>
                <w14:textFill>
                  <w14:solidFill>
                    <w14:schemeClr w14:val="tx1"/>
                  </w14:solidFill>
                </w14:textFill>
              </w:rPr>
              <w:t>100.00%</w:t>
            </w:r>
          </w:p>
        </w:tc>
      </w:tr>
      <w:tr w14:paraId="377CAA0E">
        <w:tblPrEx>
          <w:tblCellMar>
            <w:top w:w="0" w:type="dxa"/>
            <w:left w:w="108" w:type="dxa"/>
            <w:bottom w:w="0" w:type="dxa"/>
            <w:right w:w="108" w:type="dxa"/>
          </w:tblCellMar>
        </w:tblPrEx>
        <w:trPr>
          <w:trHeight w:val="397" w:hRule="atLeast"/>
        </w:trPr>
        <w:tc>
          <w:tcPr>
            <w:tcW w:w="1782" w:type="pct"/>
            <w:vMerge w:val="continue"/>
            <w:tcBorders>
              <w:left w:val="single" w:color="000000" w:sz="4" w:space="0"/>
              <w:bottom w:val="single" w:color="000000" w:sz="4" w:space="0"/>
              <w:right w:val="single" w:color="000000" w:sz="4" w:space="0"/>
            </w:tcBorders>
            <w:shd w:val="clear" w:color="auto" w:fill="auto"/>
            <w:vAlign w:val="center"/>
          </w:tcPr>
          <w:p w14:paraId="63EF3E8D">
            <w:pPr>
              <w:widowControl/>
              <w:spacing w:line="240" w:lineRule="auto"/>
              <w:ind w:firstLine="0" w:firstLineChars="0"/>
              <w:jc w:val="left"/>
              <w:textAlignment w:val="center"/>
              <w:rPr>
                <w:rFonts w:hint="eastAsia"/>
                <w:color w:val="000000" w:themeColor="text1"/>
                <w:sz w:val="20"/>
                <w:szCs w:val="20"/>
                <w:highlight w:val="none"/>
                <w:lang w:val="en-US" w:eastAsia="zh-CN" w:bidi="ar"/>
                <w14:textFill>
                  <w14:solidFill>
                    <w14:schemeClr w14:val="tx1"/>
                  </w14:solidFill>
                </w14:textFill>
              </w:rPr>
            </w:pPr>
          </w:p>
        </w:tc>
        <w:tc>
          <w:tcPr>
            <w:tcW w:w="2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25FCC1">
            <w:pPr>
              <w:widowControl/>
              <w:spacing w:line="240" w:lineRule="auto"/>
              <w:ind w:firstLine="0" w:firstLineChars="0"/>
              <w:jc w:val="left"/>
              <w:textAlignment w:val="center"/>
              <w:rPr>
                <w:rFonts w:hint="eastAsia"/>
                <w:color w:val="000000" w:themeColor="text1"/>
                <w:sz w:val="20"/>
                <w:szCs w:val="20"/>
                <w:highlight w:val="none"/>
                <w:lang w:val="en-US" w:eastAsia="zh-CN" w:bidi="ar"/>
                <w14:textFill>
                  <w14:solidFill>
                    <w14:schemeClr w14:val="tx1"/>
                  </w14:solidFill>
                </w14:textFill>
              </w:rPr>
            </w:pPr>
            <w:r>
              <w:rPr>
                <w:rFonts w:hint="eastAsia"/>
                <w:color w:val="000000" w:themeColor="text1"/>
                <w:sz w:val="20"/>
                <w:szCs w:val="20"/>
                <w:highlight w:val="none"/>
                <w:lang w:val="en-US" w:eastAsia="zh-CN" w:bidi="ar"/>
                <w14:textFill>
                  <w14:solidFill>
                    <w14:schemeClr w14:val="tx1"/>
                  </w14:solidFill>
                </w14:textFill>
              </w:rPr>
              <w:t>C24第五次经济普查数据填报综合差错率</w:t>
            </w:r>
          </w:p>
        </w:tc>
        <w:tc>
          <w:tcPr>
            <w:tcW w:w="8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456EBA">
            <w:pPr>
              <w:widowControl/>
              <w:spacing w:line="240" w:lineRule="auto"/>
              <w:ind w:firstLine="0" w:firstLineChars="0"/>
              <w:jc w:val="center"/>
              <w:textAlignment w:val="center"/>
              <w:rPr>
                <w:rFonts w:hint="default"/>
                <w:color w:val="000000" w:themeColor="text1"/>
                <w:sz w:val="20"/>
                <w:szCs w:val="20"/>
                <w:highlight w:val="none"/>
                <w:lang w:val="en-US" w:eastAsia="zh-CN" w:bidi="ar"/>
                <w14:textFill>
                  <w14:solidFill>
                    <w14:schemeClr w14:val="tx1"/>
                  </w14:solidFill>
                </w14:textFill>
              </w:rPr>
            </w:pPr>
            <w:r>
              <w:rPr>
                <w:rFonts w:hint="eastAsia"/>
                <w:color w:val="000000" w:themeColor="text1"/>
                <w:sz w:val="20"/>
                <w:szCs w:val="20"/>
                <w:highlight w:val="none"/>
                <w:lang w:val="en-US" w:eastAsia="zh-CN" w:bidi="ar"/>
                <w14:textFill>
                  <w14:solidFill>
                    <w14:schemeClr w14:val="tx1"/>
                  </w14:solidFill>
                </w14:textFill>
              </w:rPr>
              <w:t>符合标准</w:t>
            </w:r>
          </w:p>
        </w:tc>
      </w:tr>
      <w:tr w14:paraId="0FDA4C38">
        <w:tblPrEx>
          <w:tblCellMar>
            <w:top w:w="0" w:type="dxa"/>
            <w:left w:w="108" w:type="dxa"/>
            <w:bottom w:w="0" w:type="dxa"/>
            <w:right w:w="108" w:type="dxa"/>
          </w:tblCellMar>
        </w:tblPrEx>
        <w:trPr>
          <w:trHeight w:val="397" w:hRule="atLeast"/>
        </w:trPr>
        <w:tc>
          <w:tcPr>
            <w:tcW w:w="178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C6B363C">
            <w:pPr>
              <w:widowControl/>
              <w:spacing w:line="240" w:lineRule="auto"/>
              <w:ind w:firstLine="0" w:firstLineChars="0"/>
              <w:jc w:val="left"/>
              <w:textAlignment w:val="center"/>
              <w:rPr>
                <w:rFonts w:hint="eastAsia"/>
                <w:color w:val="000000" w:themeColor="text1"/>
                <w:sz w:val="20"/>
                <w:szCs w:val="20"/>
                <w:highlight w:val="none"/>
                <w:lang w:val="en-US" w:eastAsia="zh-CN" w:bidi="ar"/>
                <w14:textFill>
                  <w14:solidFill>
                    <w14:schemeClr w14:val="tx1"/>
                  </w14:solidFill>
                </w14:textFill>
              </w:rPr>
            </w:pPr>
            <w:r>
              <w:rPr>
                <w:rFonts w:hint="eastAsia"/>
                <w:color w:val="000000" w:themeColor="text1"/>
                <w:sz w:val="20"/>
                <w:szCs w:val="20"/>
                <w:highlight w:val="none"/>
                <w:lang w:val="en-US" w:eastAsia="zh-CN" w:bidi="ar"/>
                <w14:textFill>
                  <w14:solidFill>
                    <w14:schemeClr w14:val="tx1"/>
                  </w14:solidFill>
                </w14:textFill>
              </w:rPr>
              <w:t>C3满意度</w:t>
            </w:r>
          </w:p>
        </w:tc>
        <w:tc>
          <w:tcPr>
            <w:tcW w:w="2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316268">
            <w:pPr>
              <w:widowControl/>
              <w:spacing w:line="240" w:lineRule="auto"/>
              <w:ind w:firstLine="0" w:firstLineChars="0"/>
              <w:jc w:val="left"/>
              <w:textAlignment w:val="center"/>
              <w:rPr>
                <w:rFonts w:hint="eastAsia"/>
                <w:color w:val="000000" w:themeColor="text1"/>
                <w:sz w:val="20"/>
                <w:szCs w:val="20"/>
                <w:highlight w:val="none"/>
                <w:lang w:val="en-US" w:eastAsia="zh-CN" w:bidi="ar"/>
                <w14:textFill>
                  <w14:solidFill>
                    <w14:schemeClr w14:val="tx1"/>
                  </w14:solidFill>
                </w14:textFill>
              </w:rPr>
            </w:pPr>
            <w:r>
              <w:rPr>
                <w:rFonts w:hint="eastAsia"/>
                <w:color w:val="000000" w:themeColor="text1"/>
                <w:sz w:val="20"/>
                <w:szCs w:val="20"/>
                <w:highlight w:val="none"/>
                <w:lang w:val="en-US" w:eastAsia="zh-CN" w:bidi="ar"/>
                <w14:textFill>
                  <w14:solidFill>
                    <w14:schemeClr w14:val="tx1"/>
                  </w14:solidFill>
                </w14:textFill>
              </w:rPr>
              <w:t>C31受益统计工作人员满意度</w:t>
            </w:r>
          </w:p>
        </w:tc>
        <w:tc>
          <w:tcPr>
            <w:tcW w:w="8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1CAB43">
            <w:pPr>
              <w:widowControl/>
              <w:spacing w:line="240" w:lineRule="auto"/>
              <w:ind w:firstLine="0" w:firstLineChars="0"/>
              <w:jc w:val="center"/>
              <w:textAlignment w:val="center"/>
              <w:rPr>
                <w:rFonts w:hint="eastAsia"/>
                <w:color w:val="000000" w:themeColor="text1"/>
                <w:sz w:val="20"/>
                <w:szCs w:val="20"/>
                <w:highlight w:val="none"/>
                <w:lang w:val="en-US" w:eastAsia="zh-CN" w:bidi="ar"/>
                <w14:textFill>
                  <w14:solidFill>
                    <w14:schemeClr w14:val="tx1"/>
                  </w14:solidFill>
                </w14:textFill>
              </w:rPr>
            </w:pPr>
            <w:r>
              <w:rPr>
                <w:rFonts w:hint="eastAsia"/>
                <w:color w:val="000000" w:themeColor="text1"/>
                <w:sz w:val="20"/>
                <w:szCs w:val="20"/>
                <w:highlight w:val="none"/>
                <w:lang w:val="en-US" w:eastAsia="zh-CN" w:bidi="ar"/>
                <w14:textFill>
                  <w14:solidFill>
                    <w14:schemeClr w14:val="tx1"/>
                  </w14:solidFill>
                </w14:textFill>
              </w:rPr>
              <w:t>≥90.00%</w:t>
            </w:r>
          </w:p>
        </w:tc>
      </w:tr>
      <w:tr w14:paraId="1143C73A">
        <w:tblPrEx>
          <w:tblCellMar>
            <w:top w:w="0" w:type="dxa"/>
            <w:left w:w="108" w:type="dxa"/>
            <w:bottom w:w="0" w:type="dxa"/>
            <w:right w:w="108" w:type="dxa"/>
          </w:tblCellMar>
        </w:tblPrEx>
        <w:trPr>
          <w:trHeight w:val="397" w:hRule="atLeast"/>
        </w:trPr>
        <w:tc>
          <w:tcPr>
            <w:tcW w:w="178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C84157">
            <w:pPr>
              <w:widowControl/>
              <w:spacing w:line="240" w:lineRule="auto"/>
              <w:ind w:firstLine="0" w:firstLineChars="0"/>
              <w:jc w:val="left"/>
              <w:textAlignment w:val="center"/>
              <w:rPr>
                <w:rFonts w:hint="eastAsia"/>
                <w:color w:val="000000" w:themeColor="text1"/>
                <w:sz w:val="20"/>
                <w:szCs w:val="20"/>
                <w:highlight w:val="none"/>
                <w:lang w:val="en-US" w:eastAsia="zh-CN" w:bidi="ar"/>
                <w14:textFill>
                  <w14:solidFill>
                    <w14:schemeClr w14:val="tx1"/>
                  </w14:solidFill>
                </w14:textFill>
              </w:rPr>
            </w:pPr>
          </w:p>
        </w:tc>
        <w:tc>
          <w:tcPr>
            <w:tcW w:w="233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6D2EF3">
            <w:pPr>
              <w:widowControl/>
              <w:spacing w:line="240" w:lineRule="auto"/>
              <w:ind w:firstLine="0" w:firstLineChars="0"/>
              <w:jc w:val="left"/>
              <w:textAlignment w:val="center"/>
              <w:rPr>
                <w:rFonts w:hint="eastAsia"/>
                <w:color w:val="000000" w:themeColor="text1"/>
                <w:sz w:val="20"/>
                <w:szCs w:val="20"/>
                <w:highlight w:val="none"/>
                <w:lang w:val="en-US" w:eastAsia="zh-CN" w:bidi="ar"/>
                <w14:textFill>
                  <w14:solidFill>
                    <w14:schemeClr w14:val="tx1"/>
                  </w14:solidFill>
                </w14:textFill>
              </w:rPr>
            </w:pPr>
            <w:r>
              <w:rPr>
                <w:rFonts w:hint="eastAsia"/>
                <w:color w:val="000000" w:themeColor="text1"/>
                <w:sz w:val="20"/>
                <w:szCs w:val="20"/>
                <w:highlight w:val="none"/>
                <w:lang w:val="en-US" w:eastAsia="zh-CN" w:bidi="ar"/>
                <w14:textFill>
                  <w14:solidFill>
                    <w14:schemeClr w14:val="tx1"/>
                  </w14:solidFill>
                </w14:textFill>
              </w:rPr>
              <w:t>C32受益纳统企业满意度</w:t>
            </w:r>
          </w:p>
        </w:tc>
        <w:tc>
          <w:tcPr>
            <w:tcW w:w="8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C8A092A">
            <w:pPr>
              <w:widowControl/>
              <w:spacing w:line="240" w:lineRule="auto"/>
              <w:ind w:firstLine="0" w:firstLineChars="0"/>
              <w:jc w:val="center"/>
              <w:textAlignment w:val="center"/>
              <w:rPr>
                <w:rFonts w:hint="eastAsia"/>
                <w:color w:val="000000" w:themeColor="text1"/>
                <w:sz w:val="20"/>
                <w:szCs w:val="20"/>
                <w:highlight w:val="none"/>
                <w:lang w:val="en-US" w:eastAsia="zh-CN" w:bidi="ar"/>
                <w14:textFill>
                  <w14:solidFill>
                    <w14:schemeClr w14:val="tx1"/>
                  </w14:solidFill>
                </w14:textFill>
              </w:rPr>
            </w:pPr>
            <w:r>
              <w:rPr>
                <w:rFonts w:hint="eastAsia"/>
                <w:color w:val="000000" w:themeColor="text1"/>
                <w:sz w:val="20"/>
                <w:szCs w:val="20"/>
                <w:highlight w:val="none"/>
                <w:lang w:val="en-US" w:eastAsia="zh-CN" w:bidi="ar"/>
                <w14:textFill>
                  <w14:solidFill>
                    <w14:schemeClr w14:val="tx1"/>
                  </w14:solidFill>
                </w14:textFill>
              </w:rPr>
              <w:t>≥90.00%</w:t>
            </w:r>
          </w:p>
        </w:tc>
      </w:tr>
    </w:tbl>
    <w:p w14:paraId="3D6AC1E6">
      <w:pPr>
        <w:ind w:firstLine="0" w:firstLineChars="0"/>
        <w:jc w:val="center"/>
        <w:rPr>
          <w:b/>
          <w:bCs/>
          <w:color w:val="000000" w:themeColor="text1"/>
          <w14:textFill>
            <w14:solidFill>
              <w14:schemeClr w14:val="tx1"/>
            </w14:solidFill>
          </w14:textFill>
        </w:rPr>
      </w:pPr>
    </w:p>
    <w:p w14:paraId="37C5E690">
      <w:pPr>
        <w:keepNext/>
        <w:keepLines/>
        <w:ind w:firstLine="482"/>
        <w:outlineLvl w:val="0"/>
        <w:rPr>
          <w:b/>
          <w:bCs/>
          <w:color w:val="000000" w:themeColor="text1"/>
          <w:kern w:val="44"/>
          <w:sz w:val="24"/>
          <w:szCs w:val="24"/>
          <w14:textFill>
            <w14:solidFill>
              <w14:schemeClr w14:val="tx1"/>
            </w14:solidFill>
          </w14:textFill>
        </w:rPr>
      </w:pPr>
      <w:bookmarkStart w:id="41" w:name="_Toc68364660"/>
      <w:bookmarkEnd w:id="41"/>
      <w:bookmarkStart w:id="42" w:name="_Toc4636"/>
      <w:r>
        <w:rPr>
          <w:b/>
          <w:bCs/>
          <w:color w:val="000000" w:themeColor="text1"/>
          <w:kern w:val="44"/>
          <w:sz w:val="24"/>
          <w:szCs w:val="24"/>
          <w14:textFill>
            <w14:solidFill>
              <w14:schemeClr w14:val="tx1"/>
            </w14:solidFill>
          </w14:textFill>
        </w:rPr>
        <w:t>二、绩效评价工作开展情况</w:t>
      </w:r>
      <w:bookmarkEnd w:id="42"/>
    </w:p>
    <w:p w14:paraId="771DB3B5">
      <w:pPr>
        <w:keepNext/>
        <w:keepLines/>
        <w:ind w:firstLine="422"/>
        <w:jc w:val="left"/>
        <w:outlineLvl w:val="1"/>
        <w:rPr>
          <w:b/>
          <w:color w:val="000000" w:themeColor="text1"/>
          <w14:textFill>
            <w14:solidFill>
              <w14:schemeClr w14:val="tx1"/>
            </w14:solidFill>
          </w14:textFill>
        </w:rPr>
      </w:pPr>
      <w:bookmarkStart w:id="43" w:name="_Toc68364661"/>
      <w:bookmarkEnd w:id="43"/>
      <w:bookmarkStart w:id="44" w:name="_Toc10021"/>
      <w:r>
        <w:rPr>
          <w:b/>
          <w:color w:val="000000" w:themeColor="text1"/>
          <w14:textFill>
            <w14:solidFill>
              <w14:schemeClr w14:val="tx1"/>
            </w14:solidFill>
          </w14:textFill>
        </w:rPr>
        <w:t>（一）绩效评价依据</w:t>
      </w:r>
      <w:bookmarkEnd w:id="44"/>
    </w:p>
    <w:p w14:paraId="41AB54DB">
      <w:pPr>
        <w:numPr>
          <w:ilvl w:val="0"/>
          <w:numId w:val="2"/>
        </w:numPr>
        <w:ind w:firstLineChars="0"/>
        <w:rPr>
          <w:bCs/>
          <w:color w:val="000000" w:themeColor="text1"/>
          <w14:textFill>
            <w14:solidFill>
              <w14:schemeClr w14:val="tx1"/>
            </w14:solidFill>
          </w14:textFill>
        </w:rPr>
      </w:pPr>
      <w:r>
        <w:rPr>
          <w:bCs/>
          <w:color w:val="000000" w:themeColor="text1"/>
          <w14:textFill>
            <w14:solidFill>
              <w14:schemeClr w14:val="tx1"/>
            </w14:solidFill>
          </w14:textFill>
        </w:rPr>
        <w:t>《中华人民共和国预算法》；</w:t>
      </w:r>
    </w:p>
    <w:p w14:paraId="6A00F4A8">
      <w:pPr>
        <w:numPr>
          <w:ilvl w:val="0"/>
          <w:numId w:val="2"/>
        </w:numPr>
        <w:ind w:firstLineChars="0"/>
        <w:rPr>
          <w:bCs/>
          <w:color w:val="000000" w:themeColor="text1"/>
          <w14:textFill>
            <w14:solidFill>
              <w14:schemeClr w14:val="tx1"/>
            </w14:solidFill>
          </w14:textFill>
        </w:rPr>
      </w:pPr>
      <w:r>
        <w:rPr>
          <w:bCs/>
          <w:color w:val="000000" w:themeColor="text1"/>
          <w14:textFill>
            <w14:solidFill>
              <w14:schemeClr w14:val="tx1"/>
            </w14:solidFill>
          </w14:textFill>
        </w:rPr>
        <w:t>《</w:t>
      </w:r>
      <w:r>
        <w:rPr>
          <w:rFonts w:hint="eastAsia"/>
          <w:bCs/>
          <w:color w:val="000000" w:themeColor="text1"/>
          <w:lang w:eastAsia="zh-CN"/>
          <w14:textFill>
            <w14:solidFill>
              <w14:schemeClr w14:val="tx1"/>
            </w14:solidFill>
          </w14:textFill>
        </w:rPr>
        <w:t>中共中央、国务院</w:t>
      </w:r>
      <w:r>
        <w:rPr>
          <w:bCs/>
          <w:color w:val="000000" w:themeColor="text1"/>
          <w14:textFill>
            <w14:solidFill>
              <w14:schemeClr w14:val="tx1"/>
            </w14:solidFill>
          </w14:textFill>
        </w:rPr>
        <w:t>关于全面实施预算绩效管理的意见》（中发〔2018〕34号）；</w:t>
      </w:r>
    </w:p>
    <w:p w14:paraId="40DC139D">
      <w:pPr>
        <w:numPr>
          <w:ilvl w:val="0"/>
          <w:numId w:val="2"/>
        </w:numPr>
        <w:ind w:firstLineChars="0"/>
        <w:rPr>
          <w:bCs/>
          <w:color w:val="000000" w:themeColor="text1"/>
          <w14:textFill>
            <w14:solidFill>
              <w14:schemeClr w14:val="tx1"/>
            </w14:solidFill>
          </w14:textFill>
        </w:rPr>
      </w:pPr>
      <w:r>
        <w:rPr>
          <w:bCs/>
          <w:color w:val="000000" w:themeColor="text1"/>
          <w14:textFill>
            <w14:solidFill>
              <w14:schemeClr w14:val="tx1"/>
            </w14:solidFill>
          </w14:textFill>
        </w:rPr>
        <w:t>《项目支出绩效评价管理办法》（财预〔2020〕10号）；</w:t>
      </w:r>
    </w:p>
    <w:p w14:paraId="0E7114A0">
      <w:pPr>
        <w:numPr>
          <w:ilvl w:val="0"/>
          <w:numId w:val="2"/>
        </w:numPr>
        <w:ind w:firstLineChars="0"/>
        <w:rPr>
          <w:bCs/>
          <w:color w:val="000000" w:themeColor="text1"/>
          <w14:textFill>
            <w14:solidFill>
              <w14:schemeClr w14:val="tx1"/>
            </w14:solidFill>
          </w14:textFill>
        </w:rPr>
      </w:pPr>
      <w:r>
        <w:rPr>
          <w:bCs/>
          <w:color w:val="000000" w:themeColor="text1"/>
          <w14:textFill>
            <w14:solidFill>
              <w14:schemeClr w14:val="tx1"/>
            </w14:solidFill>
          </w14:textFill>
        </w:rPr>
        <w:t>《自治区党委自治区人民政府关于全面实施预算绩效管理的实施意见》（新党发〔2018〕30号）；</w:t>
      </w:r>
    </w:p>
    <w:p w14:paraId="0613B35C">
      <w:pPr>
        <w:numPr>
          <w:ilvl w:val="0"/>
          <w:numId w:val="2"/>
        </w:numPr>
        <w:ind w:firstLineChars="0"/>
        <w:rPr>
          <w:bCs/>
          <w:color w:val="000000" w:themeColor="text1"/>
          <w14:textFill>
            <w14:solidFill>
              <w14:schemeClr w14:val="tx1"/>
            </w14:solidFill>
          </w14:textFill>
        </w:rPr>
      </w:pPr>
      <w:r>
        <w:rPr>
          <w:bCs/>
          <w:color w:val="000000" w:themeColor="text1"/>
          <w14:textFill>
            <w14:solidFill>
              <w14:schemeClr w14:val="tx1"/>
            </w14:solidFill>
          </w14:textFill>
        </w:rPr>
        <w:t>《自治区全面实施预算绩效管理的工作方案》（新财预〔2018〕158号）；</w:t>
      </w:r>
    </w:p>
    <w:p w14:paraId="26CDFFEB">
      <w:pPr>
        <w:numPr>
          <w:ilvl w:val="0"/>
          <w:numId w:val="2"/>
        </w:numPr>
        <w:ind w:firstLineChars="0"/>
        <w:rPr>
          <w:bCs/>
          <w:color w:val="000000" w:themeColor="text1"/>
          <w14:textFill>
            <w14:solidFill>
              <w14:schemeClr w14:val="tx1"/>
            </w14:solidFill>
          </w14:textFill>
        </w:rPr>
      </w:pPr>
      <w:r>
        <w:rPr>
          <w:bCs/>
          <w:color w:val="000000" w:themeColor="text1"/>
          <w14:textFill>
            <w14:solidFill>
              <w14:schemeClr w14:val="tx1"/>
            </w14:solidFill>
          </w14:textFill>
        </w:rPr>
        <w:t>《自治区财政支出绩效评价管理暂行办法》（新财预〔2018〕189号）；</w:t>
      </w:r>
    </w:p>
    <w:p w14:paraId="466C9DB5">
      <w:pPr>
        <w:numPr>
          <w:ilvl w:val="0"/>
          <w:numId w:val="2"/>
        </w:numPr>
        <w:ind w:firstLineChars="0"/>
        <w:rPr>
          <w:bCs/>
          <w:color w:val="000000" w:themeColor="text1"/>
          <w14:textFill>
            <w14:solidFill>
              <w14:schemeClr w14:val="tx1"/>
            </w14:solidFill>
          </w14:textFill>
        </w:rPr>
      </w:pPr>
      <w:r>
        <w:rPr>
          <w:bCs/>
          <w:color w:val="000000" w:themeColor="text1"/>
          <w14:textFill>
            <w14:solidFill>
              <w14:schemeClr w14:val="tx1"/>
            </w14:solidFill>
          </w14:textFill>
        </w:rPr>
        <w:t>《关于委托第三方机构参与预算绩效管理的指导意见》（财预〔2021〕6号）；</w:t>
      </w:r>
    </w:p>
    <w:p w14:paraId="5486DB33">
      <w:pPr>
        <w:numPr>
          <w:ilvl w:val="0"/>
          <w:numId w:val="2"/>
        </w:numPr>
        <w:ind w:firstLineChars="0"/>
        <w:rPr>
          <w:bCs/>
          <w:color w:val="000000" w:themeColor="text1"/>
          <w14:textFill>
            <w14:solidFill>
              <w14:schemeClr w14:val="tx1"/>
            </w14:solidFill>
          </w14:textFill>
        </w:rPr>
      </w:pPr>
      <w:r>
        <w:rPr>
          <w:bCs/>
          <w:color w:val="000000" w:themeColor="text1"/>
          <w14:textFill>
            <w14:solidFill>
              <w14:schemeClr w14:val="tx1"/>
            </w14:solidFill>
          </w14:textFill>
        </w:rPr>
        <w:t>《财政部关于印发〈第三方机构预算绩效评价业务监督管理暂行办法〉的通知》（财监〔2021〕4号）；</w:t>
      </w:r>
    </w:p>
    <w:p w14:paraId="14D6B894">
      <w:pPr>
        <w:numPr>
          <w:ilvl w:val="0"/>
          <w:numId w:val="2"/>
        </w:numPr>
        <w:ind w:firstLineChars="0"/>
        <w:rPr>
          <w:bCs/>
          <w:color w:val="000000" w:themeColor="text1"/>
          <w14:textFill>
            <w14:solidFill>
              <w14:schemeClr w14:val="tx1"/>
            </w14:solidFill>
          </w14:textFill>
        </w:rPr>
      </w:pPr>
      <w:r>
        <w:rPr>
          <w:bCs/>
          <w:color w:val="000000" w:themeColor="text1"/>
          <w14:textFill>
            <w14:solidFill>
              <w14:schemeClr w14:val="tx1"/>
            </w14:solidFill>
          </w14:textFill>
        </w:rPr>
        <w:t>《关于进一步加强和规范第三方机构参与预算绩效管理的通知》（新财预〔2021〕49号）；</w:t>
      </w:r>
    </w:p>
    <w:p w14:paraId="49AFF1B9">
      <w:pPr>
        <w:numPr>
          <w:ilvl w:val="0"/>
          <w:numId w:val="2"/>
        </w:numPr>
        <w:ind w:firstLineChars="0"/>
        <w:rPr>
          <w:bCs/>
          <w:color w:val="000000" w:themeColor="text1"/>
          <w14:textFill>
            <w14:solidFill>
              <w14:schemeClr w14:val="tx1"/>
            </w14:solidFill>
          </w14:textFill>
        </w:rPr>
      </w:pPr>
      <w:r>
        <w:rPr>
          <w:rFonts w:eastAsiaTheme="minorEastAsia"/>
          <w:color w:val="000000" w:themeColor="text1"/>
          <w14:textFill>
            <w14:solidFill>
              <w14:schemeClr w14:val="tx1"/>
            </w14:solidFill>
          </w14:textFill>
        </w:rPr>
        <w:t>《</w:t>
      </w:r>
      <w:r>
        <w:rPr>
          <w:rFonts w:hint="eastAsia" w:eastAsiaTheme="minorEastAsia"/>
          <w:color w:val="000000" w:themeColor="text1"/>
          <w14:textFill>
            <w14:solidFill>
              <w14:schemeClr w14:val="tx1"/>
            </w14:solidFill>
          </w14:textFill>
        </w:rPr>
        <w:t>新疆维吾尔自治区统计改革发展“十四五”规划（2021—2025年）</w:t>
      </w:r>
      <w:r>
        <w:rPr>
          <w:rFonts w:eastAsiaTheme="minorEastAsia"/>
          <w:color w:val="000000" w:themeColor="text1"/>
          <w14:textFill>
            <w14:solidFill>
              <w14:schemeClr w14:val="tx1"/>
            </w14:solidFill>
          </w14:textFill>
        </w:rPr>
        <w:t>》</w:t>
      </w:r>
      <w:r>
        <w:rPr>
          <w:bCs/>
          <w:color w:val="000000" w:themeColor="text1"/>
          <w14:textFill>
            <w14:solidFill>
              <w14:schemeClr w14:val="tx1"/>
            </w14:solidFill>
          </w14:textFill>
        </w:rPr>
        <w:t>；</w:t>
      </w:r>
    </w:p>
    <w:p w14:paraId="37AB410E">
      <w:pPr>
        <w:numPr>
          <w:ilvl w:val="0"/>
          <w:numId w:val="2"/>
        </w:numPr>
        <w:ind w:firstLineChars="0"/>
        <w:rPr>
          <w:bCs/>
          <w:color w:val="000000" w:themeColor="text1"/>
          <w14:textFill>
            <w14:solidFill>
              <w14:schemeClr w14:val="tx1"/>
            </w14:solidFill>
          </w14:textFill>
        </w:rPr>
      </w:pPr>
      <w:r>
        <w:rPr>
          <w:bCs/>
          <w:color w:val="000000" w:themeColor="text1"/>
          <w14:textFill>
            <w14:solidFill>
              <w14:schemeClr w14:val="tx1"/>
            </w14:solidFill>
          </w14:textFill>
        </w:rPr>
        <w:t>《</w:t>
      </w:r>
      <w:r>
        <w:rPr>
          <w:rFonts w:hint="eastAsia"/>
          <w:bCs/>
          <w:color w:val="000000" w:themeColor="text1"/>
          <w14:textFill>
            <w14:solidFill>
              <w14:schemeClr w14:val="tx1"/>
            </w14:solidFill>
          </w14:textFill>
        </w:rPr>
        <w:t>全国经济普查条例</w:t>
      </w:r>
      <w:r>
        <w:rPr>
          <w:bCs/>
          <w:color w:val="000000" w:themeColor="text1"/>
          <w14:textFill>
            <w14:solidFill>
              <w14:schemeClr w14:val="tx1"/>
            </w14:solidFill>
          </w14:textFill>
        </w:rPr>
        <w:t>》；</w:t>
      </w:r>
    </w:p>
    <w:p w14:paraId="661DFBC3">
      <w:pPr>
        <w:numPr>
          <w:ilvl w:val="0"/>
          <w:numId w:val="2"/>
        </w:numPr>
        <w:ind w:firstLineChars="0"/>
        <w:rPr>
          <w:bCs/>
          <w:color w:val="000000" w:themeColor="text1"/>
          <w14:textFill>
            <w14:solidFill>
              <w14:schemeClr w14:val="tx1"/>
            </w14:solidFill>
          </w14:textFill>
        </w:rPr>
      </w:pPr>
      <w:r>
        <w:rPr>
          <w:color w:val="000000" w:themeColor="text1"/>
          <w14:textFill>
            <w14:solidFill>
              <w14:schemeClr w14:val="tx1"/>
            </w14:solidFill>
          </w14:textFill>
        </w:rPr>
        <w:t>《</w:t>
      </w:r>
      <w:r>
        <w:rPr>
          <w:rFonts w:hint="eastAsia"/>
          <w:color w:val="000000" w:themeColor="text1"/>
          <w14:textFill>
            <w14:solidFill>
              <w14:schemeClr w14:val="tx1"/>
            </w14:solidFill>
          </w14:textFill>
        </w:rPr>
        <w:t>统计局十四五期间工作总结</w:t>
      </w:r>
      <w:r>
        <w:rPr>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《吉木萨尔县统计局2023年工作总结及2024年工作计划》《吉木萨尔县统计局2024年工作总结及2025年工作计划》</w:t>
      </w:r>
      <w:r>
        <w:rPr>
          <w:color w:val="000000" w:themeColor="text1"/>
          <w14:textFill>
            <w14:solidFill>
              <w14:schemeClr w14:val="tx1"/>
            </w14:solidFill>
          </w14:textFill>
        </w:rPr>
        <w:t>；</w:t>
      </w:r>
    </w:p>
    <w:p w14:paraId="702C0E83">
      <w:pPr>
        <w:numPr>
          <w:ilvl w:val="0"/>
          <w:numId w:val="2"/>
        </w:numPr>
        <w:ind w:firstLineChars="0"/>
        <w:rPr>
          <w:bCs/>
          <w:color w:val="000000" w:themeColor="text1"/>
          <w14:textFill>
            <w14:solidFill>
              <w14:schemeClr w14:val="tx1"/>
            </w14:solidFill>
          </w14:textFill>
        </w:rPr>
      </w:pPr>
      <w:r>
        <w:rPr>
          <w:rFonts w:hint="eastAsia"/>
          <w:bCs/>
          <w:color w:val="000000" w:themeColor="text1"/>
          <w14:textFill>
            <w14:solidFill>
              <w14:schemeClr w14:val="tx1"/>
            </w14:solidFill>
          </w14:textFill>
        </w:rPr>
        <w:t>《吉木萨尔县统计局预算编制与审核制度》《吉木萨尔县统计局预算管理制度》《资金管理制度》《采购管理办法》《财务收支审批制度》《吉木萨尔县统计局预算执行与调整调剂制度》</w:t>
      </w:r>
      <w:r>
        <w:rPr>
          <w:bCs/>
          <w:color w:val="000000" w:themeColor="text1"/>
          <w14:textFill>
            <w14:solidFill>
              <w14:schemeClr w14:val="tx1"/>
            </w14:solidFill>
          </w14:textFill>
        </w:rPr>
        <w:t>等内控资料；</w:t>
      </w:r>
    </w:p>
    <w:p w14:paraId="2C792E44">
      <w:pPr>
        <w:numPr>
          <w:ilvl w:val="0"/>
          <w:numId w:val="2"/>
        </w:numPr>
        <w:ind w:firstLineChars="0"/>
        <w:rPr>
          <w:bCs/>
          <w:color w:val="000000" w:themeColor="text1"/>
          <w14:textFill>
            <w14:solidFill>
              <w14:schemeClr w14:val="tx1"/>
            </w14:solidFill>
          </w14:textFill>
        </w:rPr>
      </w:pPr>
      <w:r>
        <w:rPr>
          <w:rFonts w:hint="eastAsia"/>
          <w:bCs/>
          <w:color w:val="000000" w:themeColor="text1"/>
          <w:lang w:eastAsia="zh-CN"/>
          <w14:textFill>
            <w14:solidFill>
              <w14:schemeClr w14:val="tx1"/>
            </w14:solidFill>
          </w14:textFill>
        </w:rPr>
        <w:t>2024</w:t>
      </w:r>
      <w:r>
        <w:rPr>
          <w:bCs/>
          <w:color w:val="000000" w:themeColor="text1"/>
          <w14:textFill>
            <w14:solidFill>
              <w14:schemeClr w14:val="tx1"/>
            </w14:solidFill>
          </w14:textFill>
        </w:rPr>
        <w:t>年部门预算公开文件、</w:t>
      </w:r>
      <w:r>
        <w:rPr>
          <w:rFonts w:hint="eastAsia"/>
          <w:bCs/>
          <w:color w:val="000000" w:themeColor="text1"/>
          <w:lang w:eastAsia="zh-CN"/>
          <w14:textFill>
            <w14:solidFill>
              <w14:schemeClr w14:val="tx1"/>
            </w14:solidFill>
          </w14:textFill>
        </w:rPr>
        <w:t>2024</w:t>
      </w:r>
      <w:r>
        <w:rPr>
          <w:bCs/>
          <w:color w:val="000000" w:themeColor="text1"/>
          <w14:textFill>
            <w14:solidFill>
              <w14:schemeClr w14:val="tx1"/>
            </w14:solidFill>
          </w14:textFill>
        </w:rPr>
        <w:t>年部门决算报表及决算分析报告等；</w:t>
      </w:r>
    </w:p>
    <w:p w14:paraId="05735F7B">
      <w:pPr>
        <w:numPr>
          <w:ilvl w:val="0"/>
          <w:numId w:val="2"/>
        </w:numPr>
        <w:ind w:firstLineChars="0"/>
        <w:rPr>
          <w:bCs/>
          <w:color w:val="000000" w:themeColor="text1"/>
          <w14:textFill>
            <w14:solidFill>
              <w14:schemeClr w14:val="tx1"/>
            </w14:solidFill>
          </w14:textFill>
        </w:rPr>
      </w:pPr>
      <w:r>
        <w:rPr>
          <w:bCs/>
          <w:color w:val="000000" w:themeColor="text1"/>
          <w14:textFill>
            <w14:solidFill>
              <w14:schemeClr w14:val="tx1"/>
            </w14:solidFill>
          </w14:textFill>
        </w:rPr>
        <w:t>部门履职绩效的工作材料；</w:t>
      </w:r>
    </w:p>
    <w:p w14:paraId="2C7BC62D">
      <w:pPr>
        <w:numPr>
          <w:ilvl w:val="0"/>
          <w:numId w:val="2"/>
        </w:numPr>
        <w:ind w:firstLineChars="0"/>
        <w:rPr>
          <w:bCs/>
          <w:color w:val="000000" w:themeColor="text1"/>
          <w14:textFill>
            <w14:solidFill>
              <w14:schemeClr w14:val="tx1"/>
            </w14:solidFill>
          </w14:textFill>
        </w:rPr>
      </w:pPr>
      <w:r>
        <w:rPr>
          <w:rFonts w:hint="eastAsia"/>
          <w:bCs/>
          <w:color w:val="000000" w:themeColor="text1"/>
          <w:lang w:eastAsia="zh-CN"/>
          <w14:textFill>
            <w14:solidFill>
              <w14:schemeClr w14:val="tx1"/>
            </w14:solidFill>
          </w14:textFill>
        </w:rPr>
        <w:t>其他</w:t>
      </w:r>
      <w:r>
        <w:rPr>
          <w:bCs/>
          <w:color w:val="000000" w:themeColor="text1"/>
          <w14:textFill>
            <w14:solidFill>
              <w14:schemeClr w14:val="tx1"/>
            </w14:solidFill>
          </w14:textFill>
        </w:rPr>
        <w:t>绩效评价相关资料。</w:t>
      </w:r>
    </w:p>
    <w:p w14:paraId="6A30D3E6">
      <w:pPr>
        <w:keepNext/>
        <w:keepLines/>
        <w:ind w:firstLine="422"/>
        <w:jc w:val="left"/>
        <w:outlineLvl w:val="1"/>
        <w:rPr>
          <w:b/>
          <w:bCs/>
          <w:color w:val="000000" w:themeColor="text1"/>
          <w14:textFill>
            <w14:solidFill>
              <w14:schemeClr w14:val="tx1"/>
            </w14:solidFill>
          </w14:textFill>
        </w:rPr>
      </w:pPr>
      <w:bookmarkStart w:id="45" w:name="_Toc17547"/>
      <w:r>
        <w:rPr>
          <w:b/>
          <w:bCs/>
          <w:color w:val="000000" w:themeColor="text1"/>
          <w14:textFill>
            <w14:solidFill>
              <w14:schemeClr w14:val="tx1"/>
            </w14:solidFill>
          </w14:textFill>
        </w:rPr>
        <w:t>（二）绩效评价</w:t>
      </w:r>
      <w:r>
        <w:rPr>
          <w:rFonts w:hint="eastAsia"/>
          <w:b/>
          <w:bCs/>
          <w:color w:val="000000" w:themeColor="text1"/>
          <w:lang w:val="en-US" w:eastAsia="zh-CN"/>
          <w14:textFill>
            <w14:solidFill>
              <w14:schemeClr w14:val="tx1"/>
            </w14:solidFill>
          </w14:textFill>
        </w:rPr>
        <w:t>目的、</w:t>
      </w:r>
      <w:r>
        <w:rPr>
          <w:b/>
          <w:bCs/>
          <w:color w:val="000000" w:themeColor="text1"/>
          <w14:textFill>
            <w14:solidFill>
              <w14:schemeClr w14:val="tx1"/>
            </w14:solidFill>
          </w14:textFill>
        </w:rPr>
        <w:t>对象及范围</w:t>
      </w:r>
      <w:bookmarkEnd w:id="45"/>
    </w:p>
    <w:p w14:paraId="5621A6BE">
      <w:pPr>
        <w:pStyle w:val="4"/>
        <w:bidi w:val="0"/>
        <w:rPr>
          <w:rFonts w:hint="default"/>
          <w:color w:val="000000" w:themeColor="text1"/>
          <w:highlight w:val="none"/>
          <w:lang w:val="en-US" w:eastAsia="zh-CN"/>
          <w14:textFill>
            <w14:solidFill>
              <w14:schemeClr w14:val="tx1"/>
            </w14:solidFill>
          </w14:textFill>
        </w:rPr>
      </w:pPr>
      <w:bookmarkStart w:id="46" w:name="_Toc68364662"/>
      <w:bookmarkEnd w:id="46"/>
      <w:r>
        <w:rPr>
          <w:rFonts w:hint="eastAsia"/>
          <w:color w:val="000000" w:themeColor="text1"/>
          <w:highlight w:val="none"/>
          <w:lang w:val="en-US" w:eastAsia="zh-CN"/>
          <w14:textFill>
            <w14:solidFill>
              <w14:schemeClr w14:val="tx1"/>
            </w14:solidFill>
          </w14:textFill>
        </w:rPr>
        <w:t>1.绩效评价目的</w:t>
      </w:r>
    </w:p>
    <w:p w14:paraId="67F7BCBE">
      <w:pPr>
        <w:ind w:firstLine="640"/>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本次绩效评价遵循财政部《中共中央、国务院关于全面实施预算绩效管理的意见》（中发〔2018〕34号）、《关于进一步加强和规范第三方机构参与预算绩效管理的通知》（新财预〔2021〕49号）等相关政策文件与规定，旨在评价财政支出实施前期、过程及效果，对财政支出的经济性、效率性、效益性和公平性进行客观、公正地测量、分析和评判。</w:t>
      </w:r>
    </w:p>
    <w:p w14:paraId="763687B9">
      <w:pPr>
        <w:ind w:firstLine="640"/>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pP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绩效评价的目的是为全面了解吉木萨尔县统计局部门整体绩效，围绕部门和单位履职、行业发展规划，以预算资金管理为主线，统筹考虑资产和业务活动，履职效能和服务对象满意度等方面，衡量部门和单位整体及核心业务实施效果，推动提高部门和单位整体绩效水平。</w:t>
      </w:r>
    </w:p>
    <w:p w14:paraId="56FC5887">
      <w:pPr>
        <w:pStyle w:val="4"/>
        <w:bidi w:val="0"/>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highlight w:val="none"/>
          <w14:textFill>
            <w14:solidFill>
              <w14:schemeClr w14:val="tx1"/>
            </w14:solidFill>
          </w14:textFill>
        </w:rPr>
        <w:t>绩效评价对象</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及范围</w:t>
      </w:r>
    </w:p>
    <w:p w14:paraId="41257245">
      <w:pPr>
        <w:ind w:firstLine="640"/>
        <w:rPr>
          <w:rFonts w:hint="eastAsia" w:asciiTheme="minorEastAsia" w:hAnsiTheme="minorEastAsia" w:eastAsiaTheme="minorEastAsia" w:cstheme="minorEastAsia"/>
          <w:bCs/>
          <w:color w:val="000000" w:themeColor="text1"/>
          <w:highlight w:val="none"/>
          <w14:textFill>
            <w14:solidFill>
              <w14:schemeClr w14:val="tx1"/>
            </w14:solidFill>
          </w14:textFill>
        </w:rPr>
      </w:pPr>
      <w:r>
        <w:rPr>
          <w:rFonts w:hint="eastAsia" w:asciiTheme="minorEastAsia" w:hAnsiTheme="minorEastAsia" w:eastAsiaTheme="minorEastAsia" w:cstheme="minorEastAsia"/>
          <w:bCs/>
          <w:color w:val="000000" w:themeColor="text1"/>
          <w:highlight w:val="none"/>
          <w14:textFill>
            <w14:solidFill>
              <w14:schemeClr w14:val="tx1"/>
            </w14:solidFill>
          </w14:textFill>
        </w:rPr>
        <w:t>本次绩效评价的对象为</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吉木萨尔县统计局</w:t>
      </w:r>
      <w:r>
        <w:rPr>
          <w:rFonts w:hint="eastAsia" w:asciiTheme="minorEastAsia" w:hAnsiTheme="minorEastAsia" w:eastAsiaTheme="minorEastAsia" w:cstheme="minorEastAsia"/>
          <w:bCs/>
          <w:color w:val="000000" w:themeColor="text1"/>
          <w:highlight w:val="none"/>
          <w14:textFill>
            <w14:solidFill>
              <w14:schemeClr w14:val="tx1"/>
            </w14:solidFill>
          </w14:textFill>
        </w:rPr>
        <w:t>202</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4</w:t>
      </w:r>
      <w:r>
        <w:rPr>
          <w:rFonts w:hint="eastAsia" w:asciiTheme="minorEastAsia" w:hAnsiTheme="minorEastAsia" w:eastAsiaTheme="minorEastAsia" w:cstheme="minorEastAsia"/>
          <w:bCs/>
          <w:color w:val="000000" w:themeColor="text1"/>
          <w:highlight w:val="none"/>
          <w14:textFill>
            <w14:solidFill>
              <w14:schemeClr w14:val="tx1"/>
            </w14:solidFill>
          </w14:textFill>
        </w:rPr>
        <w:t>年度部门整体履职绩效，主要评价部门整体绩效的投入、产出及效益，绩效评价范围主要围绕部门整体决策情况、部门预算管理和使用情况、部门内部管理制度的健全性及执行情况、部门履职效能和可持续发展能力，事业发展目标实现情况以及部门整体的产出情况、取得的效益情况和其他相关内容。</w:t>
      </w:r>
    </w:p>
    <w:p w14:paraId="1CDA548B">
      <w:pPr>
        <w:pStyle w:val="4"/>
        <w:bidi w:val="0"/>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highlight w:val="none"/>
          <w14:textFill>
            <w14:solidFill>
              <w14:schemeClr w14:val="tx1"/>
            </w14:solidFill>
          </w14:textFill>
        </w:rPr>
        <w:t>绩效评价</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时段</w:t>
      </w:r>
    </w:p>
    <w:p w14:paraId="0B9C767F">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本次绩效评价评价时段为</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2024</w:t>
      </w:r>
      <w:r>
        <w:rPr>
          <w:rFonts w:hint="eastAsia" w:asciiTheme="minorEastAsia" w:hAnsiTheme="minorEastAsia" w:eastAsiaTheme="minorEastAsia" w:cstheme="minorEastAsia"/>
          <w:color w:val="000000" w:themeColor="text1"/>
          <w:highlight w:val="none"/>
          <w14:textFill>
            <w14:solidFill>
              <w14:schemeClr w14:val="tx1"/>
            </w14:solidFill>
          </w14:textFill>
        </w:rPr>
        <w:t>年</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highlight w:val="none"/>
          <w14:textFill>
            <w14:solidFill>
              <w14:schemeClr w14:val="tx1"/>
            </w14:solidFill>
          </w14:textFill>
        </w:rPr>
        <w:t>月-</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2024</w:t>
      </w:r>
      <w:r>
        <w:rPr>
          <w:rFonts w:hint="eastAsia" w:asciiTheme="minorEastAsia" w:hAnsiTheme="minorEastAsia" w:eastAsiaTheme="minorEastAsia" w:cstheme="minorEastAsia"/>
          <w:color w:val="000000" w:themeColor="text1"/>
          <w:highlight w:val="none"/>
          <w14:textFill>
            <w14:solidFill>
              <w14:schemeClr w14:val="tx1"/>
            </w14:solidFill>
          </w14:textFill>
        </w:rPr>
        <w:t>年</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12</w:t>
      </w:r>
      <w:r>
        <w:rPr>
          <w:rFonts w:hint="eastAsia" w:asciiTheme="minorEastAsia" w:hAnsiTheme="minorEastAsia" w:eastAsiaTheme="minorEastAsia" w:cstheme="minorEastAsia"/>
          <w:color w:val="000000" w:themeColor="text1"/>
          <w:highlight w:val="none"/>
          <w14:textFill>
            <w14:solidFill>
              <w14:schemeClr w14:val="tx1"/>
            </w14:solidFill>
          </w14:textFill>
        </w:rPr>
        <w:t>月。</w:t>
      </w:r>
    </w:p>
    <w:p w14:paraId="77A64B01">
      <w:pPr>
        <w:keepNext/>
        <w:keepLines/>
        <w:ind w:firstLine="422"/>
        <w:jc w:val="left"/>
        <w:outlineLvl w:val="1"/>
        <w:rPr>
          <w:rFonts w:hint="default" w:eastAsia="宋体"/>
          <w:b/>
          <w:bCs/>
          <w:color w:val="000000" w:themeColor="text1"/>
          <w:lang w:val="en-US" w:eastAsia="zh-CN"/>
          <w14:textFill>
            <w14:solidFill>
              <w14:schemeClr w14:val="tx1"/>
            </w14:solidFill>
          </w14:textFill>
        </w:rPr>
      </w:pPr>
      <w:bookmarkStart w:id="47" w:name="_Toc29578"/>
      <w:r>
        <w:rPr>
          <w:b/>
          <w:bCs/>
          <w:color w:val="000000" w:themeColor="text1"/>
          <w14:textFill>
            <w14:solidFill>
              <w14:schemeClr w14:val="tx1"/>
            </w14:solidFill>
          </w14:textFill>
        </w:rPr>
        <w:t>（三）绩效评价原则</w:t>
      </w:r>
      <w:r>
        <w:rPr>
          <w:rFonts w:hint="eastAsia"/>
          <w:b/>
          <w:bCs/>
          <w:color w:val="000000" w:themeColor="text1"/>
          <w:lang w:val="en-US" w:eastAsia="zh-CN"/>
          <w14:textFill>
            <w14:solidFill>
              <w14:schemeClr w14:val="tx1"/>
            </w14:solidFill>
          </w14:textFill>
        </w:rPr>
        <w:t>及评价标准</w:t>
      </w:r>
      <w:bookmarkEnd w:id="47"/>
    </w:p>
    <w:p w14:paraId="1B012E58">
      <w:pPr>
        <w:ind w:firstLine="640"/>
        <w:outlineLvl w:val="2"/>
        <w:rPr>
          <w:rFonts w:hint="default" w:ascii="Times New Roman" w:hAnsi="Times New Roman" w:eastAsia="宋体" w:cs="Times New Roman"/>
          <w:b/>
          <w:bCs w:val="0"/>
          <w:color w:val="000000" w:themeColor="text1"/>
          <w:highlight w:val="none"/>
          <w:lang w:val="en-US" w:eastAsia="zh-CN"/>
          <w14:textFill>
            <w14:solidFill>
              <w14:schemeClr w14:val="tx1"/>
            </w14:solidFill>
          </w14:textFill>
        </w:rPr>
      </w:pPr>
      <w:r>
        <w:rPr>
          <w:rFonts w:hint="eastAsia" w:cs="Times New Roman"/>
          <w:b/>
          <w:bCs w:val="0"/>
          <w:color w:val="000000" w:themeColor="text1"/>
          <w:highlight w:val="none"/>
          <w:lang w:val="en-US" w:eastAsia="zh-CN"/>
          <w14:textFill>
            <w14:solidFill>
              <w14:schemeClr w14:val="tx1"/>
            </w14:solidFill>
          </w14:textFill>
        </w:rPr>
        <w:t>1.</w:t>
      </w:r>
      <w:r>
        <w:rPr>
          <w:rFonts w:hint="default"/>
          <w:b/>
          <w:bCs w:val="0"/>
          <w:color w:val="000000" w:themeColor="text1"/>
          <w:highlight w:val="none"/>
          <w14:textFill>
            <w14:solidFill>
              <w14:schemeClr w14:val="tx1"/>
            </w14:solidFill>
          </w14:textFill>
        </w:rPr>
        <w:t>绩效评价原则</w:t>
      </w:r>
    </w:p>
    <w:p w14:paraId="7FEEAE81">
      <w:pPr>
        <w:ind w:firstLine="640"/>
        <w:rPr>
          <w:rFonts w:hint="eastAsia" w:asciiTheme="minorEastAsia" w:hAnsiTheme="minorEastAsia" w:eastAsiaTheme="minorEastAsia" w:cstheme="minorEastAsia"/>
          <w:bCs/>
          <w:color w:val="000000" w:themeColor="text1"/>
          <w:highlight w:val="none"/>
          <w14:textFill>
            <w14:solidFill>
              <w14:schemeClr w14:val="tx1"/>
            </w14:solidFill>
          </w14:textFill>
        </w:rPr>
      </w:pPr>
      <w:r>
        <w:rPr>
          <w:rFonts w:hint="eastAsia" w:asciiTheme="minorEastAsia" w:hAnsiTheme="minorEastAsia" w:eastAsiaTheme="minorEastAsia" w:cstheme="minorEastAsia"/>
          <w:bCs/>
          <w:color w:val="000000" w:themeColor="text1"/>
          <w:highlight w:val="none"/>
          <w14:textFill>
            <w14:solidFill>
              <w14:schemeClr w14:val="tx1"/>
            </w14:solidFill>
          </w14:textFill>
        </w:rPr>
        <w:t>本次绩效评价遵循的原则包括：</w:t>
      </w:r>
    </w:p>
    <w:p w14:paraId="3B06787D">
      <w:pPr>
        <w:ind w:firstLine="640"/>
        <w:rPr>
          <w:rFonts w:hint="eastAsia" w:asciiTheme="minorEastAsia" w:hAnsiTheme="minorEastAsia" w:eastAsiaTheme="minorEastAsia" w:cstheme="minorEastAsia"/>
          <w:bCs/>
          <w:color w:val="000000" w:themeColor="text1"/>
          <w:highlight w:val="none"/>
          <w14:textFill>
            <w14:solidFill>
              <w14:schemeClr w14:val="tx1"/>
            </w14:solidFill>
          </w14:textFill>
        </w:rPr>
      </w:pPr>
      <w:r>
        <w:rPr>
          <w:rFonts w:hint="eastAsia" w:asciiTheme="minorEastAsia" w:hAnsiTheme="minorEastAsia" w:eastAsiaTheme="minorEastAsia" w:cstheme="minorEastAsia"/>
          <w:bCs/>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1</w:t>
      </w:r>
      <w:r>
        <w:rPr>
          <w:rFonts w:hint="eastAsia" w:asciiTheme="minorEastAsia" w:hAnsiTheme="minorEastAsia" w:eastAsiaTheme="minorEastAsia" w:cstheme="minorEastAsia"/>
          <w:bCs/>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bCs/>
          <w:color w:val="000000" w:themeColor="text1"/>
          <w:highlight w:val="none"/>
          <w14:textFill>
            <w14:solidFill>
              <w14:schemeClr w14:val="tx1"/>
            </w14:solidFill>
          </w14:textFill>
        </w:rPr>
        <w:t>独立性原则：在评价工作中保持充分的第三方独立性，不受其他第三方不当干预。</w:t>
      </w:r>
    </w:p>
    <w:p w14:paraId="484E4233">
      <w:pPr>
        <w:ind w:firstLine="640"/>
        <w:rPr>
          <w:rFonts w:hint="eastAsia" w:asciiTheme="minorEastAsia" w:hAnsiTheme="minorEastAsia" w:eastAsiaTheme="minorEastAsia" w:cstheme="minorEastAsia"/>
          <w:bCs/>
          <w:color w:val="000000" w:themeColor="text1"/>
          <w:highlight w:val="none"/>
          <w14:textFill>
            <w14:solidFill>
              <w14:schemeClr w14:val="tx1"/>
            </w14:solidFill>
          </w14:textFill>
        </w:rPr>
      </w:pPr>
      <w:r>
        <w:rPr>
          <w:rFonts w:hint="eastAsia" w:asciiTheme="minorEastAsia" w:hAnsiTheme="minorEastAsia" w:eastAsiaTheme="minorEastAsia" w:cstheme="minorEastAsia"/>
          <w:bCs/>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2</w:t>
      </w:r>
      <w:r>
        <w:rPr>
          <w:rFonts w:hint="eastAsia" w:asciiTheme="minorEastAsia" w:hAnsiTheme="minorEastAsia" w:eastAsiaTheme="minorEastAsia" w:cstheme="minorEastAsia"/>
          <w:bCs/>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bCs/>
          <w:color w:val="000000" w:themeColor="text1"/>
          <w:highlight w:val="none"/>
          <w14:textFill>
            <w14:solidFill>
              <w14:schemeClr w14:val="tx1"/>
            </w14:solidFill>
          </w14:textFill>
        </w:rPr>
        <w:t>客观性原则：第三方机构应当按照协议（合同）约定事项开展绩效评价，实事求是地向委托方提供服务，以客观事实为依据，确保内容真实、数字准确和资料可靠。</w:t>
      </w:r>
    </w:p>
    <w:p w14:paraId="2034BDC0">
      <w:pPr>
        <w:ind w:firstLine="640"/>
        <w:rPr>
          <w:rFonts w:hint="eastAsia" w:asciiTheme="minorEastAsia" w:hAnsiTheme="minorEastAsia" w:eastAsiaTheme="minorEastAsia" w:cstheme="minorEastAsia"/>
          <w:bCs/>
          <w:color w:val="000000" w:themeColor="text1"/>
          <w:highlight w:val="none"/>
          <w14:textFill>
            <w14:solidFill>
              <w14:schemeClr w14:val="tx1"/>
            </w14:solidFill>
          </w14:textFill>
        </w:rPr>
      </w:pPr>
      <w:r>
        <w:rPr>
          <w:rFonts w:hint="eastAsia" w:asciiTheme="minorEastAsia" w:hAnsiTheme="minorEastAsia" w:eastAsiaTheme="minorEastAsia" w:cstheme="minorEastAsia"/>
          <w:bCs/>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3</w:t>
      </w:r>
      <w:r>
        <w:rPr>
          <w:rFonts w:hint="eastAsia" w:asciiTheme="minorEastAsia" w:hAnsiTheme="minorEastAsia" w:eastAsiaTheme="minorEastAsia" w:cstheme="minorEastAsia"/>
          <w:bCs/>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bCs/>
          <w:color w:val="000000" w:themeColor="text1"/>
          <w:highlight w:val="none"/>
          <w14:textFill>
            <w14:solidFill>
              <w14:schemeClr w14:val="tx1"/>
            </w14:solidFill>
          </w14:textFill>
        </w:rPr>
        <w:t>科学性原则。第三方机构应当履行必要评价程序，对原始资料进行核查验证，选择一种或多种方法进行对比分析，形成结论并出具评价报告。</w:t>
      </w:r>
    </w:p>
    <w:p w14:paraId="3857E18B">
      <w:pPr>
        <w:ind w:firstLine="640"/>
        <w:rPr>
          <w:rFonts w:hint="eastAsia" w:asciiTheme="minorEastAsia" w:hAnsiTheme="minorEastAsia" w:eastAsiaTheme="minorEastAsia" w:cstheme="minorEastAsia"/>
          <w:bCs/>
          <w:color w:val="000000" w:themeColor="text1"/>
          <w:highlight w:val="none"/>
          <w14:textFill>
            <w14:solidFill>
              <w14:schemeClr w14:val="tx1"/>
            </w14:solidFill>
          </w14:textFill>
        </w:rPr>
      </w:pPr>
      <w:r>
        <w:rPr>
          <w:rFonts w:hint="eastAsia" w:asciiTheme="minorEastAsia" w:hAnsiTheme="minorEastAsia" w:eastAsiaTheme="minorEastAsia" w:cstheme="minorEastAsia"/>
          <w:bCs/>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4</w:t>
      </w:r>
      <w:r>
        <w:rPr>
          <w:rFonts w:hint="eastAsia" w:asciiTheme="minorEastAsia" w:hAnsiTheme="minorEastAsia" w:eastAsiaTheme="minorEastAsia" w:cstheme="minorEastAsia"/>
          <w:bCs/>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bCs/>
          <w:color w:val="000000" w:themeColor="text1"/>
          <w:highlight w:val="none"/>
          <w14:textFill>
            <w14:solidFill>
              <w14:schemeClr w14:val="tx1"/>
            </w14:solidFill>
          </w14:textFill>
        </w:rPr>
        <w:t>公正性原则：在评价过程中坚持公正、客观地反映实际情况，不隐瞒、弄虚作假。</w:t>
      </w:r>
    </w:p>
    <w:p w14:paraId="4D5183CD">
      <w:pPr>
        <w:pStyle w:val="4"/>
        <w:bidi w:val="0"/>
        <w:outlineLvl w:val="2"/>
        <w:rPr>
          <w:rFonts w:hint="eastAsia" w:eastAsia="宋体"/>
          <w:color w:val="000000" w:themeColor="text1"/>
          <w:highlight w:val="none"/>
          <w:lang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2.</w:t>
      </w:r>
      <w:r>
        <w:rPr>
          <w:rFonts w:hint="default"/>
          <w:color w:val="000000" w:themeColor="text1"/>
          <w:highlight w:val="none"/>
          <w14:textFill>
            <w14:solidFill>
              <w14:schemeClr w14:val="tx1"/>
            </w14:solidFill>
          </w14:textFill>
        </w:rPr>
        <w:t>绩效评价</w:t>
      </w:r>
      <w:r>
        <w:rPr>
          <w:rFonts w:hint="eastAsia"/>
          <w:color w:val="000000" w:themeColor="text1"/>
          <w:highlight w:val="none"/>
          <w:lang w:val="en-US" w:eastAsia="zh-CN"/>
          <w14:textFill>
            <w14:solidFill>
              <w14:schemeClr w14:val="tx1"/>
            </w14:solidFill>
          </w14:textFill>
        </w:rPr>
        <w:t>标准</w:t>
      </w:r>
    </w:p>
    <w:p w14:paraId="2361FC19">
      <w:pPr>
        <w:bidi w:val="0"/>
        <w:rPr>
          <w:bCs/>
          <w:color w:val="000000" w:themeColor="text1"/>
          <w14:textFill>
            <w14:solidFill>
              <w14:schemeClr w14:val="tx1"/>
            </w14:solidFill>
          </w14:textFill>
        </w:rPr>
      </w:pPr>
      <w:r>
        <w:rPr>
          <w:rFonts w:hint="default"/>
          <w:color w:val="000000" w:themeColor="text1"/>
          <w:highlight w:val="none"/>
          <w14:textFill>
            <w14:solidFill>
              <w14:schemeClr w14:val="tx1"/>
            </w14:solidFill>
          </w14:textFill>
        </w:rPr>
        <w:t>绩效评价标准通常包括计划标准、行业标准、历史标准等。本次绩效评价采用计划标准，以预先制定的目标、计划、预算、定额等作为评价标准，对比分析部门整体产出、效益的完成情况。对于定性指标，通过文献查阅、问卷调查及访谈方式，采集相关数据，运用等级描述法，设置分级标准，体现该指标认可程度的差异。对于定量指标，通过公式计算、数据统计等方式予以量化，可以准确衡量，并设定目标值的考核指标</w:t>
      </w:r>
      <w:r>
        <w:rPr>
          <w:bCs/>
          <w:color w:val="000000" w:themeColor="text1"/>
          <w14:textFill>
            <w14:solidFill>
              <w14:schemeClr w14:val="tx1"/>
            </w14:solidFill>
          </w14:textFill>
        </w:rPr>
        <w:t>。</w:t>
      </w:r>
    </w:p>
    <w:p w14:paraId="3A144BBF">
      <w:pPr>
        <w:keepNext/>
        <w:keepLines/>
        <w:ind w:firstLine="422"/>
        <w:jc w:val="left"/>
        <w:outlineLvl w:val="1"/>
        <w:rPr>
          <w:b/>
          <w:color w:val="000000" w:themeColor="text1"/>
          <w14:textFill>
            <w14:solidFill>
              <w14:schemeClr w14:val="tx1"/>
            </w14:solidFill>
          </w14:textFill>
        </w:rPr>
      </w:pPr>
      <w:bookmarkStart w:id="48" w:name="_Toc15080"/>
      <w:r>
        <w:rPr>
          <w:b/>
          <w:color w:val="000000" w:themeColor="text1"/>
          <w14:textFill>
            <w14:solidFill>
              <w14:schemeClr w14:val="tx1"/>
            </w14:solidFill>
          </w14:textFill>
        </w:rPr>
        <w:t>（四）绩效评价思路及评价指标体系</w:t>
      </w:r>
      <w:bookmarkEnd w:id="48"/>
    </w:p>
    <w:p w14:paraId="35BE0A11">
      <w:pPr>
        <w:pStyle w:val="4"/>
        <w:bidi w:val="0"/>
        <w:outlineLvl w:val="2"/>
        <w:rPr>
          <w:rFonts w:hint="eastAsia" w:eastAsia="宋体"/>
          <w:color w:val="000000" w:themeColor="text1"/>
          <w:highlight w:val="none"/>
          <w:lang w:val="en-US" w:eastAsia="zh-CN"/>
          <w14:textFill>
            <w14:solidFill>
              <w14:schemeClr w14:val="tx1"/>
            </w14:solidFill>
          </w14:textFill>
        </w:rPr>
      </w:pPr>
      <w:r>
        <w:rPr>
          <w:rFonts w:hint="eastAsia" w:eastAsia="宋体"/>
          <w:color w:val="000000" w:themeColor="text1"/>
          <w:highlight w:val="none"/>
          <w:lang w:val="en-US" w:eastAsia="zh-CN"/>
          <w14:textFill>
            <w14:solidFill>
              <w14:schemeClr w14:val="tx1"/>
            </w14:solidFill>
          </w14:textFill>
        </w:rPr>
        <w:t>1.指标体系设计思路</w:t>
      </w:r>
    </w:p>
    <w:p w14:paraId="0DE2335A">
      <w:pPr>
        <w:outlineLvl w:val="9"/>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t>根据《中共中央、国务院关于全面实施预算绩效管理的意见》（中发〔2018〕34号）文件相关要求：“预算部门要根据财政部门的要求，编制部门整体支出绩效目标，以反映部门整体支出与实现本部门事业规划的关联性、经济性、效益性和效率性，促进部门整体支出绩效的提升。”</w:t>
      </w:r>
    </w:p>
    <w:p w14:paraId="06F45038">
      <w:pPr>
        <w:outlineLvl w:val="9"/>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t>吉木萨尔县统计局2024年度部门整体支出绩效评价思路应围绕绩效评价的目标，根据部门职能、年度工作计划、重点工作等工作材料分析，梳理分析年度重点工作任务及要求，确定年度部门整体支出的评价重点和部门整体支出绩效目标，按照确定的部门职责履行情况、部门运行有效情况及部门职能实现程度构建指标体系。通过绩效评价分析部门整体支出对单位基本运转及单位职能履职的保障作用，总结经验做法，找出资金使用和管理中的薄弱环节，提出具备一定前瞻性、实用性的、有助于提高其部门整体支出绩效的建议，进一步加强预算管理，提高财政资金使用效益，为部门科学决策、规范管理提供参考。</w:t>
      </w:r>
    </w:p>
    <w:p w14:paraId="7DBFEACD">
      <w:pPr>
        <w:pStyle w:val="4"/>
        <w:bidi w:val="0"/>
        <w:outlineLvl w:val="2"/>
        <w:rPr>
          <w:rFonts w:hint="eastAsia" w:eastAsia="宋体"/>
          <w:color w:val="000000" w:themeColor="text1"/>
          <w:highlight w:val="none"/>
          <w:lang w:val="en-US" w:eastAsia="zh-CN"/>
          <w14:textFill>
            <w14:solidFill>
              <w14:schemeClr w14:val="tx1"/>
            </w14:solidFill>
          </w14:textFill>
        </w:rPr>
      </w:pPr>
      <w:r>
        <w:rPr>
          <w:rFonts w:hint="eastAsia" w:eastAsia="宋体"/>
          <w:color w:val="000000" w:themeColor="text1"/>
          <w:highlight w:val="none"/>
          <w:lang w:val="en-US" w:eastAsia="zh-CN"/>
          <w14:textFill>
            <w14:solidFill>
              <w14:schemeClr w14:val="tx1"/>
            </w14:solidFill>
          </w14:textFill>
        </w:rPr>
        <w:t>2.绩效评价指标体系设计</w:t>
      </w:r>
    </w:p>
    <w:p w14:paraId="427028E5">
      <w:pPr>
        <w:outlineLvl w:val="9"/>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t>吉木萨尔县统计局部门整体财政支出绩效评价指标体系参照《自治区财政支出绩效评价管理暂行办法》（新财预〔2018〕189号）、《关于参照使用预算绩效评价指标体系的通知》文件设置，指标体系设置一级指标共3个，包括部门决策指标（15.00%）、部门管理指标（25.00%）、部门绩效指标（60.00%）三类指标，以部门单位职能为核心，主要围绕资金使用、项目管理、资源配置等方面，客观分析产出和效果，并通过指标明细程度体现侧重点。指标体系设置一级指标3个、二级指标12个，包括部门决策（部门规划计划、绩效目标、部门预算编制）、部门管理（内控制度建设、预算管理、资金管理、项目管理、资产管理等情况）、部门绩效（C1履职效能-全面服务经济发展、C2履职效能-全面做好经济普查</w:t>
      </w: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w:t>
      </w:r>
      <w:r>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t>C3满意度）等方面；三级指标根据吉木萨尔县统计局中长期规划和当年工作计划内容做出相应调整，按照评价重点和内容进行进一步细化。部门整体支出绩效目标应反映部门整体支出与实现本部门事业规划的关联性、经济性、效益性和效率性，并以相应的绩效指标和指标值予以细化、量化。整个评价框架构成体现从投入、过程到产出、效果和影响的绩效逻辑路径。具体分类指标设计思路如下：</w:t>
      </w:r>
    </w:p>
    <w:p w14:paraId="43D340AE">
      <w:pPr>
        <w:outlineLvl w:val="9"/>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t>（1）部门决策指标：参考《预算绩效评价指标体系1.0》中新疆部门整体支出绩效评价指标体系相关指标，从部门规划计划、绩效目标、部门预算编制等方面对单位部门决策情况进行评价，设置了包括：中长期规划科学合理性、年度工作计划科学完整性、绩效目标明确性、绩效目标合理性、预算编制科学规范、预算编制与重点工作任务的匹配性等6个三级指标，分值权重设置为15.00分。</w:t>
      </w:r>
    </w:p>
    <w:p w14:paraId="7423A1DF">
      <w:pPr>
        <w:outlineLvl w:val="9"/>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t>（2）部门管理指标：参考《预算绩效评价指标体系1.0》中新疆部门整体支出绩效评价指标体系相关指标，从内控制度建设、预算管理、资金管理、项目管理、资产管理等情况方面进行评价部门管理情况，包括内部控制制度健全性、预算执行率、预算、决算信息公开、资金使用合规性、政府采购招投标信息公开及时、固定资产管理规范性、固定资产利用率、项目绩效达标率、项目支出预算调整率等9个三级指标，分值权重设置为25.00分。</w:t>
      </w:r>
    </w:p>
    <w:p w14:paraId="0AA0C6DF">
      <w:pPr>
        <w:outlineLvl w:val="9"/>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t>（3）部门绩效指标：评价小组在充分调研了解吉木萨尔县统计局主要职责和核心履职前提下、以</w:t>
      </w:r>
      <w:r>
        <w:rPr>
          <w:rFonts w:hint="eastAsia" w:asciiTheme="minorEastAsia" w:hAnsiTheme="minorEastAsia" w:eastAsiaTheme="minorEastAsia" w:cstheme="minorEastAsia"/>
          <w:bCs/>
          <w:color w:val="000000" w:themeColor="text1"/>
          <w:highlight w:val="none"/>
          <w14:textFill>
            <w14:solidFill>
              <w14:schemeClr w14:val="tx1"/>
            </w14:solidFill>
          </w14:textFill>
        </w:rPr>
        <w:t>《</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全国经济普查条例</w:t>
      </w:r>
      <w:r>
        <w:rPr>
          <w:rFonts w:hint="eastAsia" w:asciiTheme="minorEastAsia" w:hAnsiTheme="minorEastAsia" w:eastAsiaTheme="minorEastAsia" w:cstheme="minorEastAsia"/>
          <w:bCs/>
          <w:color w:val="000000" w:themeColor="text1"/>
          <w:highlight w:val="none"/>
          <w14:textFill>
            <w14:solidFill>
              <w14:schemeClr w14:val="tx1"/>
            </w14:solidFill>
          </w14:textFill>
        </w:rPr>
        <w:t>》《国务院第五次全国经济普查领导小组办公室关于进一步加强第五次全国经济普查经费保障与管理工作的通知》（国经普办函〔2024〕3号）《</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吉木萨尔县统计局</w:t>
      </w:r>
      <w:r>
        <w:rPr>
          <w:rFonts w:hint="eastAsia" w:asciiTheme="minorEastAsia" w:hAnsiTheme="minorEastAsia" w:eastAsiaTheme="minorEastAsia" w:cstheme="minorEastAsia"/>
          <w:bCs/>
          <w:color w:val="000000" w:themeColor="text1"/>
          <w:highlight w:val="none"/>
          <w14:textFill>
            <w14:solidFill>
              <w14:schemeClr w14:val="tx1"/>
            </w14:solidFill>
          </w14:textFill>
        </w:rPr>
        <w:t>2023年工作总结及2024年工作思路》</w:t>
      </w:r>
      <w:r>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t>为依据，从部门履职情况和满意度等两方面考核单位履职任务完成情况，分值权重设置为60.00分，三级指标分值综合考虑资金安排、核心履职等因素根据重要性原则进行分配。三级指标设计依据和思路如下：</w:t>
      </w:r>
    </w:p>
    <w:p w14:paraId="7C5D6823">
      <w:pPr>
        <w:outlineLvl w:val="9"/>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全面服务经济发展</w:t>
      </w:r>
      <w:r>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t>：依据</w:t>
      </w:r>
      <w:r>
        <w:rPr>
          <w:rFonts w:hint="eastAsia" w:asciiTheme="minorEastAsia" w:hAnsiTheme="minorEastAsia" w:eastAsiaTheme="minorEastAsia" w:cstheme="minorEastAsia"/>
          <w:bCs/>
          <w:color w:val="000000" w:themeColor="text1"/>
          <w:highlight w:val="none"/>
          <w14:textFill>
            <w14:solidFill>
              <w14:schemeClr w14:val="tx1"/>
            </w14:solidFill>
          </w14:textFill>
        </w:rPr>
        <w:t>《</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全国经济普查条例</w:t>
      </w:r>
      <w:r>
        <w:rPr>
          <w:rFonts w:hint="eastAsia" w:asciiTheme="minorEastAsia" w:hAnsiTheme="minorEastAsia" w:eastAsiaTheme="minorEastAsia" w:cstheme="minorEastAsia"/>
          <w:bCs/>
          <w:color w:val="000000" w:themeColor="text1"/>
          <w:highlight w:val="none"/>
          <w14:textFill>
            <w14:solidFill>
              <w14:schemeClr w14:val="tx1"/>
            </w14:solidFill>
          </w14:textFill>
        </w:rPr>
        <w:t>》《国务院第五次全国经济普查领导小组办公室关于进一步加强第五次全国经济普查经费保障与管理工作的通知》（国经普办函〔2024〕3号）《</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吉木萨尔县统计局</w:t>
      </w:r>
      <w:r>
        <w:rPr>
          <w:rFonts w:hint="eastAsia" w:asciiTheme="minorEastAsia" w:hAnsiTheme="minorEastAsia" w:eastAsiaTheme="minorEastAsia" w:cstheme="minorEastAsia"/>
          <w:bCs/>
          <w:color w:val="000000" w:themeColor="text1"/>
          <w:highlight w:val="none"/>
          <w14:textFill>
            <w14:solidFill>
              <w14:schemeClr w14:val="tx1"/>
            </w14:solidFill>
          </w14:textFill>
        </w:rPr>
        <w:t>2023年工作总结及2024年工作思路》</w:t>
      </w:r>
      <w:r>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t>的年度目标，设定了“撰写综合分析报告和专题分析报告数量”“统计数据质量保障率”“统计上门服务完成率”等3个三级指标；</w:t>
      </w:r>
    </w:p>
    <w:p w14:paraId="0598494D">
      <w:pPr>
        <w:outlineLvl w:val="9"/>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全面做好经济普查</w:t>
      </w:r>
      <w:r>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t>：依据</w:t>
      </w:r>
      <w:r>
        <w:rPr>
          <w:rFonts w:hint="eastAsia" w:asciiTheme="minorEastAsia" w:hAnsiTheme="minorEastAsia" w:eastAsiaTheme="minorEastAsia" w:cstheme="minorEastAsia"/>
          <w:bCs/>
          <w:color w:val="000000" w:themeColor="text1"/>
          <w:highlight w:val="none"/>
          <w14:textFill>
            <w14:solidFill>
              <w14:schemeClr w14:val="tx1"/>
            </w14:solidFill>
          </w14:textFill>
        </w:rPr>
        <w:t>《</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全国经济普查条例</w:t>
      </w:r>
      <w:r>
        <w:rPr>
          <w:rFonts w:hint="eastAsia" w:asciiTheme="minorEastAsia" w:hAnsiTheme="minorEastAsia" w:eastAsiaTheme="minorEastAsia" w:cstheme="minorEastAsia"/>
          <w:bCs/>
          <w:color w:val="000000" w:themeColor="text1"/>
          <w:highlight w:val="none"/>
          <w14:textFill>
            <w14:solidFill>
              <w14:schemeClr w14:val="tx1"/>
            </w14:solidFill>
          </w14:textFill>
        </w:rPr>
        <w:t>》《国务院第五次全国经济普查领导小组办公室关于进一步加强第五次全国经济普查经费保障与管理工作的通知》（国经普办函〔2024〕3号）《</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吉木萨尔县统计局</w:t>
      </w:r>
      <w:r>
        <w:rPr>
          <w:rFonts w:hint="eastAsia" w:asciiTheme="minorEastAsia" w:hAnsiTheme="minorEastAsia" w:eastAsiaTheme="minorEastAsia" w:cstheme="minorEastAsia"/>
          <w:bCs/>
          <w:color w:val="000000" w:themeColor="text1"/>
          <w:highlight w:val="none"/>
          <w14:textFill>
            <w14:solidFill>
              <w14:schemeClr w14:val="tx1"/>
            </w14:solidFill>
          </w14:textFill>
        </w:rPr>
        <w:t>2023年工作总结及2024年工作思路》</w:t>
      </w:r>
      <w:r>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t>的年度目标，设定了“第五次全国经济普查共登记一套表单位”“C22第五次全国经济普查上报率”“第五次经济普查工作完成及时性”“第五次经济普查数据填报综合差错率”等4个三级指标；</w:t>
      </w:r>
    </w:p>
    <w:p w14:paraId="2E8893F7">
      <w:pPr>
        <w:outlineLvl w:val="9"/>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t>满意度方面：评价小组选取被评价部门单位职责中最受社会公众关注的经济普查统计等方面的工作作为满意度指标的设定依据，设定了“受益统计工作人员满意度”“受益纳统企业满意度”等2个满意度指标。</w:t>
      </w:r>
    </w:p>
    <w:p w14:paraId="23BE78AB">
      <w:pPr>
        <w:pStyle w:val="4"/>
        <w:bidi w:val="0"/>
        <w:outlineLvl w:val="2"/>
        <w:rPr>
          <w:rFonts w:hint="eastAsia" w:eastAsia="宋体"/>
          <w:color w:val="000000" w:themeColor="text1"/>
          <w:highlight w:val="none"/>
          <w:lang w:val="en-US" w:eastAsia="zh-CN"/>
          <w14:textFill>
            <w14:solidFill>
              <w14:schemeClr w14:val="tx1"/>
            </w14:solidFill>
          </w14:textFill>
        </w:rPr>
      </w:pPr>
      <w:r>
        <w:rPr>
          <w:rFonts w:hint="eastAsia" w:eastAsia="宋体"/>
          <w:color w:val="000000" w:themeColor="text1"/>
          <w:highlight w:val="none"/>
          <w:lang w:val="en-US" w:eastAsia="zh-CN"/>
          <w14:textFill>
            <w14:solidFill>
              <w14:schemeClr w14:val="tx1"/>
            </w14:solidFill>
          </w14:textFill>
        </w:rPr>
        <w:t>3.绩效评价等级</w:t>
      </w:r>
    </w:p>
    <w:p w14:paraId="2C0F6EED">
      <w:pPr>
        <w:outlineLvl w:val="9"/>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t>根据相关规定，绩效评价结果采取评分和评级相结合的方式，具体分值和等级可根据不同评价内容设定。总分设置为100.00分，等级划分为四档：90.00（含）-100.00分为优，80.00（含）-90.00分为良，60.00（含）-80.00分为中，60.00分以下为差。</w:t>
      </w:r>
    </w:p>
    <w:p w14:paraId="1B4178F3">
      <w:pPr>
        <w:keepNext/>
        <w:keepLines/>
        <w:ind w:firstLine="422"/>
        <w:jc w:val="left"/>
        <w:outlineLvl w:val="1"/>
        <w:rPr>
          <w:b/>
          <w:bCs/>
          <w:color w:val="000000" w:themeColor="text1"/>
          <w14:textFill>
            <w14:solidFill>
              <w14:schemeClr w14:val="tx1"/>
            </w14:solidFill>
          </w14:textFill>
        </w:rPr>
      </w:pPr>
      <w:bookmarkStart w:id="49" w:name="_Toc27117"/>
      <w:r>
        <w:rPr>
          <w:b/>
          <w:bCs/>
          <w:color w:val="000000" w:themeColor="text1"/>
          <w14:textFill>
            <w14:solidFill>
              <w14:schemeClr w14:val="tx1"/>
            </w14:solidFill>
          </w14:textFill>
        </w:rPr>
        <w:t>（五）绩效评价方法</w:t>
      </w:r>
      <w:bookmarkEnd w:id="49"/>
    </w:p>
    <w:p w14:paraId="3ED4535B">
      <w:pPr>
        <w:ind w:firstLine="420"/>
        <w:rPr>
          <w:rFonts w:eastAsiaTheme="minorEastAsia"/>
          <w:color w:val="000000" w:themeColor="text1"/>
          <w14:textFill>
            <w14:solidFill>
              <w14:schemeClr w14:val="tx1"/>
            </w14:solidFill>
          </w14:textFill>
        </w:rPr>
      </w:pPr>
      <w:bookmarkStart w:id="50" w:name="_Toc68364663"/>
      <w:bookmarkEnd w:id="50"/>
      <w:r>
        <w:rPr>
          <w:rFonts w:eastAsiaTheme="minorEastAsia"/>
          <w:color w:val="000000" w:themeColor="text1"/>
          <w14:textFill>
            <w14:solidFill>
              <w14:schemeClr w14:val="tx1"/>
            </w14:solidFill>
          </w14:textFill>
        </w:rPr>
        <w:t>正确的评价方法是评价工作顺利开展的保障，在结合实际经验的情况下，绩效评价小组根据部门整体预算资金的性质和特点，总体采用比较法、文献法、因素分析法以及公众评判法对不同三级指标类型进行逐项分析。</w:t>
      </w:r>
    </w:p>
    <w:p w14:paraId="0AB10C99">
      <w:pPr>
        <w:pStyle w:val="4"/>
        <w:bidi w:val="0"/>
        <w:outlineLvl w:val="2"/>
        <w:rPr>
          <w:rFonts w:hint="eastAsia" w:eastAsia="宋体" w:cs="Times New Roman"/>
          <w:color w:val="000000" w:themeColor="text1"/>
          <w:highlight w:val="none"/>
          <w:lang w:val="en-US" w:eastAsia="zh-CN"/>
          <w14:textFill>
            <w14:solidFill>
              <w14:schemeClr w14:val="tx1"/>
            </w14:solidFill>
          </w14:textFill>
        </w:rPr>
      </w:pPr>
      <w:r>
        <w:rPr>
          <w:rFonts w:hint="eastAsia" w:eastAsia="宋体" w:cs="Times New Roman"/>
          <w:color w:val="000000" w:themeColor="text1"/>
          <w:highlight w:val="none"/>
          <w:lang w:val="en-US" w:eastAsia="zh-CN"/>
          <w14:textFill>
            <w14:solidFill>
              <w14:schemeClr w14:val="tx1"/>
            </w14:solidFill>
          </w14:textFill>
        </w:rPr>
        <w:t>1.部门决策类指标评价方法</w:t>
      </w:r>
    </w:p>
    <w:p w14:paraId="259CEFB9">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中长期规划科学合理性：比较法和文献法，分析部门中长期规划的科学性，以及与自治区及上级部门中长期规划的匹配性。</w:t>
      </w:r>
    </w:p>
    <w:p w14:paraId="52FCDAE3">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年度工作计划科学完整性：比较法和文献法，分析年度工作计划的合理性、明确性，与本部门规划及上级部门的适应性。</w:t>
      </w:r>
    </w:p>
    <w:p w14:paraId="0DB1574D">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绩效目标明确性：比较法和因素分析法，分析是否按要求编报部门整体绩效目标，是否依据充分、内容完整、覆盖全面、符合实际。</w:t>
      </w:r>
    </w:p>
    <w:p w14:paraId="5013F249">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绩效目标合理性：比较法和因素分析法，分析设定的绩效指标是否清晰、细化、可量化，用以反映和考核部门（单位）整体绩效目标</w:t>
      </w:r>
      <w:r>
        <w:rPr>
          <w:rFonts w:hint="eastAsia" w:eastAsiaTheme="minorEastAsia"/>
          <w:color w:val="000000" w:themeColor="text1"/>
          <w:lang w:eastAsia="zh-CN"/>
          <w14:textFill>
            <w14:solidFill>
              <w14:schemeClr w14:val="tx1"/>
            </w14:solidFill>
          </w14:textFill>
        </w:rPr>
        <w:t>的</w:t>
      </w:r>
      <w:r>
        <w:rPr>
          <w:rFonts w:eastAsiaTheme="minorEastAsia"/>
          <w:color w:val="000000" w:themeColor="text1"/>
          <w14:textFill>
            <w14:solidFill>
              <w14:schemeClr w14:val="tx1"/>
            </w14:solidFill>
          </w14:textFill>
        </w:rPr>
        <w:t>细化情况。</w:t>
      </w:r>
    </w:p>
    <w:p w14:paraId="42DC39A8">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预算编制科学规范：比较法和因素分析法，分析年度预算决策程序是否规范。</w:t>
      </w:r>
    </w:p>
    <w:p w14:paraId="04B0A7E1">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预算编制与重点工作任务的匹配性：比较法和因素分析法，分析部门预算安排和工作计划的匹配性，重点工作资金的保障性。</w:t>
      </w:r>
    </w:p>
    <w:p w14:paraId="6E6E2678">
      <w:pPr>
        <w:pStyle w:val="4"/>
        <w:bidi w:val="0"/>
        <w:outlineLvl w:val="2"/>
        <w:rPr>
          <w:rFonts w:hint="eastAsia" w:eastAsia="宋体"/>
          <w:color w:val="000000" w:themeColor="text1"/>
          <w:highlight w:val="none"/>
          <w:lang w:val="en-US" w:eastAsia="zh-CN"/>
          <w14:textFill>
            <w14:solidFill>
              <w14:schemeClr w14:val="tx1"/>
            </w14:solidFill>
          </w14:textFill>
        </w:rPr>
      </w:pPr>
      <w:r>
        <w:rPr>
          <w:rFonts w:hint="eastAsia" w:eastAsia="宋体"/>
          <w:color w:val="000000" w:themeColor="text1"/>
          <w:highlight w:val="none"/>
          <w:lang w:val="en-US" w:eastAsia="zh-CN"/>
          <w14:textFill>
            <w14:solidFill>
              <w14:schemeClr w14:val="tx1"/>
            </w14:solidFill>
          </w14:textFill>
        </w:rPr>
        <w:t>2.部门管理类指标评价方法</w:t>
      </w:r>
    </w:p>
    <w:p w14:paraId="307BB624">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内控制度健全性：比较法和文献法，分析部门（单位）是否制定了合理、合规的内部控制体系，各项内控制度对其完成主要职责和促进事业发展的保障情况。</w:t>
      </w:r>
    </w:p>
    <w:p w14:paraId="76021948">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预算、决算信息公开：比较法，分析预决算信息是否按时按规公开。</w:t>
      </w:r>
    </w:p>
    <w:p w14:paraId="63BE9088">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支出预算执行率：比较法和因素分析法，考察部门预算执行情况。</w:t>
      </w:r>
    </w:p>
    <w:p w14:paraId="76B914FE">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资金使用合规性：比较法、文献法和因素分析法，考察部门（单位）资金支出规范性，包括资金管理、费用支出等制度是否严格执行；资金调整、调剂是否规范；会计核算是否规范、是否存在支出依据不合规、虚列项目支出的情况；是否存在截留、挤占、挪用项目资</w:t>
      </w:r>
      <w:r>
        <w:rPr>
          <w:rFonts w:hint="eastAsia" w:eastAsiaTheme="minorEastAsia"/>
          <w:color w:val="000000" w:themeColor="text1"/>
          <w:lang w:eastAsia="zh-CN"/>
          <w14:textFill>
            <w14:solidFill>
              <w14:schemeClr w14:val="tx1"/>
            </w14:solidFill>
          </w14:textFill>
        </w:rPr>
        <w:t>金的</w:t>
      </w:r>
      <w:r>
        <w:rPr>
          <w:rFonts w:eastAsiaTheme="minorEastAsia"/>
          <w:color w:val="000000" w:themeColor="text1"/>
          <w14:textFill>
            <w14:solidFill>
              <w14:schemeClr w14:val="tx1"/>
            </w14:solidFill>
          </w14:textFill>
        </w:rPr>
        <w:t>情况。</w:t>
      </w:r>
    </w:p>
    <w:p w14:paraId="142A8709">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政府采购招投标信息公开及时：比较法、文献法和因素分析法，考察是否建立健全责任明确的工作机制、简便顺畅的操作流程和集中统一的发布渠道，是否确保政府采购信息发布的及时、完整、准确，实现政府采购信息的全流程公开透明。</w:t>
      </w:r>
    </w:p>
    <w:p w14:paraId="24E8467E">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项目绩效达标率：比较法、因素分析法，通过项目绩效结果并结合绩效自评印证材料真实有效性，考察项目绩效达标情况。</w:t>
      </w:r>
    </w:p>
    <w:p w14:paraId="0CD8DEFA">
      <w:pPr>
        <w:ind w:firstLine="420"/>
        <w:rPr>
          <w:rFonts w:ascii="Times New Roman" w:hAnsi="Times New Roman" w:cs="Times New Roman"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项目支出预算调整率：比较法、因素分析法，考察项目支出预算调整情况，包含部门在</w:t>
      </w:r>
      <w:r>
        <w:rPr>
          <w:rFonts w:ascii="Times New Roman" w:hAnsi="Times New Roman" w:cs="Times New Roman" w:eastAsiaTheme="minorEastAsia"/>
          <w:color w:val="000000" w:themeColor="text1"/>
          <w14:textFill>
            <w14:solidFill>
              <w14:schemeClr w14:val="tx1"/>
            </w14:solidFill>
          </w14:textFill>
        </w:rPr>
        <w:t>本年度内涉及预算的追加、追减或结构调整的资金总和。</w:t>
      </w:r>
    </w:p>
    <w:p w14:paraId="7699A072">
      <w:pPr>
        <w:ind w:firstLine="420"/>
        <w:rPr>
          <w:rFonts w:hint="default" w:ascii="Times New Roman" w:hAnsi="Times New Roman" w:cs="Times New Roman" w:eastAsiaTheme="minorEastAsia"/>
          <w:color w:val="000000" w:themeColor="text1"/>
          <w14:textFill>
            <w14:solidFill>
              <w14:schemeClr w14:val="tx1"/>
            </w14:solidFill>
          </w14:textFill>
        </w:rPr>
      </w:pPr>
      <w:r>
        <w:rPr>
          <w:rFonts w:ascii="Times New Roman" w:hAnsi="Times New Roman" w:cs="Times New Roman" w:eastAsiaTheme="minorEastAsia"/>
          <w:color w:val="000000" w:themeColor="text1"/>
          <w14:textFill>
            <w14:solidFill>
              <w14:schemeClr w14:val="tx1"/>
            </w14:solidFill>
          </w14:textFill>
        </w:rPr>
        <w:t>固定资产利用率</w:t>
      </w:r>
      <w:r>
        <w:rPr>
          <w:rFonts w:hint="eastAsia" w:ascii="Times New Roman" w:hAnsi="Times New Roman" w:cs="Times New Roman" w:eastAsiaTheme="minorEastAsia"/>
          <w:color w:val="000000" w:themeColor="text1"/>
          <w:lang w:val="en-US" w:eastAsia="zh-CN"/>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比较法、因素分析法：检查单位资产管理</w:t>
      </w:r>
      <w:r>
        <w:rPr>
          <w:rFonts w:hint="default" w:ascii="Times New Roman" w:hAnsi="Times New Roman" w:cs="Times New Roman" w:eastAsiaTheme="minorEastAsia"/>
          <w:color w:val="000000" w:themeColor="text1"/>
          <w:lang w:val="en-US" w:eastAsia="zh-CN"/>
          <w14:textFill>
            <w14:solidFill>
              <w14:schemeClr w14:val="tx1"/>
            </w14:solidFill>
          </w14:textFill>
        </w:rPr>
        <w:t>及使用</w:t>
      </w:r>
      <w:r>
        <w:rPr>
          <w:rFonts w:hint="default" w:ascii="Times New Roman" w:hAnsi="Times New Roman" w:cs="Times New Roman" w:eastAsiaTheme="minorEastAsia"/>
          <w:color w:val="000000" w:themeColor="text1"/>
          <w14:textFill>
            <w14:solidFill>
              <w14:schemeClr w14:val="tx1"/>
            </w14:solidFill>
          </w14:textFill>
        </w:rPr>
        <w:t>情况，判断部门</w:t>
      </w:r>
      <w:r>
        <w:rPr>
          <w:rFonts w:hint="default" w:ascii="Times New Roman" w:hAnsi="Times New Roman" w:cs="Times New Roman" w:eastAsiaTheme="minorEastAsia"/>
          <w:color w:val="000000" w:themeColor="text1"/>
          <w:lang w:val="en-US" w:eastAsia="zh-CN"/>
          <w14:textFill>
            <w14:solidFill>
              <w14:schemeClr w14:val="tx1"/>
            </w14:solidFill>
          </w14:textFill>
        </w:rPr>
        <w:t>固定 资产是否得到有效利用</w:t>
      </w:r>
      <w:r>
        <w:rPr>
          <w:rFonts w:hint="default" w:ascii="Times New Roman" w:hAnsi="Times New Roman" w:cs="Times New Roman" w:eastAsiaTheme="minorEastAsia"/>
          <w:color w:val="000000" w:themeColor="text1"/>
          <w14:textFill>
            <w14:solidFill>
              <w14:schemeClr w14:val="tx1"/>
            </w14:solidFill>
          </w14:textFill>
        </w:rPr>
        <w:t>。</w:t>
      </w:r>
    </w:p>
    <w:p w14:paraId="71D7272F">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资产管理合规性：比较法、因素分析法、文献法，通过检查单位资产管理情况、资产的入账、调拨、处置、报废等资料，判断部门资产管理是否按照部门资产管理制度合规进行。</w:t>
      </w:r>
    </w:p>
    <w:p w14:paraId="3C2A512F">
      <w:pPr>
        <w:pStyle w:val="4"/>
        <w:bidi w:val="0"/>
        <w:outlineLvl w:val="2"/>
        <w:rPr>
          <w:rFonts w:hint="eastAsia" w:eastAsia="宋体"/>
          <w:color w:val="000000" w:themeColor="text1"/>
          <w:highlight w:val="none"/>
          <w:lang w:val="en-US" w:eastAsia="zh-CN"/>
          <w14:textFill>
            <w14:solidFill>
              <w14:schemeClr w14:val="tx1"/>
            </w14:solidFill>
          </w14:textFill>
        </w:rPr>
      </w:pPr>
      <w:r>
        <w:rPr>
          <w:rFonts w:hint="eastAsia" w:eastAsia="宋体"/>
          <w:color w:val="000000" w:themeColor="text1"/>
          <w:highlight w:val="none"/>
          <w:lang w:val="en-US" w:eastAsia="zh-CN"/>
          <w14:textFill>
            <w14:solidFill>
              <w14:schemeClr w14:val="tx1"/>
            </w14:solidFill>
          </w14:textFill>
        </w:rPr>
        <w:t>3.部门绩效类指标评价方法</w:t>
      </w:r>
    </w:p>
    <w:p w14:paraId="004EEADA">
      <w:pPr>
        <w:ind w:firstLine="420"/>
        <w:rPr>
          <w:rFonts w:hint="eastAsia" w:asciiTheme="minorEastAsia" w:hAnsiTheme="minorEastAsia" w:eastAsiaTheme="minorEastAsia" w:cstheme="minorEastAsia"/>
          <w:color w:val="000000" w:themeColor="text1"/>
          <w:highlight w:val="none"/>
          <w14:textFill>
            <w14:solidFill>
              <w14:schemeClr w14:val="tx1"/>
            </w14:solidFill>
          </w14:textFill>
        </w:rPr>
      </w:pPr>
      <w:bookmarkStart w:id="51" w:name="_Toc449893272"/>
      <w:bookmarkStart w:id="52" w:name="_Toc1201236074"/>
      <w:r>
        <w:rPr>
          <w:rFonts w:hint="eastAsia" w:asciiTheme="minorEastAsia" w:hAnsiTheme="minorEastAsia" w:eastAsiaTheme="minorEastAsia" w:cstheme="minorEastAsia"/>
          <w:color w:val="000000" w:themeColor="text1"/>
          <w:highlight w:val="none"/>
          <w14:textFill>
            <w14:solidFill>
              <w14:schemeClr w14:val="tx1"/>
            </w14:solidFill>
          </w14:textFill>
        </w:rPr>
        <w:t>本次绩效评价部门效益类指标下的三级指标均为量化指标主要采用因素分析法、标杆管理法和比较法，对比三级指标预期指标值和三级指标截至评价日的完成情况，综合分析绩效目标实现程度。详细评价方法的应用如下：</w:t>
      </w:r>
    </w:p>
    <w:p w14:paraId="1C3DB20C">
      <w:pPr>
        <w:ind w:firstLine="42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①一般量化统计类等定量指标：通过对比实际完成值和预期指标值和历史值对比分析，并以国内同行业中较高的绩效水平为标杆进行评判，达成预期指标值的，记该指标所赋全部分值；对完成值高于指标值较多的，要分析原因，如果是由于年初指标值设定明显偏低造成的，要按照偏离度适度调减分值；未完成指标值的，按照完成值与指标值的比值计算分值。</w:t>
      </w:r>
    </w:p>
    <w:p w14:paraId="700633DF">
      <w:pPr>
        <w:ind w:firstLine="42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②满意度指标：通过专家评估、公众问卷及抽样调查等方式了解社会对</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吉木萨尔县统计局</w:t>
      </w:r>
      <w:r>
        <w:rPr>
          <w:rFonts w:hint="eastAsia" w:asciiTheme="minorEastAsia" w:hAnsiTheme="minorEastAsia" w:eastAsiaTheme="minorEastAsia" w:cstheme="minorEastAsia"/>
          <w:color w:val="000000" w:themeColor="text1"/>
          <w:highlight w:val="none"/>
          <w14:textFill>
            <w14:solidFill>
              <w14:schemeClr w14:val="tx1"/>
            </w14:solidFill>
          </w14:textFill>
        </w:rPr>
        <w:t>部门整体工作成果的满意程度，并对调查数据的趋势进行分析评价。</w:t>
      </w:r>
    </w:p>
    <w:p w14:paraId="55CDFDDD">
      <w:pPr>
        <w:pStyle w:val="3"/>
        <w:ind w:firstLine="422"/>
        <w:rPr>
          <w:rFonts w:ascii="Times New Roman" w:hAnsi="Times New Roman"/>
          <w:color w:val="000000" w:themeColor="text1"/>
          <w14:textFill>
            <w14:solidFill>
              <w14:schemeClr w14:val="tx1"/>
            </w14:solidFill>
          </w14:textFill>
        </w:rPr>
      </w:pPr>
      <w:bookmarkStart w:id="53" w:name="_Toc1775"/>
      <w:r>
        <w:rPr>
          <w:rFonts w:ascii="Times New Roman" w:hAnsi="Times New Roman"/>
          <w:color w:val="000000" w:themeColor="text1"/>
          <w14:textFill>
            <w14:solidFill>
              <w14:schemeClr w14:val="tx1"/>
            </w14:solidFill>
          </w14:textFill>
        </w:rPr>
        <w:t>（六）</w:t>
      </w:r>
      <w:bookmarkEnd w:id="51"/>
      <w:bookmarkEnd w:id="52"/>
      <w:r>
        <w:rPr>
          <w:rFonts w:hint="default" w:ascii="Times New Roman" w:hAnsi="Times New Roman" w:cs="Times New Roman"/>
          <w:bCs w:val="0"/>
          <w:color w:val="000000" w:themeColor="text1"/>
          <w:highlight w:val="none"/>
          <w14:textFill>
            <w14:solidFill>
              <w14:schemeClr w14:val="tx1"/>
            </w14:solidFill>
          </w14:textFill>
        </w:rPr>
        <w:t>绩效评价过程</w:t>
      </w:r>
      <w:bookmarkEnd w:id="53"/>
    </w:p>
    <w:p w14:paraId="70F667DA">
      <w:pPr>
        <w:pStyle w:val="4"/>
        <w:pageBreakBefore w:val="0"/>
        <w:widowControl w:val="0"/>
        <w:kinsoku/>
        <w:wordWrap/>
        <w:overflowPunct/>
        <w:topLinePunct w:val="0"/>
        <w:autoSpaceDE/>
        <w:autoSpaceDN/>
        <w:bidi w:val="0"/>
        <w:adjustRightInd w:val="0"/>
        <w:snapToGrid w:val="0"/>
        <w:spacing w:line="360" w:lineRule="auto"/>
        <w:ind w:firstLine="641"/>
        <w:textAlignment w:val="auto"/>
        <w:rPr>
          <w:rFonts w:ascii="Times New Roman" w:hAnsi="Times New Roman" w:eastAsia="宋体"/>
          <w:color w:val="000000" w:themeColor="text1"/>
          <w14:textFill>
            <w14:solidFill>
              <w14:schemeClr w14:val="tx1"/>
            </w14:solidFill>
          </w14:textFill>
        </w:rPr>
      </w:pPr>
      <w:bookmarkStart w:id="54" w:name="_Toc68364664"/>
      <w:r>
        <w:rPr>
          <w:rFonts w:ascii="Times New Roman" w:hAnsi="Times New Roman"/>
          <w:color w:val="000000" w:themeColor="text1"/>
          <w14:textFill>
            <w14:solidFill>
              <w14:schemeClr w14:val="tx1"/>
            </w14:solidFill>
          </w14:textFill>
        </w:rPr>
        <w:t>1.前期准备</w:t>
      </w:r>
    </w:p>
    <w:p w14:paraId="6F80F9F2">
      <w:pPr>
        <w:bidi w:val="0"/>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我们接受委托，</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按</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规定开展了前期准备</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、制定</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绩效</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评价工作方案</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组织实施、报告撰写</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等绩效评价工作程序</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。绩效评价从202</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年</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月</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日启动，</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在</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各方有效配合</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下</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，评价工作于202</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年</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月</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30</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日前完成。</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主要</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实施</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过程</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如下：</w:t>
      </w:r>
    </w:p>
    <w:p w14:paraId="67F47483">
      <w:pPr>
        <w:ind w:firstLine="640"/>
        <w:rPr>
          <w:rFonts w:hint="eastAsia" w:asciiTheme="minorEastAsia" w:hAnsiTheme="minorEastAsia" w:eastAsiaTheme="minorEastAsia" w:cstheme="minorEastAsia"/>
          <w:b w:val="0"/>
          <w:bCs/>
          <w:color w:val="000000" w:themeColor="text1"/>
          <w:highlight w:val="none"/>
          <w14:textFill>
            <w14:solidFill>
              <w14:schemeClr w14:val="tx1"/>
            </w14:solidFill>
          </w14:textFill>
        </w:rPr>
      </w:pPr>
      <w:r>
        <w:rPr>
          <w:rFonts w:hint="eastAsia" w:asciiTheme="minorEastAsia" w:hAnsiTheme="minorEastAsia" w:eastAsiaTheme="minorEastAsia" w:cstheme="minorEastAsia"/>
          <w:bCs/>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1</w:t>
      </w:r>
      <w:r>
        <w:rPr>
          <w:rFonts w:hint="eastAsia" w:asciiTheme="minorEastAsia" w:hAnsiTheme="minorEastAsia" w:eastAsiaTheme="minorEastAsia" w:cstheme="minorEastAsia"/>
          <w:bCs/>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bCs/>
          <w:color w:val="000000" w:themeColor="text1"/>
          <w:highlight w:val="none"/>
          <w14:textFill>
            <w14:solidFill>
              <w14:schemeClr w14:val="tx1"/>
            </w14:solidFill>
          </w14:textFill>
        </w:rPr>
        <w:t>根据项目实际情况，确定绩效评价目的、对象和范围、评价期限</w:t>
      </w:r>
      <w:r>
        <w:rPr>
          <w:rFonts w:hint="eastAsia" w:asciiTheme="minorEastAsia" w:hAnsiTheme="minorEastAsia" w:eastAsiaTheme="minorEastAsia" w:cstheme="minorEastAsia"/>
          <w:b w:val="0"/>
          <w:bCs/>
          <w:color w:val="000000" w:themeColor="text1"/>
          <w:highlight w:val="none"/>
          <w14:textFill>
            <w14:solidFill>
              <w14:schemeClr w14:val="tx1"/>
            </w14:solidFill>
          </w14:textFill>
        </w:rPr>
        <w:t>，拟定评价工作方案，与委托人签订绩效评价服务合同。</w:t>
      </w:r>
    </w:p>
    <w:p w14:paraId="2A98D964">
      <w:pPr>
        <w:ind w:firstLine="64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b w:val="0"/>
          <w:bCs/>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b w:val="0"/>
          <w:bCs/>
          <w:color w:val="000000" w:themeColor="text1"/>
          <w:highlight w:val="none"/>
          <w:lang w:val="en-US" w:eastAsia="zh-CN"/>
          <w14:textFill>
            <w14:solidFill>
              <w14:schemeClr w14:val="tx1"/>
            </w14:solidFill>
          </w14:textFill>
        </w:rPr>
        <w:t>2</w:t>
      </w:r>
      <w:r>
        <w:rPr>
          <w:rFonts w:hint="eastAsia" w:asciiTheme="minorEastAsia" w:hAnsiTheme="minorEastAsia" w:eastAsiaTheme="minorEastAsia" w:cstheme="minorEastAsia"/>
          <w:b w:val="0"/>
          <w:bCs/>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b w:val="0"/>
          <w:bCs/>
          <w:color w:val="000000" w:themeColor="text1"/>
          <w:highlight w:val="none"/>
          <w14:textFill>
            <w14:solidFill>
              <w14:schemeClr w14:val="tx1"/>
            </w14:solidFill>
          </w14:textFill>
        </w:rPr>
        <w:t>成立绩效评价小组。</w:t>
      </w:r>
      <w:r>
        <w:rPr>
          <w:rFonts w:hint="eastAsia" w:asciiTheme="minorEastAsia" w:hAnsiTheme="minorEastAsia" w:eastAsiaTheme="minorEastAsia" w:cstheme="minorEastAsia"/>
          <w:b w:val="0"/>
          <w:bCs/>
          <w:color w:val="000000" w:themeColor="text1"/>
          <w:highlight w:val="none"/>
          <w:lang w:val="en-US" w:eastAsia="zh-CN"/>
          <w14:textFill>
            <w14:solidFill>
              <w14:schemeClr w14:val="tx1"/>
            </w14:solidFill>
          </w14:textFill>
        </w:rPr>
        <w:t>绩效评价小组</w:t>
      </w:r>
      <w:r>
        <w:rPr>
          <w:rFonts w:hint="eastAsia" w:asciiTheme="minorEastAsia" w:hAnsiTheme="minorEastAsia" w:eastAsiaTheme="minorEastAsia" w:cstheme="minorEastAsia"/>
          <w:b w:val="0"/>
          <w:bCs/>
          <w:color w:val="000000" w:themeColor="text1"/>
          <w:highlight w:val="none"/>
          <w14:textFill>
            <w14:solidFill>
              <w14:schemeClr w14:val="tx1"/>
            </w14:solidFill>
          </w14:textFill>
        </w:rPr>
        <w:t>实行组长负责制，项目总负责人统筹全盘工作，对</w:t>
      </w:r>
      <w:r>
        <w:rPr>
          <w:rFonts w:hint="eastAsia" w:asciiTheme="minorEastAsia" w:hAnsiTheme="minorEastAsia" w:eastAsiaTheme="minorEastAsia" w:cstheme="minorEastAsia"/>
          <w:b w:val="0"/>
          <w:bCs/>
          <w:color w:val="000000" w:themeColor="text1"/>
          <w:highlight w:val="none"/>
          <w:lang w:val="en-US" w:eastAsia="zh-CN"/>
          <w14:textFill>
            <w14:solidFill>
              <w14:schemeClr w14:val="tx1"/>
            </w14:solidFill>
          </w14:textFill>
        </w:rPr>
        <w:t>绩效评价</w:t>
      </w:r>
      <w:r>
        <w:rPr>
          <w:rFonts w:hint="eastAsia" w:asciiTheme="minorEastAsia" w:hAnsiTheme="minorEastAsia" w:eastAsiaTheme="minorEastAsia" w:cstheme="minorEastAsia"/>
          <w:b w:val="0"/>
          <w:bCs/>
          <w:color w:val="000000" w:themeColor="text1"/>
          <w:highlight w:val="none"/>
          <w14:textFill>
            <w14:solidFill>
              <w14:schemeClr w14:val="tx1"/>
            </w14:solidFill>
          </w14:textFill>
        </w:rPr>
        <w:t>工作提供技术指导与支持，</w:t>
      </w:r>
      <w:r>
        <w:rPr>
          <w:rFonts w:hint="eastAsia" w:asciiTheme="minorEastAsia" w:hAnsiTheme="minorEastAsia" w:eastAsiaTheme="minorEastAsia" w:cstheme="minorEastAsia"/>
          <w:b w:val="0"/>
          <w:bCs/>
          <w:color w:val="000000" w:themeColor="text1"/>
          <w:highlight w:val="none"/>
          <w:lang w:val="en-US" w:eastAsia="zh-CN"/>
          <w14:textFill>
            <w14:solidFill>
              <w14:schemeClr w14:val="tx1"/>
            </w14:solidFill>
          </w14:textFill>
        </w:rPr>
        <w:t>报告稽核负责人</w:t>
      </w:r>
      <w:r>
        <w:rPr>
          <w:rFonts w:hint="eastAsia" w:asciiTheme="minorEastAsia" w:hAnsiTheme="minorEastAsia" w:eastAsiaTheme="minorEastAsia" w:cstheme="minorEastAsia"/>
          <w:b w:val="0"/>
          <w:bCs/>
          <w:color w:val="000000" w:themeColor="text1"/>
          <w:highlight w:val="none"/>
          <w14:textFill>
            <w14:solidFill>
              <w14:schemeClr w14:val="tx1"/>
            </w14:solidFill>
          </w14:textFill>
        </w:rPr>
        <w:t>对评价工作质量把关，并负责报告数据审核验收、报告撰写指导、报告验收等技术工作；绩效评价组成员</w:t>
      </w:r>
      <w:r>
        <w:rPr>
          <w:rFonts w:hint="eastAsia" w:asciiTheme="minorEastAsia" w:hAnsiTheme="minorEastAsia" w:eastAsiaTheme="minorEastAsia" w:cstheme="minorEastAsia"/>
          <w:b w:val="0"/>
          <w:bCs/>
          <w:color w:val="000000" w:themeColor="text1"/>
          <w:highlight w:val="none"/>
          <w:lang w:val="en-US" w:eastAsia="zh-CN"/>
          <w14:textFill>
            <w14:solidFill>
              <w14:schemeClr w14:val="tx1"/>
            </w14:solidFill>
          </w14:textFill>
        </w:rPr>
        <w:t>2人</w:t>
      </w:r>
      <w:r>
        <w:rPr>
          <w:rFonts w:hint="eastAsia" w:asciiTheme="minorEastAsia" w:hAnsiTheme="minorEastAsia" w:eastAsiaTheme="minorEastAsia" w:cstheme="minorEastAsia"/>
          <w:b w:val="0"/>
          <w:bCs/>
          <w:color w:val="000000" w:themeColor="text1"/>
          <w:highlight w:val="none"/>
          <w14:textFill>
            <w14:solidFill>
              <w14:schemeClr w14:val="tx1"/>
            </w14:solidFill>
          </w14:textFill>
        </w:rPr>
        <w:t>，并完成现场调研</w:t>
      </w:r>
      <w:r>
        <w:rPr>
          <w:rFonts w:hint="eastAsia" w:asciiTheme="minorEastAsia" w:hAnsiTheme="minorEastAsia" w:eastAsiaTheme="minorEastAsia" w:cstheme="minorEastAsia"/>
          <w:color w:val="000000" w:themeColor="text1"/>
          <w:highlight w:val="none"/>
          <w14:textFill>
            <w14:solidFill>
              <w14:schemeClr w14:val="tx1"/>
            </w14:solidFill>
          </w14:textFill>
        </w:rPr>
        <w:t>、资料收集和检查、项目相关人员访谈、问题清单整理、数据整理、撰写报告等工作</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highlight w:val="none"/>
          <w14:textFill>
            <w14:solidFill>
              <w14:schemeClr w14:val="tx1"/>
            </w14:solidFill>
          </w14:textFill>
        </w:rPr>
        <w:t>具体成员及职责分工如下：</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557"/>
        <w:gridCol w:w="881"/>
        <w:gridCol w:w="1357"/>
        <w:gridCol w:w="1617"/>
        <w:gridCol w:w="3930"/>
      </w:tblGrid>
      <w:tr w14:paraId="11630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Header/>
          <w:jc w:val="center"/>
        </w:trPr>
        <w:tc>
          <w:tcPr>
            <w:tcW w:w="334" w:type="pct"/>
            <w:noWrap w:val="0"/>
            <w:vAlign w:val="center"/>
          </w:tcPr>
          <w:p w14:paraId="28A26EA5">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000000" w:themeColor="text1"/>
                <w:sz w:val="21"/>
                <w:szCs w:val="21"/>
                <w:highlight w:val="none"/>
                <w:lang w:eastAsia="en-US"/>
                <w14:textFill>
                  <w14:solidFill>
                    <w14:schemeClr w14:val="tx1"/>
                  </w14:solidFill>
                </w14:textFill>
              </w:rPr>
            </w:pPr>
            <w:r>
              <w:rPr>
                <w:rFonts w:hint="default" w:ascii="Times New Roman" w:hAnsi="Times New Roman" w:eastAsia="仿宋_GB2312" w:cs="Times New Roman"/>
                <w:b/>
                <w:color w:val="000000" w:themeColor="text1"/>
                <w:kern w:val="0"/>
                <w:sz w:val="21"/>
                <w:szCs w:val="21"/>
                <w:highlight w:val="none"/>
                <w:lang w:bidi="ar"/>
                <w14:textFill>
                  <w14:solidFill>
                    <w14:schemeClr w14:val="tx1"/>
                  </w14:solidFill>
                </w14:textFill>
              </w:rPr>
              <w:t>序号</w:t>
            </w:r>
          </w:p>
        </w:tc>
        <w:tc>
          <w:tcPr>
            <w:tcW w:w="528" w:type="pct"/>
            <w:noWrap w:val="0"/>
            <w:vAlign w:val="center"/>
          </w:tcPr>
          <w:p w14:paraId="7C19045F">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000000" w:themeColor="text1"/>
                <w:sz w:val="21"/>
                <w:szCs w:val="21"/>
                <w:highlight w:val="none"/>
                <w:lang w:eastAsia="en-US"/>
                <w14:textFill>
                  <w14:solidFill>
                    <w14:schemeClr w14:val="tx1"/>
                  </w14:solidFill>
                </w14:textFill>
              </w:rPr>
            </w:pPr>
            <w:r>
              <w:rPr>
                <w:rFonts w:hint="default" w:ascii="Times New Roman" w:hAnsi="Times New Roman" w:eastAsia="仿宋_GB2312" w:cs="Times New Roman"/>
                <w:b/>
                <w:color w:val="000000" w:themeColor="text1"/>
                <w:kern w:val="0"/>
                <w:sz w:val="21"/>
                <w:szCs w:val="21"/>
                <w:highlight w:val="none"/>
                <w:lang w:bidi="ar"/>
                <w14:textFill>
                  <w14:solidFill>
                    <w14:schemeClr w14:val="tx1"/>
                  </w14:solidFill>
                </w14:textFill>
              </w:rPr>
              <w:t>姓名</w:t>
            </w:r>
          </w:p>
        </w:tc>
        <w:tc>
          <w:tcPr>
            <w:tcW w:w="813" w:type="pct"/>
            <w:noWrap w:val="0"/>
            <w:vAlign w:val="center"/>
          </w:tcPr>
          <w:p w14:paraId="5FD5C018">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000000" w:themeColor="text1"/>
                <w:sz w:val="21"/>
                <w:szCs w:val="21"/>
                <w:highlight w:val="none"/>
                <w14:textFill>
                  <w14:solidFill>
                    <w14:schemeClr w14:val="tx1"/>
                  </w14:solidFill>
                </w14:textFill>
              </w:rPr>
            </w:pPr>
            <w:r>
              <w:rPr>
                <w:rFonts w:hint="default" w:ascii="Times New Roman" w:hAnsi="Times New Roman" w:eastAsia="仿宋_GB2312" w:cs="Times New Roman"/>
                <w:b/>
                <w:color w:val="000000" w:themeColor="text1"/>
                <w:sz w:val="21"/>
                <w:szCs w:val="21"/>
                <w:highlight w:val="none"/>
                <w14:textFill>
                  <w14:solidFill>
                    <w14:schemeClr w14:val="tx1"/>
                  </w14:solidFill>
                </w14:textFill>
              </w:rPr>
              <w:t>项目角色</w:t>
            </w:r>
          </w:p>
        </w:tc>
        <w:tc>
          <w:tcPr>
            <w:tcW w:w="969" w:type="pct"/>
            <w:noWrap w:val="0"/>
            <w:vAlign w:val="center"/>
          </w:tcPr>
          <w:p w14:paraId="5D684798">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000000" w:themeColor="text1"/>
                <w:sz w:val="21"/>
                <w:szCs w:val="21"/>
                <w:highlight w:val="none"/>
                <w:lang w:eastAsia="en-US"/>
                <w14:textFill>
                  <w14:solidFill>
                    <w14:schemeClr w14:val="tx1"/>
                  </w14:solidFill>
                </w14:textFill>
              </w:rPr>
            </w:pPr>
            <w:r>
              <w:rPr>
                <w:rFonts w:hint="default" w:ascii="Times New Roman" w:hAnsi="Times New Roman" w:eastAsia="仿宋_GB2312" w:cs="Times New Roman"/>
                <w:b/>
                <w:color w:val="000000" w:themeColor="text1"/>
                <w:kern w:val="0"/>
                <w:sz w:val="21"/>
                <w:szCs w:val="21"/>
                <w:highlight w:val="none"/>
                <w:lang w:bidi="ar"/>
                <w14:textFill>
                  <w14:solidFill>
                    <w14:schemeClr w14:val="tx1"/>
                  </w14:solidFill>
                </w14:textFill>
              </w:rPr>
              <w:t>资质或公司职位</w:t>
            </w:r>
          </w:p>
        </w:tc>
        <w:tc>
          <w:tcPr>
            <w:tcW w:w="2354" w:type="pct"/>
            <w:noWrap w:val="0"/>
            <w:vAlign w:val="center"/>
          </w:tcPr>
          <w:p w14:paraId="689BABDB">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b/>
                <w:color w:val="000000" w:themeColor="text1"/>
                <w:kern w:val="0"/>
                <w:sz w:val="21"/>
                <w:szCs w:val="21"/>
                <w:highlight w:val="none"/>
                <w:lang w:bidi="ar"/>
                <w14:textFill>
                  <w14:solidFill>
                    <w14:schemeClr w14:val="tx1"/>
                  </w14:solidFill>
                </w14:textFill>
              </w:rPr>
            </w:pPr>
            <w:r>
              <w:rPr>
                <w:rFonts w:hint="default" w:ascii="Times New Roman" w:hAnsi="Times New Roman" w:eastAsia="仿宋_GB2312" w:cs="Times New Roman"/>
                <w:b/>
                <w:color w:val="000000" w:themeColor="text1"/>
                <w:kern w:val="0"/>
                <w:sz w:val="21"/>
                <w:szCs w:val="21"/>
                <w:highlight w:val="none"/>
                <w:lang w:bidi="ar"/>
                <w14:textFill>
                  <w14:solidFill>
                    <w14:schemeClr w14:val="tx1"/>
                  </w14:solidFill>
                </w14:textFill>
              </w:rPr>
              <w:t>主要职责</w:t>
            </w:r>
          </w:p>
        </w:tc>
      </w:tr>
      <w:tr w14:paraId="02098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014193E4">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000000" w:themeColor="text1"/>
                <w:sz w:val="21"/>
                <w:szCs w:val="21"/>
                <w:highlight w:val="none"/>
                <w14:textFill>
                  <w14:solidFill>
                    <w14:schemeClr w14:val="tx1"/>
                  </w14:solidFill>
                </w14:textFill>
              </w:rPr>
            </w:pPr>
            <w:r>
              <w:rPr>
                <w:rFonts w:hint="default" w:ascii="Times New Roman" w:hAnsi="Times New Roman" w:eastAsia="仿宋_GB2312" w:cs="Times New Roman"/>
                <w:color w:val="000000" w:themeColor="text1"/>
                <w:kern w:val="0"/>
                <w:sz w:val="21"/>
                <w:szCs w:val="21"/>
                <w:highlight w:val="none"/>
                <w:lang w:bidi="ar"/>
                <w14:textFill>
                  <w14:solidFill>
                    <w14:schemeClr w14:val="tx1"/>
                  </w14:solidFill>
                </w14:textFill>
              </w:rPr>
              <w:t>1</w:t>
            </w:r>
          </w:p>
        </w:tc>
        <w:tc>
          <w:tcPr>
            <w:tcW w:w="528" w:type="pct"/>
            <w:noWrap w:val="0"/>
            <w:vAlign w:val="center"/>
          </w:tcPr>
          <w:p w14:paraId="0CCDD45D">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bCs/>
                <w:color w:val="000000" w:themeColor="text1"/>
                <w:kern w:val="0"/>
                <w:sz w:val="21"/>
                <w:szCs w:val="21"/>
                <w:highlight w:val="none"/>
                <w:lang w:bidi="ar"/>
                <w14:textFill>
                  <w14:solidFill>
                    <w14:schemeClr w14:val="tx1"/>
                  </w14:solidFill>
                </w14:textFill>
              </w:rPr>
            </w:pPr>
            <w:r>
              <w:rPr>
                <w:rFonts w:hint="eastAsia" w:asciiTheme="minorEastAsia" w:hAnsiTheme="minorEastAsia" w:eastAsiaTheme="minorEastAsia" w:cstheme="minorEastAsia"/>
                <w:color w:val="000000" w:themeColor="text1"/>
                <w:kern w:val="0"/>
                <w:sz w:val="21"/>
                <w:szCs w:val="21"/>
                <w:highlight w:val="none"/>
                <w:lang w:bidi="ar"/>
                <w14:textFill>
                  <w14:solidFill>
                    <w14:schemeClr w14:val="tx1"/>
                  </w14:solidFill>
                </w14:textFill>
              </w:rPr>
              <w:t>冯延萍</w:t>
            </w:r>
          </w:p>
        </w:tc>
        <w:tc>
          <w:tcPr>
            <w:tcW w:w="813" w:type="pct"/>
            <w:noWrap w:val="0"/>
            <w:vAlign w:val="center"/>
          </w:tcPr>
          <w:p w14:paraId="028696EC">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主评人</w:t>
            </w:r>
          </w:p>
        </w:tc>
        <w:tc>
          <w:tcPr>
            <w:tcW w:w="969" w:type="pct"/>
            <w:noWrap w:val="0"/>
            <w:vAlign w:val="center"/>
          </w:tcPr>
          <w:p w14:paraId="3CF96436">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注册会计师、中级会计师</w:t>
            </w:r>
          </w:p>
        </w:tc>
        <w:tc>
          <w:tcPr>
            <w:tcW w:w="2354" w:type="pct"/>
            <w:noWrap w:val="0"/>
            <w:vAlign w:val="center"/>
          </w:tcPr>
          <w:p w14:paraId="59BB9251">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eastAsia" w:asciiTheme="minorEastAsia" w:hAnsiTheme="minorEastAsia" w:eastAsiaTheme="minorEastAsia" w:cstheme="minorEastAsia"/>
                <w:color w:val="000000" w:themeColor="text1"/>
                <w:kern w:val="0"/>
                <w:sz w:val="21"/>
                <w:szCs w:val="21"/>
                <w:highlight w:val="none"/>
                <w:lang w:bidi="ar"/>
                <w14:textFill>
                  <w14:solidFill>
                    <w14:schemeClr w14:val="tx1"/>
                  </w14:solidFill>
                </w14:textFill>
              </w:rPr>
            </w:pPr>
            <w:r>
              <w:rPr>
                <w:rFonts w:hint="eastAsia" w:asciiTheme="minorEastAsia" w:hAnsiTheme="minorEastAsia" w:eastAsiaTheme="minorEastAsia" w:cstheme="minorEastAsia"/>
                <w:bCs/>
                <w:snapToGrid w:val="0"/>
                <w:color w:val="000000" w:themeColor="text1"/>
                <w:sz w:val="21"/>
                <w:szCs w:val="21"/>
                <w:highlight w:val="none"/>
                <w14:textFill>
                  <w14:solidFill>
                    <w14:schemeClr w14:val="tx1"/>
                  </w14:solidFill>
                </w14:textFill>
              </w:rPr>
              <w:t>负责项目总体计划的审批，项目重大风险的整体把握，对整体检查工作进行全面技术把关和指导，以保证评价工作按时按质完成；对整体项目评价结论进行最终复核。</w:t>
            </w:r>
          </w:p>
        </w:tc>
      </w:tr>
      <w:tr w14:paraId="1089A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0C77464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eastAsia="仿宋_GB2312" w:cs="Times New Roman"/>
                <w:color w:val="000000" w:themeColor="text1"/>
                <w:kern w:val="0"/>
                <w:sz w:val="21"/>
                <w:szCs w:val="21"/>
                <w:highlight w:val="none"/>
                <w:lang w:val="en-US" w:eastAsia="zh-CN" w:bidi="ar"/>
                <w14:textFill>
                  <w14:solidFill>
                    <w14:schemeClr w14:val="tx1"/>
                  </w14:solidFill>
                </w14:textFill>
              </w:rPr>
            </w:pPr>
            <w:r>
              <w:rPr>
                <w:rFonts w:hint="eastAsia" w:ascii="Times New Roman" w:hAnsi="Times New Roman" w:cs="Times New Roman"/>
                <w:color w:val="000000" w:themeColor="text1"/>
                <w:kern w:val="0"/>
                <w:sz w:val="21"/>
                <w:szCs w:val="21"/>
                <w:highlight w:val="none"/>
                <w:lang w:val="en-US" w:eastAsia="zh-CN" w:bidi="ar"/>
                <w14:textFill>
                  <w14:solidFill>
                    <w14:schemeClr w14:val="tx1"/>
                  </w14:solidFill>
                </w14:textFill>
              </w:rPr>
              <w:t>2</w:t>
            </w:r>
          </w:p>
        </w:tc>
        <w:tc>
          <w:tcPr>
            <w:tcW w:w="528" w:type="pct"/>
            <w:noWrap w:val="0"/>
            <w:vAlign w:val="center"/>
          </w:tcPr>
          <w:p w14:paraId="6761DB01">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腊晓林</w:t>
            </w:r>
          </w:p>
        </w:tc>
        <w:tc>
          <w:tcPr>
            <w:tcW w:w="813" w:type="pct"/>
            <w:noWrap w:val="0"/>
            <w:vAlign w:val="center"/>
          </w:tcPr>
          <w:p w14:paraId="32758242">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报告复核人</w:t>
            </w:r>
          </w:p>
        </w:tc>
        <w:tc>
          <w:tcPr>
            <w:tcW w:w="969" w:type="pct"/>
            <w:noWrap w:val="0"/>
            <w:vAlign w:val="center"/>
          </w:tcPr>
          <w:p w14:paraId="128735A6">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咨询工程师</w:t>
            </w:r>
          </w:p>
        </w:tc>
        <w:tc>
          <w:tcPr>
            <w:tcW w:w="2354" w:type="pct"/>
            <w:noWrap w:val="0"/>
            <w:vAlign w:val="center"/>
          </w:tcPr>
          <w:p w14:paraId="7DC08579">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eastAsia" w:asciiTheme="minorEastAsia" w:hAnsiTheme="minorEastAsia" w:eastAsiaTheme="minorEastAsia" w:cstheme="minorEastAsia"/>
                <w:bCs/>
                <w:snapToGrid w:val="0"/>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bCs/>
                <w:snapToGrid w:val="0"/>
                <w:color w:val="000000" w:themeColor="text1"/>
                <w:sz w:val="21"/>
                <w:szCs w:val="21"/>
                <w:highlight w:val="none"/>
                <w:lang w:val="en-US" w:eastAsia="zh-CN"/>
                <w14:textFill>
                  <w14:solidFill>
                    <w14:schemeClr w14:val="tx1"/>
                  </w14:solidFill>
                </w14:textFill>
              </w:rPr>
              <w:t>审核实施方案，负责对项目成果进行复核，</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杜绝或减少对外出具的报告中出现不应出错或低级错误的发生，确保工作质量不出现重大纰漏。通过稽核强化工作质量管理，严格把控评价结果报告质量关，规范出具报告的标准。</w:t>
            </w:r>
          </w:p>
        </w:tc>
      </w:tr>
      <w:tr w14:paraId="1A189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2906130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仿宋_GB2312" w:cs="Times New Roman"/>
                <w:color w:val="000000" w:themeColor="text1"/>
                <w:sz w:val="21"/>
                <w:szCs w:val="21"/>
                <w:highlight w:val="none"/>
                <w:lang w:eastAsia="zh-CN"/>
                <w14:textFill>
                  <w14:solidFill>
                    <w14:schemeClr w14:val="tx1"/>
                  </w14:solidFill>
                </w14:textFill>
              </w:rPr>
            </w:pPr>
            <w:r>
              <w:rPr>
                <w:rFonts w:hint="eastAsia" w:ascii="Times New Roman" w:hAnsi="Times New Roman" w:eastAsia="仿宋_GB2312" w:cs="Times New Roman"/>
                <w:color w:val="000000" w:themeColor="text1"/>
                <w:kern w:val="0"/>
                <w:sz w:val="21"/>
                <w:szCs w:val="21"/>
                <w:highlight w:val="none"/>
                <w:lang w:val="en-US" w:eastAsia="zh-CN" w:bidi="ar"/>
                <w14:textFill>
                  <w14:solidFill>
                    <w14:schemeClr w14:val="tx1"/>
                  </w14:solidFill>
                </w14:textFill>
              </w:rPr>
              <w:t>3</w:t>
            </w:r>
          </w:p>
        </w:tc>
        <w:tc>
          <w:tcPr>
            <w:tcW w:w="528" w:type="pct"/>
            <w:noWrap w:val="0"/>
            <w:vAlign w:val="center"/>
          </w:tcPr>
          <w:p w14:paraId="1F79C64D">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郝欢</w:t>
            </w:r>
          </w:p>
        </w:tc>
        <w:tc>
          <w:tcPr>
            <w:tcW w:w="813" w:type="pct"/>
            <w:noWrap w:val="0"/>
            <w:vAlign w:val="center"/>
          </w:tcPr>
          <w:p w14:paraId="4260DB6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000000" w:themeColor="text1"/>
                <w:sz w:val="21"/>
                <w:szCs w:val="21"/>
                <w:highlight w:val="none"/>
                <w:lang w:eastAsia="en-US"/>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项目负责人</w:t>
            </w:r>
          </w:p>
        </w:tc>
        <w:tc>
          <w:tcPr>
            <w:tcW w:w="969" w:type="pct"/>
            <w:noWrap w:val="0"/>
            <w:vAlign w:val="center"/>
          </w:tcPr>
          <w:p w14:paraId="42B75D8B">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项目</w:t>
            </w:r>
            <w:r>
              <w:rPr>
                <w:rFonts w:hint="eastAsia" w:asciiTheme="minorEastAsia" w:hAnsiTheme="minorEastAsia" w:eastAsiaTheme="minorEastAsia" w:cstheme="minorEastAsia"/>
                <w:color w:val="000000" w:themeColor="text1"/>
                <w:sz w:val="21"/>
                <w:szCs w:val="21"/>
                <w:highlight w:val="none"/>
                <w:lang w:eastAsia="zh-Hans"/>
                <w14:textFill>
                  <w14:solidFill>
                    <w14:schemeClr w14:val="tx1"/>
                  </w14:solidFill>
                </w14:textFill>
              </w:rPr>
              <w:t>经理</w:t>
            </w:r>
          </w:p>
        </w:tc>
        <w:tc>
          <w:tcPr>
            <w:tcW w:w="2354" w:type="pct"/>
            <w:noWrap w:val="0"/>
            <w:vAlign w:val="center"/>
          </w:tcPr>
          <w:p w14:paraId="5424D065">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eastAsia" w:asciiTheme="minorEastAsia" w:hAnsiTheme="minorEastAsia" w:eastAsiaTheme="minorEastAsia" w:cstheme="minorEastAsia"/>
                <w:color w:val="000000" w:themeColor="text1"/>
                <w:kern w:val="0"/>
                <w:sz w:val="21"/>
                <w:szCs w:val="21"/>
                <w:highlight w:val="none"/>
                <w:lang w:eastAsia="zh-CN" w:bidi="ar"/>
                <w14:textFill>
                  <w14:solidFill>
                    <w14:schemeClr w14:val="tx1"/>
                  </w14:solidFill>
                </w14:textFill>
              </w:rPr>
            </w:pPr>
            <w:r>
              <w:rPr>
                <w:rFonts w:hint="eastAsia" w:asciiTheme="minorEastAsia" w:hAnsiTheme="minorEastAsia" w:eastAsiaTheme="minorEastAsia" w:cstheme="minorEastAsia"/>
                <w:bCs/>
                <w:snapToGrid w:val="0"/>
                <w:color w:val="000000" w:themeColor="text1"/>
                <w:sz w:val="21"/>
                <w:szCs w:val="21"/>
                <w:highlight w:val="none"/>
                <w14:textFill>
                  <w14:solidFill>
                    <w14:schemeClr w14:val="tx1"/>
                  </w14:solidFill>
                </w14:textFill>
              </w:rPr>
              <w:t>负责制定项目实施计划，并组织开展具体评价工作，把控项目质量、项目进度和方向，推动服务方案执行和落实；讨论阶段性成果，向本单位和委托方关于本项目进展情况定期汇报进展情况；对项目过程中的技术方法提供咨询和辅导，及时完成项目成果</w:t>
            </w:r>
            <w:r>
              <w:rPr>
                <w:rFonts w:hint="eastAsia" w:asciiTheme="minorEastAsia" w:hAnsiTheme="minorEastAsia" w:eastAsiaTheme="minorEastAsia" w:cstheme="minorEastAsia"/>
                <w:bCs/>
                <w:snapToGrid w:val="0"/>
                <w:color w:val="000000" w:themeColor="text1"/>
                <w:sz w:val="21"/>
                <w:szCs w:val="21"/>
                <w:highlight w:val="none"/>
                <w:lang w:eastAsia="zh-CN"/>
                <w14:textFill>
                  <w14:solidFill>
                    <w14:schemeClr w14:val="tx1"/>
                  </w14:solidFill>
                </w14:textFill>
              </w:rPr>
              <w:t>。</w:t>
            </w:r>
          </w:p>
        </w:tc>
      </w:tr>
      <w:tr w14:paraId="3C47D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1AB62E66">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imes New Roman" w:hAnsi="Times New Roman" w:eastAsia="仿宋_GB2312" w:cs="Times New Roman"/>
                <w:color w:val="000000" w:themeColor="text1"/>
                <w:kern w:val="0"/>
                <w:sz w:val="21"/>
                <w:szCs w:val="21"/>
                <w:highlight w:val="none"/>
                <w:lang w:eastAsia="zh-CN" w:bidi="ar"/>
                <w14:textFill>
                  <w14:solidFill>
                    <w14:schemeClr w14:val="tx1"/>
                  </w14:solidFill>
                </w14:textFill>
              </w:rPr>
            </w:pPr>
            <w:r>
              <w:rPr>
                <w:rFonts w:hint="eastAsia" w:ascii="Times New Roman" w:hAnsi="Times New Roman" w:eastAsia="仿宋_GB2312" w:cs="Times New Roman"/>
                <w:color w:val="000000" w:themeColor="text1"/>
                <w:kern w:val="0"/>
                <w:sz w:val="21"/>
                <w:szCs w:val="21"/>
                <w:highlight w:val="none"/>
                <w:lang w:val="en-US" w:eastAsia="zh-CN" w:bidi="ar"/>
                <w14:textFill>
                  <w14:solidFill>
                    <w14:schemeClr w14:val="tx1"/>
                  </w14:solidFill>
                </w14:textFill>
              </w:rPr>
              <w:t>4</w:t>
            </w:r>
          </w:p>
        </w:tc>
        <w:tc>
          <w:tcPr>
            <w:tcW w:w="528" w:type="pct"/>
            <w:shd w:val="clear" w:color="auto" w:fill="auto"/>
            <w:noWrap w:val="0"/>
            <w:vAlign w:val="center"/>
          </w:tcPr>
          <w:p w14:paraId="187F142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heme="minorEastAsia" w:hAnsiTheme="minorEastAsia" w:eastAsiaTheme="minorEastAsia" w:cstheme="minorEastAsia"/>
                <w:bCs/>
                <w:snapToGrid w:val="0"/>
                <w:color w:val="000000" w:themeColor="text1"/>
                <w:spacing w:val="6"/>
                <w:kern w:val="2"/>
                <w:sz w:val="21"/>
                <w:szCs w:val="21"/>
                <w:highlight w:val="none"/>
                <w:lang w:val="en-US" w:eastAsia="zh-CN" w:bidi="ar-SA"/>
                <w14:textFill>
                  <w14:solidFill>
                    <w14:schemeClr w14:val="tx1"/>
                  </w14:solidFill>
                </w14:textFill>
              </w:rPr>
            </w:pPr>
            <w:r>
              <w:rPr>
                <w:rFonts w:hint="eastAsia" w:asciiTheme="minorEastAsia" w:hAnsiTheme="minorEastAsia" w:eastAsiaTheme="minorEastAsia" w:cstheme="minorEastAsia"/>
                <w:bCs/>
                <w:snapToGrid w:val="0"/>
                <w:color w:val="000000" w:themeColor="text1"/>
                <w:spacing w:val="6"/>
                <w:kern w:val="2"/>
                <w:sz w:val="21"/>
                <w:szCs w:val="21"/>
                <w:highlight w:val="none"/>
                <w:lang w:val="en-US" w:eastAsia="zh-CN" w:bidi="ar-SA"/>
                <w14:textFill>
                  <w14:solidFill>
                    <w14:schemeClr w14:val="tx1"/>
                  </w14:solidFill>
                </w14:textFill>
              </w:rPr>
              <w:t>马红伟</w:t>
            </w:r>
          </w:p>
        </w:tc>
        <w:tc>
          <w:tcPr>
            <w:tcW w:w="813" w:type="pct"/>
            <w:shd w:val="clear" w:color="auto" w:fill="auto"/>
            <w:noWrap w:val="0"/>
            <w:vAlign w:val="center"/>
          </w:tcPr>
          <w:p w14:paraId="655892F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项目绩效评价人员</w:t>
            </w:r>
          </w:p>
        </w:tc>
        <w:tc>
          <w:tcPr>
            <w:tcW w:w="969" w:type="pct"/>
            <w:shd w:val="clear" w:color="auto" w:fill="auto"/>
            <w:noWrap w:val="0"/>
            <w:vAlign w:val="center"/>
          </w:tcPr>
          <w:p w14:paraId="507CF7BD">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1"/>
                <w:szCs w:val="21"/>
                <w:highlight w:val="none"/>
                <w:lang w:val="en-US" w:eastAsia="zh-CN"/>
                <w14:textFill>
                  <w14:solidFill>
                    <w14:schemeClr w14:val="tx1"/>
                  </w14:solidFill>
                </w14:textFill>
              </w:rPr>
              <w:t>项目助理</w:t>
            </w:r>
          </w:p>
        </w:tc>
        <w:tc>
          <w:tcPr>
            <w:tcW w:w="2354" w:type="pct"/>
            <w:noWrap w:val="0"/>
            <w:vAlign w:val="center"/>
          </w:tcPr>
          <w:p w14:paraId="2358F27D">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eastAsia" w:asciiTheme="minorEastAsia" w:hAnsiTheme="minorEastAsia" w:eastAsiaTheme="minorEastAsia" w:cstheme="minorEastAsia"/>
                <w:color w:val="000000" w:themeColor="text1"/>
                <w:kern w:val="0"/>
                <w:sz w:val="21"/>
                <w:szCs w:val="21"/>
                <w:highlight w:val="none"/>
                <w:lang w:bidi="ar"/>
                <w14:textFill>
                  <w14:solidFill>
                    <w14:schemeClr w14:val="tx1"/>
                  </w14:solidFill>
                </w14:textFill>
              </w:rPr>
            </w:pPr>
            <w:r>
              <w:rPr>
                <w:rFonts w:hint="eastAsia" w:asciiTheme="minorEastAsia" w:hAnsiTheme="minorEastAsia" w:eastAsiaTheme="minorEastAsia" w:cstheme="minorEastAsia"/>
                <w:bCs/>
                <w:snapToGrid w:val="0"/>
                <w:color w:val="000000" w:themeColor="text1"/>
                <w:sz w:val="21"/>
                <w:szCs w:val="21"/>
                <w:highlight w:val="none"/>
                <w14:textFill>
                  <w14:solidFill>
                    <w14:schemeClr w14:val="tx1"/>
                  </w14:solidFill>
                </w14:textFill>
              </w:rPr>
              <w:t>按照计划和分工</w:t>
            </w:r>
            <w:r>
              <w:rPr>
                <w:rFonts w:hint="eastAsia" w:asciiTheme="minorEastAsia" w:hAnsiTheme="minorEastAsia" w:eastAsiaTheme="minorEastAsia" w:cstheme="minorEastAsia"/>
                <w:bCs/>
                <w:snapToGrid w:val="0"/>
                <w:color w:val="000000" w:themeColor="text1"/>
                <w:sz w:val="21"/>
                <w:szCs w:val="21"/>
                <w:highlight w:val="none"/>
                <w:lang w:eastAsia="zh-CN"/>
                <w14:textFill>
                  <w14:solidFill>
                    <w14:schemeClr w14:val="tx1"/>
                  </w14:solidFill>
                </w14:textFill>
              </w:rPr>
              <w:t>完成</w:t>
            </w:r>
            <w:r>
              <w:rPr>
                <w:rFonts w:hint="eastAsia" w:asciiTheme="minorEastAsia" w:hAnsiTheme="minorEastAsia" w:eastAsiaTheme="minorEastAsia" w:cstheme="minorEastAsia"/>
                <w:bCs/>
                <w:snapToGrid w:val="0"/>
                <w:color w:val="000000" w:themeColor="text1"/>
                <w:sz w:val="21"/>
                <w:szCs w:val="21"/>
                <w:highlight w:val="none"/>
                <w14:textFill>
                  <w14:solidFill>
                    <w14:schemeClr w14:val="tx1"/>
                  </w14:solidFill>
                </w14:textFill>
              </w:rPr>
              <w:t>现场调研、资料收集和检查、项目相关人员访谈、问题清单整理、数据整理、撰写报告等工作。</w:t>
            </w:r>
          </w:p>
        </w:tc>
      </w:tr>
    </w:tbl>
    <w:p w14:paraId="77DFA7AE">
      <w:pPr>
        <w:bidi w:val="0"/>
        <w:rPr>
          <w:rFonts w:hint="eastAsia"/>
          <w:color w:val="000000" w:themeColor="text1"/>
          <w:highlight w:val="none"/>
          <w14:textFill>
            <w14:solidFill>
              <w14:schemeClr w14:val="tx1"/>
            </w14:solidFill>
          </w14:textFill>
        </w:rPr>
      </w:pPr>
    </w:p>
    <w:p w14:paraId="5045BEC6">
      <w:pPr>
        <w:pStyle w:val="4"/>
        <w:ind w:firstLine="641"/>
        <w:rPr>
          <w:rFonts w:hint="eastAsia" w:ascii="Times New Roman" w:hAnsi="Times New Roman" w:cs="Times New Roman"/>
          <w:color w:val="000000" w:themeColor="text1"/>
          <w:highlight w:val="none"/>
          <w14:textFill>
            <w14:solidFill>
              <w14:schemeClr w14:val="tx1"/>
            </w14:solidFill>
          </w14:textFill>
        </w:rPr>
      </w:pPr>
      <w:r>
        <w:rPr>
          <w:rFonts w:hint="eastAsia" w:ascii="Times New Roman" w:hAnsi="Times New Roman" w:cs="Times New Roman"/>
          <w:color w:val="000000" w:themeColor="text1"/>
          <w:highlight w:val="none"/>
          <w14:textFill>
            <w14:solidFill>
              <w14:schemeClr w14:val="tx1"/>
            </w14:solidFill>
          </w14:textFill>
        </w:rPr>
        <w:t>2.确定绩效评价工作方案</w:t>
      </w:r>
    </w:p>
    <w:p w14:paraId="460653B7">
      <w:pPr>
        <w:bidi w:val="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绩效评价小组根据前期初步收集的</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部门整体工作</w:t>
      </w:r>
      <w:r>
        <w:rPr>
          <w:rFonts w:hint="eastAsia" w:asciiTheme="minorEastAsia" w:hAnsiTheme="minorEastAsia" w:eastAsiaTheme="minorEastAsia" w:cstheme="minorEastAsia"/>
          <w:color w:val="000000" w:themeColor="text1"/>
          <w:highlight w:val="none"/>
          <w14:textFill>
            <w14:solidFill>
              <w14:schemeClr w14:val="tx1"/>
            </w14:solidFill>
          </w14:textFill>
        </w:rPr>
        <w:t>资料，</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根据</w:t>
      </w:r>
      <w:r>
        <w:rPr>
          <w:rFonts w:hint="eastAsia" w:asciiTheme="minorEastAsia" w:hAnsiTheme="minorEastAsia" w:eastAsiaTheme="minorEastAsia" w:cstheme="minorEastAsia"/>
          <w:b w:val="0"/>
          <w:bCs/>
          <w:color w:val="000000" w:themeColor="text1"/>
          <w:sz w:val="21"/>
          <w:szCs w:val="21"/>
          <w:highlight w:val="none"/>
          <w:lang w:val="en-US" w:eastAsia="zh-CN" w:bidi="ar-SA"/>
          <w14:textFill>
            <w14:solidFill>
              <w14:schemeClr w14:val="tx1"/>
            </w14:solidFill>
          </w14:textFill>
        </w:rPr>
        <w:t>部门职能、中长期规划、年度工作计划、重点工作等工作材料分析，梳理分析年度重点工作任务及要求，确定年度部门整体支出的评价重点和部门整体支出绩效目标，</w:t>
      </w:r>
      <w:r>
        <w:rPr>
          <w:rFonts w:hint="eastAsia" w:asciiTheme="minorEastAsia" w:hAnsiTheme="minorEastAsia" w:eastAsiaTheme="minorEastAsia" w:cstheme="minorEastAsia"/>
          <w:color w:val="000000" w:themeColor="text1"/>
          <w:highlight w:val="none"/>
          <w14:textFill>
            <w14:solidFill>
              <w14:schemeClr w14:val="tx1"/>
            </w14:solidFill>
          </w14:textFill>
        </w:rPr>
        <w:t>制定《</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吉木萨尔县统计局部门整体支出</w:t>
      </w:r>
      <w:r>
        <w:rPr>
          <w:rFonts w:hint="eastAsia" w:asciiTheme="minorEastAsia" w:hAnsiTheme="minorEastAsia" w:eastAsiaTheme="minorEastAsia" w:cstheme="minorEastAsia"/>
          <w:color w:val="000000" w:themeColor="text1"/>
          <w:highlight w:val="none"/>
          <w14:textFill>
            <w14:solidFill>
              <w14:schemeClr w14:val="tx1"/>
            </w14:solidFill>
          </w14:textFill>
        </w:rPr>
        <w:t>绩效评价实施方案》。经</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项目负责人审核</w:t>
      </w:r>
      <w:r>
        <w:rPr>
          <w:rFonts w:hint="eastAsia" w:asciiTheme="minorEastAsia" w:hAnsiTheme="minorEastAsia" w:eastAsiaTheme="minorEastAsia" w:cstheme="minorEastAsia"/>
          <w:color w:val="000000" w:themeColor="text1"/>
          <w:highlight w:val="none"/>
          <w14:textFill>
            <w14:solidFill>
              <w14:schemeClr w14:val="tx1"/>
            </w14:solidFill>
          </w14:textFill>
        </w:rPr>
        <w:t>通过后，项目绩效评价工作正式启动。</w:t>
      </w:r>
    </w:p>
    <w:p w14:paraId="72EC2729">
      <w:pPr>
        <w:pStyle w:val="4"/>
        <w:ind w:firstLine="641"/>
        <w:rPr>
          <w:rFonts w:ascii="Times New Roman" w:hAnsi="Times New Roman"/>
          <w:color w:val="000000" w:themeColor="text1"/>
          <w:highlight w:val="none"/>
          <w14:textFill>
            <w14:solidFill>
              <w14:schemeClr w14:val="tx1"/>
            </w14:solidFill>
          </w14:textFill>
        </w:rPr>
      </w:pPr>
      <w:r>
        <w:rPr>
          <w:rFonts w:ascii="Times New Roman" w:hAnsi="Times New Roman"/>
          <w:color w:val="000000" w:themeColor="text1"/>
          <w:highlight w:val="none"/>
          <w14:textFill>
            <w14:solidFill>
              <w14:schemeClr w14:val="tx1"/>
            </w14:solidFill>
          </w14:textFill>
        </w:rPr>
        <w:t>3.组织实施</w:t>
      </w:r>
    </w:p>
    <w:p w14:paraId="0457C609">
      <w:pPr>
        <w:ind w:firstLine="64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2025</w:t>
      </w:r>
      <w:r>
        <w:rPr>
          <w:rFonts w:hint="eastAsia" w:asciiTheme="minorEastAsia" w:hAnsiTheme="minorEastAsia" w:eastAsiaTheme="minorEastAsia" w:cstheme="minorEastAsia"/>
          <w:color w:val="000000" w:themeColor="text1"/>
          <w:highlight w:val="none"/>
          <w14:textFill>
            <w14:solidFill>
              <w14:schemeClr w14:val="tx1"/>
            </w14:solidFill>
          </w14:textFill>
        </w:rPr>
        <w:t>年</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highlight w:val="none"/>
          <w14:textFill>
            <w14:solidFill>
              <w14:schemeClr w14:val="tx1"/>
            </w14:solidFill>
          </w14:textFill>
        </w:rPr>
        <w:t>月</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highlight w:val="none"/>
          <w14:textFill>
            <w14:solidFill>
              <w14:schemeClr w14:val="tx1"/>
            </w14:solidFill>
          </w14:textFill>
        </w:rPr>
        <w:t>日</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至2025</w:t>
      </w:r>
      <w:r>
        <w:rPr>
          <w:rFonts w:hint="eastAsia" w:asciiTheme="minorEastAsia" w:hAnsiTheme="minorEastAsia" w:eastAsiaTheme="minorEastAsia" w:cstheme="minorEastAsia"/>
          <w:color w:val="000000" w:themeColor="text1"/>
          <w:highlight w:val="none"/>
          <w14:textFill>
            <w14:solidFill>
              <w14:schemeClr w14:val="tx1"/>
            </w14:solidFill>
          </w14:textFill>
        </w:rPr>
        <w:t>年</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highlight w:val="none"/>
          <w14:textFill>
            <w14:solidFill>
              <w14:schemeClr w14:val="tx1"/>
            </w14:solidFill>
          </w14:textFill>
        </w:rPr>
        <w:t>月</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25</w:t>
      </w:r>
      <w:r>
        <w:rPr>
          <w:rFonts w:hint="eastAsia" w:asciiTheme="minorEastAsia" w:hAnsiTheme="minorEastAsia" w:eastAsiaTheme="minorEastAsia" w:cstheme="minorEastAsia"/>
          <w:color w:val="000000" w:themeColor="text1"/>
          <w:highlight w:val="none"/>
          <w14:textFill>
            <w14:solidFill>
              <w14:schemeClr w14:val="tx1"/>
            </w14:solidFill>
          </w14:textFill>
        </w:rPr>
        <w:t>日</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highlight w:val="none"/>
          <w14:textFill>
            <w14:solidFill>
              <w14:schemeClr w14:val="tx1"/>
            </w14:solidFill>
          </w14:textFill>
        </w:rPr>
        <w:t>绩效评价组采取现场和非现场评价相结合的方式开展调研、查阅基础资料、数据采集、问卷调查、访谈、数据分析等绩效评价工作，具体实施情况如下：</w:t>
      </w:r>
    </w:p>
    <w:p w14:paraId="20DDF9B1">
      <w:pPr>
        <w:ind w:firstLine="640"/>
        <w:rPr>
          <w:rFonts w:hint="eastAsia" w:asciiTheme="minorEastAsia" w:hAnsiTheme="minorEastAsia" w:eastAsiaTheme="minorEastAsia" w:cstheme="minorEastAsia"/>
          <w:color w:val="000000" w:themeColor="text1"/>
          <w:highlight w:val="none"/>
          <w14:textFill>
            <w14:solidFill>
              <w14:schemeClr w14:val="tx1"/>
            </w14:solidFill>
          </w14:textFill>
        </w:rPr>
      </w:pPr>
      <w:bookmarkStart w:id="55" w:name="_Toc11994"/>
      <w:r>
        <w:rPr>
          <w:rFonts w:hint="eastAsia" w:asciiTheme="minorEastAsia" w:hAnsiTheme="minorEastAsia" w:eastAsiaTheme="minorEastAsia" w:cstheme="minorEastAsia"/>
          <w:color w:val="000000" w:themeColor="text1"/>
          <w:highlight w:val="none"/>
          <w14:textFill>
            <w14:solidFill>
              <w14:schemeClr w14:val="tx1"/>
            </w14:solidFill>
          </w14:textFill>
        </w:rPr>
        <w:t>（1）与</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吉木萨尔县统计局财务室，</w:t>
      </w:r>
      <w:r>
        <w:rPr>
          <w:rFonts w:hint="eastAsia" w:asciiTheme="minorEastAsia" w:hAnsiTheme="minorEastAsia" w:eastAsiaTheme="minorEastAsia" w:cstheme="minorEastAsia"/>
          <w:color w:val="000000" w:themeColor="text1"/>
          <w:highlight w:val="none"/>
          <w14:textFill>
            <w14:solidFill>
              <w14:schemeClr w14:val="tx1"/>
            </w14:solidFill>
          </w14:textFill>
        </w:rPr>
        <w:t>管理人员进行访谈沟通，全面了解</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部门单位的主要职责、年度重点任务</w:t>
      </w:r>
      <w:r>
        <w:rPr>
          <w:rFonts w:hint="eastAsia" w:asciiTheme="minorEastAsia" w:hAnsiTheme="minorEastAsia" w:eastAsiaTheme="minorEastAsia" w:cstheme="minorEastAsia"/>
          <w:color w:val="000000" w:themeColor="text1"/>
          <w:highlight w:val="none"/>
          <w14:textFill>
            <w14:solidFill>
              <w14:schemeClr w14:val="tx1"/>
            </w14:solidFill>
          </w14:textFill>
        </w:rPr>
        <w:t>安排</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、核心履职效能</w:t>
      </w:r>
      <w:r>
        <w:rPr>
          <w:rFonts w:hint="eastAsia" w:asciiTheme="minorEastAsia" w:hAnsiTheme="minorEastAsia" w:eastAsiaTheme="minorEastAsia" w:cstheme="minorEastAsia"/>
          <w:color w:val="000000" w:themeColor="text1"/>
          <w:highlight w:val="none"/>
          <w14:textFill>
            <w14:solidFill>
              <w14:schemeClr w14:val="tx1"/>
            </w14:solidFill>
          </w14:textFill>
        </w:rPr>
        <w:t>、</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部门整体预算安排及使用情况</w:t>
      </w:r>
      <w:r>
        <w:rPr>
          <w:rFonts w:hint="eastAsia" w:asciiTheme="minorEastAsia" w:hAnsiTheme="minorEastAsia" w:eastAsiaTheme="minorEastAsia" w:cstheme="minorEastAsia"/>
          <w:color w:val="000000" w:themeColor="text1"/>
          <w:highlight w:val="none"/>
          <w14:textFill>
            <w14:solidFill>
              <w14:schemeClr w14:val="tx1"/>
            </w14:solidFill>
          </w14:textFill>
        </w:rPr>
        <w:t>等方面的内容。</w:t>
      </w:r>
      <w:r>
        <w:rPr>
          <w:rFonts w:hint="eastAsia" w:asciiTheme="minorEastAsia" w:hAnsiTheme="minorEastAsia" w:eastAsiaTheme="minorEastAsia" w:cstheme="minorEastAsia"/>
          <w:bCs/>
          <w:color w:val="000000" w:themeColor="text1"/>
          <w:highlight w:val="none"/>
          <w14:textFill>
            <w14:solidFill>
              <w14:schemeClr w14:val="tx1"/>
            </w14:solidFill>
          </w14:textFill>
        </w:rPr>
        <w:t>全面收集项目相关资料和基础数据，</w:t>
      </w:r>
      <w:r>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t>整理</w:t>
      </w:r>
      <w:r>
        <w:rPr>
          <w:rFonts w:hint="eastAsia" w:asciiTheme="minorEastAsia" w:hAnsiTheme="minorEastAsia" w:eastAsiaTheme="minorEastAsia" w:cstheme="minorEastAsia"/>
          <w:bCs/>
          <w:color w:val="000000" w:themeColor="text1"/>
          <w:highlight w:val="none"/>
          <w14:textFill>
            <w14:solidFill>
              <w14:schemeClr w14:val="tx1"/>
            </w14:solidFill>
          </w14:textFill>
        </w:rPr>
        <w:t>获取</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部门单位机构设置</w:t>
      </w:r>
      <w:r>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t>、</w:t>
      </w:r>
      <w:r>
        <w:rPr>
          <w:rFonts w:hint="eastAsia" w:asciiTheme="minorEastAsia" w:hAnsiTheme="minorEastAsia" w:eastAsiaTheme="minorEastAsia" w:cstheme="minorEastAsia"/>
          <w:bCs/>
          <w:color w:val="000000" w:themeColor="text1"/>
          <w:highlight w:val="none"/>
          <w14:textFill>
            <w14:solidFill>
              <w14:schemeClr w14:val="tx1"/>
            </w14:solidFill>
          </w14:textFill>
        </w:rPr>
        <w:t>部门</w:t>
      </w:r>
      <w:r>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t>职能、</w:t>
      </w:r>
      <w:r>
        <w:rPr>
          <w:rFonts w:hint="eastAsia" w:asciiTheme="minorEastAsia" w:hAnsiTheme="minorEastAsia" w:eastAsiaTheme="minorEastAsia" w:cstheme="minorEastAsia"/>
          <w:bCs/>
          <w:color w:val="000000" w:themeColor="text1"/>
          <w:highlight w:val="none"/>
          <w14:textFill>
            <w14:solidFill>
              <w14:schemeClr w14:val="tx1"/>
            </w14:solidFill>
          </w14:textFill>
        </w:rPr>
        <w:t>中长期</w:t>
      </w:r>
      <w:r>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t>规划、年度</w:t>
      </w:r>
      <w:r>
        <w:rPr>
          <w:rFonts w:hint="eastAsia" w:asciiTheme="minorEastAsia" w:hAnsiTheme="minorEastAsia" w:eastAsiaTheme="minorEastAsia" w:cstheme="minorEastAsia"/>
          <w:bCs/>
          <w:color w:val="000000" w:themeColor="text1"/>
          <w:highlight w:val="none"/>
          <w14:textFill>
            <w14:solidFill>
              <w14:schemeClr w14:val="tx1"/>
            </w14:solidFill>
          </w14:textFill>
        </w:rPr>
        <w:t>工作</w:t>
      </w:r>
      <w:r>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t>计划</w:t>
      </w:r>
      <w:r>
        <w:rPr>
          <w:rFonts w:hint="eastAsia" w:asciiTheme="minorEastAsia" w:hAnsiTheme="minorEastAsia" w:eastAsiaTheme="minorEastAsia" w:cstheme="minorEastAsia"/>
          <w:bCs/>
          <w:color w:val="000000" w:themeColor="text1"/>
          <w:highlight w:val="none"/>
          <w14:textFill>
            <w14:solidFill>
              <w14:schemeClr w14:val="tx1"/>
            </w14:solidFill>
          </w14:textFill>
        </w:rPr>
        <w:t>和重点工作完成情况</w:t>
      </w:r>
      <w:r>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t>、资金安排与使用</w:t>
      </w:r>
      <w:r>
        <w:rPr>
          <w:rFonts w:hint="eastAsia" w:asciiTheme="minorEastAsia" w:hAnsiTheme="minorEastAsia" w:eastAsiaTheme="minorEastAsia" w:cstheme="minorEastAsia"/>
          <w:bCs/>
          <w:color w:val="000000" w:themeColor="text1"/>
          <w:highlight w:val="none"/>
          <w14:textFill>
            <w14:solidFill>
              <w14:schemeClr w14:val="tx1"/>
            </w14:solidFill>
          </w14:textFill>
        </w:rPr>
        <w:t>情况</w:t>
      </w:r>
      <w:r>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t>等基础</w:t>
      </w:r>
      <w:r>
        <w:rPr>
          <w:rFonts w:hint="eastAsia" w:asciiTheme="minorEastAsia" w:hAnsiTheme="minorEastAsia" w:eastAsiaTheme="minorEastAsia" w:cstheme="minorEastAsia"/>
          <w:bCs/>
          <w:color w:val="000000" w:themeColor="text1"/>
          <w:highlight w:val="none"/>
          <w14:textFill>
            <w14:solidFill>
              <w14:schemeClr w14:val="tx1"/>
            </w14:solidFill>
          </w14:textFill>
        </w:rPr>
        <w:t>资料</w:t>
      </w:r>
      <w:r>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t>，</w:t>
      </w:r>
      <w:r>
        <w:rPr>
          <w:rFonts w:hint="eastAsia" w:asciiTheme="minorEastAsia" w:hAnsiTheme="minorEastAsia" w:eastAsiaTheme="minorEastAsia" w:cstheme="minorEastAsia"/>
          <w:bCs/>
          <w:color w:val="000000" w:themeColor="text1"/>
          <w:highlight w:val="none"/>
          <w14:textFill>
            <w14:solidFill>
              <w14:schemeClr w14:val="tx1"/>
            </w14:solidFill>
          </w14:textFill>
        </w:rPr>
        <w:t>分类梳理</w:t>
      </w:r>
      <w:r>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t>202</w:t>
      </w:r>
      <w:r>
        <w:rPr>
          <w:rFonts w:hint="eastAsia" w:asciiTheme="minorEastAsia" w:hAnsiTheme="minorEastAsia" w:eastAsiaTheme="minorEastAsia" w:cstheme="minorEastAsia"/>
          <w:bCs/>
          <w:color w:val="000000" w:themeColor="text1"/>
          <w:highlight w:val="none"/>
          <w:lang w:val="en-US" w:eastAsia="zh-CN"/>
          <w14:textFill>
            <w14:solidFill>
              <w14:schemeClr w14:val="tx1"/>
            </w14:solidFill>
          </w14:textFill>
        </w:rPr>
        <w:t>4</w:t>
      </w:r>
      <w:r>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t>年度部门预算资金</w:t>
      </w:r>
      <w:r>
        <w:rPr>
          <w:rFonts w:hint="eastAsia" w:asciiTheme="minorEastAsia" w:hAnsiTheme="minorEastAsia" w:eastAsiaTheme="minorEastAsia" w:cstheme="minorEastAsia"/>
          <w:bCs/>
          <w:color w:val="000000" w:themeColor="text1"/>
          <w:highlight w:val="none"/>
          <w14:textFill>
            <w14:solidFill>
              <w14:schemeClr w14:val="tx1"/>
            </w14:solidFill>
          </w14:textFill>
        </w:rPr>
        <w:t>管理</w:t>
      </w:r>
      <w:r>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t>、</w:t>
      </w:r>
      <w:r>
        <w:rPr>
          <w:rFonts w:hint="eastAsia" w:asciiTheme="minorEastAsia" w:hAnsiTheme="minorEastAsia" w:eastAsiaTheme="minorEastAsia" w:cstheme="minorEastAsia"/>
          <w:bCs/>
          <w:color w:val="000000" w:themeColor="text1"/>
          <w:highlight w:val="none"/>
          <w14:textFill>
            <w14:solidFill>
              <w14:schemeClr w14:val="tx1"/>
            </w14:solidFill>
          </w14:textFill>
        </w:rPr>
        <w:t>部门履职、内控制度管理、</w:t>
      </w:r>
      <w:r>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t>项目实施、绩效目标完成情况等数据，</w:t>
      </w:r>
      <w:r>
        <w:rPr>
          <w:rFonts w:hint="eastAsia" w:asciiTheme="minorEastAsia" w:hAnsiTheme="minorEastAsia" w:eastAsiaTheme="minorEastAsia" w:cstheme="minorEastAsia"/>
          <w:bCs/>
          <w:color w:val="000000" w:themeColor="text1"/>
          <w:highlight w:val="none"/>
          <w14:textFill>
            <w14:solidFill>
              <w14:schemeClr w14:val="tx1"/>
            </w14:solidFill>
          </w14:textFill>
        </w:rPr>
        <w:t>并</w:t>
      </w:r>
      <w:r>
        <w:rPr>
          <w:rFonts w:hint="eastAsia" w:asciiTheme="minorEastAsia" w:hAnsiTheme="minorEastAsia" w:eastAsiaTheme="minorEastAsia" w:cstheme="minorEastAsia"/>
          <w:bCs/>
          <w:color w:val="000000" w:themeColor="text1"/>
          <w:highlight w:val="none"/>
          <w:lang w:val="zh-TW" w:eastAsia="zh-TW"/>
          <w14:textFill>
            <w14:solidFill>
              <w14:schemeClr w14:val="tx1"/>
            </w14:solidFill>
          </w14:textFill>
        </w:rPr>
        <w:t>对采集的数据做详细的分析和统计</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71325E84">
      <w:pPr>
        <w:ind w:firstLine="0"/>
        <w:rPr>
          <w:rFonts w:hint="eastAsia" w:asciiTheme="minorEastAsia" w:hAnsiTheme="minorEastAsia" w:eastAsiaTheme="minorEastAsia" w:cstheme="minorEastAsia"/>
          <w:b w:val="0"/>
          <w:bCs w:val="0"/>
          <w:color w:val="000000" w:themeColor="text1"/>
          <w:highlight w:val="none"/>
          <w:lang w:val="en-US" w:eastAsia="zh-CN"/>
          <w14:textFill>
            <w14:solidFill>
              <w14:schemeClr w14:val="tx1"/>
            </w14:solidFill>
          </w14:textFill>
        </w:rPr>
      </w:pPr>
      <w:r>
        <w:rPr>
          <w:rFonts w:hint="eastAsia" w:asciiTheme="minorEastAsia" w:hAnsiTheme="minorEastAsia" w:eastAsiaTheme="minorEastAsia" w:cstheme="minorEastAsia"/>
          <w:color w:val="000000" w:themeColor="text1"/>
          <w:highlight w:val="none"/>
          <w14:textFill>
            <w14:solidFill>
              <w14:schemeClr w14:val="tx1"/>
            </w14:solidFill>
          </w14:textFill>
        </w:rPr>
        <w:t>（</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highlight w:val="none"/>
          <w14:textFill>
            <w14:solidFill>
              <w14:schemeClr w14:val="tx1"/>
            </w14:solidFill>
          </w14:textFill>
        </w:rPr>
        <w:t>）</w:t>
      </w:r>
      <w:bookmarkEnd w:id="55"/>
      <w:bookmarkStart w:id="56" w:name="_Toc26870"/>
      <w:bookmarkStart w:id="57" w:name="_Toc419984726"/>
      <w:bookmarkStart w:id="58" w:name="_Toc428278235"/>
      <w:r>
        <w:rPr>
          <w:rFonts w:hint="eastAsia" w:asciiTheme="minorEastAsia" w:hAnsiTheme="minorEastAsia" w:eastAsiaTheme="minorEastAsia" w:cstheme="minorEastAsia"/>
          <w:color w:val="000000" w:themeColor="text1"/>
          <w:highlight w:val="none"/>
          <w14:textFill>
            <w14:solidFill>
              <w14:schemeClr w14:val="tx1"/>
            </w14:solidFill>
          </w14:textFill>
        </w:rPr>
        <w:t>实地调研和现场勘察</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由评价小组实地走访吉木萨尔县统计局，对单位的具体运行情况进行实地走访，对单位财务人员和业务科室相关人员对吉木萨尔县整体发展要求、单位中长期发展、单位组织架构、单位人员构成、内控制度建设、财务管理、绩效管理、政府采购管理、资产管理等方面进行实地调研了解。同时，剔除单位日常人员工资、社保等刚性支出外，随机抽取单位4笔财务凭证涉及金额99.09万元，</w:t>
      </w:r>
      <w:r>
        <w:rPr>
          <w:rFonts w:hint="eastAsia" w:asciiTheme="minorEastAsia" w:hAnsiTheme="minorEastAsia" w:eastAsiaTheme="minorEastAsia" w:cstheme="minorEastAsia"/>
          <w:color w:val="000000" w:themeColor="text1"/>
          <w:highlight w:val="none"/>
          <w14:textFill>
            <w14:solidFill>
              <w14:schemeClr w14:val="tx1"/>
            </w14:solidFill>
          </w14:textFill>
        </w:rPr>
        <w:t>涵盖差旅</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费支出</w:t>
      </w:r>
      <w:r>
        <w:rPr>
          <w:rFonts w:hint="eastAsia" w:asciiTheme="minorEastAsia" w:hAnsiTheme="minorEastAsia" w:eastAsiaTheme="minorEastAsia" w:cstheme="minorEastAsia"/>
          <w:color w:val="000000" w:themeColor="text1"/>
          <w:highlight w:val="none"/>
          <w14:textFill>
            <w14:solidFill>
              <w14:schemeClr w14:val="tx1"/>
            </w14:solidFill>
          </w14:textFill>
        </w:rPr>
        <w:t>、维修、采购等</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不同类型的</w:t>
      </w:r>
      <w:r>
        <w:rPr>
          <w:rFonts w:hint="eastAsia" w:asciiTheme="minorEastAsia" w:hAnsiTheme="minorEastAsia" w:eastAsiaTheme="minorEastAsia" w:cstheme="minorEastAsia"/>
          <w:color w:val="000000" w:themeColor="text1"/>
          <w:highlight w:val="none"/>
          <w14:textFill>
            <w14:solidFill>
              <w14:schemeClr w14:val="tx1"/>
            </w14:solidFill>
          </w14:textFill>
        </w:rPr>
        <w:t>业务活动</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查阅项目支出规范性</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调阅单位资产管理平台，随机抽盘单位资产管理情况，查阅单位资产管理有效性；抽查</w:t>
      </w:r>
      <w:r>
        <w:rPr>
          <w:rFonts w:hint="eastAsia" w:asciiTheme="minorEastAsia" w:hAnsiTheme="minorEastAsia" w:eastAsiaTheme="minorEastAsia" w:cstheme="minorEastAsia"/>
          <w:color w:val="000000" w:themeColor="text1"/>
          <w:highlight w:val="none"/>
          <w14:textFill>
            <w14:solidFill>
              <w14:schemeClr w14:val="tx1"/>
            </w14:solidFill>
          </w14:textFill>
        </w:rPr>
        <w:t>新疆维吾尔自治区财政预算绩效系统数据</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查阅单位部门整体绩效评价与项目绩效评价管理情况，并对其指标上传的印证资料进行逐项核对真实性。</w:t>
      </w:r>
    </w:p>
    <w:p w14:paraId="7F4784C8">
      <w:pPr>
        <w:ind w:firstLine="640"/>
        <w:rPr>
          <w:rFonts w:hint="eastAsia" w:asciiTheme="minorEastAsia" w:hAnsiTheme="minorEastAsia" w:eastAsiaTheme="minorEastAsia" w:cstheme="minorEastAsia"/>
          <w:color w:val="000000" w:themeColor="text1"/>
          <w:highlight w:val="none"/>
          <w:lang w:val="zh-TW"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highlight w:val="none"/>
          <w:lang w:val="en-US" w:eastAsia="zh-CN"/>
          <w14:textFill>
            <w14:solidFill>
              <w14:schemeClr w14:val="tx1"/>
            </w14:solidFill>
          </w14:textFill>
        </w:rPr>
        <w:t>3</w:t>
      </w:r>
      <w:r>
        <w:rPr>
          <w:rFonts w:hint="eastAsia" w:asciiTheme="minorEastAsia" w:hAnsiTheme="minorEastAsia" w:eastAsiaTheme="minorEastAsia" w:cstheme="minorEastAsia"/>
          <w:b w:val="0"/>
          <w:bCs w:val="0"/>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b w:val="0"/>
          <w:bCs w:val="0"/>
          <w:color w:val="000000" w:themeColor="text1"/>
          <w:highlight w:val="none"/>
          <w14:textFill>
            <w14:solidFill>
              <w14:schemeClr w14:val="tx1"/>
            </w14:solidFill>
          </w14:textFill>
        </w:rPr>
        <w:t>经调研了解，</w:t>
      </w:r>
      <w:bookmarkEnd w:id="56"/>
      <w:bookmarkEnd w:id="57"/>
      <w:bookmarkEnd w:id="58"/>
      <w:r>
        <w:rPr>
          <w:rFonts w:hint="eastAsia" w:asciiTheme="minorEastAsia" w:hAnsiTheme="minorEastAsia" w:eastAsiaTheme="minorEastAsia" w:cstheme="minorEastAsia"/>
          <w:bCs/>
          <w:color w:val="000000" w:themeColor="text1"/>
          <w:highlight w:val="none"/>
          <w14:textFill>
            <w14:solidFill>
              <w14:schemeClr w14:val="tx1"/>
            </w14:solidFill>
          </w14:textFill>
        </w:rPr>
        <w:t>绩效评</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价组结合现场调研情况以及部门工作开展情况，明确部门履职而影响到的受益群体为纳统企业，专职统计员，通过调查问卷形式了解部门服务对象对吉木萨尔县统计局服务态度等的满意程度，以及服务提供情况与现实需求的匹配程度。</w:t>
      </w:r>
      <w:r>
        <w:rPr>
          <w:rFonts w:hint="eastAsia" w:asciiTheme="minorEastAsia" w:hAnsiTheme="minorEastAsia" w:eastAsiaTheme="minorEastAsia" w:cstheme="minorEastAsia"/>
          <w:color w:val="000000" w:themeColor="text1"/>
          <w:highlight w:val="none"/>
          <w:lang w:val="zh-TW" w:eastAsia="zh-CN"/>
          <w14:textFill>
            <w14:solidFill>
              <w14:schemeClr w14:val="tx1"/>
            </w14:solidFill>
          </w14:textFill>
        </w:rPr>
        <w:t>该项目问卷调查使用抽样的方式，对</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吉木萨尔县纳统企业，专职统计员随机发放线上调查问卷</w:t>
      </w:r>
      <w:r>
        <w:rPr>
          <w:rFonts w:hint="eastAsia" w:asciiTheme="minorEastAsia" w:hAnsiTheme="minorEastAsia" w:eastAsiaTheme="minorEastAsia" w:cstheme="minorEastAsia"/>
          <w:color w:val="000000" w:themeColor="text1"/>
          <w:highlight w:val="none"/>
          <w:lang w:val="zh-TW" w:eastAsia="zh-CN"/>
          <w14:textFill>
            <w14:solidFill>
              <w14:schemeClr w14:val="tx1"/>
            </w14:solidFill>
          </w14:textFill>
        </w:rPr>
        <w:t>。</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纳统企业满意度收回63份，统计人员满意度收回32份。</w:t>
      </w:r>
    </w:p>
    <w:p w14:paraId="1102A95F">
      <w:pPr>
        <w:ind w:firstLine="64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kern w:val="0"/>
          <w:szCs w:val="24"/>
          <w:highlight w:val="none"/>
          <w14:textFill>
            <w14:solidFill>
              <w14:schemeClr w14:val="tx1"/>
            </w14:solidFill>
          </w14:textFill>
        </w:rPr>
        <w:t>（5）通过对采集的数据资料进行复核汇总、分类整理和综合分析，按照设立的评价指标、标准、权重、方法实施评价，并形成评价工作底稿</w:t>
      </w:r>
      <w:r>
        <w:rPr>
          <w:rFonts w:hint="eastAsia" w:asciiTheme="minorEastAsia" w:hAnsiTheme="minorEastAsia" w:eastAsiaTheme="minorEastAsia" w:cstheme="minorEastAsia"/>
          <w:color w:val="000000" w:themeColor="text1"/>
          <w:highlight w:val="none"/>
          <w14:textFill>
            <w14:solidFill>
              <w14:schemeClr w14:val="tx1"/>
            </w14:solidFill>
          </w14:textFill>
        </w:rPr>
        <w:t>。</w:t>
      </w:r>
    </w:p>
    <w:p w14:paraId="20F482B4">
      <w:pPr>
        <w:pStyle w:val="4"/>
        <w:rPr>
          <w:rFonts w:hint="default" w:ascii="Times New Roman" w:hAnsi="Times New Roman" w:cs="Times New Roman"/>
          <w:color w:val="000000" w:themeColor="text1"/>
          <w:highlight w:val="none"/>
          <w14:textFill>
            <w14:solidFill>
              <w14:schemeClr w14:val="tx1"/>
            </w14:solidFill>
          </w14:textFill>
        </w:rPr>
      </w:pPr>
      <w:bookmarkStart w:id="59" w:name="_Toc19481"/>
      <w:r>
        <w:rPr>
          <w:rFonts w:hint="eastAsia" w:cs="Times New Roman"/>
          <w:color w:val="000000" w:themeColor="text1"/>
          <w:highlight w:val="none"/>
          <w:lang w:val="en-US" w:eastAsia="zh-CN"/>
          <w14:textFill>
            <w14:solidFill>
              <w14:schemeClr w14:val="tx1"/>
            </w14:solidFill>
          </w14:textFill>
        </w:rPr>
        <w:t>4.</w:t>
      </w:r>
      <w:r>
        <w:rPr>
          <w:rFonts w:hint="default" w:ascii="Times New Roman" w:hAnsi="Times New Roman" w:cs="Times New Roman"/>
          <w:color w:val="000000" w:themeColor="text1"/>
          <w:highlight w:val="none"/>
          <w14:textFill>
            <w14:solidFill>
              <w14:schemeClr w14:val="tx1"/>
            </w14:solidFill>
          </w14:textFill>
        </w:rPr>
        <w:t>撰写</w:t>
      </w:r>
      <w:r>
        <w:rPr>
          <w:rFonts w:hint="eastAsia" w:cs="Times New Roman"/>
          <w:color w:val="000000" w:themeColor="text1"/>
          <w:highlight w:val="none"/>
          <w:lang w:val="en-US" w:eastAsia="zh-CN"/>
          <w14:textFill>
            <w14:solidFill>
              <w14:schemeClr w14:val="tx1"/>
            </w14:solidFill>
          </w14:textFill>
        </w:rPr>
        <w:t>绩效评价</w:t>
      </w:r>
      <w:r>
        <w:rPr>
          <w:rFonts w:hint="default" w:ascii="Times New Roman" w:hAnsi="Times New Roman" w:cs="Times New Roman"/>
          <w:color w:val="000000" w:themeColor="text1"/>
          <w:highlight w:val="none"/>
          <w14:textFill>
            <w14:solidFill>
              <w14:schemeClr w14:val="tx1"/>
            </w14:solidFill>
          </w14:textFill>
        </w:rPr>
        <w:t>报告</w:t>
      </w:r>
      <w:bookmarkEnd w:id="59"/>
    </w:p>
    <w:p w14:paraId="3D2A0D88">
      <w:pPr>
        <w:ind w:firstLine="560"/>
        <w:rPr>
          <w:rFonts w:hint="eastAsia" w:asciiTheme="minorEastAsia" w:hAnsiTheme="minorEastAsia" w:eastAsiaTheme="minorEastAsia" w:cstheme="minorEastAsia"/>
          <w:color w:val="000000" w:themeColor="text1"/>
          <w:highlight w:val="none"/>
          <w14:textFill>
            <w14:solidFill>
              <w14:schemeClr w14:val="tx1"/>
            </w14:solidFill>
          </w14:textFill>
        </w:rPr>
      </w:pP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2025</w:t>
      </w:r>
      <w:r>
        <w:rPr>
          <w:rFonts w:hint="eastAsia" w:asciiTheme="minorEastAsia" w:hAnsiTheme="minorEastAsia" w:eastAsiaTheme="minorEastAsia" w:cstheme="minorEastAsia"/>
          <w:color w:val="000000" w:themeColor="text1"/>
          <w:highlight w:val="none"/>
          <w14:textFill>
            <w14:solidFill>
              <w14:schemeClr w14:val="tx1"/>
            </w14:solidFill>
          </w14:textFill>
        </w:rPr>
        <w:t>年</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highlight w:val="none"/>
          <w14:textFill>
            <w14:solidFill>
              <w14:schemeClr w14:val="tx1"/>
            </w14:solidFill>
          </w14:textFill>
        </w:rPr>
        <w:t>月</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26</w:t>
      </w:r>
      <w:r>
        <w:rPr>
          <w:rFonts w:hint="eastAsia" w:asciiTheme="minorEastAsia" w:hAnsiTheme="minorEastAsia" w:eastAsiaTheme="minorEastAsia" w:cstheme="minorEastAsia"/>
          <w:color w:val="000000" w:themeColor="text1"/>
          <w:highlight w:val="none"/>
          <w14:textFill>
            <w14:solidFill>
              <w14:schemeClr w14:val="tx1"/>
            </w14:solidFill>
          </w14:textFill>
        </w:rPr>
        <w:t>日</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至2025</w:t>
      </w:r>
      <w:r>
        <w:rPr>
          <w:rFonts w:hint="eastAsia" w:asciiTheme="minorEastAsia" w:hAnsiTheme="minorEastAsia" w:eastAsiaTheme="minorEastAsia" w:cstheme="minorEastAsia"/>
          <w:color w:val="000000" w:themeColor="text1"/>
          <w:highlight w:val="none"/>
          <w14:textFill>
            <w14:solidFill>
              <w14:schemeClr w14:val="tx1"/>
            </w14:solidFill>
          </w14:textFill>
        </w:rPr>
        <w:t>年</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highlight w:val="none"/>
          <w14:textFill>
            <w14:solidFill>
              <w14:schemeClr w14:val="tx1"/>
            </w14:solidFill>
          </w14:textFill>
        </w:rPr>
        <w:t>月</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30</w:t>
      </w:r>
      <w:r>
        <w:rPr>
          <w:rFonts w:hint="eastAsia" w:asciiTheme="minorEastAsia" w:hAnsiTheme="minorEastAsia" w:eastAsiaTheme="minorEastAsia" w:cstheme="minorEastAsia"/>
          <w:color w:val="000000" w:themeColor="text1"/>
          <w:highlight w:val="none"/>
          <w14:textFill>
            <w14:solidFill>
              <w14:schemeClr w14:val="tx1"/>
            </w14:solidFill>
          </w14:textFill>
        </w:rPr>
        <w:t>日</w:t>
      </w:r>
      <w:r>
        <w:rPr>
          <w:rFonts w:hint="eastAsia" w:asciiTheme="minorEastAsia" w:hAnsiTheme="minorEastAsia" w:eastAsiaTheme="minorEastAsia" w:cstheme="minorEastAsia"/>
          <w:color w:val="000000" w:themeColor="text1"/>
          <w:highlight w:val="none"/>
          <w:lang w:eastAsia="zh-CN"/>
          <w14:textFill>
            <w14:solidFill>
              <w14:schemeClr w14:val="tx1"/>
            </w14:solidFill>
          </w14:textFill>
        </w:rPr>
        <w:t>，</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项目组</w:t>
      </w:r>
      <w:r>
        <w:rPr>
          <w:rFonts w:hint="eastAsia" w:asciiTheme="minorEastAsia" w:hAnsiTheme="minorEastAsia" w:eastAsiaTheme="minorEastAsia" w:cstheme="minorEastAsia"/>
          <w:color w:val="000000" w:themeColor="text1"/>
          <w:highlight w:val="none"/>
          <w14:textFill>
            <w14:solidFill>
              <w14:schemeClr w14:val="tx1"/>
            </w14:solidFill>
          </w14:textFill>
        </w:rPr>
        <w:t>归集</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绩效评价</w:t>
      </w:r>
      <w:r>
        <w:rPr>
          <w:rFonts w:hint="eastAsia" w:asciiTheme="minorEastAsia" w:hAnsiTheme="minorEastAsia" w:eastAsiaTheme="minorEastAsia" w:cstheme="minorEastAsia"/>
          <w:color w:val="000000" w:themeColor="text1"/>
          <w:highlight w:val="none"/>
          <w14:textFill>
            <w14:solidFill>
              <w14:schemeClr w14:val="tx1"/>
            </w14:solidFill>
          </w14:textFill>
        </w:rPr>
        <w:t>工作底稿，起草</w:t>
      </w:r>
      <w:r>
        <w:rPr>
          <w:rFonts w:hint="eastAsia" w:asciiTheme="minorEastAsia" w:hAnsiTheme="minorEastAsia" w:eastAsiaTheme="minorEastAsia" w:cstheme="minorEastAsia"/>
          <w:color w:val="000000" w:themeColor="text1"/>
          <w:highlight w:val="none"/>
          <w:lang w:val="en-US" w:eastAsia="zh-CN"/>
          <w14:textFill>
            <w14:solidFill>
              <w14:schemeClr w14:val="tx1"/>
            </w14:solidFill>
          </w14:textFill>
        </w:rPr>
        <w:t>绩效评价</w:t>
      </w:r>
      <w:r>
        <w:rPr>
          <w:rFonts w:hint="eastAsia" w:asciiTheme="minorEastAsia" w:hAnsiTheme="minorEastAsia" w:eastAsiaTheme="minorEastAsia" w:cstheme="minorEastAsia"/>
          <w:color w:val="000000" w:themeColor="text1"/>
          <w:highlight w:val="none"/>
          <w14:textFill>
            <w14:solidFill>
              <w14:schemeClr w14:val="tx1"/>
            </w14:solidFill>
          </w14:textFill>
        </w:rPr>
        <w:t>报告，经公司内部质量审核通过后向委托人提交评估报告初稿，并报送项目实施机构以及行业主管部门，进行结果反馈，充分交换意见。</w:t>
      </w:r>
    </w:p>
    <w:p w14:paraId="1CFBE663">
      <w:pPr>
        <w:pStyle w:val="4"/>
        <w:rPr>
          <w:rFonts w:hint="default" w:cs="Times New Roman"/>
          <w:color w:val="000000" w:themeColor="text1"/>
          <w:highlight w:val="none"/>
          <w:lang w:val="en-US" w:eastAsia="zh-CN"/>
          <w14:textFill>
            <w14:solidFill>
              <w14:schemeClr w14:val="tx1"/>
            </w14:solidFill>
          </w14:textFill>
        </w:rPr>
      </w:pPr>
      <w:bookmarkStart w:id="60" w:name="_Toc471"/>
      <w:r>
        <w:rPr>
          <w:rFonts w:hint="eastAsia" w:cs="Times New Roman"/>
          <w:color w:val="000000" w:themeColor="text1"/>
          <w:highlight w:val="none"/>
          <w:lang w:val="en-US" w:eastAsia="zh-CN"/>
          <w14:textFill>
            <w14:solidFill>
              <w14:schemeClr w14:val="tx1"/>
            </w14:solidFill>
          </w14:textFill>
        </w:rPr>
        <w:t>5.</w:t>
      </w:r>
      <w:bookmarkEnd w:id="60"/>
      <w:r>
        <w:rPr>
          <w:rFonts w:hint="eastAsia" w:cs="Times New Roman"/>
          <w:color w:val="000000" w:themeColor="text1"/>
          <w:highlight w:val="none"/>
          <w:lang w:val="en-US" w:eastAsia="zh-CN"/>
          <w14:textFill>
            <w14:solidFill>
              <w14:schemeClr w14:val="tx1"/>
            </w14:solidFill>
          </w14:textFill>
        </w:rPr>
        <w:t>资料档案</w:t>
      </w:r>
    </w:p>
    <w:p w14:paraId="37982AB1">
      <w:pPr>
        <w:ind w:firstLine="640"/>
        <w:rPr>
          <w:rFonts w:hint="default" w:ascii="Times New Roman" w:hAnsi="Times New Roman" w:cs="Times New Roman"/>
          <w:bCs/>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第三方机构将绩效评价过程中收集的全部有效资料，主要包括绩效评价工作方案、绩效指标的佐证材料、</w:t>
      </w:r>
      <w:r>
        <w:rPr>
          <w:rFonts w:hint="eastAsia" w:ascii="Times New Roman" w:hAnsi="Times New Roman" w:cs="Times New Roman"/>
          <w:color w:val="000000" w:themeColor="text1"/>
          <w:highlight w:val="none"/>
          <w:lang w:val="en-US" w:eastAsia="zh-CN"/>
          <w14:textFill>
            <w14:solidFill>
              <w14:schemeClr w14:val="tx1"/>
            </w14:solidFill>
          </w14:textFill>
        </w:rPr>
        <w:t>各单位反馈</w:t>
      </w:r>
      <w:r>
        <w:rPr>
          <w:rFonts w:hint="default" w:ascii="Times New Roman" w:hAnsi="Times New Roman" w:cs="Times New Roman"/>
          <w:color w:val="000000" w:themeColor="text1"/>
          <w:highlight w:val="none"/>
          <w:lang w:val="en-US" w:eastAsia="zh-CN"/>
          <w14:textFill>
            <w14:solidFill>
              <w14:schemeClr w14:val="tx1"/>
            </w14:solidFill>
          </w14:textFill>
        </w:rPr>
        <w:t>意见和建议、实地调研记录、调查问卷、绩效评价报告等一并归档，并按照有关档案管理规定妥善管理</w:t>
      </w:r>
      <w:r>
        <w:rPr>
          <w:rFonts w:hint="default" w:ascii="Times New Roman" w:hAnsi="Times New Roman" w:cs="Times New Roman"/>
          <w:bCs/>
          <w:color w:val="000000" w:themeColor="text1"/>
          <w:highlight w:val="none"/>
          <w14:textFill>
            <w14:solidFill>
              <w14:schemeClr w14:val="tx1"/>
            </w14:solidFill>
          </w14:textFill>
        </w:rPr>
        <w:t>。</w:t>
      </w:r>
    </w:p>
    <w:p w14:paraId="3F93558F">
      <w:pPr>
        <w:keepNext/>
        <w:keepLines/>
        <w:ind w:firstLine="482"/>
        <w:outlineLvl w:val="0"/>
        <w:rPr>
          <w:b/>
          <w:bCs/>
          <w:color w:val="000000" w:themeColor="text1"/>
          <w:kern w:val="44"/>
          <w:sz w:val="24"/>
          <w:szCs w:val="24"/>
          <w14:textFill>
            <w14:solidFill>
              <w14:schemeClr w14:val="tx1"/>
            </w14:solidFill>
          </w14:textFill>
        </w:rPr>
      </w:pPr>
      <w:bookmarkStart w:id="61" w:name="_Toc17766"/>
      <w:r>
        <w:rPr>
          <w:b/>
          <w:bCs/>
          <w:color w:val="000000" w:themeColor="text1"/>
          <w:kern w:val="44"/>
          <w:sz w:val="24"/>
          <w:szCs w:val="24"/>
          <w14:textFill>
            <w14:solidFill>
              <w14:schemeClr w14:val="tx1"/>
            </w14:solidFill>
          </w14:textFill>
        </w:rPr>
        <w:t>三、综合评价情况及评价结论</w:t>
      </w:r>
      <w:bookmarkEnd w:id="54"/>
      <w:bookmarkEnd w:id="61"/>
    </w:p>
    <w:p w14:paraId="0C50A543">
      <w:pPr>
        <w:keepNext/>
        <w:keepLines/>
        <w:ind w:firstLine="422"/>
        <w:jc w:val="left"/>
        <w:outlineLvl w:val="1"/>
        <w:rPr>
          <w:b/>
          <w:color w:val="000000" w:themeColor="text1"/>
          <w14:textFill>
            <w14:solidFill>
              <w14:schemeClr w14:val="tx1"/>
            </w14:solidFill>
          </w14:textFill>
        </w:rPr>
      </w:pPr>
      <w:bookmarkStart w:id="62" w:name="_Toc20092"/>
      <w:r>
        <w:rPr>
          <w:b/>
          <w:color w:val="000000" w:themeColor="text1"/>
          <w14:textFill>
            <w14:solidFill>
              <w14:schemeClr w14:val="tx1"/>
            </w14:solidFill>
          </w14:textFill>
        </w:rPr>
        <w:t>（一）绩效评价结果</w:t>
      </w:r>
      <w:bookmarkEnd w:id="62"/>
    </w:p>
    <w:p w14:paraId="562C817A">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通过调研、数据分析、访谈等方式，根据绩效评价方案确定的指标体系及评分标准，对“吉木萨尔县</w:t>
      </w:r>
      <w:r>
        <w:rPr>
          <w:rFonts w:hint="eastAsia" w:eastAsiaTheme="minorEastAsia"/>
          <w:color w:val="000000" w:themeColor="text1"/>
          <w:lang w:eastAsia="zh-CN"/>
          <w14:textFill>
            <w14:solidFill>
              <w14:schemeClr w14:val="tx1"/>
            </w14:solidFill>
          </w14:textFill>
        </w:rPr>
        <w:t>统计局</w:t>
      </w:r>
      <w:r>
        <w:rPr>
          <w:rFonts w:eastAsiaTheme="minorEastAsia"/>
          <w:color w:val="000000" w:themeColor="text1"/>
          <w14:textFill>
            <w14:solidFill>
              <w14:schemeClr w14:val="tx1"/>
            </w14:solidFill>
          </w14:textFill>
        </w:rPr>
        <w:t>部门整体支出”绩效进行客观评价，得出综合评价结论如下：吉木萨尔县</w:t>
      </w:r>
      <w:r>
        <w:rPr>
          <w:rFonts w:hint="eastAsia" w:eastAsiaTheme="minorEastAsia"/>
          <w:color w:val="000000" w:themeColor="text1"/>
          <w:lang w:eastAsia="zh-CN"/>
          <w14:textFill>
            <w14:solidFill>
              <w14:schemeClr w14:val="tx1"/>
            </w14:solidFill>
          </w14:textFill>
        </w:rPr>
        <w:t>统计局</w:t>
      </w:r>
      <w:r>
        <w:rPr>
          <w:rFonts w:eastAsiaTheme="minorEastAsia"/>
          <w:color w:val="000000" w:themeColor="text1"/>
          <w14:textFill>
            <w14:solidFill>
              <w14:schemeClr w14:val="tx1"/>
            </w14:solidFill>
          </w14:textFill>
        </w:rPr>
        <w:t>部门整体支出绩效评价共设置绩效目标2</w:t>
      </w:r>
      <w:r>
        <w:rPr>
          <w:rFonts w:hint="eastAsia" w:eastAsiaTheme="minorEastAsia"/>
          <w:color w:val="000000" w:themeColor="text1"/>
          <w:lang w:val="en-US" w:eastAsia="zh-CN"/>
          <w14:textFill>
            <w14:solidFill>
              <w14:schemeClr w14:val="tx1"/>
            </w14:solidFill>
          </w14:textFill>
        </w:rPr>
        <w:t>4</w:t>
      </w:r>
      <w:r>
        <w:rPr>
          <w:rFonts w:eastAsiaTheme="minorEastAsia"/>
          <w:color w:val="000000" w:themeColor="text1"/>
          <w14:textFill>
            <w14:solidFill>
              <w14:schemeClr w14:val="tx1"/>
            </w14:solidFill>
          </w14:textFill>
        </w:rPr>
        <w:t>个，实现目标2</w:t>
      </w:r>
      <w:r>
        <w:rPr>
          <w:rFonts w:hint="eastAsia" w:eastAsiaTheme="minorEastAsia"/>
          <w:color w:val="000000" w:themeColor="text1"/>
          <w:lang w:val="en-US" w:eastAsia="zh-CN"/>
          <w14:textFill>
            <w14:solidFill>
              <w14:schemeClr w14:val="tx1"/>
            </w14:solidFill>
          </w14:textFill>
        </w:rPr>
        <w:t>1</w:t>
      </w:r>
      <w:r>
        <w:rPr>
          <w:rFonts w:eastAsiaTheme="minorEastAsia"/>
          <w:color w:val="000000" w:themeColor="text1"/>
          <w14:textFill>
            <w14:solidFill>
              <w14:schemeClr w14:val="tx1"/>
            </w14:solidFill>
          </w14:textFill>
        </w:rPr>
        <w:t>个，最终评分结果</w:t>
      </w:r>
      <w:r>
        <w:rPr>
          <w:rFonts w:hint="eastAsia" w:eastAsiaTheme="minorEastAsia"/>
          <w:color w:val="000000" w:themeColor="text1"/>
          <w:lang w:val="en-US" w:eastAsia="zh-CN"/>
          <w14:textFill>
            <w14:solidFill>
              <w14:schemeClr w14:val="tx1"/>
            </w14:solidFill>
          </w14:textFill>
        </w:rPr>
        <w:t>91.17</w:t>
      </w:r>
      <w:r>
        <w:rPr>
          <w:rFonts w:eastAsiaTheme="minorEastAsia"/>
          <w:color w:val="000000" w:themeColor="text1"/>
          <w14:textFill>
            <w14:solidFill>
              <w14:schemeClr w14:val="tx1"/>
            </w14:solidFill>
          </w14:textFill>
        </w:rPr>
        <w:t>分，绩效评级为“</w:t>
      </w:r>
      <w:r>
        <w:rPr>
          <w:rFonts w:hint="eastAsia" w:eastAsiaTheme="minorEastAsia"/>
          <w:color w:val="000000" w:themeColor="text1"/>
          <w:lang w:val="en-US" w:eastAsia="zh-CN"/>
          <w14:textFill>
            <w14:solidFill>
              <w14:schemeClr w14:val="tx1"/>
            </w14:solidFill>
          </w14:textFill>
        </w:rPr>
        <w:t>优</w:t>
      </w:r>
      <w:r>
        <w:rPr>
          <w:rFonts w:eastAsiaTheme="minorEastAsia"/>
          <w:color w:val="000000" w:themeColor="text1"/>
          <w14:textFill>
            <w14:solidFill>
              <w14:schemeClr w14:val="tx1"/>
            </w14:solidFill>
          </w14:textFill>
        </w:rPr>
        <w:t>”。各部分权重和绩效分值如下表：</w:t>
      </w:r>
    </w:p>
    <w:p w14:paraId="3916DEFD">
      <w:pPr>
        <w:ind w:firstLine="0" w:firstLineChars="0"/>
        <w:jc w:val="center"/>
        <w:rPr>
          <w:rFonts w:hint="eastAsia" w:ascii="黑体" w:hAnsi="黑体" w:eastAsia="黑体" w:cs="黑体"/>
          <w:b w:val="0"/>
          <w:bCs/>
          <w:color w:val="000000" w:themeColor="text1"/>
          <w:spacing w:val="6"/>
          <w14:textFill>
            <w14:solidFill>
              <w14:schemeClr w14:val="tx1"/>
            </w14:solidFill>
          </w14:textFill>
        </w:rPr>
      </w:pPr>
      <w:r>
        <w:rPr>
          <w:rFonts w:hint="eastAsia" w:ascii="黑体" w:hAnsi="黑体" w:eastAsia="黑体" w:cs="黑体"/>
          <w:b w:val="0"/>
          <w:bCs/>
          <w:color w:val="000000" w:themeColor="text1"/>
          <w:spacing w:val="6"/>
          <w14:textFill>
            <w14:solidFill>
              <w14:schemeClr w14:val="tx1"/>
            </w14:solidFill>
          </w14:textFill>
        </w:rPr>
        <w:t>表3-1：吉木萨尔县</w:t>
      </w:r>
      <w:r>
        <w:rPr>
          <w:rFonts w:hint="eastAsia" w:ascii="黑体" w:hAnsi="黑体" w:eastAsia="黑体" w:cs="黑体"/>
          <w:b w:val="0"/>
          <w:bCs/>
          <w:color w:val="000000" w:themeColor="text1"/>
          <w:spacing w:val="6"/>
          <w:lang w:eastAsia="zh-CN"/>
          <w14:textFill>
            <w14:solidFill>
              <w14:schemeClr w14:val="tx1"/>
            </w14:solidFill>
          </w14:textFill>
        </w:rPr>
        <w:t>统计局</w:t>
      </w:r>
      <w:r>
        <w:rPr>
          <w:rFonts w:hint="eastAsia" w:ascii="黑体" w:hAnsi="黑体" w:eastAsia="黑体" w:cs="黑体"/>
          <w:b w:val="0"/>
          <w:bCs/>
          <w:color w:val="000000" w:themeColor="text1"/>
          <w:spacing w:val="6"/>
          <w14:textFill>
            <w14:solidFill>
              <w14:schemeClr w14:val="tx1"/>
            </w14:solidFill>
          </w14:textFill>
        </w:rPr>
        <w:t>部门整体绩效评价得分表</w:t>
      </w:r>
    </w:p>
    <w:tbl>
      <w:tblPr>
        <w:tblStyle w:val="24"/>
        <w:tblW w:w="4998"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1397"/>
        <w:gridCol w:w="1768"/>
        <w:gridCol w:w="1768"/>
        <w:gridCol w:w="1768"/>
        <w:gridCol w:w="1768"/>
      </w:tblGrid>
      <w:tr w14:paraId="201740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 w:hRule="atLeast"/>
          <w:tblHeader/>
          <w:jc w:val="center"/>
        </w:trPr>
        <w:tc>
          <w:tcPr>
            <w:tcW w:w="824"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273C843B">
            <w:pPr>
              <w:pStyle w:val="42"/>
              <w:snapToGrid w:val="0"/>
              <w:spacing w:before="0" w:after="0" w:line="240" w:lineRule="auto"/>
              <w:jc w:val="center"/>
              <w:rPr>
                <w:rFonts w:hAnsi="Times New Roman" w:eastAsia="宋体" w:cs="Times New Roman"/>
                <w:b/>
                <w:color w:val="000000" w:themeColor="text1"/>
                <w:sz w:val="21"/>
                <w:szCs w:val="21"/>
                <w14:textFill>
                  <w14:solidFill>
                    <w14:schemeClr w14:val="tx1"/>
                  </w14:solidFill>
                </w14:textFill>
              </w:rPr>
            </w:pPr>
            <w:r>
              <w:rPr>
                <w:rFonts w:hAnsi="Times New Roman" w:eastAsia="宋体" w:cs="Times New Roman"/>
                <w:b/>
                <w:color w:val="000000" w:themeColor="text1"/>
                <w:sz w:val="21"/>
                <w:szCs w:val="21"/>
                <w:lang w:val="zh-TW" w:eastAsia="zh-TW"/>
                <w14:textFill>
                  <w14:solidFill>
                    <w14:schemeClr w14:val="tx1"/>
                  </w14:solidFill>
                </w14:textFill>
              </w:rPr>
              <w:t>指标</w:t>
            </w:r>
          </w:p>
        </w:tc>
        <w:tc>
          <w:tcPr>
            <w:tcW w:w="1043"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7E38256E">
            <w:pPr>
              <w:pStyle w:val="42"/>
              <w:snapToGrid w:val="0"/>
              <w:spacing w:before="0" w:after="0" w:line="240" w:lineRule="auto"/>
              <w:jc w:val="center"/>
              <w:rPr>
                <w:rFonts w:hAnsi="Times New Roman" w:eastAsia="宋体" w:cs="Times New Roman"/>
                <w:b/>
                <w:color w:val="000000" w:themeColor="text1"/>
                <w:sz w:val="21"/>
                <w:szCs w:val="21"/>
                <w14:textFill>
                  <w14:solidFill>
                    <w14:schemeClr w14:val="tx1"/>
                  </w14:solidFill>
                </w14:textFill>
              </w:rPr>
            </w:pPr>
            <w:r>
              <w:rPr>
                <w:rFonts w:hAnsi="Times New Roman" w:eastAsia="宋体" w:cs="Times New Roman"/>
                <w:b/>
                <w:color w:val="000000" w:themeColor="text1"/>
                <w:sz w:val="21"/>
                <w:szCs w:val="21"/>
                <w14:textFill>
                  <w14:solidFill>
                    <w14:schemeClr w14:val="tx1"/>
                  </w14:solidFill>
                </w14:textFill>
              </w:rPr>
              <w:t>部门</w:t>
            </w:r>
            <w:r>
              <w:rPr>
                <w:rFonts w:hAnsi="Times New Roman" w:eastAsia="宋体" w:cs="Times New Roman"/>
                <w:b/>
                <w:color w:val="000000" w:themeColor="text1"/>
                <w:sz w:val="21"/>
                <w:szCs w:val="21"/>
                <w:lang w:val="zh-TW" w:eastAsia="zh-TW"/>
                <w14:textFill>
                  <w14:solidFill>
                    <w14:schemeClr w14:val="tx1"/>
                  </w14:solidFill>
                </w14:textFill>
              </w:rPr>
              <w:t>决策</w:t>
            </w:r>
          </w:p>
        </w:tc>
        <w:tc>
          <w:tcPr>
            <w:tcW w:w="1043"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13347416">
            <w:pPr>
              <w:pStyle w:val="42"/>
              <w:snapToGrid w:val="0"/>
              <w:spacing w:before="0" w:after="0" w:line="240" w:lineRule="auto"/>
              <w:jc w:val="center"/>
              <w:rPr>
                <w:rFonts w:hAnsi="Times New Roman" w:eastAsia="宋体" w:cs="Times New Roman"/>
                <w:b/>
                <w:color w:val="000000" w:themeColor="text1"/>
                <w:sz w:val="21"/>
                <w:szCs w:val="21"/>
                <w14:textFill>
                  <w14:solidFill>
                    <w14:schemeClr w14:val="tx1"/>
                  </w14:solidFill>
                </w14:textFill>
              </w:rPr>
            </w:pPr>
            <w:r>
              <w:rPr>
                <w:rFonts w:hAnsi="Times New Roman" w:eastAsia="宋体" w:cs="Times New Roman"/>
                <w:b/>
                <w:color w:val="000000" w:themeColor="text1"/>
                <w:sz w:val="21"/>
                <w:szCs w:val="21"/>
                <w14:textFill>
                  <w14:solidFill>
                    <w14:schemeClr w14:val="tx1"/>
                  </w14:solidFill>
                </w14:textFill>
              </w:rPr>
              <w:t>部门管理</w:t>
            </w:r>
          </w:p>
        </w:tc>
        <w:tc>
          <w:tcPr>
            <w:tcW w:w="1043"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69D204E0">
            <w:pPr>
              <w:pStyle w:val="42"/>
              <w:snapToGrid w:val="0"/>
              <w:spacing w:before="0" w:after="0" w:line="240" w:lineRule="auto"/>
              <w:jc w:val="center"/>
              <w:rPr>
                <w:rFonts w:hAnsi="Times New Roman" w:eastAsia="宋体" w:cs="Times New Roman"/>
                <w:b/>
                <w:color w:val="000000" w:themeColor="text1"/>
                <w:sz w:val="21"/>
                <w:szCs w:val="21"/>
                <w14:textFill>
                  <w14:solidFill>
                    <w14:schemeClr w14:val="tx1"/>
                  </w14:solidFill>
                </w14:textFill>
              </w:rPr>
            </w:pPr>
            <w:r>
              <w:rPr>
                <w:rFonts w:hAnsi="Times New Roman" w:eastAsia="宋体" w:cs="Times New Roman"/>
                <w:b/>
                <w:color w:val="000000" w:themeColor="text1"/>
                <w:sz w:val="21"/>
                <w:szCs w:val="21"/>
                <w14:textFill>
                  <w14:solidFill>
                    <w14:schemeClr w14:val="tx1"/>
                  </w14:solidFill>
                </w14:textFill>
              </w:rPr>
              <w:t>部门绩效</w:t>
            </w:r>
          </w:p>
        </w:tc>
        <w:tc>
          <w:tcPr>
            <w:tcW w:w="1043"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3AB670B8">
            <w:pPr>
              <w:pStyle w:val="42"/>
              <w:snapToGrid w:val="0"/>
              <w:spacing w:before="0" w:after="0" w:line="240" w:lineRule="auto"/>
              <w:jc w:val="center"/>
              <w:rPr>
                <w:rFonts w:hAnsi="Times New Roman" w:eastAsia="宋体" w:cs="Times New Roman"/>
                <w:b/>
                <w:color w:val="000000" w:themeColor="text1"/>
                <w:sz w:val="21"/>
                <w:szCs w:val="21"/>
                <w14:textFill>
                  <w14:solidFill>
                    <w14:schemeClr w14:val="tx1"/>
                  </w14:solidFill>
                </w14:textFill>
              </w:rPr>
            </w:pPr>
            <w:r>
              <w:rPr>
                <w:rFonts w:hAnsi="Times New Roman" w:eastAsia="宋体" w:cs="Times New Roman"/>
                <w:b/>
                <w:color w:val="000000" w:themeColor="text1"/>
                <w:sz w:val="21"/>
                <w:szCs w:val="21"/>
                <w:lang w:val="zh-TW" w:eastAsia="zh-TW"/>
                <w14:textFill>
                  <w14:solidFill>
                    <w14:schemeClr w14:val="tx1"/>
                  </w14:solidFill>
                </w14:textFill>
              </w:rPr>
              <w:t>合计分值</w:t>
            </w:r>
          </w:p>
        </w:tc>
      </w:tr>
      <w:tr w14:paraId="3A09D8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 w:hRule="atLeast"/>
          <w:jc w:val="center"/>
        </w:trPr>
        <w:tc>
          <w:tcPr>
            <w:tcW w:w="824"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561F3012">
            <w:pPr>
              <w:pStyle w:val="42"/>
              <w:snapToGrid w:val="0"/>
              <w:spacing w:before="0" w:after="0" w:line="240" w:lineRule="auto"/>
              <w:jc w:val="center"/>
              <w:rPr>
                <w:rFonts w:hAnsi="Times New Roman" w:eastAsia="宋体" w:cs="Times New Roman"/>
                <w:b/>
                <w:color w:val="000000" w:themeColor="text1"/>
                <w:sz w:val="21"/>
                <w:szCs w:val="21"/>
                <w14:textFill>
                  <w14:solidFill>
                    <w14:schemeClr w14:val="tx1"/>
                  </w14:solidFill>
                </w14:textFill>
              </w:rPr>
            </w:pPr>
            <w:r>
              <w:rPr>
                <w:rFonts w:hAnsi="Times New Roman" w:eastAsia="宋体" w:cs="Times New Roman"/>
                <w:b/>
                <w:color w:val="000000" w:themeColor="text1"/>
                <w:sz w:val="21"/>
                <w:szCs w:val="21"/>
                <w:lang w:val="zh-TW" w:eastAsia="zh-TW"/>
                <w14:textFill>
                  <w14:solidFill>
                    <w14:schemeClr w14:val="tx1"/>
                  </w14:solidFill>
                </w14:textFill>
              </w:rPr>
              <w:t>权重</w:t>
            </w:r>
          </w:p>
        </w:tc>
        <w:tc>
          <w:tcPr>
            <w:tcW w:w="104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152BEE9">
            <w:pPr>
              <w:pStyle w:val="42"/>
              <w:snapToGrid w:val="0"/>
              <w:spacing w:before="0" w:after="0" w:line="240" w:lineRule="auto"/>
              <w:jc w:val="center"/>
              <w:rPr>
                <w:rFonts w:ascii="Times New Roman" w:hAnsi="Times New Roman" w:eastAsia="宋体" w:cs="Times New Roman"/>
                <w:b w:val="0"/>
                <w:bCs/>
                <w:color w:val="000000" w:themeColor="text1"/>
                <w:sz w:val="21"/>
                <w:szCs w:val="21"/>
                <w14:textFill>
                  <w14:solidFill>
                    <w14:schemeClr w14:val="tx1"/>
                  </w14:solidFill>
                </w14:textFill>
              </w:rPr>
            </w:pPr>
            <w:r>
              <w:rPr>
                <w:rFonts w:hint="eastAsia" w:ascii="Times New Roman" w:hAnsi="Times New Roman" w:eastAsia="宋体" w:cs="Times New Roman"/>
                <w:b w:val="0"/>
                <w:bCs/>
                <w:color w:val="000000" w:themeColor="text1"/>
                <w:sz w:val="21"/>
                <w:szCs w:val="21"/>
                <w:lang w:val="en-US" w:eastAsia="zh-CN"/>
                <w14:textFill>
                  <w14:solidFill>
                    <w14:schemeClr w14:val="tx1"/>
                  </w14:solidFill>
                </w14:textFill>
              </w:rPr>
              <w:t xml:space="preserve">15.00 </w:t>
            </w:r>
          </w:p>
        </w:tc>
        <w:tc>
          <w:tcPr>
            <w:tcW w:w="104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88CE144">
            <w:pPr>
              <w:pStyle w:val="42"/>
              <w:snapToGrid w:val="0"/>
              <w:spacing w:before="0" w:after="0" w:line="240" w:lineRule="auto"/>
              <w:jc w:val="center"/>
              <w:rPr>
                <w:rFonts w:ascii="Times New Roman" w:hAnsi="Times New Roman" w:eastAsia="宋体" w:cs="Times New Roman"/>
                <w:b w:val="0"/>
                <w:bCs/>
                <w:color w:val="000000" w:themeColor="text1"/>
                <w:sz w:val="21"/>
                <w:szCs w:val="21"/>
                <w14:textFill>
                  <w14:solidFill>
                    <w14:schemeClr w14:val="tx1"/>
                  </w14:solidFill>
                </w14:textFill>
              </w:rPr>
            </w:pPr>
            <w:r>
              <w:rPr>
                <w:rFonts w:hint="eastAsia" w:ascii="Times New Roman" w:hAnsi="Times New Roman" w:eastAsia="宋体" w:cs="Times New Roman"/>
                <w:b w:val="0"/>
                <w:bCs/>
                <w:color w:val="000000" w:themeColor="text1"/>
                <w:sz w:val="21"/>
                <w:szCs w:val="21"/>
                <w:lang w:val="en-US" w:eastAsia="zh-CN"/>
                <w14:textFill>
                  <w14:solidFill>
                    <w14:schemeClr w14:val="tx1"/>
                  </w14:solidFill>
                </w14:textFill>
              </w:rPr>
              <w:t xml:space="preserve">25.00 </w:t>
            </w:r>
          </w:p>
        </w:tc>
        <w:tc>
          <w:tcPr>
            <w:tcW w:w="104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2A435DE">
            <w:pPr>
              <w:pStyle w:val="42"/>
              <w:snapToGrid w:val="0"/>
              <w:spacing w:before="0" w:after="0" w:line="240" w:lineRule="auto"/>
              <w:jc w:val="center"/>
              <w:rPr>
                <w:rFonts w:ascii="Times New Roman" w:hAnsi="Times New Roman" w:eastAsia="宋体" w:cs="Times New Roman"/>
                <w:b w:val="0"/>
                <w:bCs/>
                <w:color w:val="000000" w:themeColor="text1"/>
                <w:sz w:val="21"/>
                <w:szCs w:val="21"/>
                <w14:textFill>
                  <w14:solidFill>
                    <w14:schemeClr w14:val="tx1"/>
                  </w14:solidFill>
                </w14:textFill>
              </w:rPr>
            </w:pPr>
            <w:r>
              <w:rPr>
                <w:rFonts w:hint="eastAsia" w:ascii="Times New Roman" w:hAnsi="Times New Roman" w:eastAsia="宋体" w:cs="Times New Roman"/>
                <w:b w:val="0"/>
                <w:bCs/>
                <w:color w:val="000000" w:themeColor="text1"/>
                <w:sz w:val="21"/>
                <w:szCs w:val="21"/>
                <w:lang w:val="en-US" w:eastAsia="zh-CN"/>
                <w14:textFill>
                  <w14:solidFill>
                    <w14:schemeClr w14:val="tx1"/>
                  </w14:solidFill>
                </w14:textFill>
              </w:rPr>
              <w:t xml:space="preserve">60.00 </w:t>
            </w:r>
          </w:p>
        </w:tc>
        <w:tc>
          <w:tcPr>
            <w:tcW w:w="104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7EC2FAC">
            <w:pPr>
              <w:pStyle w:val="42"/>
              <w:snapToGrid w:val="0"/>
              <w:spacing w:before="0" w:after="0" w:line="240" w:lineRule="auto"/>
              <w:jc w:val="center"/>
              <w:rPr>
                <w:rFonts w:ascii="Times New Roman" w:hAnsi="Times New Roman" w:eastAsia="宋体" w:cs="Times New Roman"/>
                <w:b w:val="0"/>
                <w:bCs/>
                <w:color w:val="000000" w:themeColor="text1"/>
                <w:sz w:val="21"/>
                <w:szCs w:val="21"/>
                <w14:textFill>
                  <w14:solidFill>
                    <w14:schemeClr w14:val="tx1"/>
                  </w14:solidFill>
                </w14:textFill>
              </w:rPr>
            </w:pPr>
            <w:r>
              <w:rPr>
                <w:rFonts w:hint="eastAsia" w:ascii="Times New Roman" w:hAnsi="Times New Roman" w:eastAsia="宋体" w:cs="Times New Roman"/>
                <w:b w:val="0"/>
                <w:bCs/>
                <w:color w:val="000000" w:themeColor="text1"/>
                <w:sz w:val="21"/>
                <w:szCs w:val="21"/>
                <w:lang w:val="en-US" w:eastAsia="zh-CN"/>
                <w14:textFill>
                  <w14:solidFill>
                    <w14:schemeClr w14:val="tx1"/>
                  </w14:solidFill>
                </w14:textFill>
              </w:rPr>
              <w:t xml:space="preserve">100.00 </w:t>
            </w:r>
          </w:p>
        </w:tc>
      </w:tr>
      <w:tr w14:paraId="0AD9312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 w:hRule="atLeast"/>
          <w:jc w:val="center"/>
        </w:trPr>
        <w:tc>
          <w:tcPr>
            <w:tcW w:w="824"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0B3398AF">
            <w:pPr>
              <w:pStyle w:val="42"/>
              <w:snapToGrid w:val="0"/>
              <w:spacing w:before="0" w:after="0" w:line="240" w:lineRule="auto"/>
              <w:jc w:val="center"/>
              <w:rPr>
                <w:rFonts w:hAnsi="Times New Roman" w:eastAsia="宋体" w:cs="Times New Roman"/>
                <w:b/>
                <w:color w:val="000000" w:themeColor="text1"/>
                <w:sz w:val="21"/>
                <w:szCs w:val="21"/>
                <w14:textFill>
                  <w14:solidFill>
                    <w14:schemeClr w14:val="tx1"/>
                  </w14:solidFill>
                </w14:textFill>
              </w:rPr>
            </w:pPr>
            <w:r>
              <w:rPr>
                <w:rFonts w:hAnsi="Times New Roman" w:eastAsia="宋体" w:cs="Times New Roman"/>
                <w:b/>
                <w:color w:val="000000" w:themeColor="text1"/>
                <w:sz w:val="21"/>
                <w:szCs w:val="21"/>
                <w:lang w:val="zh-TW" w:eastAsia="zh-TW"/>
                <w14:textFill>
                  <w14:solidFill>
                    <w14:schemeClr w14:val="tx1"/>
                  </w14:solidFill>
                </w14:textFill>
              </w:rPr>
              <w:t>得分</w:t>
            </w:r>
          </w:p>
        </w:tc>
        <w:tc>
          <w:tcPr>
            <w:tcW w:w="104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0D2C314">
            <w:pPr>
              <w:pStyle w:val="42"/>
              <w:snapToGrid w:val="0"/>
              <w:spacing w:before="0" w:after="0" w:line="240" w:lineRule="auto"/>
              <w:jc w:val="center"/>
              <w:rPr>
                <w:rFonts w:hint="eastAsia" w:ascii="Times New Roman" w:hAnsi="Times New Roman" w:eastAsia="宋体" w:cs="Times New Roman"/>
                <w:b w:val="0"/>
                <w:bCs/>
                <w:color w:val="000000" w:themeColor="text1"/>
                <w:sz w:val="21"/>
                <w:szCs w:val="21"/>
                <w:lang w:eastAsia="zh-CN"/>
                <w14:textFill>
                  <w14:solidFill>
                    <w14:schemeClr w14:val="tx1"/>
                  </w14:solidFill>
                </w14:textFill>
              </w:rPr>
            </w:pPr>
            <w:r>
              <w:rPr>
                <w:rFonts w:hint="eastAsia" w:ascii="Times New Roman" w:hAnsi="Times New Roman" w:eastAsia="宋体" w:cs="Times New Roman"/>
                <w:b w:val="0"/>
                <w:bCs/>
                <w:color w:val="000000" w:themeColor="text1"/>
                <w:sz w:val="21"/>
                <w:szCs w:val="21"/>
                <w:lang w:val="en-US" w:eastAsia="zh-CN"/>
                <w14:textFill>
                  <w14:solidFill>
                    <w14:schemeClr w14:val="tx1"/>
                  </w14:solidFill>
                </w14:textFill>
              </w:rPr>
              <w:t xml:space="preserve">13.00 </w:t>
            </w:r>
          </w:p>
        </w:tc>
        <w:tc>
          <w:tcPr>
            <w:tcW w:w="104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F7BCFE1">
            <w:pPr>
              <w:pStyle w:val="42"/>
              <w:snapToGrid w:val="0"/>
              <w:spacing w:before="0" w:after="0" w:line="240" w:lineRule="auto"/>
              <w:jc w:val="center"/>
              <w:rPr>
                <w:rFonts w:hint="eastAsia" w:ascii="Times New Roman" w:hAnsi="Times New Roman" w:eastAsia="宋体" w:cs="Times New Roman"/>
                <w:b w:val="0"/>
                <w:bCs/>
                <w:color w:val="000000" w:themeColor="text1"/>
                <w:sz w:val="21"/>
                <w:szCs w:val="21"/>
                <w:lang w:eastAsia="zh-CN"/>
                <w14:textFill>
                  <w14:solidFill>
                    <w14:schemeClr w14:val="tx1"/>
                  </w14:solidFill>
                </w14:textFill>
              </w:rPr>
            </w:pPr>
            <w:r>
              <w:rPr>
                <w:rFonts w:hint="eastAsia" w:ascii="Times New Roman" w:hAnsi="Times New Roman" w:eastAsia="宋体" w:cs="Times New Roman"/>
                <w:b w:val="0"/>
                <w:bCs/>
                <w:color w:val="000000" w:themeColor="text1"/>
                <w:sz w:val="21"/>
                <w:szCs w:val="21"/>
                <w:lang w:val="en-US" w:eastAsia="zh-CN"/>
                <w14:textFill>
                  <w14:solidFill>
                    <w14:schemeClr w14:val="tx1"/>
                  </w14:solidFill>
                </w14:textFill>
              </w:rPr>
              <w:t xml:space="preserve">24.00 </w:t>
            </w:r>
          </w:p>
        </w:tc>
        <w:tc>
          <w:tcPr>
            <w:tcW w:w="104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8543338">
            <w:pPr>
              <w:pStyle w:val="42"/>
              <w:snapToGrid w:val="0"/>
              <w:spacing w:before="0" w:after="0" w:line="240" w:lineRule="auto"/>
              <w:jc w:val="center"/>
              <w:rPr>
                <w:rFonts w:hint="eastAsia" w:ascii="Times New Roman" w:hAnsi="Times New Roman" w:eastAsia="宋体" w:cs="Times New Roman"/>
                <w:b w:val="0"/>
                <w:bCs/>
                <w:color w:val="000000" w:themeColor="text1"/>
                <w:sz w:val="21"/>
                <w:szCs w:val="21"/>
                <w:lang w:eastAsia="zh-CN"/>
                <w14:textFill>
                  <w14:solidFill>
                    <w14:schemeClr w14:val="tx1"/>
                  </w14:solidFill>
                </w14:textFill>
              </w:rPr>
            </w:pPr>
            <w:r>
              <w:rPr>
                <w:rFonts w:hint="eastAsia" w:ascii="Times New Roman" w:hAnsi="Times New Roman" w:eastAsia="宋体" w:cs="Times New Roman"/>
                <w:b w:val="0"/>
                <w:bCs/>
                <w:color w:val="000000" w:themeColor="text1"/>
                <w:sz w:val="21"/>
                <w:szCs w:val="21"/>
                <w:lang w:val="en-US" w:eastAsia="zh-CN"/>
                <w14:textFill>
                  <w14:solidFill>
                    <w14:schemeClr w14:val="tx1"/>
                  </w14:solidFill>
                </w14:textFill>
              </w:rPr>
              <w:t xml:space="preserve">54.17 </w:t>
            </w:r>
          </w:p>
        </w:tc>
        <w:tc>
          <w:tcPr>
            <w:tcW w:w="104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50FD4D3">
            <w:pPr>
              <w:pStyle w:val="42"/>
              <w:snapToGrid w:val="0"/>
              <w:spacing w:before="0" w:after="0" w:line="240" w:lineRule="auto"/>
              <w:jc w:val="center"/>
              <w:rPr>
                <w:rFonts w:hint="eastAsia" w:ascii="Times New Roman" w:hAnsi="Times New Roman" w:eastAsia="宋体" w:cs="Times New Roman"/>
                <w:b w:val="0"/>
                <w:bCs/>
                <w:color w:val="000000" w:themeColor="text1"/>
                <w:sz w:val="21"/>
                <w:szCs w:val="21"/>
                <w:lang w:eastAsia="zh-CN"/>
                <w14:textFill>
                  <w14:solidFill>
                    <w14:schemeClr w14:val="tx1"/>
                  </w14:solidFill>
                </w14:textFill>
              </w:rPr>
            </w:pPr>
            <w:r>
              <w:rPr>
                <w:rFonts w:hint="eastAsia" w:ascii="Times New Roman" w:hAnsi="Times New Roman" w:eastAsia="宋体" w:cs="Times New Roman"/>
                <w:b w:val="0"/>
                <w:bCs/>
                <w:color w:val="000000" w:themeColor="text1"/>
                <w:sz w:val="21"/>
                <w:szCs w:val="21"/>
                <w:lang w:val="en-US" w:eastAsia="zh-CN"/>
                <w14:textFill>
                  <w14:solidFill>
                    <w14:schemeClr w14:val="tx1"/>
                  </w14:solidFill>
                </w14:textFill>
              </w:rPr>
              <w:t xml:space="preserve">91.17 </w:t>
            </w:r>
          </w:p>
        </w:tc>
      </w:tr>
      <w:tr w14:paraId="409A6C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3" w:hRule="atLeast"/>
          <w:jc w:val="center"/>
        </w:trPr>
        <w:tc>
          <w:tcPr>
            <w:tcW w:w="824"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174E7437">
            <w:pPr>
              <w:pStyle w:val="42"/>
              <w:snapToGrid w:val="0"/>
              <w:spacing w:before="0" w:after="0" w:line="240" w:lineRule="auto"/>
              <w:jc w:val="center"/>
              <w:rPr>
                <w:rFonts w:hAnsi="Times New Roman" w:eastAsia="宋体" w:cs="Times New Roman"/>
                <w:b/>
                <w:color w:val="000000" w:themeColor="text1"/>
                <w:sz w:val="21"/>
                <w:szCs w:val="21"/>
                <w14:textFill>
                  <w14:solidFill>
                    <w14:schemeClr w14:val="tx1"/>
                  </w14:solidFill>
                </w14:textFill>
              </w:rPr>
            </w:pPr>
            <w:r>
              <w:rPr>
                <w:rFonts w:hAnsi="Times New Roman" w:eastAsia="宋体" w:cs="Times New Roman"/>
                <w:b/>
                <w:color w:val="000000" w:themeColor="text1"/>
                <w:sz w:val="21"/>
                <w:szCs w:val="21"/>
                <w:lang w:val="zh-TW" w:eastAsia="zh-TW"/>
                <w14:textFill>
                  <w14:solidFill>
                    <w14:schemeClr w14:val="tx1"/>
                  </w14:solidFill>
                </w14:textFill>
              </w:rPr>
              <w:t>得分率</w:t>
            </w:r>
          </w:p>
        </w:tc>
        <w:tc>
          <w:tcPr>
            <w:tcW w:w="104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B9B8F4A">
            <w:pPr>
              <w:pStyle w:val="42"/>
              <w:snapToGrid w:val="0"/>
              <w:spacing w:before="0" w:after="0" w:line="240" w:lineRule="auto"/>
              <w:jc w:val="center"/>
              <w:rPr>
                <w:rFonts w:ascii="Times New Roman" w:hAnsi="Times New Roman" w:eastAsia="宋体" w:cs="Times New Roman"/>
                <w:b w:val="0"/>
                <w:bCs/>
                <w:color w:val="000000" w:themeColor="text1"/>
                <w:sz w:val="21"/>
                <w:szCs w:val="21"/>
                <w14:textFill>
                  <w14:solidFill>
                    <w14:schemeClr w14:val="tx1"/>
                  </w14:solidFill>
                </w14:textFill>
              </w:rPr>
            </w:pPr>
            <w:r>
              <w:rPr>
                <w:rFonts w:hint="eastAsia" w:ascii="Times New Roman" w:hAnsi="Times New Roman" w:eastAsia="宋体" w:cs="Times New Roman"/>
                <w:b w:val="0"/>
                <w:bCs/>
                <w:color w:val="000000" w:themeColor="text1"/>
                <w:sz w:val="21"/>
                <w:szCs w:val="21"/>
                <w:lang w:val="en-US" w:eastAsia="zh-CN"/>
                <w14:textFill>
                  <w14:solidFill>
                    <w14:schemeClr w14:val="tx1"/>
                  </w14:solidFill>
                </w14:textFill>
              </w:rPr>
              <w:t>86.67%</w:t>
            </w:r>
          </w:p>
        </w:tc>
        <w:tc>
          <w:tcPr>
            <w:tcW w:w="104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9C0F50A">
            <w:pPr>
              <w:pStyle w:val="42"/>
              <w:snapToGrid w:val="0"/>
              <w:spacing w:before="0" w:after="0" w:line="240" w:lineRule="auto"/>
              <w:jc w:val="center"/>
              <w:rPr>
                <w:rFonts w:ascii="Times New Roman" w:hAnsi="Times New Roman" w:eastAsia="宋体" w:cs="Times New Roman"/>
                <w:b w:val="0"/>
                <w:bCs/>
                <w:color w:val="000000" w:themeColor="text1"/>
                <w:sz w:val="21"/>
                <w:szCs w:val="21"/>
                <w14:textFill>
                  <w14:solidFill>
                    <w14:schemeClr w14:val="tx1"/>
                  </w14:solidFill>
                </w14:textFill>
              </w:rPr>
            </w:pPr>
            <w:r>
              <w:rPr>
                <w:rFonts w:hint="eastAsia" w:ascii="Times New Roman" w:hAnsi="Times New Roman" w:eastAsia="宋体" w:cs="Times New Roman"/>
                <w:b w:val="0"/>
                <w:bCs/>
                <w:color w:val="000000" w:themeColor="text1"/>
                <w:sz w:val="21"/>
                <w:szCs w:val="21"/>
                <w:lang w:val="en-US" w:eastAsia="zh-CN"/>
                <w14:textFill>
                  <w14:solidFill>
                    <w14:schemeClr w14:val="tx1"/>
                  </w14:solidFill>
                </w14:textFill>
              </w:rPr>
              <w:t>96.00%</w:t>
            </w:r>
          </w:p>
        </w:tc>
        <w:tc>
          <w:tcPr>
            <w:tcW w:w="104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D75EEEC">
            <w:pPr>
              <w:pStyle w:val="42"/>
              <w:snapToGrid w:val="0"/>
              <w:spacing w:before="0" w:after="0" w:line="240" w:lineRule="auto"/>
              <w:jc w:val="center"/>
              <w:rPr>
                <w:rFonts w:ascii="Times New Roman" w:hAnsi="Times New Roman" w:eastAsia="宋体" w:cs="Times New Roman"/>
                <w:b w:val="0"/>
                <w:bCs/>
                <w:color w:val="000000" w:themeColor="text1"/>
                <w:sz w:val="21"/>
                <w:szCs w:val="21"/>
                <w14:textFill>
                  <w14:solidFill>
                    <w14:schemeClr w14:val="tx1"/>
                  </w14:solidFill>
                </w14:textFill>
              </w:rPr>
            </w:pPr>
            <w:r>
              <w:rPr>
                <w:rFonts w:hint="eastAsia" w:ascii="Times New Roman" w:hAnsi="Times New Roman" w:eastAsia="宋体" w:cs="Times New Roman"/>
                <w:b w:val="0"/>
                <w:bCs/>
                <w:color w:val="000000" w:themeColor="text1"/>
                <w:sz w:val="21"/>
                <w:szCs w:val="21"/>
                <w:lang w:val="en-US" w:eastAsia="zh-CN"/>
                <w14:textFill>
                  <w14:solidFill>
                    <w14:schemeClr w14:val="tx1"/>
                  </w14:solidFill>
                </w14:textFill>
              </w:rPr>
              <w:t>90.28%</w:t>
            </w:r>
          </w:p>
        </w:tc>
        <w:tc>
          <w:tcPr>
            <w:tcW w:w="1043" w:type="pct"/>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221AFE2">
            <w:pPr>
              <w:pStyle w:val="42"/>
              <w:snapToGrid w:val="0"/>
              <w:spacing w:before="0" w:after="0" w:line="240" w:lineRule="auto"/>
              <w:jc w:val="center"/>
              <w:rPr>
                <w:rFonts w:ascii="Times New Roman" w:hAnsi="Times New Roman" w:eastAsia="宋体" w:cs="Times New Roman"/>
                <w:b w:val="0"/>
                <w:bCs/>
                <w:color w:val="000000" w:themeColor="text1"/>
                <w:sz w:val="21"/>
                <w:szCs w:val="21"/>
                <w14:textFill>
                  <w14:solidFill>
                    <w14:schemeClr w14:val="tx1"/>
                  </w14:solidFill>
                </w14:textFill>
              </w:rPr>
            </w:pPr>
            <w:r>
              <w:rPr>
                <w:rFonts w:hint="eastAsia" w:ascii="Times New Roman" w:hAnsi="Times New Roman" w:eastAsia="宋体" w:cs="Times New Roman"/>
                <w:b w:val="0"/>
                <w:bCs/>
                <w:color w:val="000000" w:themeColor="text1"/>
                <w:sz w:val="21"/>
                <w:szCs w:val="21"/>
                <w:lang w:val="en-US" w:eastAsia="zh-CN"/>
                <w14:textFill>
                  <w14:solidFill>
                    <w14:schemeClr w14:val="tx1"/>
                  </w14:solidFill>
                </w14:textFill>
              </w:rPr>
              <w:t>91.17%</w:t>
            </w:r>
          </w:p>
        </w:tc>
      </w:tr>
    </w:tbl>
    <w:p w14:paraId="45CDD9A6">
      <w:pPr>
        <w:ind w:firstLine="420"/>
        <w:rPr>
          <w:color w:val="000000" w:themeColor="text1"/>
          <w14:textFill>
            <w14:solidFill>
              <w14:schemeClr w14:val="tx1"/>
            </w14:solidFill>
          </w14:textFill>
        </w:rPr>
      </w:pPr>
    </w:p>
    <w:p w14:paraId="40FDA6D1">
      <w:pPr>
        <w:keepNext/>
        <w:keepLines/>
        <w:ind w:firstLine="422"/>
        <w:jc w:val="left"/>
        <w:outlineLvl w:val="1"/>
        <w:rPr>
          <w:rFonts w:hint="eastAsia" w:eastAsia="宋体"/>
          <w:b/>
          <w:color w:val="000000" w:themeColor="text1"/>
          <w:lang w:val="en-US" w:eastAsia="zh-CN"/>
          <w14:textFill>
            <w14:solidFill>
              <w14:schemeClr w14:val="tx1"/>
            </w14:solidFill>
          </w14:textFill>
        </w:rPr>
      </w:pPr>
      <w:bookmarkStart w:id="63" w:name="_Toc5883"/>
      <w:r>
        <w:rPr>
          <w:b/>
          <w:color w:val="000000" w:themeColor="text1"/>
          <w14:textFill>
            <w14:solidFill>
              <w14:schemeClr w14:val="tx1"/>
            </w14:solidFill>
          </w14:textFill>
        </w:rPr>
        <w:t>（二）</w:t>
      </w:r>
      <w:r>
        <w:rPr>
          <w:b/>
          <w:bCs/>
          <w:color w:val="000000" w:themeColor="text1"/>
          <w14:textFill>
            <w14:solidFill>
              <w14:schemeClr w14:val="tx1"/>
            </w14:solidFill>
          </w14:textFill>
        </w:rPr>
        <w:t>综合评价结论</w:t>
      </w:r>
      <w:bookmarkEnd w:id="63"/>
    </w:p>
    <w:p w14:paraId="280241FE">
      <w:pPr>
        <w:ind w:firstLine="420"/>
        <w:rPr>
          <w:color w:val="000000" w:themeColor="text1"/>
          <w14:textFill>
            <w14:solidFill>
              <w14:schemeClr w14:val="tx1"/>
            </w14:solidFill>
          </w14:textFill>
        </w:rPr>
      </w:pPr>
      <w:r>
        <w:rPr>
          <w:color w:val="000000" w:themeColor="text1"/>
          <w14:textFill>
            <w14:solidFill>
              <w14:schemeClr w14:val="tx1"/>
            </w14:solidFill>
          </w14:textFill>
        </w:rPr>
        <w:t>经综合评价，吉木萨尔县</w:t>
      </w:r>
      <w:r>
        <w:rPr>
          <w:rFonts w:hint="eastAsia"/>
          <w:color w:val="000000" w:themeColor="text1"/>
          <w:lang w:eastAsia="zh-CN"/>
          <w14:textFill>
            <w14:solidFill>
              <w14:schemeClr w14:val="tx1"/>
            </w14:solidFill>
          </w14:textFill>
        </w:rPr>
        <w:t>统计局</w:t>
      </w:r>
      <w:r>
        <w:rPr>
          <w:color w:val="000000" w:themeColor="text1"/>
          <w14:textFill>
            <w14:solidFill>
              <w14:schemeClr w14:val="tx1"/>
            </w14:solidFill>
          </w14:textFill>
        </w:rPr>
        <w:t>部门单位</w:t>
      </w:r>
      <w:r>
        <w:rPr>
          <w:rFonts w:hint="eastAsia"/>
          <w:color w:val="000000" w:themeColor="text1"/>
          <w:lang w:eastAsia="zh-CN"/>
          <w14:textFill>
            <w14:solidFill>
              <w14:schemeClr w14:val="tx1"/>
            </w14:solidFill>
          </w14:textFill>
        </w:rPr>
        <w:t>2024</w:t>
      </w:r>
      <w:r>
        <w:rPr>
          <w:color w:val="000000" w:themeColor="text1"/>
          <w14:textFill>
            <w14:solidFill>
              <w14:schemeClr w14:val="tx1"/>
            </w14:solidFill>
          </w14:textFill>
        </w:rPr>
        <w:t>年度总体实施情况良好，</w:t>
      </w:r>
      <w:r>
        <w:rPr>
          <w:rFonts w:hint="eastAsia"/>
          <w:color w:val="000000" w:themeColor="text1"/>
          <w:lang w:val="en-US" w:eastAsia="zh-CN"/>
          <w14:textFill>
            <w14:solidFill>
              <w14:schemeClr w14:val="tx1"/>
            </w14:solidFill>
          </w14:textFill>
        </w:rPr>
        <w:t>2</w:t>
      </w:r>
      <w:r>
        <w:rPr>
          <w:rFonts w:hint="eastAsia" w:eastAsiaTheme="minorEastAsia"/>
          <w:color w:val="000000" w:themeColor="text1"/>
          <w:lang w:val="en-US" w:eastAsia="zh-CN"/>
          <w14:textFill>
            <w14:solidFill>
              <w14:schemeClr w14:val="tx1"/>
            </w14:solidFill>
          </w14:textFill>
        </w:rPr>
        <w:t>024年统计局每月对各项指标进行梳理汇总，通过环比、同比、纵向、横向四个维度对比分析，撰写综合分析报告8篇，专题分析56篇，撰写综合分析报告和专题分析报告共64篇，并保障了</w:t>
      </w:r>
      <w:r>
        <w:rPr>
          <w:rFonts w:hint="eastAsia"/>
          <w:color w:val="000000" w:themeColor="text1"/>
          <w14:textFill>
            <w14:solidFill>
              <w14:schemeClr w14:val="tx1"/>
            </w14:solidFill>
          </w14:textFill>
        </w:rPr>
        <w:t>统计数据</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按要求完成</w:t>
      </w:r>
      <w:r>
        <w:rPr>
          <w:rFonts w:hint="eastAsia"/>
          <w:color w:val="000000" w:themeColor="text1"/>
          <w14:textFill>
            <w14:solidFill>
              <w14:schemeClr w14:val="tx1"/>
            </w14:solidFill>
          </w14:textFill>
        </w:rPr>
        <w:t>统计</w:t>
      </w:r>
      <w:r>
        <w:rPr>
          <w:rFonts w:hint="eastAsia"/>
          <w:color w:val="000000" w:themeColor="text1"/>
          <w:lang w:val="en-US" w:eastAsia="zh-CN"/>
          <w14:textFill>
            <w14:solidFill>
              <w14:schemeClr w14:val="tx1"/>
            </w14:solidFill>
          </w14:textFill>
        </w:rPr>
        <w:t>上门服务；</w:t>
      </w:r>
      <w:r>
        <w:rPr>
          <w:color w:val="000000" w:themeColor="text1"/>
          <w14:textFill>
            <w14:solidFill>
              <w14:schemeClr w14:val="tx1"/>
            </w14:solidFill>
          </w14:textFill>
        </w:rPr>
        <w:t>按计划</w:t>
      </w:r>
      <w:r>
        <w:rPr>
          <w:rFonts w:hint="eastAsia"/>
          <w:color w:val="000000" w:themeColor="text1"/>
          <w:lang w:val="en-US" w:eastAsia="zh-CN"/>
          <w14:textFill>
            <w14:solidFill>
              <w14:schemeClr w14:val="tx1"/>
            </w14:solidFill>
          </w14:textFill>
        </w:rPr>
        <w:t>完成了全国第五次经济普查任务，</w:t>
      </w:r>
      <w:r>
        <w:rPr>
          <w:rFonts w:hint="eastAsia" w:ascii="Times New Roman" w:hAnsi="Times New Roman" w:cs="Times New Roman" w:eastAsiaTheme="minorEastAsia"/>
          <w:color w:val="000000" w:themeColor="text1"/>
          <w:lang w:val="en-US" w:eastAsia="zh-CN"/>
          <w14:textFill>
            <w14:solidFill>
              <w14:schemeClr w14:val="tx1"/>
            </w14:solidFill>
          </w14:textFill>
        </w:rPr>
        <w:t>登记一套表单位</w:t>
      </w:r>
      <w:r>
        <w:rPr>
          <w:rFonts w:hint="eastAsia" w:ascii="Times New Roman" w:hAnsi="Times New Roman" w:cs="Times New Roman" w:eastAsiaTheme="minorEastAsia"/>
          <w:color w:val="000000" w:themeColor="text1"/>
          <w:lang w:val="en" w:eastAsia="zh-CN"/>
          <w14:textFill>
            <w14:solidFill>
              <w14:schemeClr w14:val="tx1"/>
            </w14:solidFill>
          </w14:textFill>
        </w:rPr>
        <w:t>1</w:t>
      </w:r>
      <w:r>
        <w:rPr>
          <w:rFonts w:hint="eastAsia" w:ascii="Times New Roman" w:hAnsi="Times New Roman" w:cs="Times New Roman" w:eastAsiaTheme="minorEastAsia"/>
          <w:color w:val="000000" w:themeColor="text1"/>
          <w:lang w:val="en-US" w:eastAsia="zh-CN"/>
          <w14:textFill>
            <w14:solidFill>
              <w14:schemeClr w14:val="tx1"/>
            </w14:solidFill>
          </w14:textFill>
        </w:rPr>
        <w:t>36家</w:t>
      </w:r>
      <w:r>
        <w:rPr>
          <w:rFonts w:hint="eastAsia" w:ascii="Times New Roman" w:hAnsi="Times New Roman" w:cs="Times New Roman"/>
          <w:color w:val="000000" w:themeColor="text1"/>
          <w:lang w:val="en-US" w:eastAsia="zh-CN"/>
          <w14:textFill>
            <w14:solidFill>
              <w14:schemeClr w14:val="tx1"/>
            </w14:solidFill>
          </w14:textFill>
        </w:rPr>
        <w:t>，上报率均为100%，保障了第五次经济普查数据填报综合差错率符合标准。</w:t>
      </w:r>
      <w:r>
        <w:rPr>
          <w:rFonts w:hint="eastAsia" w:ascii="Times New Roman" w:hAnsi="Times New Roman" w:cs="Times New Roman"/>
          <w:color w:val="000000" w:themeColor="text1"/>
          <w14:textFill>
            <w14:solidFill>
              <w14:schemeClr w14:val="tx1"/>
            </w14:solidFill>
          </w14:textFill>
        </w:rPr>
        <w:t>但在实施过程中存在年度计划未明确任务科室责任</w:t>
      </w:r>
      <w:r>
        <w:rPr>
          <w:rFonts w:hint="eastAsia" w:ascii="Times New Roman" w:hAnsi="Times New Roman" w:cs="Times New Roman"/>
          <w:color w:val="000000" w:themeColor="text1"/>
          <w:lang w:val="en-US" w:eastAsia="zh-CN"/>
          <w14:textFill>
            <w14:solidFill>
              <w14:schemeClr w14:val="tx1"/>
            </w14:solidFill>
          </w14:textFill>
        </w:rPr>
        <w:t>主体，</w:t>
      </w:r>
      <w:r>
        <w:rPr>
          <w:rFonts w:hint="default" w:ascii="Times New Roman" w:hAnsi="Times New Roman" w:cs="Times New Roman"/>
          <w:color w:val="000000" w:themeColor="text1"/>
          <w:lang w:val="en-US" w:eastAsia="zh-CN"/>
          <w14:textFill>
            <w14:solidFill>
              <w14:schemeClr w14:val="tx1"/>
            </w14:solidFill>
          </w14:textFill>
        </w:rPr>
        <w:t>单位</w:t>
      </w:r>
      <w:r>
        <w:rPr>
          <w:rFonts w:hint="eastAsia" w:ascii="Times New Roman" w:hAnsi="Times New Roman" w:cs="Times New Roman"/>
          <w:color w:val="000000" w:themeColor="text1"/>
          <w:lang w:val="en-US" w:eastAsia="zh-CN"/>
          <w14:textFill>
            <w14:solidFill>
              <w14:schemeClr w14:val="tx1"/>
            </w14:solidFill>
          </w14:textFill>
        </w:rPr>
        <w:t>财务管理制度和合同管理</w:t>
      </w:r>
      <w:r>
        <w:rPr>
          <w:rFonts w:hint="default" w:ascii="Times New Roman" w:hAnsi="Times New Roman" w:cs="Times New Roman"/>
          <w:color w:val="000000" w:themeColor="text1"/>
          <w:lang w:val="en-US" w:eastAsia="zh-CN"/>
          <w14:textFill>
            <w14:solidFill>
              <w14:schemeClr w14:val="tx1"/>
            </w14:solidFill>
          </w14:textFill>
        </w:rPr>
        <w:t>制度不</w:t>
      </w:r>
      <w:r>
        <w:rPr>
          <w:rFonts w:hint="eastAsia" w:ascii="Times New Roman" w:hAnsi="Times New Roman" w:cs="Times New Roman"/>
          <w:color w:val="000000" w:themeColor="text1"/>
          <w:lang w:val="en-US" w:eastAsia="zh-CN"/>
          <w14:textFill>
            <w14:solidFill>
              <w14:schemeClr w14:val="tx1"/>
            </w14:solidFill>
          </w14:textFill>
        </w:rPr>
        <w:t>够完善，统计工作人员满意度较低，统计工作方式方法有待优化完善</w:t>
      </w:r>
      <w:r>
        <w:rPr>
          <w:rFonts w:hint="eastAsia" w:ascii="Times New Roman" w:hAnsi="Times New Roman" w:cs="Times New Roman"/>
          <w:color w:val="000000" w:themeColor="text1"/>
          <w14:textFill>
            <w14:solidFill>
              <w14:schemeClr w14:val="tx1"/>
            </w14:solidFill>
          </w14:textFill>
        </w:rPr>
        <w:t>等</w:t>
      </w:r>
      <w:r>
        <w:rPr>
          <w:rFonts w:hint="eastAsia" w:ascii="Times New Roman" w:hAnsi="Times New Roman" w:cs="Times New Roman"/>
          <w:color w:val="000000" w:themeColor="text1"/>
          <w:lang w:val="en-US" w:eastAsia="zh-CN"/>
          <w14:textFill>
            <w14:solidFill>
              <w14:schemeClr w14:val="tx1"/>
            </w14:solidFill>
          </w14:textFill>
        </w:rPr>
        <w:t>问题</w:t>
      </w:r>
      <w:r>
        <w:rPr>
          <w:rFonts w:hint="eastAsia" w:ascii="Times New Roman" w:hAnsi="Times New Roman" w:cs="Times New Roman"/>
          <w:color w:val="000000" w:themeColor="text1"/>
          <w14:textFill>
            <w14:solidFill>
              <w14:schemeClr w14:val="tx1"/>
            </w14:solidFill>
          </w14:textFill>
        </w:rPr>
        <w:t>。</w:t>
      </w:r>
    </w:p>
    <w:p w14:paraId="17184471">
      <w:pPr>
        <w:keepNext/>
        <w:keepLines/>
        <w:ind w:firstLine="482"/>
        <w:outlineLvl w:val="0"/>
        <w:rPr>
          <w:b/>
          <w:bCs/>
          <w:color w:val="000000" w:themeColor="text1"/>
          <w:kern w:val="44"/>
          <w:sz w:val="24"/>
          <w:szCs w:val="24"/>
          <w14:textFill>
            <w14:solidFill>
              <w14:schemeClr w14:val="tx1"/>
            </w14:solidFill>
          </w14:textFill>
        </w:rPr>
      </w:pPr>
      <w:bookmarkStart w:id="64" w:name="_Toc22544"/>
      <w:bookmarkEnd w:id="64"/>
      <w:bookmarkStart w:id="65" w:name="_Toc16045"/>
      <w:bookmarkStart w:id="66" w:name="_Toc535"/>
      <w:r>
        <w:rPr>
          <w:b/>
          <w:bCs/>
          <w:color w:val="000000" w:themeColor="text1"/>
          <w:kern w:val="44"/>
          <w:sz w:val="24"/>
          <w:szCs w:val="24"/>
          <w14:textFill>
            <w14:solidFill>
              <w14:schemeClr w14:val="tx1"/>
            </w14:solidFill>
          </w14:textFill>
        </w:rPr>
        <w:t>四、绩效评价指标分析</w:t>
      </w:r>
      <w:bookmarkEnd w:id="65"/>
      <w:bookmarkEnd w:id="66"/>
    </w:p>
    <w:p w14:paraId="615C2BB9">
      <w:pPr>
        <w:keepNext/>
        <w:keepLines/>
        <w:ind w:firstLine="422"/>
        <w:jc w:val="left"/>
        <w:outlineLvl w:val="1"/>
        <w:rPr>
          <w:bCs/>
          <w:color w:val="000000" w:themeColor="text1"/>
          <w14:textFill>
            <w14:solidFill>
              <w14:schemeClr w14:val="tx1"/>
            </w14:solidFill>
          </w14:textFill>
        </w:rPr>
      </w:pPr>
      <w:bookmarkStart w:id="67" w:name="_Toc22260"/>
      <w:bookmarkEnd w:id="67"/>
      <w:bookmarkStart w:id="68" w:name="_Toc32441"/>
      <w:bookmarkStart w:id="69" w:name="_Toc18078"/>
      <w:r>
        <w:rPr>
          <w:b/>
          <w:color w:val="000000" w:themeColor="text1"/>
          <w14:textFill>
            <w14:solidFill>
              <w14:schemeClr w14:val="tx1"/>
            </w14:solidFill>
          </w14:textFill>
        </w:rPr>
        <w:t>（一）部门决策情况</w:t>
      </w:r>
      <w:bookmarkEnd w:id="68"/>
      <w:bookmarkEnd w:id="69"/>
    </w:p>
    <w:p w14:paraId="6C903964">
      <w:pPr>
        <w:ind w:firstLine="420"/>
        <w:rPr>
          <w:rFonts w:eastAsiaTheme="minorEastAsia"/>
          <w:bCs/>
          <w:color w:val="000000" w:themeColor="text1"/>
          <w14:textFill>
            <w14:solidFill>
              <w14:schemeClr w14:val="tx1"/>
            </w14:solidFill>
          </w14:textFill>
        </w:rPr>
      </w:pPr>
      <w:r>
        <w:rPr>
          <w:rFonts w:eastAsiaTheme="minorEastAsia"/>
          <w:bCs/>
          <w:color w:val="000000" w:themeColor="text1"/>
          <w14:textFill>
            <w14:solidFill>
              <w14:schemeClr w14:val="tx1"/>
            </w14:solidFill>
          </w14:textFill>
        </w:rPr>
        <w:t>部门决策类指标由3个二级指标和6个三级指标构成，权重分15.00分，实际得分</w:t>
      </w:r>
      <w:r>
        <w:rPr>
          <w:rFonts w:hint="eastAsia" w:eastAsiaTheme="minorEastAsia"/>
          <w:bCs/>
          <w:color w:val="000000" w:themeColor="text1"/>
          <w:lang w:val="en-US" w:eastAsia="zh-CN"/>
          <w14:textFill>
            <w14:solidFill>
              <w14:schemeClr w14:val="tx1"/>
            </w14:solidFill>
          </w14:textFill>
        </w:rPr>
        <w:t>13.00</w:t>
      </w:r>
      <w:r>
        <w:rPr>
          <w:rFonts w:eastAsiaTheme="minorEastAsia"/>
          <w:bCs/>
          <w:color w:val="000000" w:themeColor="text1"/>
          <w14:textFill>
            <w14:solidFill>
              <w14:schemeClr w14:val="tx1"/>
            </w14:solidFill>
          </w14:textFill>
        </w:rPr>
        <w:t>分，得分率</w:t>
      </w:r>
      <w:r>
        <w:rPr>
          <w:rFonts w:hint="eastAsia" w:eastAsiaTheme="minorEastAsia"/>
          <w:bCs/>
          <w:color w:val="000000" w:themeColor="text1"/>
          <w:lang w:val="en-US" w:eastAsia="zh-CN"/>
          <w14:textFill>
            <w14:solidFill>
              <w14:schemeClr w14:val="tx1"/>
            </w14:solidFill>
          </w14:textFill>
        </w:rPr>
        <w:t>86.67</w:t>
      </w:r>
      <w:r>
        <w:rPr>
          <w:rFonts w:eastAsiaTheme="minorEastAsia"/>
          <w:bCs/>
          <w:color w:val="000000" w:themeColor="text1"/>
          <w14:textFill>
            <w14:solidFill>
              <w14:schemeClr w14:val="tx1"/>
            </w14:solidFill>
          </w14:textFill>
        </w:rPr>
        <w:t>%。各指标业绩值和绩效分值如下表所示：</w:t>
      </w:r>
    </w:p>
    <w:p w14:paraId="08471B88">
      <w:pPr>
        <w:rPr>
          <w:rFonts w:hint="eastAsia" w:ascii="黑体" w:hAnsi="黑体" w:eastAsia="黑体" w:cs="黑体"/>
          <w:b w:val="0"/>
          <w:bCs/>
          <w:color w:val="000000" w:themeColor="text1"/>
          <w:spacing w:val="6"/>
          <w14:textFill>
            <w14:solidFill>
              <w14:schemeClr w14:val="tx1"/>
            </w14:solidFill>
          </w14:textFill>
        </w:rPr>
      </w:pPr>
      <w:r>
        <w:rPr>
          <w:rFonts w:hint="eastAsia" w:ascii="黑体" w:hAnsi="黑体" w:eastAsia="黑体" w:cs="黑体"/>
          <w:b w:val="0"/>
          <w:bCs/>
          <w:color w:val="000000" w:themeColor="text1"/>
          <w:spacing w:val="6"/>
          <w14:textFill>
            <w14:solidFill>
              <w14:schemeClr w14:val="tx1"/>
            </w14:solidFill>
          </w14:textFill>
        </w:rPr>
        <w:br w:type="page"/>
      </w:r>
    </w:p>
    <w:p w14:paraId="61E0550F">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黑体" w:hAnsi="黑体" w:eastAsia="黑体" w:cs="黑体"/>
          <w:b w:val="0"/>
          <w:bCs/>
          <w:color w:val="000000" w:themeColor="text1"/>
          <w:spacing w:val="6"/>
          <w14:textFill>
            <w14:solidFill>
              <w14:schemeClr w14:val="tx1"/>
            </w14:solidFill>
          </w14:textFill>
        </w:rPr>
      </w:pPr>
      <w:r>
        <w:rPr>
          <w:rFonts w:hint="eastAsia" w:ascii="黑体" w:hAnsi="黑体" w:eastAsia="黑体" w:cs="黑体"/>
          <w:b w:val="0"/>
          <w:bCs/>
          <w:color w:val="000000" w:themeColor="text1"/>
          <w:spacing w:val="6"/>
          <w14:textFill>
            <w14:solidFill>
              <w14:schemeClr w14:val="tx1"/>
            </w14:solidFill>
          </w14:textFill>
        </w:rPr>
        <w:t>表4-1：部门决策类指标及分值</w:t>
      </w:r>
    </w:p>
    <w:tbl>
      <w:tblPr>
        <w:tblStyle w:val="24"/>
        <w:tblW w:w="4998" w:type="pct"/>
        <w:tblInd w:w="0" w:type="dxa"/>
        <w:tblLayout w:type="autofit"/>
        <w:tblCellMar>
          <w:top w:w="0" w:type="dxa"/>
          <w:left w:w="0" w:type="dxa"/>
          <w:bottom w:w="0" w:type="dxa"/>
          <w:right w:w="0" w:type="dxa"/>
        </w:tblCellMar>
      </w:tblPr>
      <w:tblGrid>
        <w:gridCol w:w="1082"/>
        <w:gridCol w:w="1069"/>
        <w:gridCol w:w="1849"/>
        <w:gridCol w:w="969"/>
        <w:gridCol w:w="1029"/>
        <w:gridCol w:w="764"/>
        <w:gridCol w:w="785"/>
        <w:gridCol w:w="786"/>
      </w:tblGrid>
      <w:tr w14:paraId="0815AD91">
        <w:tblPrEx>
          <w:tblCellMar>
            <w:top w:w="0" w:type="dxa"/>
            <w:left w:w="0" w:type="dxa"/>
            <w:bottom w:w="0" w:type="dxa"/>
            <w:right w:w="0" w:type="dxa"/>
          </w:tblCellMar>
        </w:tblPrEx>
        <w:trPr>
          <w:trHeight w:val="397" w:hRule="atLeast"/>
          <w:tblHeader/>
        </w:trPr>
        <w:tc>
          <w:tcPr>
            <w:tcW w:w="64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5564B6D">
            <w:pPr>
              <w:widowControl/>
              <w:adjustRightInd/>
              <w:snapToGrid/>
              <w:spacing w:line="240" w:lineRule="auto"/>
              <w:ind w:firstLine="0" w:firstLineChars="0"/>
              <w:jc w:val="center"/>
              <w:textAlignment w:val="center"/>
              <w:rPr>
                <w:b/>
                <w:color w:val="000000" w:themeColor="text1"/>
                <w:sz w:val="20"/>
                <w:szCs w:val="20"/>
                <w14:textFill>
                  <w14:solidFill>
                    <w14:schemeClr w14:val="tx1"/>
                  </w14:solidFill>
                </w14:textFill>
              </w:rPr>
            </w:pPr>
            <w:r>
              <w:rPr>
                <w:b/>
                <w:color w:val="000000" w:themeColor="text1"/>
                <w:sz w:val="20"/>
                <w:szCs w:val="20"/>
                <w:lang w:bidi="ar"/>
                <w14:textFill>
                  <w14:solidFill>
                    <w14:schemeClr w14:val="tx1"/>
                  </w14:solidFill>
                </w14:textFill>
              </w:rPr>
              <w:t>一级指标</w:t>
            </w:r>
          </w:p>
        </w:tc>
        <w:tc>
          <w:tcPr>
            <w:tcW w:w="64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AF39B18">
            <w:pPr>
              <w:widowControl/>
              <w:adjustRightInd/>
              <w:snapToGrid/>
              <w:spacing w:line="240" w:lineRule="auto"/>
              <w:ind w:firstLine="0" w:firstLineChars="0"/>
              <w:jc w:val="center"/>
              <w:textAlignment w:val="center"/>
              <w:rPr>
                <w:b/>
                <w:color w:val="000000" w:themeColor="text1"/>
                <w:sz w:val="20"/>
                <w:szCs w:val="20"/>
                <w14:textFill>
                  <w14:solidFill>
                    <w14:schemeClr w14:val="tx1"/>
                  </w14:solidFill>
                </w14:textFill>
              </w:rPr>
            </w:pPr>
            <w:r>
              <w:rPr>
                <w:b/>
                <w:color w:val="000000" w:themeColor="text1"/>
                <w:sz w:val="20"/>
                <w:szCs w:val="20"/>
                <w:lang w:bidi="ar"/>
                <w14:textFill>
                  <w14:solidFill>
                    <w14:schemeClr w14:val="tx1"/>
                  </w14:solidFill>
                </w14:textFill>
              </w:rPr>
              <w:t>二级指标</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6120571">
            <w:pPr>
              <w:widowControl/>
              <w:adjustRightInd/>
              <w:snapToGrid/>
              <w:spacing w:line="240" w:lineRule="auto"/>
              <w:ind w:firstLine="0" w:firstLineChars="0"/>
              <w:jc w:val="center"/>
              <w:textAlignment w:val="center"/>
              <w:rPr>
                <w:b/>
                <w:color w:val="000000" w:themeColor="text1"/>
                <w:sz w:val="20"/>
                <w:szCs w:val="20"/>
                <w14:textFill>
                  <w14:solidFill>
                    <w14:schemeClr w14:val="tx1"/>
                  </w14:solidFill>
                </w14:textFill>
              </w:rPr>
            </w:pPr>
            <w:r>
              <w:rPr>
                <w:b/>
                <w:color w:val="000000" w:themeColor="text1"/>
                <w:sz w:val="20"/>
                <w:szCs w:val="20"/>
                <w:lang w:bidi="ar"/>
                <w14:textFill>
                  <w14:solidFill>
                    <w14:schemeClr w14:val="tx1"/>
                  </w14:solidFill>
                </w14:textFill>
              </w:rPr>
              <w:t>三级指标</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2376764">
            <w:pPr>
              <w:widowControl/>
              <w:adjustRightInd/>
              <w:snapToGrid/>
              <w:spacing w:line="240" w:lineRule="auto"/>
              <w:ind w:firstLine="0" w:firstLineChars="0"/>
              <w:jc w:val="center"/>
              <w:textAlignment w:val="center"/>
              <w:rPr>
                <w:b/>
                <w:color w:val="000000" w:themeColor="text1"/>
                <w:sz w:val="20"/>
                <w:szCs w:val="20"/>
                <w14:textFill>
                  <w14:solidFill>
                    <w14:schemeClr w14:val="tx1"/>
                  </w14:solidFill>
                </w14:textFill>
              </w:rPr>
            </w:pPr>
            <w:r>
              <w:rPr>
                <w:b/>
                <w:color w:val="000000" w:themeColor="text1"/>
                <w:sz w:val="20"/>
                <w:szCs w:val="20"/>
                <w:lang w:bidi="ar"/>
                <w14:textFill>
                  <w14:solidFill>
                    <w14:schemeClr w14:val="tx1"/>
                  </w14:solidFill>
                </w14:textFill>
              </w:rPr>
              <w:t>目标值</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43686A1">
            <w:pPr>
              <w:widowControl/>
              <w:adjustRightInd/>
              <w:snapToGrid/>
              <w:spacing w:line="240" w:lineRule="auto"/>
              <w:ind w:firstLine="0" w:firstLineChars="0"/>
              <w:jc w:val="center"/>
              <w:textAlignment w:val="center"/>
              <w:rPr>
                <w:b/>
                <w:color w:val="000000" w:themeColor="text1"/>
                <w:sz w:val="20"/>
                <w:szCs w:val="20"/>
                <w:lang w:bidi="ar"/>
                <w14:textFill>
                  <w14:solidFill>
                    <w14:schemeClr w14:val="tx1"/>
                  </w14:solidFill>
                </w14:textFill>
              </w:rPr>
            </w:pPr>
            <w:r>
              <w:rPr>
                <w:b/>
                <w:color w:val="000000" w:themeColor="text1"/>
                <w:sz w:val="20"/>
                <w:szCs w:val="20"/>
                <w:lang w:bidi="ar"/>
                <w14:textFill>
                  <w14:solidFill>
                    <w14:schemeClr w14:val="tx1"/>
                  </w14:solidFill>
                </w14:textFill>
              </w:rPr>
              <w:t>实际完成值</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5DDC6EE">
            <w:pPr>
              <w:widowControl/>
              <w:adjustRightInd/>
              <w:snapToGrid/>
              <w:spacing w:line="240" w:lineRule="auto"/>
              <w:ind w:firstLine="0" w:firstLineChars="0"/>
              <w:jc w:val="center"/>
              <w:textAlignment w:val="center"/>
              <w:rPr>
                <w:b/>
                <w:color w:val="000000" w:themeColor="text1"/>
                <w:sz w:val="20"/>
                <w:szCs w:val="20"/>
                <w14:textFill>
                  <w14:solidFill>
                    <w14:schemeClr w14:val="tx1"/>
                  </w14:solidFill>
                </w14:textFill>
              </w:rPr>
            </w:pPr>
            <w:r>
              <w:rPr>
                <w:b/>
                <w:color w:val="000000" w:themeColor="text1"/>
                <w:sz w:val="20"/>
                <w:szCs w:val="20"/>
                <w:lang w:bidi="ar"/>
                <w14:textFill>
                  <w14:solidFill>
                    <w14:schemeClr w14:val="tx1"/>
                  </w14:solidFill>
                </w14:textFill>
              </w:rPr>
              <w:t>权重</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60B10AF">
            <w:pPr>
              <w:widowControl/>
              <w:adjustRightInd/>
              <w:snapToGrid/>
              <w:spacing w:line="240" w:lineRule="auto"/>
              <w:ind w:firstLine="0" w:firstLineChars="0"/>
              <w:jc w:val="center"/>
              <w:textAlignment w:val="center"/>
              <w:rPr>
                <w:b/>
                <w:color w:val="000000" w:themeColor="text1"/>
                <w:sz w:val="20"/>
                <w:szCs w:val="20"/>
                <w14:textFill>
                  <w14:solidFill>
                    <w14:schemeClr w14:val="tx1"/>
                  </w14:solidFill>
                </w14:textFill>
              </w:rPr>
            </w:pPr>
            <w:r>
              <w:rPr>
                <w:b/>
                <w:color w:val="000000" w:themeColor="text1"/>
                <w:sz w:val="20"/>
                <w:szCs w:val="20"/>
                <w:lang w:bidi="ar"/>
                <w14:textFill>
                  <w14:solidFill>
                    <w14:schemeClr w14:val="tx1"/>
                  </w14:solidFill>
                </w14:textFill>
              </w:rPr>
              <w:t>得分</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C7DEC2C">
            <w:pPr>
              <w:widowControl/>
              <w:adjustRightInd/>
              <w:snapToGrid/>
              <w:spacing w:line="240" w:lineRule="auto"/>
              <w:ind w:firstLine="0" w:firstLineChars="0"/>
              <w:jc w:val="center"/>
              <w:textAlignment w:val="center"/>
              <w:rPr>
                <w:b/>
                <w:color w:val="000000" w:themeColor="text1"/>
                <w:sz w:val="20"/>
                <w:szCs w:val="20"/>
                <w:lang w:bidi="ar"/>
                <w14:textFill>
                  <w14:solidFill>
                    <w14:schemeClr w14:val="tx1"/>
                  </w14:solidFill>
                </w14:textFill>
              </w:rPr>
            </w:pPr>
            <w:r>
              <w:rPr>
                <w:b/>
                <w:color w:val="000000" w:themeColor="text1"/>
                <w:sz w:val="20"/>
                <w:szCs w:val="20"/>
                <w:lang w:bidi="ar"/>
                <w14:textFill>
                  <w14:solidFill>
                    <w14:schemeClr w14:val="tx1"/>
                  </w14:solidFill>
                </w14:textFill>
              </w:rPr>
              <w:t>得分率</w:t>
            </w:r>
          </w:p>
        </w:tc>
      </w:tr>
      <w:tr w14:paraId="056113D8">
        <w:tblPrEx>
          <w:tblCellMar>
            <w:top w:w="0" w:type="dxa"/>
            <w:left w:w="0" w:type="dxa"/>
            <w:bottom w:w="0" w:type="dxa"/>
            <w:right w:w="0" w:type="dxa"/>
          </w:tblCellMar>
        </w:tblPrEx>
        <w:trPr>
          <w:trHeight w:val="397" w:hRule="atLeast"/>
        </w:trPr>
        <w:tc>
          <w:tcPr>
            <w:tcW w:w="649"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F90A498">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A部门决策（15.00分）</w:t>
            </w: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DC18789">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A1部门战略计划</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B32D985">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A11中长期规划科学合理性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5F7DE65">
            <w:pPr>
              <w:widowControl/>
              <w:adjustRightInd/>
              <w:snapToGrid/>
              <w:spacing w:line="240" w:lineRule="auto"/>
              <w:ind w:firstLine="0" w:firstLineChars="0"/>
              <w:jc w:val="center"/>
              <w:textAlignment w:val="center"/>
              <w:rPr>
                <w:b w:val="0"/>
                <w:bCs/>
                <w:color w:val="000000" w:themeColor="text1"/>
                <w:sz w:val="20"/>
                <w:szCs w:val="20"/>
                <w:lang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合理</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D48E5AA">
            <w:pPr>
              <w:widowControl/>
              <w:adjustRightInd/>
              <w:snapToGrid/>
              <w:spacing w:line="240" w:lineRule="auto"/>
              <w:ind w:firstLine="0" w:firstLineChars="0"/>
              <w:jc w:val="center"/>
              <w:textAlignment w:val="center"/>
              <w:rPr>
                <w:b w:val="0"/>
                <w:bCs/>
                <w:color w:val="000000" w:themeColor="text1"/>
                <w:sz w:val="20"/>
                <w:szCs w:val="20"/>
                <w:lang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合理</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B06DCD4">
            <w:pPr>
              <w:widowControl/>
              <w:adjustRightInd/>
              <w:snapToGrid/>
              <w:spacing w:line="240" w:lineRule="auto"/>
              <w:ind w:firstLine="0" w:firstLineChars="0"/>
              <w:jc w:val="center"/>
              <w:textAlignment w:val="center"/>
              <w:rPr>
                <w:rFonts w:hint="eastAsia"/>
                <w:b w:val="0"/>
                <w:bCs/>
                <w:color w:val="000000" w:themeColor="text1"/>
                <w:sz w:val="20"/>
                <w:szCs w:val="20"/>
                <w:lang w:eastAsia="zh-CN"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 xml:space="preserve">2.00 </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25874FB">
            <w:pPr>
              <w:widowControl/>
              <w:adjustRightInd/>
              <w:snapToGrid/>
              <w:spacing w:line="240" w:lineRule="auto"/>
              <w:ind w:firstLine="0" w:firstLineChars="0"/>
              <w:jc w:val="center"/>
              <w:textAlignment w:val="center"/>
              <w:rPr>
                <w:rFonts w:hint="eastAsia"/>
                <w:b w:val="0"/>
                <w:bCs/>
                <w:color w:val="000000" w:themeColor="text1"/>
                <w:sz w:val="20"/>
                <w:szCs w:val="20"/>
                <w:lang w:eastAsia="zh-CN"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 xml:space="preserve">2.00 </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2B40790">
            <w:pPr>
              <w:widowControl/>
              <w:adjustRightInd/>
              <w:snapToGrid/>
              <w:spacing w:line="240" w:lineRule="auto"/>
              <w:ind w:firstLine="0" w:firstLineChars="0"/>
              <w:jc w:val="center"/>
              <w:textAlignment w:val="center"/>
              <w:rPr>
                <w:b w:val="0"/>
                <w:bCs/>
                <w:color w:val="000000" w:themeColor="text1"/>
                <w:sz w:val="20"/>
                <w:szCs w:val="20"/>
                <w:lang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100.00%</w:t>
            </w:r>
          </w:p>
        </w:tc>
      </w:tr>
      <w:tr w14:paraId="0E17D8CC">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909E18D">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026A5FF">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13B60F5">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A12年度工作计划科学完整性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92FF89E">
            <w:pPr>
              <w:widowControl/>
              <w:adjustRightInd/>
              <w:snapToGrid/>
              <w:spacing w:line="240" w:lineRule="auto"/>
              <w:ind w:firstLine="0" w:firstLineChars="0"/>
              <w:jc w:val="center"/>
              <w:textAlignment w:val="center"/>
              <w:rPr>
                <w:b w:val="0"/>
                <w:bCs/>
                <w:color w:val="000000" w:themeColor="text1"/>
                <w:sz w:val="20"/>
                <w:szCs w:val="20"/>
                <w:lang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科学完整</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E35029A">
            <w:pPr>
              <w:widowControl/>
              <w:adjustRightInd/>
              <w:snapToGrid/>
              <w:spacing w:line="240" w:lineRule="auto"/>
              <w:ind w:firstLine="0" w:firstLineChars="0"/>
              <w:jc w:val="center"/>
              <w:textAlignment w:val="center"/>
              <w:rPr>
                <w:rFonts w:hint="eastAsia"/>
                <w:b w:val="0"/>
                <w:bCs/>
                <w:color w:val="000000" w:themeColor="text1"/>
                <w:sz w:val="20"/>
                <w:szCs w:val="20"/>
                <w:lang w:val="en-US" w:eastAsia="zh-CN"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较科学完整</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37E7FE6">
            <w:pPr>
              <w:widowControl/>
              <w:adjustRightInd/>
              <w:snapToGrid/>
              <w:spacing w:line="240" w:lineRule="auto"/>
              <w:ind w:firstLine="0" w:firstLineChars="0"/>
              <w:jc w:val="center"/>
              <w:textAlignment w:val="center"/>
              <w:rPr>
                <w:rFonts w:hint="eastAsia"/>
                <w:b w:val="0"/>
                <w:bCs/>
                <w:color w:val="000000" w:themeColor="text1"/>
                <w:sz w:val="20"/>
                <w:szCs w:val="20"/>
                <w:lang w:val="en-US" w:eastAsia="zh-CN"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 xml:space="preserve">4.00 </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A4ED609">
            <w:pPr>
              <w:widowControl/>
              <w:adjustRightInd/>
              <w:snapToGrid/>
              <w:spacing w:line="240" w:lineRule="auto"/>
              <w:ind w:firstLine="0" w:firstLineChars="0"/>
              <w:jc w:val="center"/>
              <w:textAlignment w:val="center"/>
              <w:rPr>
                <w:rFonts w:hint="eastAsia"/>
                <w:b w:val="0"/>
                <w:bCs/>
                <w:color w:val="000000" w:themeColor="text1"/>
                <w:sz w:val="20"/>
                <w:szCs w:val="20"/>
                <w:lang w:val="en-US" w:eastAsia="zh-CN"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 xml:space="preserve">2.00 </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590FB79">
            <w:pPr>
              <w:widowControl/>
              <w:adjustRightInd/>
              <w:snapToGrid/>
              <w:spacing w:line="240" w:lineRule="auto"/>
              <w:ind w:firstLine="0" w:firstLineChars="0"/>
              <w:jc w:val="center"/>
              <w:textAlignment w:val="center"/>
              <w:rPr>
                <w:rFonts w:hint="eastAsia"/>
                <w:b w:val="0"/>
                <w:bCs/>
                <w:color w:val="000000" w:themeColor="text1"/>
                <w:sz w:val="20"/>
                <w:szCs w:val="20"/>
                <w:lang w:val="en-US" w:eastAsia="zh-CN"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50.00%</w:t>
            </w:r>
          </w:p>
        </w:tc>
      </w:tr>
      <w:tr w14:paraId="4F4820E9">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C9F89D7">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656F3B7">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A2绩效目标</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C352089">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A21绩效目标明确性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DA664CF">
            <w:pPr>
              <w:widowControl/>
              <w:adjustRightInd/>
              <w:snapToGrid/>
              <w:spacing w:line="240" w:lineRule="auto"/>
              <w:ind w:firstLine="0" w:firstLineChars="0"/>
              <w:jc w:val="center"/>
              <w:textAlignment w:val="center"/>
              <w:rPr>
                <w:b w:val="0"/>
                <w:bCs/>
                <w:color w:val="000000" w:themeColor="text1"/>
                <w:sz w:val="20"/>
                <w:szCs w:val="20"/>
                <w:lang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明确</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DD448E4">
            <w:pPr>
              <w:widowControl/>
              <w:adjustRightInd/>
              <w:snapToGrid/>
              <w:spacing w:line="240" w:lineRule="auto"/>
              <w:ind w:firstLine="0" w:firstLineChars="0"/>
              <w:jc w:val="center"/>
              <w:textAlignment w:val="center"/>
              <w:rPr>
                <w:b w:val="0"/>
                <w:bCs/>
                <w:color w:val="000000" w:themeColor="text1"/>
                <w:sz w:val="20"/>
                <w:szCs w:val="20"/>
                <w:lang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明确</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C8C4A1F">
            <w:pPr>
              <w:widowControl/>
              <w:adjustRightInd/>
              <w:snapToGrid/>
              <w:spacing w:line="240" w:lineRule="auto"/>
              <w:ind w:firstLine="0" w:firstLineChars="0"/>
              <w:jc w:val="center"/>
              <w:textAlignment w:val="center"/>
              <w:rPr>
                <w:rFonts w:hint="eastAsia"/>
                <w:b w:val="0"/>
                <w:bCs/>
                <w:color w:val="000000" w:themeColor="text1"/>
                <w:sz w:val="20"/>
                <w:szCs w:val="20"/>
                <w:lang w:eastAsia="zh-CN"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 xml:space="preserve">2.00 </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712D008">
            <w:pPr>
              <w:widowControl/>
              <w:adjustRightInd/>
              <w:snapToGrid/>
              <w:spacing w:line="240" w:lineRule="auto"/>
              <w:ind w:firstLine="0" w:firstLineChars="0"/>
              <w:jc w:val="center"/>
              <w:textAlignment w:val="center"/>
              <w:rPr>
                <w:rFonts w:hint="eastAsia"/>
                <w:b w:val="0"/>
                <w:bCs/>
                <w:color w:val="000000" w:themeColor="text1"/>
                <w:sz w:val="20"/>
                <w:szCs w:val="20"/>
                <w:lang w:eastAsia="zh-CN"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 xml:space="preserve">2.00 </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5AA9A6B">
            <w:pPr>
              <w:widowControl/>
              <w:adjustRightInd/>
              <w:snapToGrid/>
              <w:spacing w:line="240" w:lineRule="auto"/>
              <w:ind w:firstLine="0" w:firstLineChars="0"/>
              <w:jc w:val="center"/>
              <w:textAlignment w:val="center"/>
              <w:rPr>
                <w:b w:val="0"/>
                <w:bCs/>
                <w:color w:val="000000" w:themeColor="text1"/>
                <w:sz w:val="20"/>
                <w:szCs w:val="20"/>
                <w:lang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100.00%</w:t>
            </w:r>
          </w:p>
        </w:tc>
      </w:tr>
      <w:tr w14:paraId="540A4D84">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561E3D8">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4CB9164">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BCE5EF2">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A22绩效目标合理性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748571C">
            <w:pPr>
              <w:widowControl/>
              <w:adjustRightInd/>
              <w:snapToGrid/>
              <w:spacing w:line="240" w:lineRule="auto"/>
              <w:ind w:firstLine="0" w:firstLineChars="0"/>
              <w:jc w:val="center"/>
              <w:textAlignment w:val="center"/>
              <w:rPr>
                <w:b w:val="0"/>
                <w:bCs/>
                <w:color w:val="000000" w:themeColor="text1"/>
                <w:sz w:val="20"/>
                <w:szCs w:val="20"/>
                <w:lang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合理</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92D48C5">
            <w:pPr>
              <w:widowControl/>
              <w:adjustRightInd/>
              <w:snapToGrid/>
              <w:spacing w:line="240" w:lineRule="auto"/>
              <w:ind w:firstLine="0" w:firstLineChars="0"/>
              <w:jc w:val="center"/>
              <w:textAlignment w:val="center"/>
              <w:rPr>
                <w:b w:val="0"/>
                <w:bCs/>
                <w:color w:val="000000" w:themeColor="text1"/>
                <w:sz w:val="20"/>
                <w:szCs w:val="20"/>
                <w:lang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合理</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A714373">
            <w:pPr>
              <w:widowControl/>
              <w:adjustRightInd/>
              <w:snapToGrid/>
              <w:spacing w:line="240" w:lineRule="auto"/>
              <w:ind w:firstLine="0" w:firstLineChars="0"/>
              <w:jc w:val="center"/>
              <w:textAlignment w:val="center"/>
              <w:rPr>
                <w:rFonts w:hint="eastAsia"/>
                <w:b w:val="0"/>
                <w:bCs/>
                <w:color w:val="000000" w:themeColor="text1"/>
                <w:sz w:val="20"/>
                <w:szCs w:val="20"/>
                <w:lang w:eastAsia="zh-CN"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 xml:space="preserve">2.00 </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D68BE61">
            <w:pPr>
              <w:widowControl/>
              <w:adjustRightInd/>
              <w:snapToGrid/>
              <w:spacing w:line="240" w:lineRule="auto"/>
              <w:ind w:firstLine="0" w:firstLineChars="0"/>
              <w:jc w:val="center"/>
              <w:textAlignment w:val="center"/>
              <w:rPr>
                <w:rFonts w:hint="eastAsia"/>
                <w:b w:val="0"/>
                <w:bCs/>
                <w:color w:val="000000" w:themeColor="text1"/>
                <w:sz w:val="20"/>
                <w:szCs w:val="20"/>
                <w:lang w:eastAsia="zh-CN"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 xml:space="preserve">2.00 </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9E27B44">
            <w:pPr>
              <w:widowControl/>
              <w:adjustRightInd/>
              <w:snapToGrid/>
              <w:spacing w:line="240" w:lineRule="auto"/>
              <w:ind w:firstLine="0" w:firstLineChars="0"/>
              <w:jc w:val="center"/>
              <w:textAlignment w:val="center"/>
              <w:rPr>
                <w:b w:val="0"/>
                <w:bCs/>
                <w:color w:val="000000" w:themeColor="text1"/>
                <w:sz w:val="20"/>
                <w:szCs w:val="20"/>
                <w:lang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100.00%</w:t>
            </w:r>
          </w:p>
        </w:tc>
      </w:tr>
      <w:tr w14:paraId="02437A57">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35EC837">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5E04A40">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A3部门预算编制</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185F038">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A31预算编制规范性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28FCE4E">
            <w:pPr>
              <w:widowControl/>
              <w:adjustRightInd/>
              <w:snapToGrid/>
              <w:spacing w:line="240" w:lineRule="auto"/>
              <w:ind w:firstLine="0" w:firstLineChars="0"/>
              <w:jc w:val="center"/>
              <w:textAlignment w:val="center"/>
              <w:rPr>
                <w:b w:val="0"/>
                <w:bCs/>
                <w:color w:val="000000" w:themeColor="text1"/>
                <w:sz w:val="20"/>
                <w:szCs w:val="20"/>
                <w:lang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规范</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A03A70E">
            <w:pPr>
              <w:widowControl/>
              <w:adjustRightInd/>
              <w:snapToGrid/>
              <w:spacing w:line="240" w:lineRule="auto"/>
              <w:ind w:firstLine="0" w:firstLineChars="0"/>
              <w:jc w:val="center"/>
              <w:textAlignment w:val="center"/>
              <w:rPr>
                <w:b w:val="0"/>
                <w:bCs/>
                <w:color w:val="000000" w:themeColor="text1"/>
                <w:sz w:val="20"/>
                <w:szCs w:val="20"/>
                <w:lang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规范</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8F39214">
            <w:pPr>
              <w:widowControl/>
              <w:adjustRightInd/>
              <w:snapToGrid/>
              <w:spacing w:line="240" w:lineRule="auto"/>
              <w:ind w:firstLine="0" w:firstLineChars="0"/>
              <w:jc w:val="center"/>
              <w:textAlignment w:val="center"/>
              <w:rPr>
                <w:rFonts w:hint="eastAsia"/>
                <w:b w:val="0"/>
                <w:bCs/>
                <w:color w:val="000000" w:themeColor="text1"/>
                <w:sz w:val="20"/>
                <w:szCs w:val="20"/>
                <w:lang w:eastAsia="zh-CN"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 xml:space="preserve">2.00 </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764FB99">
            <w:pPr>
              <w:widowControl/>
              <w:adjustRightInd/>
              <w:snapToGrid/>
              <w:spacing w:line="240" w:lineRule="auto"/>
              <w:ind w:firstLine="0" w:firstLineChars="0"/>
              <w:jc w:val="center"/>
              <w:textAlignment w:val="center"/>
              <w:rPr>
                <w:rFonts w:hint="eastAsia"/>
                <w:b w:val="0"/>
                <w:bCs/>
                <w:color w:val="000000" w:themeColor="text1"/>
                <w:sz w:val="20"/>
                <w:szCs w:val="20"/>
                <w:lang w:eastAsia="zh-CN"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 xml:space="preserve">2.00 </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2CBE416">
            <w:pPr>
              <w:widowControl/>
              <w:adjustRightInd/>
              <w:snapToGrid/>
              <w:spacing w:line="240" w:lineRule="auto"/>
              <w:ind w:firstLine="0" w:firstLineChars="0"/>
              <w:jc w:val="center"/>
              <w:textAlignment w:val="center"/>
              <w:rPr>
                <w:b w:val="0"/>
                <w:bCs/>
                <w:color w:val="000000" w:themeColor="text1"/>
                <w:sz w:val="20"/>
                <w:szCs w:val="20"/>
                <w:lang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100.00%</w:t>
            </w:r>
          </w:p>
        </w:tc>
      </w:tr>
      <w:tr w14:paraId="0D38472E">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8422604">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28AF133">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0F20A0B">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A32预算编制与重点工作任务的匹配性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B65DD5F">
            <w:pPr>
              <w:widowControl/>
              <w:adjustRightInd/>
              <w:snapToGrid/>
              <w:spacing w:line="240" w:lineRule="auto"/>
              <w:ind w:firstLine="0" w:firstLineChars="0"/>
              <w:jc w:val="center"/>
              <w:textAlignment w:val="center"/>
              <w:rPr>
                <w:b w:val="0"/>
                <w:bCs/>
                <w:color w:val="000000" w:themeColor="text1"/>
                <w:sz w:val="20"/>
                <w:szCs w:val="20"/>
                <w:lang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匹配</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AC3642A">
            <w:pPr>
              <w:widowControl/>
              <w:adjustRightInd/>
              <w:snapToGrid/>
              <w:spacing w:line="240" w:lineRule="auto"/>
              <w:ind w:firstLine="0" w:firstLineChars="0"/>
              <w:jc w:val="center"/>
              <w:textAlignment w:val="center"/>
              <w:rPr>
                <w:b w:val="0"/>
                <w:bCs/>
                <w:color w:val="000000" w:themeColor="text1"/>
                <w:sz w:val="20"/>
                <w:szCs w:val="20"/>
                <w:lang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匹配</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E157EFA">
            <w:pPr>
              <w:widowControl/>
              <w:adjustRightInd/>
              <w:snapToGrid/>
              <w:spacing w:line="240" w:lineRule="auto"/>
              <w:ind w:firstLine="0" w:firstLineChars="0"/>
              <w:jc w:val="center"/>
              <w:textAlignment w:val="center"/>
              <w:rPr>
                <w:rFonts w:hint="eastAsia"/>
                <w:b w:val="0"/>
                <w:bCs/>
                <w:color w:val="000000" w:themeColor="text1"/>
                <w:sz w:val="20"/>
                <w:szCs w:val="20"/>
                <w:lang w:eastAsia="zh-CN"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 xml:space="preserve">3.00 </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4D38F61">
            <w:pPr>
              <w:widowControl/>
              <w:adjustRightInd/>
              <w:snapToGrid/>
              <w:spacing w:line="240" w:lineRule="auto"/>
              <w:ind w:firstLine="0" w:firstLineChars="0"/>
              <w:jc w:val="center"/>
              <w:textAlignment w:val="center"/>
              <w:rPr>
                <w:rFonts w:hint="eastAsia"/>
                <w:b w:val="0"/>
                <w:bCs/>
                <w:color w:val="000000" w:themeColor="text1"/>
                <w:sz w:val="20"/>
                <w:szCs w:val="20"/>
                <w:lang w:eastAsia="zh-CN"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 xml:space="preserve">3.00 </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FBDCEDD">
            <w:pPr>
              <w:widowControl/>
              <w:adjustRightInd/>
              <w:snapToGrid/>
              <w:spacing w:line="240" w:lineRule="auto"/>
              <w:ind w:firstLine="0" w:firstLineChars="0"/>
              <w:jc w:val="center"/>
              <w:textAlignment w:val="center"/>
              <w:rPr>
                <w:b w:val="0"/>
                <w:bCs/>
                <w:color w:val="000000" w:themeColor="text1"/>
                <w:sz w:val="20"/>
                <w:szCs w:val="20"/>
                <w:lang w:bidi="ar"/>
                <w14:textFill>
                  <w14:solidFill>
                    <w14:schemeClr w14:val="tx1"/>
                  </w14:solidFill>
                </w14:textFill>
              </w:rPr>
            </w:pPr>
            <w:r>
              <w:rPr>
                <w:rFonts w:hint="eastAsia"/>
                <w:b w:val="0"/>
                <w:bCs/>
                <w:color w:val="000000" w:themeColor="text1"/>
                <w:sz w:val="20"/>
                <w:szCs w:val="20"/>
                <w:lang w:val="en-US" w:eastAsia="zh-CN" w:bidi="ar"/>
                <w14:textFill>
                  <w14:solidFill>
                    <w14:schemeClr w14:val="tx1"/>
                  </w14:solidFill>
                </w14:textFill>
              </w:rPr>
              <w:t>100.00%</w:t>
            </w:r>
          </w:p>
        </w:tc>
      </w:tr>
      <w:tr w14:paraId="1B77759D">
        <w:tblPrEx>
          <w:tblCellMar>
            <w:top w:w="0" w:type="dxa"/>
            <w:left w:w="0" w:type="dxa"/>
            <w:bottom w:w="0" w:type="dxa"/>
            <w:right w:w="0" w:type="dxa"/>
          </w:tblCellMar>
        </w:tblPrEx>
        <w:trPr>
          <w:trHeight w:val="397" w:hRule="atLeast"/>
        </w:trPr>
        <w:tc>
          <w:tcPr>
            <w:tcW w:w="649" w:type="pct"/>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67D9F41">
            <w:pPr>
              <w:widowControl/>
              <w:adjustRightInd/>
              <w:snapToGrid/>
              <w:spacing w:line="240" w:lineRule="auto"/>
              <w:ind w:firstLine="0" w:firstLineChars="0"/>
              <w:jc w:val="center"/>
              <w:textAlignment w:val="center"/>
              <w:rPr>
                <w:rFonts w:ascii="Times New Roman" w:hAnsi="Times New Roman" w:cs="Times New Roman"/>
                <w:b/>
                <w:bCs/>
                <w:color w:val="000000" w:themeColor="text1"/>
                <w:sz w:val="20"/>
                <w:szCs w:val="20"/>
                <w:lang w:bidi="ar"/>
                <w14:textFill>
                  <w14:solidFill>
                    <w14:schemeClr w14:val="tx1"/>
                  </w14:solidFill>
                </w14:textFill>
              </w:rPr>
            </w:pPr>
            <w:r>
              <w:rPr>
                <w:rFonts w:ascii="Times New Roman" w:hAnsi="Times New Roman" w:cs="Times New Roman"/>
                <w:b/>
                <w:bCs/>
                <w:color w:val="000000" w:themeColor="text1"/>
                <w:sz w:val="20"/>
                <w:szCs w:val="20"/>
                <w:lang w:bidi="ar"/>
                <w14:textFill>
                  <w14:solidFill>
                    <w14:schemeClr w14:val="tx1"/>
                  </w14:solidFill>
                </w14:textFill>
              </w:rPr>
              <w:t>合计</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7BFA485">
            <w:pPr>
              <w:jc w:val="center"/>
              <w:rPr>
                <w:rFonts w:ascii="Times New Roman" w:hAnsi="Times New Roman" w:cs="Times New Roman"/>
                <w:b/>
                <w:bCs/>
                <w:color w:val="000000" w:themeColor="text1"/>
                <w:sz w:val="20"/>
                <w:szCs w:val="20"/>
                <w:lang w:bidi="ar"/>
                <w14:textFill>
                  <w14:solidFill>
                    <w14:schemeClr w14:val="tx1"/>
                  </w14:solidFill>
                </w14:textFill>
              </w:rPr>
            </w:pP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01D2DC7">
            <w:pPr>
              <w:jc w:val="center"/>
              <w:rPr>
                <w:rFonts w:ascii="Times New Roman" w:hAnsi="Times New Roman" w:cs="Times New Roman"/>
                <w:b/>
                <w:bCs/>
                <w:color w:val="000000" w:themeColor="text1"/>
                <w:sz w:val="20"/>
                <w:szCs w:val="20"/>
                <w:lang w:bidi="ar"/>
                <w14:textFill>
                  <w14:solidFill>
                    <w14:schemeClr w14:val="tx1"/>
                  </w14:solidFill>
                </w14:textFill>
              </w:rPr>
            </w:pP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0A11588">
            <w:pPr>
              <w:widowControl/>
              <w:adjustRightInd/>
              <w:snapToGrid/>
              <w:spacing w:line="240" w:lineRule="auto"/>
              <w:ind w:firstLine="0" w:firstLineChars="0"/>
              <w:jc w:val="center"/>
              <w:textAlignment w:val="center"/>
              <w:rPr>
                <w:rFonts w:hint="eastAsia" w:ascii="Times New Roman" w:hAnsi="Times New Roman" w:cs="Times New Roman"/>
                <w:b/>
                <w:bCs/>
                <w:color w:val="000000" w:themeColor="text1"/>
                <w:sz w:val="20"/>
                <w:szCs w:val="20"/>
                <w:lang w:eastAsia="zh-CN" w:bidi="ar"/>
                <w14:textFill>
                  <w14:solidFill>
                    <w14:schemeClr w14:val="tx1"/>
                  </w14:solidFill>
                </w14:textFill>
              </w:rPr>
            </w:pPr>
            <w:r>
              <w:rPr>
                <w:rFonts w:hint="eastAsia" w:ascii="Times New Roman" w:hAnsi="Times New Roman" w:cs="Times New Roman"/>
                <w:b/>
                <w:bCs/>
                <w:color w:val="000000" w:themeColor="text1"/>
                <w:sz w:val="20"/>
                <w:szCs w:val="20"/>
                <w:lang w:val="en-US" w:eastAsia="zh-CN" w:bidi="ar"/>
                <w14:textFill>
                  <w14:solidFill>
                    <w14:schemeClr w14:val="tx1"/>
                  </w14:solidFill>
                </w14:textFill>
              </w:rPr>
              <w:t xml:space="preserve">15.00 </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E349540">
            <w:pPr>
              <w:widowControl/>
              <w:adjustRightInd/>
              <w:snapToGrid/>
              <w:spacing w:line="240" w:lineRule="auto"/>
              <w:ind w:firstLine="0" w:firstLineChars="0"/>
              <w:jc w:val="center"/>
              <w:textAlignment w:val="center"/>
              <w:rPr>
                <w:rFonts w:hint="eastAsia" w:ascii="Times New Roman" w:hAnsi="Times New Roman" w:cs="Times New Roman"/>
                <w:b/>
                <w:bCs/>
                <w:color w:val="000000" w:themeColor="text1"/>
                <w:sz w:val="20"/>
                <w:szCs w:val="20"/>
                <w:lang w:eastAsia="zh-CN" w:bidi="ar"/>
                <w14:textFill>
                  <w14:solidFill>
                    <w14:schemeClr w14:val="tx1"/>
                  </w14:solidFill>
                </w14:textFill>
              </w:rPr>
            </w:pPr>
            <w:r>
              <w:rPr>
                <w:rFonts w:hint="eastAsia" w:ascii="Times New Roman" w:hAnsi="Times New Roman" w:cs="Times New Roman"/>
                <w:b/>
                <w:bCs/>
                <w:color w:val="000000" w:themeColor="text1"/>
                <w:sz w:val="20"/>
                <w:szCs w:val="20"/>
                <w:lang w:val="en-US" w:eastAsia="zh-CN" w:bidi="ar"/>
                <w14:textFill>
                  <w14:solidFill>
                    <w14:schemeClr w14:val="tx1"/>
                  </w14:solidFill>
                </w14:textFill>
              </w:rPr>
              <w:t xml:space="preserve">13.00 </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F9C7FB8">
            <w:pPr>
              <w:widowControl/>
              <w:adjustRightInd/>
              <w:snapToGrid/>
              <w:spacing w:line="240" w:lineRule="auto"/>
              <w:ind w:firstLine="0" w:firstLineChars="0"/>
              <w:jc w:val="center"/>
              <w:textAlignment w:val="center"/>
              <w:rPr>
                <w:rFonts w:ascii="Times New Roman" w:hAnsi="Times New Roman" w:cs="Times New Roman"/>
                <w:b/>
                <w:bCs/>
                <w:color w:val="000000" w:themeColor="text1"/>
                <w:sz w:val="20"/>
                <w:szCs w:val="20"/>
                <w:lang w:bidi="ar"/>
                <w14:textFill>
                  <w14:solidFill>
                    <w14:schemeClr w14:val="tx1"/>
                  </w14:solidFill>
                </w14:textFill>
              </w:rPr>
            </w:pPr>
            <w:r>
              <w:rPr>
                <w:rFonts w:hint="eastAsia" w:ascii="Times New Roman" w:hAnsi="Times New Roman" w:cs="Times New Roman"/>
                <w:b/>
                <w:bCs/>
                <w:color w:val="000000" w:themeColor="text1"/>
                <w:sz w:val="20"/>
                <w:szCs w:val="20"/>
                <w:lang w:val="en-US" w:eastAsia="zh-CN" w:bidi="ar"/>
                <w14:textFill>
                  <w14:solidFill>
                    <w14:schemeClr w14:val="tx1"/>
                  </w14:solidFill>
                </w14:textFill>
              </w:rPr>
              <w:t>86.67%</w:t>
            </w:r>
          </w:p>
        </w:tc>
      </w:tr>
    </w:tbl>
    <w:p w14:paraId="369B7BC8">
      <w:pPr>
        <w:spacing w:line="240" w:lineRule="auto"/>
        <w:ind w:firstLine="422"/>
        <w:rPr>
          <w:b/>
          <w:bCs/>
          <w:color w:val="000000" w:themeColor="text1"/>
          <w14:textFill>
            <w14:solidFill>
              <w14:schemeClr w14:val="tx1"/>
            </w14:solidFill>
          </w14:textFill>
        </w:rPr>
      </w:pPr>
    </w:p>
    <w:p w14:paraId="15C5FC89">
      <w:pPr>
        <w:ind w:firstLine="422"/>
        <w:rPr>
          <w:b/>
          <w:bCs/>
          <w:color w:val="000000" w:themeColor="text1"/>
          <w14:textFill>
            <w14:solidFill>
              <w14:schemeClr w14:val="tx1"/>
            </w14:solidFill>
          </w14:textFill>
        </w:rPr>
      </w:pPr>
      <w:r>
        <w:rPr>
          <w:b/>
          <w:bCs/>
          <w:color w:val="000000" w:themeColor="text1"/>
          <w14:textFill>
            <w14:solidFill>
              <w14:schemeClr w14:val="tx1"/>
            </w14:solidFill>
          </w14:textFill>
        </w:rPr>
        <w:t>指标得分分析：</w:t>
      </w:r>
    </w:p>
    <w:p w14:paraId="3638B9EE">
      <w:pPr>
        <w:ind w:firstLine="422"/>
        <w:outlineLvl w:val="2"/>
        <w:rPr>
          <w:b/>
          <w:bCs/>
          <w:color w:val="000000" w:themeColor="text1"/>
          <w14:textFill>
            <w14:solidFill>
              <w14:schemeClr w14:val="tx1"/>
            </w14:solidFill>
          </w14:textFill>
        </w:rPr>
      </w:pPr>
      <w:r>
        <w:rPr>
          <w:b/>
          <w:bCs/>
          <w:color w:val="000000" w:themeColor="text1"/>
          <w14:textFill>
            <w14:solidFill>
              <w14:schemeClr w14:val="tx1"/>
            </w14:solidFill>
          </w14:textFill>
        </w:rPr>
        <w:t>（1）A11中长期规划科学合理性指标：</w:t>
      </w:r>
    </w:p>
    <w:p w14:paraId="024AA464">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根据《</w:t>
      </w:r>
      <w:r>
        <w:rPr>
          <w:rFonts w:hint="eastAsia" w:eastAsiaTheme="minorEastAsia"/>
          <w:color w:val="000000" w:themeColor="text1"/>
          <w14:textFill>
            <w14:solidFill>
              <w14:schemeClr w14:val="tx1"/>
            </w14:solidFill>
          </w14:textFill>
        </w:rPr>
        <w:t>新疆维吾尔自治区统计改革发展“十四五”规划（2021—2025年）</w:t>
      </w:r>
      <w:r>
        <w:rPr>
          <w:rFonts w:eastAsiaTheme="minorEastAsia"/>
          <w:color w:val="000000" w:themeColor="text1"/>
          <w14:textFill>
            <w14:solidFill>
              <w14:schemeClr w14:val="tx1"/>
            </w14:solidFill>
          </w14:textFill>
        </w:rPr>
        <w:t>》要求，</w:t>
      </w:r>
      <w:r>
        <w:rPr>
          <w:rFonts w:hint="eastAsia" w:eastAsiaTheme="minorEastAsia"/>
          <w:color w:val="000000" w:themeColor="text1"/>
          <w14:textFill>
            <w14:solidFill>
              <w14:schemeClr w14:val="tx1"/>
            </w14:solidFill>
          </w14:textFill>
        </w:rPr>
        <w:t>按照推进统计现代化改革发展的要求，加快建立与新疆治理体系和治理能力现代化相适应的现代化统计调查体系，努力实现统计数据质量不断提高，统计制度体系覆盖更加全面，统计调查能力明显增强，统计信息化、数字化水平持续提升，统计分析服务优质高效，服务领域不断拓展，统计体制机制更加完善，统计治理能力不断增强，统计法制监督更加有力，统计生态环境持续优化，统计信息更加公开透明，统计成果应用更加广泛，充分发挥出统计在查实</w:t>
      </w:r>
      <w:r>
        <w:rPr>
          <w:rFonts w:hint="eastAsia" w:ascii="Times New Roman" w:hAnsi="Times New Roman" w:cs="Times New Roman" w:eastAsiaTheme="minorEastAsia"/>
          <w:color w:val="000000" w:themeColor="text1"/>
          <w14:textFill>
            <w14:solidFill>
              <w14:schemeClr w14:val="tx1"/>
            </w14:solidFill>
          </w14:textFill>
        </w:rPr>
        <w:t>区情、把握形势、制定政策、服务发展中的重要综合性基础性作用。</w:t>
      </w:r>
      <w:r>
        <w:rPr>
          <w:rFonts w:hint="eastAsia" w:ascii="Times New Roman" w:hAnsi="Times New Roman" w:cs="Times New Roman" w:eastAsiaTheme="minorEastAsia"/>
          <w:color w:val="000000" w:themeColor="text1"/>
          <w:lang w:val="en-US" w:eastAsia="zh-CN"/>
          <w14:textFill>
            <w14:solidFill>
              <w14:schemeClr w14:val="tx1"/>
            </w14:solidFill>
          </w14:textFill>
        </w:rPr>
        <w:t>经查阅</w:t>
      </w:r>
      <w:r>
        <w:rPr>
          <w:rFonts w:hint="eastAsia" w:ascii="Times New Roman" w:hAnsi="Times New Roman" w:cs="Times New Roman" w:eastAsiaTheme="minorEastAsia"/>
          <w:color w:val="000000" w:themeColor="text1"/>
          <w:lang w:eastAsia="zh-CN"/>
          <w14:textFill>
            <w14:solidFill>
              <w14:schemeClr w14:val="tx1"/>
            </w14:solidFill>
          </w14:textFill>
        </w:rPr>
        <w:t>《吉木萨尔县国民经济和社会发展第十四个五年规划和二〇三五年远景目标纲要》</w:t>
      </w:r>
      <w:r>
        <w:rPr>
          <w:rFonts w:hint="eastAsia" w:ascii="Times New Roman" w:hAnsi="Times New Roman" w:cs="Times New Roman" w:eastAsiaTheme="minorEastAsia"/>
          <w:color w:val="000000" w:themeColor="text1"/>
          <w:lang w:val="en-US" w:eastAsia="zh-CN"/>
          <w14:textFill>
            <w14:solidFill>
              <w14:schemeClr w14:val="tx1"/>
            </w14:solidFill>
          </w14:textFill>
        </w:rPr>
        <w:t>指出，在</w:t>
      </w:r>
      <w:r>
        <w:rPr>
          <w:rFonts w:hint="eastAsia" w:ascii="Times New Roman" w:hAnsi="Times New Roman" w:cs="Times New Roman" w:eastAsiaTheme="minorEastAsia"/>
          <w:b w:val="0"/>
          <w:bCs w:val="0"/>
          <w:color w:val="000000" w:themeColor="text1"/>
          <w:sz w:val="21"/>
          <w:szCs w:val="21"/>
          <w:lang w:val="en-US" w:eastAsia="zh-CN"/>
          <w14:textFill>
            <w14:solidFill>
              <w14:schemeClr w14:val="tx1"/>
            </w14:solidFill>
          </w14:textFill>
        </w:rPr>
        <w:t>健全规划制定和落实机制，要求</w:t>
      </w:r>
      <w:r>
        <w:rPr>
          <w:rFonts w:hint="eastAsia" w:ascii="Times New Roman" w:hAnsi="Times New Roman" w:cs="Times New Roman" w:eastAsiaTheme="minorEastAsia"/>
          <w:color w:val="000000" w:themeColor="text1"/>
          <w:lang w:val="en-US" w:eastAsia="zh-CN"/>
          <w14:textFill>
            <w14:solidFill>
              <w14:schemeClr w14:val="tx1"/>
            </w14:solidFill>
          </w14:textFill>
        </w:rPr>
        <w:t>统计部门开展《纲要》指标监测，重点对主要指标进行分析，为监测评估和政策制定提供基础和支撑。</w:t>
      </w:r>
    </w:p>
    <w:p w14:paraId="1DA4C6EA">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该指标满分为2.00分，根据评分标准得</w:t>
      </w:r>
      <w:r>
        <w:rPr>
          <w:rFonts w:hint="eastAsia" w:eastAsiaTheme="minorEastAsia"/>
          <w:color w:val="000000" w:themeColor="text1"/>
          <w:lang w:val="en-US" w:eastAsia="zh-CN"/>
          <w14:textFill>
            <w14:solidFill>
              <w14:schemeClr w14:val="tx1"/>
            </w14:solidFill>
          </w14:textFill>
        </w:rPr>
        <w:t>2.</w:t>
      </w:r>
      <w:r>
        <w:rPr>
          <w:rFonts w:eastAsiaTheme="minorEastAsia"/>
          <w:color w:val="000000" w:themeColor="text1"/>
          <w14:textFill>
            <w14:solidFill>
              <w14:schemeClr w14:val="tx1"/>
            </w14:solidFill>
          </w14:textFill>
        </w:rPr>
        <w:t>00分。</w:t>
      </w:r>
    </w:p>
    <w:p w14:paraId="17E8FC9C">
      <w:pPr>
        <w:ind w:firstLine="422"/>
        <w:outlineLvl w:val="2"/>
        <w:rPr>
          <w:b/>
          <w:bCs/>
          <w:color w:val="000000" w:themeColor="text1"/>
          <w14:textFill>
            <w14:solidFill>
              <w14:schemeClr w14:val="tx1"/>
            </w14:solidFill>
          </w14:textFill>
        </w:rPr>
      </w:pPr>
      <w:r>
        <w:rPr>
          <w:b/>
          <w:bCs/>
          <w:color w:val="000000" w:themeColor="text1"/>
          <w14:textFill>
            <w14:solidFill>
              <w14:schemeClr w14:val="tx1"/>
            </w14:solidFill>
          </w14:textFill>
        </w:rPr>
        <w:t>（2）A12年度工作计划科学完整性指标：</w:t>
      </w:r>
    </w:p>
    <w:p w14:paraId="0D32467A">
      <w:pPr>
        <w:ind w:firstLine="640"/>
        <w:rPr>
          <w:rFonts w:eastAsiaTheme="minorEastAsia"/>
          <w:color w:val="000000" w:themeColor="text1"/>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根据项目实施单位提供《吉木萨尔县统计局2023年工作总结及2024年工作计划》文件显示，吉木萨尔县统计局</w:t>
      </w:r>
      <w:r>
        <w:rPr>
          <w:rFonts w:eastAsiaTheme="minorEastAsia"/>
          <w:color w:val="000000" w:themeColor="text1"/>
          <w14:textFill>
            <w14:solidFill>
              <w14:schemeClr w14:val="tx1"/>
            </w14:solidFill>
          </w14:textFill>
        </w:rPr>
        <w:t>在开展202</w:t>
      </w:r>
      <w:r>
        <w:rPr>
          <w:rFonts w:hint="eastAsia" w:eastAsiaTheme="minorEastAsia"/>
          <w:color w:val="000000" w:themeColor="text1"/>
          <w:lang w:val="en-US" w:eastAsia="zh-CN"/>
          <w14:textFill>
            <w14:solidFill>
              <w14:schemeClr w14:val="tx1"/>
            </w14:solidFill>
          </w14:textFill>
        </w:rPr>
        <w:t>4</w:t>
      </w:r>
      <w:r>
        <w:rPr>
          <w:rFonts w:eastAsiaTheme="minorEastAsia"/>
          <w:color w:val="000000" w:themeColor="text1"/>
          <w14:textFill>
            <w14:solidFill>
              <w14:schemeClr w14:val="tx1"/>
            </w14:solidFill>
          </w14:textFill>
        </w:rPr>
        <w:t>年</w:t>
      </w:r>
      <w:r>
        <w:rPr>
          <w:rFonts w:hint="eastAsia" w:eastAsiaTheme="minorEastAsia"/>
          <w:color w:val="000000" w:themeColor="text1"/>
          <w:lang w:val="en-US" w:eastAsia="zh-CN"/>
          <w14:textFill>
            <w14:solidFill>
              <w14:schemeClr w14:val="tx1"/>
            </w14:solidFill>
          </w14:textFill>
        </w:rPr>
        <w:t>年度</w:t>
      </w:r>
      <w:r>
        <w:rPr>
          <w:rFonts w:eastAsiaTheme="minorEastAsia"/>
          <w:color w:val="000000" w:themeColor="text1"/>
          <w14:textFill>
            <w14:solidFill>
              <w14:schemeClr w14:val="tx1"/>
            </w14:solidFill>
          </w14:textFill>
        </w:rPr>
        <w:t>计划编制时，</w:t>
      </w:r>
      <w:r>
        <w:rPr>
          <w:rFonts w:hint="default" w:ascii="Times New Roman" w:hAnsi="Times New Roman" w:cs="Times New Roman"/>
          <w:bCs/>
          <w:color w:val="000000" w:themeColor="text1"/>
          <w:highlight w:val="none"/>
          <w14:textFill>
            <w14:solidFill>
              <w14:schemeClr w14:val="tx1"/>
            </w14:solidFill>
          </w14:textFill>
        </w:rPr>
        <w:t>工作计划中制定了</w:t>
      </w:r>
      <w:r>
        <w:rPr>
          <w:rFonts w:hint="eastAsia" w:eastAsiaTheme="minorEastAsia"/>
          <w:color w:val="000000" w:themeColor="text1"/>
          <w:lang w:val="en-US" w:eastAsia="zh-CN"/>
          <w14:textFill>
            <w14:solidFill>
              <w14:schemeClr w14:val="tx1"/>
            </w14:solidFill>
          </w14:textFill>
        </w:rPr>
        <w:t>四</w:t>
      </w:r>
      <w:r>
        <w:rPr>
          <w:rFonts w:eastAsiaTheme="minorEastAsia"/>
          <w:color w:val="000000" w:themeColor="text1"/>
          <w14:textFill>
            <w14:solidFill>
              <w14:schemeClr w14:val="tx1"/>
            </w14:solidFill>
          </w14:textFill>
        </w:rPr>
        <w:t>个方面</w:t>
      </w:r>
      <w:r>
        <w:rPr>
          <w:rFonts w:hint="eastAsia" w:eastAsiaTheme="minorEastAsia"/>
          <w:color w:val="000000" w:themeColor="text1"/>
          <w:lang w:val="en-US" w:eastAsia="zh-CN"/>
          <w14:textFill>
            <w14:solidFill>
              <w14:schemeClr w14:val="tx1"/>
            </w14:solidFill>
          </w14:textFill>
        </w:rPr>
        <w:t>工作内容</w:t>
      </w:r>
      <w:r>
        <w:rPr>
          <w:rFonts w:eastAsiaTheme="minorEastAsia"/>
          <w:color w:val="000000" w:themeColor="text1"/>
          <w14:textFill>
            <w14:solidFill>
              <w14:schemeClr w14:val="tx1"/>
            </w14:solidFill>
          </w14:textFill>
        </w:rPr>
        <w:t>，</w:t>
      </w:r>
      <w:r>
        <w:rPr>
          <w:rFonts w:hint="eastAsia" w:eastAsiaTheme="minorEastAsia"/>
          <w:color w:val="000000" w:themeColor="text1"/>
          <w:lang w:val="en-US" w:eastAsia="zh-CN"/>
          <w14:textFill>
            <w14:solidFill>
              <w14:schemeClr w14:val="tx1"/>
            </w14:solidFill>
          </w14:textFill>
        </w:rPr>
        <w:t>一是</w:t>
      </w:r>
      <w:r>
        <w:rPr>
          <w:rFonts w:hint="eastAsia" w:eastAsiaTheme="minorEastAsia"/>
          <w:color w:val="000000" w:themeColor="text1"/>
          <w14:textFill>
            <w14:solidFill>
              <w14:schemeClr w14:val="tx1"/>
            </w14:solidFill>
          </w14:textFill>
        </w:rPr>
        <w:t>强化理论武装，在政治站位上提升新高度</w:t>
      </w:r>
      <w:r>
        <w:rPr>
          <w:rFonts w:hint="eastAsia" w:eastAsiaTheme="minorEastAsia"/>
          <w:color w:val="000000" w:themeColor="text1"/>
          <w:lang w:eastAsia="zh-CN"/>
          <w14:textFill>
            <w14:solidFill>
              <w14:schemeClr w14:val="tx1"/>
            </w14:solidFill>
          </w14:textFill>
        </w:rPr>
        <w:t>，</w:t>
      </w:r>
      <w:r>
        <w:rPr>
          <w:rFonts w:hint="eastAsia" w:eastAsiaTheme="minorEastAsia"/>
          <w:color w:val="000000" w:themeColor="text1"/>
          <w:lang w:val="en-US" w:eastAsia="zh-CN"/>
          <w14:textFill>
            <w14:solidFill>
              <w14:schemeClr w14:val="tx1"/>
            </w14:solidFill>
          </w14:textFill>
        </w:rPr>
        <w:t>二是强化法治理念，在依法治统上取得新进步，三是强化基层基础，在提升质量上探索新思路，四是强化服务保障，在服务大局中体现新担当。</w:t>
      </w:r>
      <w:r>
        <w:rPr>
          <w:rFonts w:hint="default" w:ascii="Times New Roman" w:hAnsi="Times New Roman" w:cs="Times New Roman"/>
          <w:bCs/>
          <w:color w:val="000000" w:themeColor="text1"/>
          <w:highlight w:val="none"/>
          <w14:textFill>
            <w14:solidFill>
              <w14:schemeClr w14:val="tx1"/>
            </w14:solidFill>
          </w14:textFill>
        </w:rPr>
        <w:t>但工作计划中未制定年度总目标，各重点任务工作不够量化具体，未明确任务责任主体和各项任务的完成时间。根据评分标准，扣2.00分</w:t>
      </w:r>
      <w:r>
        <w:rPr>
          <w:rFonts w:hint="eastAsia" w:asciiTheme="minorEastAsia" w:hAnsiTheme="minorEastAsia" w:eastAsiaTheme="minorEastAsia" w:cstheme="minorEastAsia"/>
          <w:bCs/>
          <w:color w:val="000000" w:themeColor="text1"/>
          <w:highlight w:val="none"/>
          <w14:textFill>
            <w14:solidFill>
              <w14:schemeClr w14:val="tx1"/>
            </w14:solidFill>
          </w14:textFill>
        </w:rPr>
        <w:t>。</w:t>
      </w:r>
    </w:p>
    <w:p w14:paraId="206CAB82">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该指标满分为4.00分，根据评分标准得</w:t>
      </w:r>
      <w:r>
        <w:rPr>
          <w:rFonts w:hint="eastAsia" w:eastAsiaTheme="minorEastAsia"/>
          <w:color w:val="000000" w:themeColor="text1"/>
          <w:lang w:val="en-US" w:eastAsia="zh-CN"/>
          <w14:textFill>
            <w14:solidFill>
              <w14:schemeClr w14:val="tx1"/>
            </w14:solidFill>
          </w14:textFill>
        </w:rPr>
        <w:t>2</w:t>
      </w:r>
      <w:r>
        <w:rPr>
          <w:rFonts w:eastAsiaTheme="minorEastAsia"/>
          <w:color w:val="000000" w:themeColor="text1"/>
          <w14:textFill>
            <w14:solidFill>
              <w14:schemeClr w14:val="tx1"/>
            </w14:solidFill>
          </w14:textFill>
        </w:rPr>
        <w:t>.00分。</w:t>
      </w:r>
    </w:p>
    <w:p w14:paraId="235D0222">
      <w:pPr>
        <w:ind w:firstLine="422"/>
        <w:outlineLvl w:val="2"/>
        <w:rPr>
          <w:b/>
          <w:bCs/>
          <w:color w:val="000000" w:themeColor="text1"/>
          <w14:textFill>
            <w14:solidFill>
              <w14:schemeClr w14:val="tx1"/>
            </w14:solidFill>
          </w14:textFill>
        </w:rPr>
      </w:pPr>
      <w:r>
        <w:rPr>
          <w:b/>
          <w:bCs/>
          <w:color w:val="000000" w:themeColor="text1"/>
          <w14:textFill>
            <w14:solidFill>
              <w14:schemeClr w14:val="tx1"/>
            </w14:solidFill>
          </w14:textFill>
        </w:rPr>
        <w:t>（3）A21绩效目标明确性指标：</w:t>
      </w:r>
    </w:p>
    <w:p w14:paraId="79DE9044">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根据吉木萨尔县</w:t>
      </w:r>
      <w:r>
        <w:rPr>
          <w:rFonts w:hint="eastAsia" w:eastAsiaTheme="minorEastAsia"/>
          <w:color w:val="000000" w:themeColor="text1"/>
          <w:lang w:eastAsia="zh-CN"/>
          <w14:textFill>
            <w14:solidFill>
              <w14:schemeClr w14:val="tx1"/>
            </w14:solidFill>
          </w14:textFill>
        </w:rPr>
        <w:t>统计局</w:t>
      </w:r>
      <w:r>
        <w:rPr>
          <w:rFonts w:eastAsiaTheme="minorEastAsia"/>
          <w:color w:val="000000" w:themeColor="text1"/>
          <w14:textFill>
            <w14:solidFill>
              <w14:schemeClr w14:val="tx1"/>
            </w14:solidFill>
          </w14:textFill>
        </w:rPr>
        <w:t>提供的《昌吉回族自治州部门（单位）整体绩效目标申报表》可知：</w:t>
      </w:r>
    </w:p>
    <w:p w14:paraId="66945ADC">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①单位设置总体目标为：“</w:t>
      </w:r>
      <w:r>
        <w:rPr>
          <w:rFonts w:hint="eastAsia" w:eastAsiaTheme="minorEastAsia"/>
          <w:color w:val="000000" w:themeColor="text1"/>
          <w14:textFill>
            <w14:solidFill>
              <w14:schemeClr w14:val="tx1"/>
            </w14:solidFill>
          </w14:textFill>
        </w:rPr>
        <w:t>负责对全县三次产业经济发展情况数据进行汇总、审核、上报和分析，完成农业、工业、固定资产投资、建筑业、批发零售住宿餐饮业、能源统计等专业统计工作，同时做好重大国情国力调查、专项调查（劳动力调查、住户调查、人口抽样调查）等工作任务，保障单位在职人员和退休人员、编外人员的工资、奖金、绩效、社会保险缴费、住房公积金正常发放和缴纳，稳定干部职工队伍；确保我单位日常工作运行，其中包含办公费、邮电费、差旅费、公务用车运行费、工会经费、劳务费等，使我单位各项业务正常开展。</w:t>
      </w:r>
      <w:r>
        <w:rPr>
          <w:rFonts w:eastAsiaTheme="minorEastAsia"/>
          <w:color w:val="000000" w:themeColor="text1"/>
          <w14:textFill>
            <w14:solidFill>
              <w14:schemeClr w14:val="tx1"/>
            </w14:solidFill>
          </w14:textFill>
        </w:rPr>
        <w:t>”目标设置与单位履职效能相关。</w:t>
      </w:r>
    </w:p>
    <w:p w14:paraId="6625238E">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②单位按照单位</w:t>
      </w:r>
      <w:r>
        <w:rPr>
          <w:rFonts w:hint="eastAsia" w:eastAsiaTheme="minorEastAsia"/>
          <w:color w:val="000000" w:themeColor="text1"/>
          <w:lang w:val="en-US" w:eastAsia="zh-CN"/>
          <w14:textFill>
            <w14:solidFill>
              <w14:schemeClr w14:val="tx1"/>
            </w14:solidFill>
          </w14:textFill>
        </w:rPr>
        <w:t>《吉木萨尔县统计局2023年工作总结及2024年工作计划》</w:t>
      </w:r>
      <w:r>
        <w:rPr>
          <w:rFonts w:eastAsiaTheme="minorEastAsia"/>
          <w:color w:val="000000" w:themeColor="text1"/>
          <w14:textFill>
            <w14:solidFill>
              <w14:schemeClr w14:val="tx1"/>
            </w14:solidFill>
          </w14:textFill>
        </w:rPr>
        <w:t>作为指标设置依据，指标设置符合单位预期效果及正常业绩水平。</w:t>
      </w:r>
    </w:p>
    <w:p w14:paraId="505A417A">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该指标满分为2.00分，根据评分标准得2.00分。</w:t>
      </w:r>
    </w:p>
    <w:p w14:paraId="5C112DA8">
      <w:pPr>
        <w:ind w:firstLine="422"/>
        <w:outlineLvl w:val="2"/>
        <w:rPr>
          <w:b/>
          <w:bCs/>
          <w:color w:val="000000" w:themeColor="text1"/>
          <w14:textFill>
            <w14:solidFill>
              <w14:schemeClr w14:val="tx1"/>
            </w14:solidFill>
          </w14:textFill>
        </w:rPr>
      </w:pPr>
      <w:r>
        <w:rPr>
          <w:b/>
          <w:bCs/>
          <w:color w:val="000000" w:themeColor="text1"/>
          <w14:textFill>
            <w14:solidFill>
              <w14:schemeClr w14:val="tx1"/>
            </w14:solidFill>
          </w14:textFill>
        </w:rPr>
        <w:t>（4）A22绩效目标合理性指标：</w:t>
      </w:r>
    </w:p>
    <w:p w14:paraId="402831F1">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根据吉木萨尔县</w:t>
      </w:r>
      <w:r>
        <w:rPr>
          <w:rFonts w:hint="eastAsia" w:eastAsiaTheme="minorEastAsia"/>
          <w:color w:val="000000" w:themeColor="text1"/>
          <w:lang w:eastAsia="zh-CN"/>
          <w14:textFill>
            <w14:solidFill>
              <w14:schemeClr w14:val="tx1"/>
            </w14:solidFill>
          </w14:textFill>
        </w:rPr>
        <w:t>统计局</w:t>
      </w:r>
      <w:r>
        <w:rPr>
          <w:rFonts w:eastAsiaTheme="minorEastAsia"/>
          <w:color w:val="000000" w:themeColor="text1"/>
          <w14:textFill>
            <w14:solidFill>
              <w14:schemeClr w14:val="tx1"/>
            </w14:solidFill>
          </w14:textFill>
        </w:rPr>
        <w:t>提供的《昌吉回族自治州部门（单位）整体绩效目标申报表》，已设置</w:t>
      </w:r>
      <w:r>
        <w:rPr>
          <w:rFonts w:hint="eastAsia" w:eastAsiaTheme="minorEastAsia"/>
          <w:color w:val="000000" w:themeColor="text1"/>
          <w:lang w:val="en-US" w:eastAsia="zh-CN"/>
          <w14:textFill>
            <w14:solidFill>
              <w14:schemeClr w14:val="tx1"/>
            </w14:solidFill>
          </w14:textFill>
        </w:rPr>
        <w:t>3</w:t>
      </w:r>
      <w:r>
        <w:rPr>
          <w:rFonts w:eastAsiaTheme="minorEastAsia"/>
          <w:color w:val="000000" w:themeColor="text1"/>
          <w14:textFill>
            <w14:solidFill>
              <w14:schemeClr w14:val="tx1"/>
            </w14:solidFill>
          </w14:textFill>
        </w:rPr>
        <w:t>个一级指标，</w:t>
      </w:r>
      <w:r>
        <w:rPr>
          <w:rFonts w:hint="eastAsia" w:eastAsiaTheme="minorEastAsia"/>
          <w:color w:val="000000" w:themeColor="text1"/>
          <w:lang w:val="en-US" w:eastAsia="zh-CN"/>
          <w14:textFill>
            <w14:solidFill>
              <w14:schemeClr w14:val="tx1"/>
            </w14:solidFill>
          </w14:textFill>
        </w:rPr>
        <w:t>2</w:t>
      </w:r>
      <w:r>
        <w:rPr>
          <w:rFonts w:eastAsiaTheme="minorEastAsia"/>
          <w:color w:val="000000" w:themeColor="text1"/>
          <w14:textFill>
            <w14:solidFill>
              <w14:schemeClr w14:val="tx1"/>
            </w14:solidFill>
          </w14:textFill>
        </w:rPr>
        <w:t>个二级指标，</w:t>
      </w:r>
      <w:r>
        <w:rPr>
          <w:rFonts w:hint="eastAsia" w:eastAsiaTheme="minorEastAsia"/>
          <w:color w:val="000000" w:themeColor="text1"/>
          <w:lang w:val="en-US" w:eastAsia="zh-CN"/>
          <w14:textFill>
            <w14:solidFill>
              <w14:schemeClr w14:val="tx1"/>
            </w14:solidFill>
          </w14:textFill>
        </w:rPr>
        <w:t>5</w:t>
      </w:r>
      <w:r>
        <w:rPr>
          <w:rFonts w:eastAsiaTheme="minorEastAsia"/>
          <w:color w:val="000000" w:themeColor="text1"/>
          <w14:textFill>
            <w14:solidFill>
              <w14:schemeClr w14:val="tx1"/>
            </w14:solidFill>
          </w14:textFill>
        </w:rPr>
        <w:t>个三级指标，从全局整体出发，围绕部门单位履职的核心任务，设置本部门单位年度目标。设置数量指标包括：</w:t>
      </w:r>
      <w:r>
        <w:rPr>
          <w:rFonts w:hint="eastAsia" w:eastAsiaTheme="minorEastAsia"/>
          <w:color w:val="000000" w:themeColor="text1"/>
          <w14:textFill>
            <w14:solidFill>
              <w14:schemeClr w14:val="tx1"/>
            </w14:solidFill>
          </w14:textFill>
        </w:rPr>
        <w:t>统计局在职在编人数</w:t>
      </w:r>
      <w:r>
        <w:rPr>
          <w:rFonts w:eastAsiaTheme="minorEastAsia"/>
          <w:color w:val="000000" w:themeColor="text1"/>
          <w14:textFill>
            <w14:solidFill>
              <w14:schemeClr w14:val="tx1"/>
            </w14:solidFill>
          </w14:textFill>
        </w:rPr>
        <w:t>、</w:t>
      </w:r>
      <w:r>
        <w:rPr>
          <w:rFonts w:hint="eastAsia" w:eastAsiaTheme="minorEastAsia"/>
          <w:color w:val="000000" w:themeColor="text1"/>
          <w14:textFill>
            <w14:solidFill>
              <w14:schemeClr w14:val="tx1"/>
            </w14:solidFill>
          </w14:textFill>
        </w:rPr>
        <w:t>开展统计培训次数</w:t>
      </w:r>
      <w:r>
        <w:rPr>
          <w:rFonts w:hint="eastAsia" w:eastAsiaTheme="minorEastAsia"/>
          <w:color w:val="000000" w:themeColor="text1"/>
          <w:lang w:eastAsia="zh-CN"/>
          <w14:textFill>
            <w14:solidFill>
              <w14:schemeClr w14:val="tx1"/>
            </w14:solidFill>
          </w14:textFill>
        </w:rPr>
        <w:t>、</w:t>
      </w:r>
      <w:r>
        <w:rPr>
          <w:rFonts w:hint="eastAsia" w:eastAsiaTheme="minorEastAsia"/>
          <w:color w:val="000000" w:themeColor="text1"/>
          <w14:textFill>
            <w14:solidFill>
              <w14:schemeClr w14:val="tx1"/>
            </w14:solidFill>
          </w14:textFill>
        </w:rPr>
        <w:t>全年撰写经济运行分析篇数</w:t>
      </w:r>
      <w:r>
        <w:rPr>
          <w:rFonts w:hint="eastAsia" w:eastAsiaTheme="minorEastAsia"/>
          <w:color w:val="000000" w:themeColor="text1"/>
          <w:lang w:eastAsia="zh-CN"/>
          <w14:textFill>
            <w14:solidFill>
              <w14:schemeClr w14:val="tx1"/>
            </w14:solidFill>
          </w14:textFill>
        </w:rPr>
        <w:t>、</w:t>
      </w:r>
      <w:r>
        <w:rPr>
          <w:rFonts w:hint="eastAsia" w:eastAsiaTheme="minorEastAsia"/>
          <w:color w:val="000000" w:themeColor="text1"/>
          <w14:textFill>
            <w14:solidFill>
              <w14:schemeClr w14:val="tx1"/>
            </w14:solidFill>
          </w14:textFill>
        </w:rPr>
        <w:t>全面完成第五次经济普查各项工作</w:t>
      </w:r>
      <w:r>
        <w:rPr>
          <w:rFonts w:hint="eastAsia" w:eastAsiaTheme="minorEastAsia"/>
          <w:color w:val="000000" w:themeColor="text1"/>
          <w:lang w:eastAsia="zh-CN"/>
          <w14:textFill>
            <w14:solidFill>
              <w14:schemeClr w14:val="tx1"/>
            </w14:solidFill>
          </w14:textFill>
        </w:rPr>
        <w:t>、</w:t>
      </w:r>
      <w:r>
        <w:rPr>
          <w:rFonts w:hint="eastAsia" w:eastAsiaTheme="minorEastAsia"/>
          <w:color w:val="000000" w:themeColor="text1"/>
          <w14:textFill>
            <w14:solidFill>
              <w14:schemeClr w14:val="tx1"/>
            </w14:solidFill>
          </w14:textFill>
        </w:rPr>
        <w:t>对县域经济发展提供数据支撑</w:t>
      </w:r>
      <w:r>
        <w:rPr>
          <w:rFonts w:eastAsiaTheme="minorEastAsia"/>
          <w:color w:val="000000" w:themeColor="text1"/>
          <w14:textFill>
            <w14:solidFill>
              <w14:schemeClr w14:val="tx1"/>
            </w14:solidFill>
          </w14:textFill>
        </w:rPr>
        <w:t>。按照文件要求，吉木萨尔县</w:t>
      </w:r>
      <w:r>
        <w:rPr>
          <w:rFonts w:hint="eastAsia" w:eastAsiaTheme="minorEastAsia"/>
          <w:color w:val="000000" w:themeColor="text1"/>
          <w:lang w:eastAsia="zh-CN"/>
          <w14:textFill>
            <w14:solidFill>
              <w14:schemeClr w14:val="tx1"/>
            </w14:solidFill>
          </w14:textFill>
        </w:rPr>
        <w:t>统计局</w:t>
      </w:r>
      <w:r>
        <w:rPr>
          <w:rFonts w:eastAsiaTheme="minorEastAsia"/>
          <w:color w:val="000000" w:themeColor="text1"/>
          <w14:textFill>
            <w14:solidFill>
              <w14:schemeClr w14:val="tx1"/>
            </w14:solidFill>
          </w14:textFill>
        </w:rPr>
        <w:t>已将部门整体支出绩效目标细化分解为具体的绩效指标，且所设置指标均为定量指标。</w:t>
      </w:r>
    </w:p>
    <w:p w14:paraId="6CBC63B6">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该指标满分为2.00分，根据评分标准得</w:t>
      </w:r>
      <w:r>
        <w:rPr>
          <w:rFonts w:hint="eastAsia" w:eastAsiaTheme="minorEastAsia"/>
          <w:color w:val="000000" w:themeColor="text1"/>
          <w:lang w:val="en-US" w:eastAsia="zh-CN"/>
          <w14:textFill>
            <w14:solidFill>
              <w14:schemeClr w14:val="tx1"/>
            </w14:solidFill>
          </w14:textFill>
        </w:rPr>
        <w:t>2.00</w:t>
      </w:r>
      <w:r>
        <w:rPr>
          <w:rFonts w:eastAsiaTheme="minorEastAsia"/>
          <w:color w:val="000000" w:themeColor="text1"/>
          <w14:textFill>
            <w14:solidFill>
              <w14:schemeClr w14:val="tx1"/>
            </w14:solidFill>
          </w14:textFill>
        </w:rPr>
        <w:t>分。</w:t>
      </w:r>
    </w:p>
    <w:p w14:paraId="3E68674E">
      <w:pPr>
        <w:ind w:firstLine="422"/>
        <w:outlineLvl w:val="2"/>
        <w:rPr>
          <w:b/>
          <w:bCs/>
          <w:color w:val="000000" w:themeColor="text1"/>
          <w14:textFill>
            <w14:solidFill>
              <w14:schemeClr w14:val="tx1"/>
            </w14:solidFill>
          </w14:textFill>
        </w:rPr>
      </w:pPr>
      <w:r>
        <w:rPr>
          <w:b/>
          <w:bCs/>
          <w:color w:val="000000" w:themeColor="text1"/>
          <w14:textFill>
            <w14:solidFill>
              <w14:schemeClr w14:val="tx1"/>
            </w14:solidFill>
          </w14:textFill>
        </w:rPr>
        <w:t>（5）A31预算编制规范性指标：</w:t>
      </w:r>
    </w:p>
    <w:p w14:paraId="6858BBF9">
      <w:pPr>
        <w:ind w:firstLine="420"/>
        <w:rPr>
          <w:color w:val="000000" w:themeColor="text1"/>
          <w14:textFill>
            <w14:solidFill>
              <w14:schemeClr w14:val="tx1"/>
            </w14:solidFill>
          </w14:textFill>
        </w:rPr>
      </w:pPr>
      <w:r>
        <w:rPr>
          <w:color w:val="000000" w:themeColor="text1"/>
          <w14:textFill>
            <w14:solidFill>
              <w14:schemeClr w14:val="tx1"/>
            </w14:solidFill>
          </w14:textFill>
        </w:rPr>
        <w:t>①</w:t>
      </w:r>
      <w:r>
        <w:rPr>
          <w:rFonts w:eastAsiaTheme="minorEastAsia"/>
          <w:color w:val="000000" w:themeColor="text1"/>
          <w14:textFill>
            <w14:solidFill>
              <w14:schemeClr w14:val="tx1"/>
            </w14:solidFill>
          </w14:textFill>
        </w:rPr>
        <w:t>吉木萨尔县</w:t>
      </w:r>
      <w:r>
        <w:rPr>
          <w:rFonts w:hint="eastAsia" w:eastAsiaTheme="minorEastAsia"/>
          <w:color w:val="000000" w:themeColor="text1"/>
          <w:lang w:eastAsia="zh-CN"/>
          <w14:textFill>
            <w14:solidFill>
              <w14:schemeClr w14:val="tx1"/>
            </w14:solidFill>
          </w14:textFill>
        </w:rPr>
        <w:t>统计局</w:t>
      </w:r>
      <w:r>
        <w:rPr>
          <w:rFonts w:eastAsiaTheme="minorEastAsia"/>
          <w:color w:val="000000" w:themeColor="text1"/>
          <w14:textFill>
            <w14:solidFill>
              <w14:schemeClr w14:val="tx1"/>
            </w14:solidFill>
          </w14:textFill>
        </w:rPr>
        <w:t>按照预算编制要求，对单位</w:t>
      </w:r>
      <w:r>
        <w:rPr>
          <w:rFonts w:hint="eastAsia" w:eastAsiaTheme="minorEastAsia"/>
          <w:color w:val="000000" w:themeColor="text1"/>
          <w:lang w:eastAsia="zh-CN"/>
          <w14:textFill>
            <w14:solidFill>
              <w14:schemeClr w14:val="tx1"/>
            </w14:solidFill>
          </w14:textFill>
        </w:rPr>
        <w:t>2024</w:t>
      </w:r>
      <w:r>
        <w:rPr>
          <w:rFonts w:eastAsiaTheme="minorEastAsia"/>
          <w:color w:val="000000" w:themeColor="text1"/>
          <w14:textFill>
            <w14:solidFill>
              <w14:schemeClr w14:val="tx1"/>
            </w14:solidFill>
          </w14:textFill>
        </w:rPr>
        <w:t>年的人员经费、公用经费等按照标准及历年预算执行情况进行综合分析并测算，经单位内部局党委会上会审核后，上报县财政部门，按照“二上二下”的预算审批流程，最终将部门预算草案报送吉木萨尔县人大审批</w:t>
      </w:r>
      <w:r>
        <w:rPr>
          <w:color w:val="000000" w:themeColor="text1"/>
          <w14:textFill>
            <w14:solidFill>
              <w14:schemeClr w14:val="tx1"/>
            </w14:solidFill>
          </w14:textFill>
        </w:rPr>
        <w:t>。</w:t>
      </w:r>
      <w:r>
        <w:rPr>
          <w:rFonts w:hint="eastAsia"/>
          <w:color w:val="000000" w:themeColor="text1"/>
          <w:lang w:eastAsia="zh-CN"/>
          <w14:textFill>
            <w14:solidFill>
              <w14:schemeClr w14:val="tx1"/>
            </w14:solidFill>
          </w14:textFill>
        </w:rPr>
        <w:t>2024</w:t>
      </w:r>
      <w:r>
        <w:rPr>
          <w:color w:val="000000" w:themeColor="text1"/>
          <w14:textFill>
            <w14:solidFill>
              <w14:schemeClr w14:val="tx1"/>
            </w14:solidFill>
          </w14:textFill>
        </w:rPr>
        <w:t>年2月4日吉木萨尔县财政局下达《</w:t>
      </w:r>
      <w:r>
        <w:rPr>
          <w:rFonts w:hint="eastAsia"/>
          <w:color w:val="000000" w:themeColor="text1"/>
          <w14:textFill>
            <w14:solidFill>
              <w14:schemeClr w14:val="tx1"/>
            </w14:solidFill>
          </w14:textFill>
        </w:rPr>
        <w:t>关于批复吉木萨尔县统计局2024年部门预算批复的函</w:t>
      </w:r>
      <w:r>
        <w:rPr>
          <w:color w:val="000000" w:themeColor="text1"/>
          <w14:textFill>
            <w14:solidFill>
              <w14:schemeClr w14:val="tx1"/>
            </w14:solidFill>
          </w14:textFill>
        </w:rPr>
        <w:t>》，批复</w:t>
      </w:r>
      <w:r>
        <w:rPr>
          <w:rFonts w:hint="eastAsia"/>
          <w:color w:val="000000" w:themeColor="text1"/>
          <w:lang w:eastAsia="zh-CN"/>
          <w14:textFill>
            <w14:solidFill>
              <w14:schemeClr w14:val="tx1"/>
            </w14:solidFill>
          </w14:textFill>
        </w:rPr>
        <w:t>2024</w:t>
      </w:r>
      <w:r>
        <w:rPr>
          <w:color w:val="000000" w:themeColor="text1"/>
          <w14:textFill>
            <w14:solidFill>
              <w14:schemeClr w14:val="tx1"/>
            </w14:solidFill>
          </w14:textFill>
        </w:rPr>
        <w:t>年部门预算</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预算</w:t>
      </w:r>
      <w:r>
        <w:rPr>
          <w:color w:val="000000" w:themeColor="text1"/>
          <w14:textFill>
            <w14:solidFill>
              <w14:schemeClr w14:val="tx1"/>
            </w14:solidFill>
          </w14:textFill>
        </w:rPr>
        <w:t>编制依据充分，年初预算申报及审批流程合规。</w:t>
      </w:r>
    </w:p>
    <w:p w14:paraId="100E8251">
      <w:pPr>
        <w:ind w:firstLine="420"/>
        <w:rPr>
          <w:color w:val="000000" w:themeColor="text1"/>
          <w14:textFill>
            <w14:solidFill>
              <w14:schemeClr w14:val="tx1"/>
            </w14:solidFill>
          </w14:textFill>
        </w:rPr>
      </w:pPr>
      <w:r>
        <w:rPr>
          <w:color w:val="000000" w:themeColor="text1"/>
          <w14:textFill>
            <w14:solidFill>
              <w14:schemeClr w14:val="tx1"/>
            </w14:solidFill>
          </w14:textFill>
        </w:rPr>
        <w:t>②年中追加预算安排情况；根据《部门决算指标分析评价报告及工作开展情况》及部门决算报表数据显示，</w:t>
      </w:r>
      <w:r>
        <w:rPr>
          <w:rFonts w:hint="eastAsia"/>
          <w:color w:val="000000" w:themeColor="text1"/>
          <w:lang w:val="en-US" w:eastAsia="zh-CN"/>
          <w14:textFill>
            <w14:solidFill>
              <w14:schemeClr w14:val="tx1"/>
            </w14:solidFill>
          </w14:textFill>
        </w:rPr>
        <w:t>2024年5月29日吉木萨尔县第十八届人大常委会第十九次会议通过</w:t>
      </w:r>
      <w:r>
        <w:rPr>
          <w:color w:val="000000" w:themeColor="text1"/>
          <w14:textFill>
            <w14:solidFill>
              <w14:schemeClr w14:val="tx1"/>
            </w14:solidFill>
          </w14:textFill>
        </w:rPr>
        <w:t>审议后</w:t>
      </w:r>
      <w:r>
        <w:rPr>
          <w:rFonts w:hint="eastAsia"/>
          <w:color w:val="000000" w:themeColor="text1"/>
          <w:lang w:val="en-US" w:eastAsia="zh-CN"/>
          <w14:textFill>
            <w14:solidFill>
              <w14:schemeClr w14:val="tx1"/>
            </w14:solidFill>
          </w14:textFill>
        </w:rPr>
        <w:t>执行</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调整</w:t>
      </w:r>
      <w:r>
        <w:rPr>
          <w:color w:val="000000" w:themeColor="text1"/>
          <w14:textFill>
            <w14:solidFill>
              <w14:schemeClr w14:val="tx1"/>
            </w14:solidFill>
          </w14:textFill>
        </w:rPr>
        <w:t>吉木萨尔县</w:t>
      </w:r>
      <w:r>
        <w:rPr>
          <w:rFonts w:hint="eastAsia"/>
          <w:color w:val="000000" w:themeColor="text1"/>
          <w:lang w:val="en-US" w:eastAsia="zh-CN"/>
          <w14:textFill>
            <w14:solidFill>
              <w14:schemeClr w14:val="tx1"/>
            </w14:solidFill>
          </w14:textFill>
        </w:rPr>
        <w:t>统计局</w:t>
      </w:r>
      <w:r>
        <w:rPr>
          <w:rFonts w:hint="eastAsia"/>
          <w:color w:val="000000" w:themeColor="text1"/>
          <w:lang w:eastAsia="zh-CN"/>
          <w14:textFill>
            <w14:solidFill>
              <w14:schemeClr w14:val="tx1"/>
            </w14:solidFill>
          </w14:textFill>
        </w:rPr>
        <w:t>2024</w:t>
      </w:r>
      <w:r>
        <w:rPr>
          <w:color w:val="000000" w:themeColor="text1"/>
          <w14:textFill>
            <w14:solidFill>
              <w14:schemeClr w14:val="tx1"/>
            </w14:solidFill>
          </w14:textFill>
        </w:rPr>
        <w:t>年全年预算数为</w:t>
      </w:r>
      <w:r>
        <w:rPr>
          <w:rFonts w:hint="eastAsia"/>
          <w:color w:val="000000" w:themeColor="text1"/>
          <w:lang w:val="en-US" w:eastAsia="zh-CN"/>
          <w14:textFill>
            <w14:solidFill>
              <w14:schemeClr w14:val="tx1"/>
            </w14:solidFill>
          </w14:textFill>
        </w:rPr>
        <w:t>423.03</w:t>
      </w:r>
      <w:r>
        <w:rPr>
          <w:color w:val="000000" w:themeColor="text1"/>
          <w14:textFill>
            <w14:solidFill>
              <w14:schemeClr w14:val="tx1"/>
            </w14:solidFill>
          </w14:textFill>
        </w:rPr>
        <w:t>万元，存在年中追加资金</w:t>
      </w:r>
      <w:r>
        <w:rPr>
          <w:rFonts w:hint="eastAsia"/>
          <w:color w:val="000000" w:themeColor="text1"/>
          <w:lang w:val="en-US" w:eastAsia="zh-CN"/>
          <w14:textFill>
            <w14:solidFill>
              <w14:schemeClr w14:val="tx1"/>
            </w14:solidFill>
          </w14:textFill>
        </w:rPr>
        <w:t>166.36</w:t>
      </w:r>
      <w:r>
        <w:rPr>
          <w:color w:val="000000" w:themeColor="text1"/>
          <w14:textFill>
            <w14:solidFill>
              <w14:schemeClr w14:val="tx1"/>
            </w14:solidFill>
          </w14:textFill>
        </w:rPr>
        <w:t>万元，</w:t>
      </w:r>
      <w:r>
        <w:rPr>
          <w:rFonts w:hint="eastAsia"/>
          <w:color w:val="000000" w:themeColor="text1"/>
          <w:lang w:val="en-US" w:eastAsia="zh-CN"/>
          <w14:textFill>
            <w14:solidFill>
              <w14:schemeClr w14:val="tx1"/>
            </w14:solidFill>
          </w14:textFill>
        </w:rPr>
        <w:t>部门单位按照规定履行了必要的预算调整程序</w:t>
      </w:r>
      <w:r>
        <w:rPr>
          <w:color w:val="000000" w:themeColor="text1"/>
          <w14:textFill>
            <w14:solidFill>
              <w14:schemeClr w14:val="tx1"/>
            </w14:solidFill>
          </w14:textFill>
        </w:rPr>
        <w:t>。</w:t>
      </w:r>
    </w:p>
    <w:p w14:paraId="54AA2B63">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该指标满分为2.00分，根据评分标准得2.00分。</w:t>
      </w:r>
    </w:p>
    <w:p w14:paraId="117DF731">
      <w:pPr>
        <w:ind w:firstLine="422"/>
        <w:outlineLvl w:val="2"/>
        <w:rPr>
          <w:b/>
          <w:bCs/>
          <w:color w:val="000000" w:themeColor="text1"/>
          <w14:textFill>
            <w14:solidFill>
              <w14:schemeClr w14:val="tx1"/>
            </w14:solidFill>
          </w14:textFill>
        </w:rPr>
      </w:pPr>
      <w:r>
        <w:rPr>
          <w:b/>
          <w:bCs/>
          <w:color w:val="000000" w:themeColor="text1"/>
          <w14:textFill>
            <w14:solidFill>
              <w14:schemeClr w14:val="tx1"/>
            </w14:solidFill>
          </w14:textFill>
        </w:rPr>
        <w:t>（6）A32预算编制与重点工作任务的匹配性指标：</w:t>
      </w:r>
    </w:p>
    <w:p w14:paraId="5BB7E5D7">
      <w:pPr>
        <w:ind w:firstLine="640"/>
        <w:rPr>
          <w:rFonts w:hint="default" w:ascii="Times New Roman" w:hAnsi="Times New Roman" w:cs="Times New Roman"/>
          <w:bCs/>
          <w:color w:val="000000" w:themeColor="text1"/>
          <w:highlight w:val="none"/>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吉木萨尔县</w:t>
      </w:r>
      <w:r>
        <w:rPr>
          <w:rFonts w:hint="eastAsia" w:eastAsiaTheme="minorEastAsia"/>
          <w:color w:val="000000" w:themeColor="text1"/>
          <w:lang w:eastAsia="zh-CN"/>
          <w14:textFill>
            <w14:solidFill>
              <w14:schemeClr w14:val="tx1"/>
            </w14:solidFill>
          </w14:textFill>
        </w:rPr>
        <w:t>统计局2024</w:t>
      </w:r>
      <w:r>
        <w:rPr>
          <w:rFonts w:hint="eastAsia" w:eastAsiaTheme="minorEastAsia"/>
          <w:color w:val="000000" w:themeColor="text1"/>
          <w14:textFill>
            <w14:solidFill>
              <w14:schemeClr w14:val="tx1"/>
            </w14:solidFill>
          </w14:textFill>
        </w:rPr>
        <w:t>年</w:t>
      </w:r>
      <w:r>
        <w:rPr>
          <w:rFonts w:hint="eastAsia" w:eastAsiaTheme="minorEastAsia"/>
          <w:color w:val="000000" w:themeColor="text1"/>
          <w:lang w:val="en-US" w:eastAsia="zh-CN"/>
          <w14:textFill>
            <w14:solidFill>
              <w14:schemeClr w14:val="tx1"/>
            </w14:solidFill>
          </w14:textFill>
        </w:rPr>
        <w:t>年初预算未安排项目支出预算，但是在年中追加预算指标时，安排两个项目，并在绩效系统中填写绩效目标表</w:t>
      </w:r>
      <w:r>
        <w:rPr>
          <w:rFonts w:hint="eastAsia" w:eastAsiaTheme="minorEastAsia"/>
          <w:color w:val="000000" w:themeColor="text1"/>
          <w:lang w:eastAsia="zh-CN"/>
          <w14:textFill>
            <w14:solidFill>
              <w14:schemeClr w14:val="tx1"/>
            </w14:solidFill>
          </w14:textFill>
        </w:rPr>
        <w:t>，</w:t>
      </w:r>
      <w:r>
        <w:rPr>
          <w:rFonts w:hint="eastAsia" w:ascii="Times New Roman" w:hAnsi="Times New Roman" w:cs="Times New Roman" w:eastAsiaTheme="minorEastAsia"/>
          <w:bCs/>
          <w:color w:val="000000" w:themeColor="text1"/>
          <w:highlight w:val="none"/>
          <w:lang w:val="en-US" w:eastAsia="zh-CN"/>
          <w14:textFill>
            <w14:solidFill>
              <w14:schemeClr w14:val="tx1"/>
            </w14:solidFill>
          </w14:textFill>
        </w:rPr>
        <w:t>追加</w:t>
      </w:r>
      <w:r>
        <w:rPr>
          <w:rFonts w:hint="default" w:ascii="Times New Roman" w:hAnsi="Times New Roman" w:cs="Times New Roman"/>
          <w:bCs/>
          <w:color w:val="000000" w:themeColor="text1"/>
          <w:highlight w:val="none"/>
          <w14:textFill>
            <w14:solidFill>
              <w14:schemeClr w14:val="tx1"/>
            </w14:solidFill>
          </w14:textFill>
        </w:rPr>
        <w:t>预算项目为</w:t>
      </w:r>
      <w:r>
        <w:rPr>
          <w:rFonts w:hint="eastAsia" w:ascii="Times New Roman" w:hAnsi="Times New Roman" w:cs="Times New Roman"/>
          <w:bCs/>
          <w:color w:val="000000" w:themeColor="text1"/>
          <w:highlight w:val="none"/>
          <w:lang w:val="en-US" w:eastAsia="zh-CN"/>
          <w14:textFill>
            <w14:solidFill>
              <w14:schemeClr w14:val="tx1"/>
            </w14:solidFill>
          </w14:textFill>
        </w:rPr>
        <w:t>2</w:t>
      </w:r>
      <w:r>
        <w:rPr>
          <w:rFonts w:hint="default" w:ascii="Times New Roman" w:hAnsi="Times New Roman" w:cs="Times New Roman"/>
          <w:bCs/>
          <w:color w:val="000000" w:themeColor="text1"/>
          <w:highlight w:val="none"/>
          <w14:textFill>
            <w14:solidFill>
              <w14:schemeClr w14:val="tx1"/>
            </w14:solidFill>
          </w14:textFill>
        </w:rPr>
        <w:t>个，涉及预算金额</w:t>
      </w:r>
      <w:r>
        <w:rPr>
          <w:rFonts w:hint="eastAsia" w:ascii="Times New Roman" w:hAnsi="Times New Roman" w:cs="Times New Roman"/>
          <w:bCs/>
          <w:color w:val="000000" w:themeColor="text1"/>
          <w:highlight w:val="none"/>
          <w:lang w:val="en-US" w:eastAsia="zh-CN"/>
          <w14:textFill>
            <w14:solidFill>
              <w14:schemeClr w14:val="tx1"/>
            </w14:solidFill>
          </w14:textFill>
        </w:rPr>
        <w:t>90.92</w:t>
      </w:r>
      <w:r>
        <w:rPr>
          <w:rFonts w:hint="default" w:ascii="Times New Roman" w:hAnsi="Times New Roman" w:cs="Times New Roman"/>
          <w:bCs/>
          <w:color w:val="000000" w:themeColor="text1"/>
          <w:highlight w:val="none"/>
          <w14:textFill>
            <w14:solidFill>
              <w14:schemeClr w14:val="tx1"/>
            </w14:solidFill>
          </w14:textFill>
        </w:rPr>
        <w:t>万元，主要用于弥补</w:t>
      </w:r>
      <w:r>
        <w:rPr>
          <w:rFonts w:hint="eastAsia" w:ascii="Times New Roman" w:hAnsi="Times New Roman" w:cs="Times New Roman"/>
          <w:bCs/>
          <w:color w:val="000000" w:themeColor="text1"/>
          <w:highlight w:val="none"/>
          <w:lang w:val="en-US" w:eastAsia="zh-CN"/>
          <w14:textFill>
            <w14:solidFill>
              <w14:schemeClr w14:val="tx1"/>
            </w14:solidFill>
          </w14:textFill>
        </w:rPr>
        <w:t>统计人员经济普查工作经费</w:t>
      </w:r>
      <w:r>
        <w:rPr>
          <w:rFonts w:hint="default" w:ascii="Times New Roman" w:hAnsi="Times New Roman" w:cs="Times New Roman"/>
          <w:bCs/>
          <w:color w:val="000000" w:themeColor="text1"/>
          <w:highlight w:val="none"/>
          <w14:textFill>
            <w14:solidFill>
              <w14:schemeClr w14:val="tx1"/>
            </w14:solidFill>
          </w14:textFill>
        </w:rPr>
        <w:t>，支持吉木萨尔县统计局全国第五次经济普查</w:t>
      </w:r>
      <w:r>
        <w:rPr>
          <w:rFonts w:hint="eastAsia" w:ascii="Times New Roman" w:hAnsi="Times New Roman" w:cs="Times New Roman"/>
          <w:bCs/>
          <w:color w:val="000000" w:themeColor="text1"/>
          <w:highlight w:val="none"/>
          <w:lang w:val="en-US" w:eastAsia="zh-CN"/>
          <w14:textFill>
            <w14:solidFill>
              <w14:schemeClr w14:val="tx1"/>
            </w14:solidFill>
          </w14:textFill>
        </w:rPr>
        <w:t>人员经费</w:t>
      </w:r>
      <w:r>
        <w:rPr>
          <w:rFonts w:hint="default" w:ascii="Times New Roman" w:hAnsi="Times New Roman" w:cs="Times New Roman"/>
          <w:bCs/>
          <w:color w:val="000000" w:themeColor="text1"/>
          <w:highlight w:val="none"/>
          <w14:textFill>
            <w14:solidFill>
              <w14:schemeClr w14:val="tx1"/>
            </w14:solidFill>
          </w14:textFill>
        </w:rPr>
        <w:t>、</w:t>
      </w:r>
      <w:r>
        <w:rPr>
          <w:rFonts w:hint="eastAsia" w:ascii="Times New Roman" w:hAnsi="Times New Roman" w:cs="Times New Roman"/>
          <w:bCs/>
          <w:color w:val="000000" w:themeColor="text1"/>
          <w:highlight w:val="none"/>
          <w:lang w:val="en-US" w:eastAsia="zh-CN"/>
          <w14:textFill>
            <w14:solidFill>
              <w14:schemeClr w14:val="tx1"/>
            </w14:solidFill>
          </w14:textFill>
        </w:rPr>
        <w:t>支持</w:t>
      </w:r>
      <w:r>
        <w:rPr>
          <w:rFonts w:hint="default" w:ascii="Times New Roman" w:hAnsi="Times New Roman" w:cs="Times New Roman"/>
          <w:bCs/>
          <w:color w:val="000000" w:themeColor="text1"/>
          <w:highlight w:val="none"/>
          <w14:textFill>
            <w14:solidFill>
              <w14:schemeClr w14:val="tx1"/>
            </w14:solidFill>
          </w14:textFill>
        </w:rPr>
        <w:t>统计局开展城乡一体化住户调查工作</w:t>
      </w:r>
      <w:r>
        <w:rPr>
          <w:rFonts w:hint="eastAsia" w:ascii="Times New Roman" w:hAnsi="Times New Roman" w:cs="Times New Roman"/>
          <w:bCs/>
          <w:color w:val="000000" w:themeColor="text1"/>
          <w:highlight w:val="none"/>
          <w:lang w:val="en-US" w:eastAsia="zh-CN"/>
          <w14:textFill>
            <w14:solidFill>
              <w14:schemeClr w14:val="tx1"/>
            </w14:solidFill>
          </w14:textFill>
        </w:rPr>
        <w:t>经费</w:t>
      </w:r>
      <w:r>
        <w:rPr>
          <w:rFonts w:hint="default" w:ascii="Times New Roman" w:hAnsi="Times New Roman" w:cs="Times New Roman"/>
          <w:bCs/>
          <w:color w:val="000000" w:themeColor="text1"/>
          <w:highlight w:val="none"/>
          <w14:textFill>
            <w14:solidFill>
              <w14:schemeClr w14:val="tx1"/>
            </w14:solidFill>
          </w14:textFill>
        </w:rPr>
        <w:t>等重点工作，项目资金支出方向与重点工作相匹配。</w:t>
      </w:r>
    </w:p>
    <w:p w14:paraId="13C5F0B9">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该指标满分为3.00分，根据评分标准得3.00分。</w:t>
      </w:r>
    </w:p>
    <w:p w14:paraId="3985D22A">
      <w:pPr>
        <w:keepNext/>
        <w:keepLines/>
        <w:ind w:firstLine="422"/>
        <w:jc w:val="left"/>
        <w:outlineLvl w:val="1"/>
        <w:rPr>
          <w:b/>
          <w:color w:val="000000" w:themeColor="text1"/>
          <w14:textFill>
            <w14:solidFill>
              <w14:schemeClr w14:val="tx1"/>
            </w14:solidFill>
          </w14:textFill>
        </w:rPr>
      </w:pPr>
      <w:bookmarkStart w:id="70" w:name="_Toc10525"/>
      <w:r>
        <w:rPr>
          <w:b/>
          <w:color w:val="000000" w:themeColor="text1"/>
          <w14:textFill>
            <w14:solidFill>
              <w14:schemeClr w14:val="tx1"/>
            </w14:solidFill>
          </w14:textFill>
        </w:rPr>
        <w:t>（二）部门管理情况</w:t>
      </w:r>
      <w:bookmarkEnd w:id="70"/>
    </w:p>
    <w:p w14:paraId="4E22BA11">
      <w:pPr>
        <w:ind w:firstLine="420"/>
        <w:rPr>
          <w:rFonts w:eastAsiaTheme="minorEastAsia"/>
          <w:bCs/>
          <w:color w:val="000000" w:themeColor="text1"/>
          <w14:textFill>
            <w14:solidFill>
              <w14:schemeClr w14:val="tx1"/>
            </w14:solidFill>
          </w14:textFill>
        </w:rPr>
      </w:pPr>
      <w:r>
        <w:rPr>
          <w:rFonts w:eastAsiaTheme="minorEastAsia"/>
          <w:bCs/>
          <w:color w:val="000000" w:themeColor="text1"/>
          <w14:textFill>
            <w14:solidFill>
              <w14:schemeClr w14:val="tx1"/>
            </w14:solidFill>
          </w14:textFill>
        </w:rPr>
        <w:t>部门管理类指标由5个二级指标和9个三级指标构成，权重分</w:t>
      </w:r>
      <w:r>
        <w:rPr>
          <w:rFonts w:hint="eastAsia" w:eastAsiaTheme="minorEastAsia"/>
          <w:bCs/>
          <w:color w:val="000000" w:themeColor="text1"/>
          <w:lang w:val="en-US" w:eastAsia="zh-CN"/>
          <w14:textFill>
            <w14:solidFill>
              <w14:schemeClr w14:val="tx1"/>
            </w14:solidFill>
          </w14:textFill>
        </w:rPr>
        <w:t>2</w:t>
      </w:r>
      <w:r>
        <w:rPr>
          <w:rFonts w:eastAsiaTheme="minorEastAsia"/>
          <w:bCs/>
          <w:color w:val="000000" w:themeColor="text1"/>
          <w14:textFill>
            <w14:solidFill>
              <w14:schemeClr w14:val="tx1"/>
            </w14:solidFill>
          </w14:textFill>
        </w:rPr>
        <w:t>5.00分，实际得分2</w:t>
      </w:r>
      <w:r>
        <w:rPr>
          <w:rFonts w:hint="eastAsia" w:eastAsiaTheme="minorEastAsia"/>
          <w:bCs/>
          <w:color w:val="000000" w:themeColor="text1"/>
          <w:lang w:val="en-US" w:eastAsia="zh-CN"/>
          <w14:textFill>
            <w14:solidFill>
              <w14:schemeClr w14:val="tx1"/>
            </w14:solidFill>
          </w14:textFill>
        </w:rPr>
        <w:t>4.00</w:t>
      </w:r>
      <w:r>
        <w:rPr>
          <w:rFonts w:eastAsiaTheme="minorEastAsia"/>
          <w:bCs/>
          <w:color w:val="000000" w:themeColor="text1"/>
          <w14:textFill>
            <w14:solidFill>
              <w14:schemeClr w14:val="tx1"/>
            </w14:solidFill>
          </w14:textFill>
        </w:rPr>
        <w:t>分，得分率</w:t>
      </w:r>
      <w:r>
        <w:rPr>
          <w:rFonts w:hint="eastAsia" w:eastAsiaTheme="minorEastAsia"/>
          <w:bCs/>
          <w:color w:val="000000" w:themeColor="text1"/>
          <w:lang w:val="en-US" w:eastAsia="zh-CN"/>
          <w14:textFill>
            <w14:solidFill>
              <w14:schemeClr w14:val="tx1"/>
            </w14:solidFill>
          </w14:textFill>
        </w:rPr>
        <w:t>96.00</w:t>
      </w:r>
      <w:r>
        <w:rPr>
          <w:rFonts w:eastAsiaTheme="minorEastAsia"/>
          <w:bCs/>
          <w:color w:val="000000" w:themeColor="text1"/>
          <w14:textFill>
            <w14:solidFill>
              <w14:schemeClr w14:val="tx1"/>
            </w14:solidFill>
          </w14:textFill>
        </w:rPr>
        <w:t>%。各指标业绩值和绩效分值如下表所示：</w:t>
      </w:r>
    </w:p>
    <w:p w14:paraId="5FFEC7EE">
      <w:pPr>
        <w:ind w:firstLine="0" w:firstLineChars="0"/>
        <w:jc w:val="center"/>
        <w:rPr>
          <w:rFonts w:hint="eastAsia" w:ascii="黑体" w:hAnsi="黑体" w:eastAsia="黑体" w:cs="黑体"/>
          <w:b w:val="0"/>
          <w:bCs/>
          <w:color w:val="000000" w:themeColor="text1"/>
          <w:spacing w:val="6"/>
          <w14:textFill>
            <w14:solidFill>
              <w14:schemeClr w14:val="tx1"/>
            </w14:solidFill>
          </w14:textFill>
        </w:rPr>
      </w:pPr>
      <w:r>
        <w:rPr>
          <w:rFonts w:hint="eastAsia" w:ascii="黑体" w:hAnsi="黑体" w:eastAsia="黑体" w:cs="黑体"/>
          <w:b w:val="0"/>
          <w:bCs/>
          <w:color w:val="000000" w:themeColor="text1"/>
          <w:spacing w:val="6"/>
          <w14:textFill>
            <w14:solidFill>
              <w14:schemeClr w14:val="tx1"/>
            </w14:solidFill>
          </w14:textFill>
        </w:rPr>
        <w:t>表4-2：部门管理类指标及分值</w:t>
      </w:r>
    </w:p>
    <w:tbl>
      <w:tblPr>
        <w:tblStyle w:val="24"/>
        <w:tblW w:w="4998" w:type="pct"/>
        <w:tblInd w:w="0" w:type="dxa"/>
        <w:tblLayout w:type="autofit"/>
        <w:tblCellMar>
          <w:top w:w="0" w:type="dxa"/>
          <w:left w:w="0" w:type="dxa"/>
          <w:bottom w:w="0" w:type="dxa"/>
          <w:right w:w="0" w:type="dxa"/>
        </w:tblCellMar>
      </w:tblPr>
      <w:tblGrid>
        <w:gridCol w:w="1082"/>
        <w:gridCol w:w="1069"/>
        <w:gridCol w:w="1849"/>
        <w:gridCol w:w="969"/>
        <w:gridCol w:w="1029"/>
        <w:gridCol w:w="764"/>
        <w:gridCol w:w="785"/>
        <w:gridCol w:w="786"/>
      </w:tblGrid>
      <w:tr w14:paraId="4F7419B8">
        <w:tblPrEx>
          <w:tblCellMar>
            <w:top w:w="0" w:type="dxa"/>
            <w:left w:w="0" w:type="dxa"/>
            <w:bottom w:w="0" w:type="dxa"/>
            <w:right w:w="0" w:type="dxa"/>
          </w:tblCellMar>
        </w:tblPrEx>
        <w:trPr>
          <w:trHeight w:val="397" w:hRule="atLeast"/>
          <w:tblHeader/>
        </w:trPr>
        <w:tc>
          <w:tcPr>
            <w:tcW w:w="64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7DAB147">
            <w:pPr>
              <w:widowControl/>
              <w:adjustRightInd/>
              <w:snapToGrid/>
              <w:spacing w:line="240" w:lineRule="auto"/>
              <w:ind w:firstLine="0" w:firstLineChars="0"/>
              <w:jc w:val="center"/>
              <w:textAlignment w:val="center"/>
              <w:rPr>
                <w:b/>
                <w:color w:val="000000" w:themeColor="text1"/>
                <w:sz w:val="20"/>
                <w:szCs w:val="20"/>
                <w14:textFill>
                  <w14:solidFill>
                    <w14:schemeClr w14:val="tx1"/>
                  </w14:solidFill>
                </w14:textFill>
              </w:rPr>
            </w:pPr>
            <w:r>
              <w:rPr>
                <w:b/>
                <w:color w:val="000000" w:themeColor="text1"/>
                <w:sz w:val="20"/>
                <w:szCs w:val="20"/>
                <w:lang w:bidi="ar"/>
                <w14:textFill>
                  <w14:solidFill>
                    <w14:schemeClr w14:val="tx1"/>
                  </w14:solidFill>
                </w14:textFill>
              </w:rPr>
              <w:t>一级指标</w:t>
            </w:r>
          </w:p>
        </w:tc>
        <w:tc>
          <w:tcPr>
            <w:tcW w:w="64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97DE74D">
            <w:pPr>
              <w:widowControl/>
              <w:adjustRightInd/>
              <w:snapToGrid/>
              <w:spacing w:line="240" w:lineRule="auto"/>
              <w:ind w:firstLine="0" w:firstLineChars="0"/>
              <w:jc w:val="center"/>
              <w:textAlignment w:val="center"/>
              <w:rPr>
                <w:b/>
                <w:color w:val="000000" w:themeColor="text1"/>
                <w:sz w:val="20"/>
                <w:szCs w:val="20"/>
                <w14:textFill>
                  <w14:solidFill>
                    <w14:schemeClr w14:val="tx1"/>
                  </w14:solidFill>
                </w14:textFill>
              </w:rPr>
            </w:pPr>
            <w:r>
              <w:rPr>
                <w:b/>
                <w:color w:val="000000" w:themeColor="text1"/>
                <w:sz w:val="20"/>
                <w:szCs w:val="20"/>
                <w:lang w:bidi="ar"/>
                <w14:textFill>
                  <w14:solidFill>
                    <w14:schemeClr w14:val="tx1"/>
                  </w14:solidFill>
                </w14:textFill>
              </w:rPr>
              <w:t>二级指标</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A3AA5DF">
            <w:pPr>
              <w:widowControl/>
              <w:adjustRightInd/>
              <w:snapToGrid/>
              <w:spacing w:line="240" w:lineRule="auto"/>
              <w:ind w:firstLine="0" w:firstLineChars="0"/>
              <w:jc w:val="center"/>
              <w:textAlignment w:val="center"/>
              <w:rPr>
                <w:b/>
                <w:color w:val="000000" w:themeColor="text1"/>
                <w:sz w:val="20"/>
                <w:szCs w:val="20"/>
                <w14:textFill>
                  <w14:solidFill>
                    <w14:schemeClr w14:val="tx1"/>
                  </w14:solidFill>
                </w14:textFill>
              </w:rPr>
            </w:pPr>
            <w:r>
              <w:rPr>
                <w:b/>
                <w:color w:val="000000" w:themeColor="text1"/>
                <w:sz w:val="20"/>
                <w:szCs w:val="20"/>
                <w:lang w:bidi="ar"/>
                <w14:textFill>
                  <w14:solidFill>
                    <w14:schemeClr w14:val="tx1"/>
                  </w14:solidFill>
                </w14:textFill>
              </w:rPr>
              <w:t>三级指标</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0F66FFB">
            <w:pPr>
              <w:widowControl/>
              <w:adjustRightInd/>
              <w:snapToGrid/>
              <w:spacing w:line="240" w:lineRule="auto"/>
              <w:ind w:firstLine="0" w:firstLineChars="0"/>
              <w:jc w:val="center"/>
              <w:textAlignment w:val="center"/>
              <w:rPr>
                <w:b/>
                <w:color w:val="000000" w:themeColor="text1"/>
                <w:sz w:val="20"/>
                <w:szCs w:val="20"/>
                <w14:textFill>
                  <w14:solidFill>
                    <w14:schemeClr w14:val="tx1"/>
                  </w14:solidFill>
                </w14:textFill>
              </w:rPr>
            </w:pPr>
            <w:r>
              <w:rPr>
                <w:b/>
                <w:color w:val="000000" w:themeColor="text1"/>
                <w:sz w:val="20"/>
                <w:szCs w:val="20"/>
                <w:lang w:bidi="ar"/>
                <w14:textFill>
                  <w14:solidFill>
                    <w14:schemeClr w14:val="tx1"/>
                  </w14:solidFill>
                </w14:textFill>
              </w:rPr>
              <w:t>目标值</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B0572FE">
            <w:pPr>
              <w:widowControl/>
              <w:adjustRightInd/>
              <w:snapToGrid/>
              <w:spacing w:line="240" w:lineRule="auto"/>
              <w:ind w:firstLine="0" w:firstLineChars="0"/>
              <w:jc w:val="center"/>
              <w:textAlignment w:val="center"/>
              <w:rPr>
                <w:b/>
                <w:color w:val="000000" w:themeColor="text1"/>
                <w:sz w:val="20"/>
                <w:szCs w:val="20"/>
                <w:lang w:bidi="ar"/>
                <w14:textFill>
                  <w14:solidFill>
                    <w14:schemeClr w14:val="tx1"/>
                  </w14:solidFill>
                </w14:textFill>
              </w:rPr>
            </w:pPr>
            <w:r>
              <w:rPr>
                <w:b/>
                <w:color w:val="000000" w:themeColor="text1"/>
                <w:sz w:val="20"/>
                <w:szCs w:val="20"/>
                <w:lang w:bidi="ar"/>
                <w14:textFill>
                  <w14:solidFill>
                    <w14:schemeClr w14:val="tx1"/>
                  </w14:solidFill>
                </w14:textFill>
              </w:rPr>
              <w:t>实际完成值</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D8261DC">
            <w:pPr>
              <w:widowControl/>
              <w:adjustRightInd/>
              <w:snapToGrid/>
              <w:spacing w:line="240" w:lineRule="auto"/>
              <w:ind w:firstLine="0" w:firstLineChars="0"/>
              <w:jc w:val="center"/>
              <w:textAlignment w:val="center"/>
              <w:rPr>
                <w:b/>
                <w:color w:val="000000" w:themeColor="text1"/>
                <w:sz w:val="20"/>
                <w:szCs w:val="20"/>
                <w14:textFill>
                  <w14:solidFill>
                    <w14:schemeClr w14:val="tx1"/>
                  </w14:solidFill>
                </w14:textFill>
              </w:rPr>
            </w:pPr>
            <w:r>
              <w:rPr>
                <w:b/>
                <w:color w:val="000000" w:themeColor="text1"/>
                <w:sz w:val="20"/>
                <w:szCs w:val="20"/>
                <w:lang w:bidi="ar"/>
                <w14:textFill>
                  <w14:solidFill>
                    <w14:schemeClr w14:val="tx1"/>
                  </w14:solidFill>
                </w14:textFill>
              </w:rPr>
              <w:t>权重</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5EF7924">
            <w:pPr>
              <w:widowControl/>
              <w:adjustRightInd/>
              <w:snapToGrid/>
              <w:spacing w:line="240" w:lineRule="auto"/>
              <w:ind w:firstLine="0" w:firstLineChars="0"/>
              <w:jc w:val="center"/>
              <w:textAlignment w:val="center"/>
              <w:rPr>
                <w:b/>
                <w:color w:val="000000" w:themeColor="text1"/>
                <w:sz w:val="20"/>
                <w:szCs w:val="20"/>
                <w14:textFill>
                  <w14:solidFill>
                    <w14:schemeClr w14:val="tx1"/>
                  </w14:solidFill>
                </w14:textFill>
              </w:rPr>
            </w:pPr>
            <w:r>
              <w:rPr>
                <w:b/>
                <w:color w:val="000000" w:themeColor="text1"/>
                <w:sz w:val="20"/>
                <w:szCs w:val="20"/>
                <w:lang w:bidi="ar"/>
                <w14:textFill>
                  <w14:solidFill>
                    <w14:schemeClr w14:val="tx1"/>
                  </w14:solidFill>
                </w14:textFill>
              </w:rPr>
              <w:t>得分</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ED7278A">
            <w:pPr>
              <w:widowControl/>
              <w:adjustRightInd/>
              <w:snapToGrid/>
              <w:spacing w:line="240" w:lineRule="auto"/>
              <w:ind w:firstLine="0" w:firstLineChars="0"/>
              <w:jc w:val="center"/>
              <w:textAlignment w:val="center"/>
              <w:rPr>
                <w:b/>
                <w:color w:val="000000" w:themeColor="text1"/>
                <w:sz w:val="20"/>
                <w:szCs w:val="20"/>
                <w:lang w:bidi="ar"/>
                <w14:textFill>
                  <w14:solidFill>
                    <w14:schemeClr w14:val="tx1"/>
                  </w14:solidFill>
                </w14:textFill>
              </w:rPr>
            </w:pPr>
            <w:r>
              <w:rPr>
                <w:b/>
                <w:color w:val="000000" w:themeColor="text1"/>
                <w:sz w:val="20"/>
                <w:szCs w:val="20"/>
                <w:lang w:bidi="ar"/>
                <w14:textFill>
                  <w14:solidFill>
                    <w14:schemeClr w14:val="tx1"/>
                  </w14:solidFill>
                </w14:textFill>
              </w:rPr>
              <w:t>得分率</w:t>
            </w:r>
          </w:p>
        </w:tc>
      </w:tr>
      <w:tr w14:paraId="251F004A">
        <w:tblPrEx>
          <w:tblCellMar>
            <w:top w:w="0" w:type="dxa"/>
            <w:left w:w="0" w:type="dxa"/>
            <w:bottom w:w="0" w:type="dxa"/>
            <w:right w:w="0" w:type="dxa"/>
          </w:tblCellMar>
        </w:tblPrEx>
        <w:trPr>
          <w:trHeight w:val="397" w:hRule="atLeast"/>
        </w:trPr>
        <w:tc>
          <w:tcPr>
            <w:tcW w:w="649"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EA664B3">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B部门管理（</w:t>
            </w:r>
            <w:r>
              <w:rPr>
                <w:rFonts w:hint="eastAsia"/>
                <w:color w:val="000000" w:themeColor="text1"/>
                <w:sz w:val="20"/>
                <w:szCs w:val="20"/>
                <w:lang w:val="en-US" w:eastAsia="zh-CN" w:bidi="ar"/>
                <w14:textFill>
                  <w14:solidFill>
                    <w14:schemeClr w14:val="tx1"/>
                  </w14:solidFill>
                </w14:textFill>
              </w:rPr>
              <w:t>2</w:t>
            </w:r>
            <w:r>
              <w:rPr>
                <w:color w:val="000000" w:themeColor="text1"/>
                <w:sz w:val="20"/>
                <w:szCs w:val="20"/>
                <w:lang w:bidi="ar"/>
                <w14:textFill>
                  <w14:solidFill>
                    <w14:schemeClr w14:val="tx1"/>
                  </w14:solidFill>
                </w14:textFill>
              </w:rPr>
              <w:t>5.00分）</w:t>
            </w:r>
          </w:p>
        </w:tc>
        <w:tc>
          <w:tcPr>
            <w:tcW w:w="64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E27CF46">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B1制度建设</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A9E428A">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B11内部控制制度健全性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A16C32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健全</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83604E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较健全</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317F75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eastAsia="宋体"/>
                <w:color w:val="000000" w:themeColor="text1"/>
                <w:sz w:val="20"/>
                <w:szCs w:val="20"/>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4.00</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D2A263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eastAsia="宋体"/>
                <w:color w:val="000000" w:themeColor="text1"/>
                <w:sz w:val="20"/>
                <w:szCs w:val="20"/>
                <w:lang w:val="en-US" w:eastAsia="zh-CN" w:bidi="ar"/>
                <w14:textFill>
                  <w14:solidFill>
                    <w14:schemeClr w14:val="tx1"/>
                  </w14:solidFill>
                </w14:textFill>
              </w:rPr>
            </w:pPr>
            <w:r>
              <w:rPr>
                <w:rFonts w:hint="eastAsia" w:ascii="宋体" w:hAnsi="宋体" w:cs="宋体"/>
                <w:i w:val="0"/>
                <w:iCs w:val="0"/>
                <w:color w:val="000000" w:themeColor="text1"/>
                <w:kern w:val="0"/>
                <w:sz w:val="20"/>
                <w:szCs w:val="20"/>
                <w:u w:val="none"/>
                <w:lang w:val="en-US" w:eastAsia="zh-CN" w:bidi="ar"/>
                <w14:textFill>
                  <w14:solidFill>
                    <w14:schemeClr w14:val="tx1"/>
                  </w14:solidFill>
                </w14:textFill>
              </w:rPr>
              <w:t>3.00</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51D281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cs="宋体"/>
                <w:i w:val="0"/>
                <w:iCs w:val="0"/>
                <w:color w:val="000000" w:themeColor="text1"/>
                <w:kern w:val="0"/>
                <w:sz w:val="20"/>
                <w:szCs w:val="20"/>
                <w:u w:val="none"/>
                <w:lang w:val="en-US" w:eastAsia="zh-CN" w:bidi="ar"/>
                <w14:textFill>
                  <w14:solidFill>
                    <w14:schemeClr w14:val="tx1"/>
                  </w14:solidFill>
                </w14:textFill>
              </w:rPr>
              <w:t>75.00</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w:t>
            </w:r>
          </w:p>
        </w:tc>
      </w:tr>
      <w:tr w14:paraId="770E3E48">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D8ACF91">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1AC9EB3">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B2预算管理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23724F0">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B21预算执行率</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947CF5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≥95.00%</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CA6D8D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15B103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eastAsia="宋体"/>
                <w:color w:val="000000" w:themeColor="text1"/>
                <w:sz w:val="20"/>
                <w:szCs w:val="20"/>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3.00</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243654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eastAsia="宋体"/>
                <w:color w:val="000000" w:themeColor="text1"/>
                <w:sz w:val="20"/>
                <w:szCs w:val="20"/>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3.00</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5AC2B5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r>
      <w:tr w14:paraId="3DEABFD9">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174277D">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406475A">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0C57B95">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B22预算、决算信息公开</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C88B04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使用合规</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9B9F39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使用合规</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8E078B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eastAsia="宋体"/>
                <w:color w:val="000000" w:themeColor="text1"/>
                <w:sz w:val="20"/>
                <w:szCs w:val="20"/>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4A98A6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eastAsia="宋体"/>
                <w:color w:val="000000" w:themeColor="text1"/>
                <w:sz w:val="20"/>
                <w:szCs w:val="20"/>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9F188A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r>
      <w:tr w14:paraId="7AF05C64">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065DDA3">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FF73291">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B3资金管理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33B77CC">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B31资金使用合规性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6AF7AC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合规</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873347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合规</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0C9CDC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eastAsia="宋体"/>
                <w:color w:val="000000" w:themeColor="text1"/>
                <w:sz w:val="20"/>
                <w:szCs w:val="20"/>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4.00</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BAB5BE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eastAsia="宋体"/>
                <w:color w:val="000000" w:themeColor="text1"/>
                <w:sz w:val="20"/>
                <w:szCs w:val="20"/>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4.00</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192C9A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r>
      <w:tr w14:paraId="7B2CB6B1">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726601E">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8E21A6B">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869B13F">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B32政府采购规范性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3614BB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执行且有效</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F7739D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执行且有效</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64B2CF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eastAsia="宋体"/>
                <w:color w:val="000000" w:themeColor="text1"/>
                <w:sz w:val="20"/>
                <w:szCs w:val="20"/>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2.00</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A3A50F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eastAsia="宋体"/>
                <w:color w:val="000000" w:themeColor="text1"/>
                <w:sz w:val="20"/>
                <w:szCs w:val="20"/>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2.00</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DCD11A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r>
      <w:tr w14:paraId="12A9E0B4">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3FFC434">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F747CCB">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B4资产管理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710C360">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B41固定资产管理规范性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D109E5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规范</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09A684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规范</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AEED88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eastAsia="宋体"/>
                <w:color w:val="000000" w:themeColor="text1"/>
                <w:sz w:val="20"/>
                <w:szCs w:val="20"/>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4.00</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FCD2BA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eastAsia="宋体"/>
                <w:color w:val="000000" w:themeColor="text1"/>
                <w:sz w:val="20"/>
                <w:szCs w:val="20"/>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4.00</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E1959F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r>
      <w:tr w14:paraId="5AB6D992">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C2FAE5E">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41FE389">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224195F">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B42固定资产利用率</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E3578F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≥95.00%</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256F10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7848A3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eastAsia="宋体"/>
                <w:color w:val="000000" w:themeColor="text1"/>
                <w:sz w:val="20"/>
                <w:szCs w:val="20"/>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2.00</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384C67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eastAsia="宋体"/>
                <w:color w:val="000000" w:themeColor="text1"/>
                <w:sz w:val="20"/>
                <w:szCs w:val="20"/>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2.00</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3087DF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r>
      <w:tr w14:paraId="3A91386B">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B3A0886">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D600CF8">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B5项目管理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CF9C545">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B51</w:t>
            </w:r>
            <w:r>
              <w:rPr>
                <w:rFonts w:hint="default" w:ascii="Times New Roman" w:hAnsi="Times New Roman" w:cs="Times New Roman"/>
                <w:bCs/>
                <w:color w:val="000000" w:themeColor="text1"/>
                <w:sz w:val="21"/>
                <w:szCs w:val="21"/>
                <w:highlight w:val="none"/>
                <w:lang w:val="en-US" w:eastAsia="zh-CN" w:bidi="ar"/>
                <w14:textFill>
                  <w14:solidFill>
                    <w14:schemeClr w14:val="tx1"/>
                  </w14:solidFill>
                </w14:textFill>
              </w:rPr>
              <w:t>项目绩效达标率</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02F1BF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≥90.00%</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BF5666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95.50%</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12922F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eastAsia="宋体"/>
                <w:color w:val="000000" w:themeColor="text1"/>
                <w:sz w:val="20"/>
                <w:szCs w:val="20"/>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2.00</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464AF8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eastAsia="宋体"/>
                <w:color w:val="000000" w:themeColor="text1"/>
                <w:sz w:val="20"/>
                <w:szCs w:val="20"/>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2.00</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BCCFE4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r>
      <w:tr w14:paraId="622FD561">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786C0E2">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EB62557">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4E10C24">
            <w:pPr>
              <w:widowControl/>
              <w:adjustRightInd/>
              <w:snapToGrid/>
              <w:spacing w:line="240" w:lineRule="auto"/>
              <w:ind w:firstLine="0" w:firstLineChars="0"/>
              <w:jc w:val="left"/>
              <w:textAlignment w:val="center"/>
              <w:rPr>
                <w:color w:val="000000" w:themeColor="text1"/>
                <w:sz w:val="20"/>
                <w:szCs w:val="20"/>
                <w:lang w:bidi="ar"/>
                <w14:textFill>
                  <w14:solidFill>
                    <w14:schemeClr w14:val="tx1"/>
                  </w14:solidFill>
                </w14:textFill>
              </w:rPr>
            </w:pPr>
            <w:r>
              <w:rPr>
                <w:color w:val="000000" w:themeColor="text1"/>
                <w:sz w:val="20"/>
                <w:szCs w:val="20"/>
                <w:lang w:bidi="ar"/>
                <w14:textFill>
                  <w14:solidFill>
                    <w14:schemeClr w14:val="tx1"/>
                  </w14:solidFill>
                </w14:textFill>
              </w:rPr>
              <w:t>B52项目支出预算调整率</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5741A2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±10%以内</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E14579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0%</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ED9350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eastAsia="宋体"/>
                <w:color w:val="000000" w:themeColor="text1"/>
                <w:sz w:val="20"/>
                <w:szCs w:val="20"/>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3.00</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118270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eastAsia="宋体"/>
                <w:color w:val="000000" w:themeColor="text1"/>
                <w:sz w:val="20"/>
                <w:szCs w:val="20"/>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3.00</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8426AE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color w:val="000000" w:themeColor="text1"/>
                <w:sz w:val="20"/>
                <w:szCs w:val="20"/>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r>
      <w:tr w14:paraId="2146CE61">
        <w:tblPrEx>
          <w:tblCellMar>
            <w:top w:w="0" w:type="dxa"/>
            <w:left w:w="0" w:type="dxa"/>
            <w:bottom w:w="0" w:type="dxa"/>
            <w:right w:w="0" w:type="dxa"/>
          </w:tblCellMar>
        </w:tblPrEx>
        <w:trPr>
          <w:trHeight w:val="397" w:hRule="atLeast"/>
        </w:trPr>
        <w:tc>
          <w:tcPr>
            <w:tcW w:w="649" w:type="pct"/>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19A3B6E">
            <w:pPr>
              <w:widowControl/>
              <w:adjustRightInd/>
              <w:snapToGrid/>
              <w:spacing w:line="240" w:lineRule="auto"/>
              <w:ind w:firstLine="0" w:firstLineChars="0"/>
              <w:jc w:val="center"/>
              <w:textAlignment w:val="center"/>
              <w:rPr>
                <w:b/>
                <w:bCs/>
                <w:color w:val="000000" w:themeColor="text1"/>
                <w:sz w:val="20"/>
                <w:szCs w:val="20"/>
                <w:lang w:bidi="ar"/>
                <w14:textFill>
                  <w14:solidFill>
                    <w14:schemeClr w14:val="tx1"/>
                  </w14:solidFill>
                </w14:textFill>
              </w:rPr>
            </w:pPr>
            <w:r>
              <w:rPr>
                <w:b/>
                <w:bCs/>
                <w:color w:val="000000" w:themeColor="text1"/>
                <w:sz w:val="20"/>
                <w:szCs w:val="20"/>
                <w:lang w:bidi="ar"/>
                <w14:textFill>
                  <w14:solidFill>
                    <w14:schemeClr w14:val="tx1"/>
                  </w14:solidFill>
                </w14:textFill>
              </w:rPr>
              <w:t>合计</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87E0E4D">
            <w:pPr>
              <w:keepNext w:val="0"/>
              <w:keepLines w:val="0"/>
              <w:pageBreakBefore w:val="0"/>
              <w:widowControl/>
              <w:kinsoku/>
              <w:wordWrap/>
              <w:overflowPunct/>
              <w:topLinePunct w:val="0"/>
              <w:autoSpaceDE/>
              <w:autoSpaceDN/>
              <w:bidi w:val="0"/>
              <w:spacing w:line="240" w:lineRule="auto"/>
              <w:ind w:firstLine="0" w:firstLineChars="0"/>
              <w:jc w:val="center"/>
              <w:rPr>
                <w:b/>
                <w:bCs/>
                <w:color w:val="000000" w:themeColor="text1"/>
                <w:sz w:val="20"/>
                <w:szCs w:val="20"/>
                <w:lang w:bidi="ar"/>
                <w14:textFill>
                  <w14:solidFill>
                    <w14:schemeClr w14:val="tx1"/>
                  </w14:solidFill>
                </w14:textFill>
              </w:rPr>
            </w:pP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885C156">
            <w:pPr>
              <w:keepNext w:val="0"/>
              <w:keepLines w:val="0"/>
              <w:pageBreakBefore w:val="0"/>
              <w:widowControl/>
              <w:kinsoku/>
              <w:wordWrap/>
              <w:overflowPunct/>
              <w:topLinePunct w:val="0"/>
              <w:autoSpaceDE/>
              <w:autoSpaceDN/>
              <w:bidi w:val="0"/>
              <w:spacing w:line="240" w:lineRule="auto"/>
              <w:ind w:firstLine="0" w:firstLineChars="0"/>
              <w:jc w:val="center"/>
              <w:rPr>
                <w:b/>
                <w:bCs/>
                <w:color w:val="000000" w:themeColor="text1"/>
                <w:sz w:val="20"/>
                <w:szCs w:val="20"/>
                <w:lang w:bidi="ar"/>
                <w14:textFill>
                  <w14:solidFill>
                    <w14:schemeClr w14:val="tx1"/>
                  </w14:solidFill>
                </w14:textFill>
              </w:rPr>
            </w:pP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D1B3243">
            <w:pPr>
              <w:widowControl/>
              <w:adjustRightInd/>
              <w:snapToGrid/>
              <w:spacing w:line="240" w:lineRule="auto"/>
              <w:ind w:firstLine="0" w:firstLineChars="0"/>
              <w:jc w:val="center"/>
              <w:textAlignment w:val="center"/>
              <w:rPr>
                <w:rFonts w:hint="eastAsia" w:eastAsia="宋体"/>
                <w:b/>
                <w:bCs/>
                <w:color w:val="000000" w:themeColor="text1"/>
                <w:sz w:val="20"/>
                <w:szCs w:val="20"/>
                <w:lang w:eastAsia="zh-CN" w:bidi="ar"/>
                <w14:textFill>
                  <w14:solidFill>
                    <w14:schemeClr w14:val="tx1"/>
                  </w14:solidFill>
                </w14:textFill>
              </w:rPr>
            </w:pPr>
            <w:r>
              <w:rPr>
                <w:rFonts w:hint="eastAsia" w:eastAsia="宋体"/>
                <w:b/>
                <w:bCs/>
                <w:color w:val="000000" w:themeColor="text1"/>
                <w:sz w:val="20"/>
                <w:szCs w:val="20"/>
                <w:lang w:val="en-US" w:eastAsia="zh-CN" w:bidi="ar"/>
                <w14:textFill>
                  <w14:solidFill>
                    <w14:schemeClr w14:val="tx1"/>
                  </w14:solidFill>
                </w14:textFill>
              </w:rPr>
              <w:t>25.00</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5FD6CD0">
            <w:pPr>
              <w:widowControl/>
              <w:adjustRightInd/>
              <w:snapToGrid/>
              <w:spacing w:line="240" w:lineRule="auto"/>
              <w:ind w:firstLine="0" w:firstLineChars="0"/>
              <w:jc w:val="center"/>
              <w:textAlignment w:val="center"/>
              <w:rPr>
                <w:rFonts w:hint="default" w:eastAsia="宋体"/>
                <w:b/>
                <w:bCs/>
                <w:color w:val="000000" w:themeColor="text1"/>
                <w:sz w:val="20"/>
                <w:szCs w:val="20"/>
                <w:lang w:val="en-US" w:eastAsia="zh-CN" w:bidi="ar"/>
                <w14:textFill>
                  <w14:solidFill>
                    <w14:schemeClr w14:val="tx1"/>
                  </w14:solidFill>
                </w14:textFill>
              </w:rPr>
            </w:pPr>
            <w:r>
              <w:rPr>
                <w:rFonts w:hint="eastAsia" w:eastAsia="宋体"/>
                <w:b/>
                <w:bCs/>
                <w:color w:val="000000" w:themeColor="text1"/>
                <w:sz w:val="20"/>
                <w:szCs w:val="20"/>
                <w:lang w:val="en-US" w:eastAsia="zh-CN" w:bidi="ar"/>
                <w14:textFill>
                  <w14:solidFill>
                    <w14:schemeClr w14:val="tx1"/>
                  </w14:solidFill>
                </w14:textFill>
              </w:rPr>
              <w:t>2</w:t>
            </w:r>
            <w:r>
              <w:rPr>
                <w:rFonts w:hint="eastAsia"/>
                <w:b/>
                <w:bCs/>
                <w:color w:val="000000" w:themeColor="text1"/>
                <w:sz w:val="20"/>
                <w:szCs w:val="20"/>
                <w:lang w:val="en-US" w:eastAsia="zh-CN" w:bidi="ar"/>
                <w14:textFill>
                  <w14:solidFill>
                    <w14:schemeClr w14:val="tx1"/>
                  </w14:solidFill>
                </w14:textFill>
              </w:rPr>
              <w:t>4.00</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71AB0F5">
            <w:pPr>
              <w:widowControl/>
              <w:adjustRightInd/>
              <w:snapToGrid/>
              <w:spacing w:line="240" w:lineRule="auto"/>
              <w:ind w:firstLine="0" w:firstLineChars="0"/>
              <w:jc w:val="center"/>
              <w:textAlignment w:val="center"/>
              <w:rPr>
                <w:rFonts w:eastAsia="宋体"/>
                <w:b/>
                <w:bCs/>
                <w:color w:val="000000" w:themeColor="text1"/>
                <w:sz w:val="20"/>
                <w:szCs w:val="20"/>
                <w:lang w:bidi="ar"/>
                <w14:textFill>
                  <w14:solidFill>
                    <w14:schemeClr w14:val="tx1"/>
                  </w14:solidFill>
                </w14:textFill>
              </w:rPr>
            </w:pPr>
            <w:r>
              <w:rPr>
                <w:rFonts w:hint="eastAsia" w:eastAsia="宋体"/>
                <w:b/>
                <w:bCs/>
                <w:color w:val="000000" w:themeColor="text1"/>
                <w:sz w:val="20"/>
                <w:szCs w:val="20"/>
                <w:lang w:val="en-US" w:eastAsia="zh-CN" w:bidi="ar"/>
                <w14:textFill>
                  <w14:solidFill>
                    <w14:schemeClr w14:val="tx1"/>
                  </w14:solidFill>
                </w14:textFill>
              </w:rPr>
              <w:t>9</w:t>
            </w:r>
            <w:r>
              <w:rPr>
                <w:rFonts w:hint="eastAsia"/>
                <w:b/>
                <w:bCs/>
                <w:color w:val="000000" w:themeColor="text1"/>
                <w:sz w:val="20"/>
                <w:szCs w:val="20"/>
                <w:lang w:val="en-US" w:eastAsia="zh-CN" w:bidi="ar"/>
                <w14:textFill>
                  <w14:solidFill>
                    <w14:schemeClr w14:val="tx1"/>
                  </w14:solidFill>
                </w14:textFill>
              </w:rPr>
              <w:t>6</w:t>
            </w:r>
            <w:r>
              <w:rPr>
                <w:rFonts w:hint="eastAsia" w:eastAsia="宋体"/>
                <w:b/>
                <w:bCs/>
                <w:color w:val="000000" w:themeColor="text1"/>
                <w:sz w:val="20"/>
                <w:szCs w:val="20"/>
                <w:lang w:val="en-US" w:eastAsia="zh-CN" w:bidi="ar"/>
                <w14:textFill>
                  <w14:solidFill>
                    <w14:schemeClr w14:val="tx1"/>
                  </w14:solidFill>
                </w14:textFill>
              </w:rPr>
              <w:t>.00%</w:t>
            </w:r>
          </w:p>
        </w:tc>
      </w:tr>
    </w:tbl>
    <w:p w14:paraId="67723B54">
      <w:pPr>
        <w:spacing w:line="240" w:lineRule="auto"/>
        <w:ind w:firstLine="422"/>
        <w:rPr>
          <w:b/>
          <w:bCs/>
          <w:color w:val="000000" w:themeColor="text1"/>
          <w14:textFill>
            <w14:solidFill>
              <w14:schemeClr w14:val="tx1"/>
            </w14:solidFill>
          </w14:textFill>
        </w:rPr>
      </w:pPr>
    </w:p>
    <w:p w14:paraId="48B0AC83">
      <w:pPr>
        <w:ind w:firstLine="422"/>
        <w:rPr>
          <w:b/>
          <w:bCs/>
          <w:color w:val="000000" w:themeColor="text1"/>
          <w14:textFill>
            <w14:solidFill>
              <w14:schemeClr w14:val="tx1"/>
            </w14:solidFill>
          </w14:textFill>
        </w:rPr>
      </w:pPr>
      <w:r>
        <w:rPr>
          <w:b/>
          <w:bCs/>
          <w:color w:val="000000" w:themeColor="text1"/>
          <w14:textFill>
            <w14:solidFill>
              <w14:schemeClr w14:val="tx1"/>
            </w14:solidFill>
          </w14:textFill>
        </w:rPr>
        <w:t>指标得分分析：</w:t>
      </w:r>
    </w:p>
    <w:p w14:paraId="2009B215">
      <w:pPr>
        <w:ind w:firstLine="422"/>
        <w:outlineLvl w:val="2"/>
        <w:rPr>
          <w:b/>
          <w:bCs/>
          <w:color w:val="000000" w:themeColor="text1"/>
          <w14:textFill>
            <w14:solidFill>
              <w14:schemeClr w14:val="tx1"/>
            </w14:solidFill>
          </w14:textFill>
        </w:rPr>
      </w:pPr>
      <w:r>
        <w:rPr>
          <w:b/>
          <w:bCs/>
          <w:color w:val="000000" w:themeColor="text1"/>
          <w14:textFill>
            <w14:solidFill>
              <w14:schemeClr w14:val="tx1"/>
            </w14:solidFill>
          </w14:textFill>
        </w:rPr>
        <w:t>（1）B11内部控制制度健全性指标：</w:t>
      </w:r>
    </w:p>
    <w:p w14:paraId="74D1E7AD">
      <w:pPr>
        <w:ind w:firstLine="420"/>
        <w:rPr>
          <w:rFonts w:hint="default" w:ascii="Times New Roman" w:hAnsi="Times New Roman" w:cs="Times New Roman"/>
          <w:color w:val="000000" w:themeColor="text1"/>
          <w14:textFill>
            <w14:solidFill>
              <w14:schemeClr w14:val="tx1"/>
            </w14:solidFill>
          </w14:textFill>
        </w:rPr>
      </w:pPr>
      <w:r>
        <w:rPr>
          <w:rFonts w:eastAsiaTheme="minorEastAsia"/>
          <w:color w:val="000000" w:themeColor="text1"/>
          <w14:textFill>
            <w14:solidFill>
              <w14:schemeClr w14:val="tx1"/>
            </w14:solidFill>
          </w14:textFill>
        </w:rPr>
        <w:t>经查阅吉木萨尔县</w:t>
      </w:r>
      <w:r>
        <w:rPr>
          <w:rFonts w:hint="eastAsia" w:eastAsiaTheme="minorEastAsia"/>
          <w:color w:val="000000" w:themeColor="text1"/>
          <w:lang w:eastAsia="zh-CN"/>
          <w14:textFill>
            <w14:solidFill>
              <w14:schemeClr w14:val="tx1"/>
            </w14:solidFill>
          </w14:textFill>
        </w:rPr>
        <w:t>统计局</w:t>
      </w:r>
      <w:r>
        <w:rPr>
          <w:rFonts w:eastAsiaTheme="minorEastAsia"/>
          <w:color w:val="000000" w:themeColor="text1"/>
          <w14:textFill>
            <w14:solidFill>
              <w14:schemeClr w14:val="tx1"/>
            </w14:solidFill>
          </w14:textFill>
        </w:rPr>
        <w:t>提供</w:t>
      </w:r>
      <w:r>
        <w:rPr>
          <w:rFonts w:hint="eastAsia" w:eastAsiaTheme="minorEastAsia"/>
          <w:color w:val="000000" w:themeColor="text1"/>
          <w:lang w:eastAsia="zh-CN"/>
          <w14:textFill>
            <w14:solidFill>
              <w14:schemeClr w14:val="tx1"/>
            </w14:solidFill>
          </w14:textFill>
        </w:rPr>
        <w:t>《县统计局“三重一大”决策制度》</w:t>
      </w:r>
      <w:r>
        <w:rPr>
          <w:rFonts w:eastAsiaTheme="minorEastAsia"/>
          <w:color w:val="000000" w:themeColor="text1"/>
          <w14:textFill>
            <w14:solidFill>
              <w14:schemeClr w14:val="tx1"/>
            </w14:solidFill>
          </w14:textFill>
        </w:rPr>
        <w:t>《</w:t>
      </w:r>
      <w:r>
        <w:rPr>
          <w:rFonts w:hint="eastAsia" w:eastAsiaTheme="minorEastAsia"/>
          <w:color w:val="000000" w:themeColor="text1"/>
          <w14:textFill>
            <w14:solidFill>
              <w14:schemeClr w14:val="tx1"/>
            </w14:solidFill>
          </w14:textFill>
        </w:rPr>
        <w:t>吉木萨尔县统计局预算编制与审核制度</w:t>
      </w:r>
      <w:r>
        <w:rPr>
          <w:rFonts w:eastAsiaTheme="minorEastAsia"/>
          <w:color w:val="000000" w:themeColor="text1"/>
          <w14:textFill>
            <w14:solidFill>
              <w14:schemeClr w14:val="tx1"/>
            </w14:solidFill>
          </w14:textFill>
        </w:rPr>
        <w:t>》《</w:t>
      </w:r>
      <w:r>
        <w:rPr>
          <w:rFonts w:hint="eastAsia" w:eastAsiaTheme="minorEastAsia"/>
          <w:color w:val="000000" w:themeColor="text1"/>
          <w14:textFill>
            <w14:solidFill>
              <w14:schemeClr w14:val="tx1"/>
            </w14:solidFill>
          </w14:textFill>
        </w:rPr>
        <w:t>吉木萨尔县统计局预算管理制度</w:t>
      </w:r>
      <w:r>
        <w:rPr>
          <w:rFonts w:eastAsiaTheme="minorEastAsia"/>
          <w:color w:val="000000" w:themeColor="text1"/>
          <w14:textFill>
            <w14:solidFill>
              <w14:schemeClr w14:val="tx1"/>
            </w14:solidFill>
          </w14:textFill>
        </w:rPr>
        <w:t>》《</w:t>
      </w:r>
      <w:r>
        <w:rPr>
          <w:rFonts w:hint="eastAsia" w:eastAsiaTheme="minorEastAsia"/>
          <w:color w:val="000000" w:themeColor="text1"/>
          <w14:textFill>
            <w14:solidFill>
              <w14:schemeClr w14:val="tx1"/>
            </w14:solidFill>
          </w14:textFill>
        </w:rPr>
        <w:t>吉木萨尔县统计局预算执行与调整调剂制度</w:t>
      </w:r>
      <w:r>
        <w:rPr>
          <w:rFonts w:eastAsiaTheme="minorEastAsia"/>
          <w:color w:val="000000" w:themeColor="text1"/>
          <w14:textFill>
            <w14:solidFill>
              <w14:schemeClr w14:val="tx1"/>
            </w14:solidFill>
          </w14:textFill>
        </w:rPr>
        <w:t>》</w:t>
      </w:r>
      <w:r>
        <w:rPr>
          <w:rFonts w:hint="eastAsia" w:eastAsiaTheme="minorEastAsia"/>
          <w:color w:val="000000" w:themeColor="text1"/>
          <w:lang w:eastAsia="zh-CN"/>
          <w14:textFill>
            <w14:solidFill>
              <w14:schemeClr w14:val="tx1"/>
            </w14:solidFill>
          </w14:textFill>
        </w:rPr>
        <w:t>《统计局财务管理制度》《吉木萨尔县统计局资产管理制度》《吉木萨尔县统计局合同管理制度》</w:t>
      </w:r>
      <w:r>
        <w:rPr>
          <w:rFonts w:eastAsiaTheme="minorEastAsia"/>
          <w:color w:val="000000" w:themeColor="text1"/>
          <w14:textFill>
            <w14:solidFill>
              <w14:schemeClr w14:val="tx1"/>
            </w14:solidFill>
          </w14:textFill>
        </w:rPr>
        <w:t>等管理制度</w:t>
      </w:r>
      <w:r>
        <w:rPr>
          <w:rFonts w:hint="eastAsia" w:eastAsiaTheme="minorEastAsia"/>
          <w:color w:val="000000" w:themeColor="text1"/>
          <w:lang w:eastAsia="zh-CN"/>
          <w14:textFill>
            <w14:solidFill>
              <w14:schemeClr w14:val="tx1"/>
            </w14:solidFill>
          </w14:textFill>
        </w:rPr>
        <w:t>。</w:t>
      </w:r>
      <w:r>
        <w:rPr>
          <w:rFonts w:hint="default" w:ascii="Times New Roman" w:hAnsi="Times New Roman" w:eastAsia="宋体" w:cs="Times New Roman"/>
          <w:bCs/>
          <w:color w:val="000000" w:themeColor="text1"/>
          <w:lang w:eastAsia="zh-CN"/>
          <w14:textFill>
            <w14:solidFill>
              <w14:schemeClr w14:val="tx1"/>
            </w14:solidFill>
          </w14:textFill>
        </w:rPr>
        <w:t>经查看已制定的财务管理制度和业务管理制度框架和内容，</w:t>
      </w:r>
      <w:r>
        <w:rPr>
          <w:rFonts w:hint="eastAsia" w:cs="Times New Roman"/>
          <w:bCs/>
          <w:color w:val="000000" w:themeColor="text1"/>
          <w:lang w:val="en-US" w:eastAsia="zh-CN"/>
          <w14:textFill>
            <w14:solidFill>
              <w14:schemeClr w14:val="tx1"/>
            </w14:solidFill>
          </w14:textFill>
        </w:rPr>
        <w:t>主要</w:t>
      </w:r>
      <w:r>
        <w:rPr>
          <w:rFonts w:hint="default" w:ascii="Times New Roman" w:hAnsi="Times New Roman" w:eastAsia="宋体" w:cs="Times New Roman"/>
          <w:bCs/>
          <w:color w:val="000000" w:themeColor="text1"/>
          <w:lang w:eastAsia="zh-CN"/>
          <w14:textFill>
            <w14:solidFill>
              <w14:schemeClr w14:val="tx1"/>
            </w14:solidFill>
          </w14:textFill>
        </w:rPr>
        <w:t>存在以下问题</w:t>
      </w:r>
      <w:r>
        <w:rPr>
          <w:rFonts w:hint="default" w:ascii="Times New Roman" w:hAnsi="Times New Roman" w:cs="Times New Roman"/>
          <w:color w:val="000000" w:themeColor="text1"/>
          <w14:textFill>
            <w14:solidFill>
              <w14:schemeClr w14:val="tx1"/>
            </w14:solidFill>
          </w14:textFill>
        </w:rPr>
        <w:t>：</w:t>
      </w:r>
    </w:p>
    <w:p w14:paraId="5655EF59">
      <w:pPr>
        <w:ind w:firstLine="420"/>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①《</w:t>
      </w:r>
      <w:r>
        <w:rPr>
          <w:rFonts w:hint="eastAsia" w:eastAsiaTheme="minorEastAsia"/>
          <w:color w:val="000000" w:themeColor="text1"/>
          <w:lang w:eastAsia="zh-CN"/>
          <w14:textFill>
            <w14:solidFill>
              <w14:schemeClr w14:val="tx1"/>
            </w14:solidFill>
          </w14:textFill>
        </w:rPr>
        <w:t>吉木萨尔县统计局合同管理制度</w:t>
      </w:r>
      <w:r>
        <w:rPr>
          <w:rFonts w:hint="eastAsia"/>
          <w:color w:val="000000" w:themeColor="text1"/>
          <w:lang w:val="en-US" w:eastAsia="zh-CN"/>
          <w14:textFill>
            <w14:solidFill>
              <w14:schemeClr w14:val="tx1"/>
            </w14:solidFill>
          </w14:textFill>
        </w:rPr>
        <w:t>》中未建立合同签订范围和条件，以及缺少合同纠纷协调机制。根据评分标准，扣0.50分。</w:t>
      </w:r>
    </w:p>
    <w:p w14:paraId="67FA384F">
      <w:pPr>
        <w:ind w:firstLine="420"/>
        <w:rPr>
          <w:rFonts w:hint="default" w:ascii="Times New Roman" w:hAnsi="Times New Roman" w:cs="Times New Roman"/>
          <w:color w:val="000000" w:themeColor="text1"/>
          <w14:textFill>
            <w14:solidFill>
              <w14:schemeClr w14:val="tx1"/>
            </w14:solidFill>
          </w14:textFill>
        </w:rPr>
      </w:pPr>
      <w:r>
        <w:rPr>
          <w:rFonts w:hint="eastAsia"/>
          <w:color w:val="000000" w:themeColor="text1"/>
          <w:lang w:val="en-US" w:eastAsia="zh-CN"/>
          <w14:textFill>
            <w14:solidFill>
              <w14:schemeClr w14:val="tx1"/>
            </w14:solidFill>
          </w14:textFill>
        </w:rPr>
        <w:t>②</w:t>
      </w:r>
      <w:r>
        <w:rPr>
          <w:rFonts w:hint="eastAsia" w:eastAsiaTheme="minorEastAsia"/>
          <w:color w:val="000000" w:themeColor="text1"/>
          <w:lang w:eastAsia="zh-CN"/>
          <w14:textFill>
            <w14:solidFill>
              <w14:schemeClr w14:val="tx1"/>
            </w14:solidFill>
          </w14:textFill>
        </w:rPr>
        <w:t>《统计局财务管理制度》</w:t>
      </w:r>
      <w:r>
        <w:rPr>
          <w:rFonts w:hint="default" w:ascii="Times New Roman" w:hAnsi="Times New Roman" w:cs="Times New Roman"/>
          <w:color w:val="000000" w:themeColor="text1"/>
          <w:lang w:val="en-US" w:eastAsia="zh-CN"/>
          <w14:textFill>
            <w14:solidFill>
              <w14:schemeClr w14:val="tx1"/>
            </w14:solidFill>
          </w14:textFill>
        </w:rPr>
        <w:t>中缺少</w:t>
      </w:r>
      <w:r>
        <w:rPr>
          <w:rFonts w:hint="default" w:ascii="Times New Roman" w:hAnsi="Times New Roman" w:cs="Times New Roman"/>
          <w:color w:val="000000" w:themeColor="text1"/>
          <w14:textFill>
            <w14:solidFill>
              <w14:schemeClr w14:val="tx1"/>
            </w14:solidFill>
          </w14:textFill>
        </w:rPr>
        <w:t>决算管理</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票据</w:t>
      </w:r>
      <w:r>
        <w:rPr>
          <w:rFonts w:hint="default" w:ascii="Times New Roman" w:hAnsi="Times New Roman" w:cs="Times New Roman"/>
          <w:color w:val="000000" w:themeColor="text1"/>
          <w14:textFill>
            <w14:solidFill>
              <w14:schemeClr w14:val="tx1"/>
            </w14:solidFill>
          </w14:textFill>
        </w:rPr>
        <w:t>管理</w:t>
      </w:r>
      <w:r>
        <w:rPr>
          <w:rFonts w:hint="default" w:ascii="Times New Roman" w:hAnsi="Times New Roman" w:cs="Times New Roman"/>
          <w:color w:val="000000" w:themeColor="text1"/>
          <w:lang w:val="en-US" w:eastAsia="zh-CN"/>
          <w14:textFill>
            <w14:solidFill>
              <w14:schemeClr w14:val="tx1"/>
            </w14:solidFill>
          </w14:textFill>
        </w:rPr>
        <w:t>等</w:t>
      </w:r>
      <w:r>
        <w:rPr>
          <w:rFonts w:hint="default" w:ascii="Times New Roman" w:hAnsi="Times New Roman" w:cs="Times New Roman"/>
          <w:color w:val="000000" w:themeColor="text1"/>
          <w14:textFill>
            <w14:solidFill>
              <w14:schemeClr w14:val="tx1"/>
            </w14:solidFill>
          </w14:textFill>
        </w:rPr>
        <w:t>内容</w:t>
      </w:r>
      <w:r>
        <w:rPr>
          <w:rFonts w:hint="eastAsia" w:ascii="Times New Roman" w:hAnsi="Times New Roman" w:cs="Times New Roman"/>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根据评分标准，扣0.50分。</w:t>
      </w:r>
    </w:p>
    <w:p w14:paraId="3022B88A">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w:t>
      </w:r>
      <w:r>
        <w:rPr>
          <w:rFonts w:hint="eastAsia" w:eastAsiaTheme="minorEastAsia"/>
          <w:color w:val="000000" w:themeColor="text1"/>
          <w:lang w:val="en-US" w:eastAsia="zh-CN"/>
          <w14:textFill>
            <w14:solidFill>
              <w14:schemeClr w14:val="tx1"/>
            </w14:solidFill>
          </w14:textFill>
        </w:rPr>
        <w:t>4</w:t>
      </w:r>
      <w:r>
        <w:rPr>
          <w:rFonts w:eastAsiaTheme="minorEastAsia"/>
          <w:color w:val="000000" w:themeColor="text1"/>
          <w14:textFill>
            <w14:solidFill>
              <w14:schemeClr w14:val="tx1"/>
            </w14:solidFill>
          </w14:textFill>
        </w:rPr>
        <w:t>.00分，根据评分标准得</w:t>
      </w:r>
      <w:r>
        <w:rPr>
          <w:rFonts w:hint="eastAsia" w:eastAsiaTheme="minorEastAsia"/>
          <w:color w:val="000000" w:themeColor="text1"/>
          <w:lang w:val="en-US" w:eastAsia="zh-CN"/>
          <w14:textFill>
            <w14:solidFill>
              <w14:schemeClr w14:val="tx1"/>
            </w14:solidFill>
          </w14:textFill>
        </w:rPr>
        <w:t>3.00</w:t>
      </w:r>
      <w:r>
        <w:rPr>
          <w:rFonts w:eastAsiaTheme="minorEastAsia"/>
          <w:color w:val="000000" w:themeColor="text1"/>
          <w14:textFill>
            <w14:solidFill>
              <w14:schemeClr w14:val="tx1"/>
            </w14:solidFill>
          </w14:textFill>
        </w:rPr>
        <w:t>分。</w:t>
      </w:r>
    </w:p>
    <w:p w14:paraId="0A2613D3">
      <w:pPr>
        <w:ind w:firstLine="422"/>
        <w:outlineLvl w:val="2"/>
        <w:rPr>
          <w:b/>
          <w:bCs/>
          <w:color w:val="000000" w:themeColor="text1"/>
          <w14:textFill>
            <w14:solidFill>
              <w14:schemeClr w14:val="tx1"/>
            </w14:solidFill>
          </w14:textFill>
        </w:rPr>
      </w:pPr>
      <w:r>
        <w:rPr>
          <w:b/>
          <w:bCs/>
          <w:color w:val="000000" w:themeColor="text1"/>
          <w14:textFill>
            <w14:solidFill>
              <w14:schemeClr w14:val="tx1"/>
            </w14:solidFill>
          </w14:textFill>
        </w:rPr>
        <w:t>（2）B21预算执行率指标：</w:t>
      </w:r>
    </w:p>
    <w:p w14:paraId="4829992C">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根据吉木萨尔县</w:t>
      </w:r>
      <w:r>
        <w:rPr>
          <w:rFonts w:hint="eastAsia" w:eastAsiaTheme="minorEastAsia"/>
          <w:color w:val="000000" w:themeColor="text1"/>
          <w:lang w:eastAsia="zh-CN"/>
          <w14:textFill>
            <w14:solidFill>
              <w14:schemeClr w14:val="tx1"/>
            </w14:solidFill>
          </w14:textFill>
        </w:rPr>
        <w:t>统计局</w:t>
      </w:r>
      <w:r>
        <w:rPr>
          <w:rFonts w:hint="eastAsia" w:eastAsiaTheme="minorEastAsia"/>
          <w:color w:val="000000" w:themeColor="text1"/>
          <w:lang w:val="en-US" w:eastAsia="zh-CN"/>
          <w14:textFill>
            <w14:solidFill>
              <w14:schemeClr w14:val="tx1"/>
            </w14:solidFill>
          </w14:textFill>
        </w:rPr>
        <w:t>提供2024年度</w:t>
      </w:r>
      <w:r>
        <w:rPr>
          <w:rFonts w:eastAsiaTheme="minorEastAsia"/>
          <w:color w:val="000000" w:themeColor="text1"/>
          <w14:textFill>
            <w14:solidFill>
              <w14:schemeClr w14:val="tx1"/>
            </w14:solidFill>
          </w14:textFill>
        </w:rPr>
        <w:t>《收入支出决算总表》可知，</w:t>
      </w:r>
      <w:r>
        <w:rPr>
          <w:rFonts w:hint="eastAsia" w:eastAsiaTheme="minorEastAsia"/>
          <w:color w:val="000000" w:themeColor="text1"/>
          <w:lang w:eastAsia="zh-CN"/>
          <w14:textFill>
            <w14:solidFill>
              <w14:schemeClr w14:val="tx1"/>
            </w14:solidFill>
          </w14:textFill>
        </w:rPr>
        <w:t>2024</w:t>
      </w:r>
      <w:r>
        <w:rPr>
          <w:rFonts w:eastAsiaTheme="minorEastAsia"/>
          <w:color w:val="000000" w:themeColor="text1"/>
          <w14:textFill>
            <w14:solidFill>
              <w14:schemeClr w14:val="tx1"/>
            </w14:solidFill>
          </w14:textFill>
        </w:rPr>
        <w:t>年部门支出全年预算数为</w:t>
      </w:r>
      <w:r>
        <w:rPr>
          <w:rFonts w:hint="eastAsia" w:eastAsiaTheme="minorEastAsia"/>
          <w:color w:val="000000" w:themeColor="text1"/>
          <w:lang w:val="en-US" w:eastAsia="zh-CN"/>
          <w14:textFill>
            <w14:solidFill>
              <w14:schemeClr w14:val="tx1"/>
            </w14:solidFill>
          </w14:textFill>
        </w:rPr>
        <w:t>423.03</w:t>
      </w:r>
      <w:r>
        <w:rPr>
          <w:rFonts w:eastAsiaTheme="minorEastAsia"/>
          <w:color w:val="000000" w:themeColor="text1"/>
          <w14:textFill>
            <w14:solidFill>
              <w14:schemeClr w14:val="tx1"/>
            </w14:solidFill>
          </w14:textFill>
        </w:rPr>
        <w:t>万元，</w:t>
      </w:r>
      <w:r>
        <w:rPr>
          <w:rFonts w:hint="eastAsia" w:eastAsiaTheme="minorEastAsia"/>
          <w:color w:val="000000" w:themeColor="text1"/>
          <w:lang w:val="en-US" w:eastAsia="zh-CN"/>
          <w14:textFill>
            <w14:solidFill>
              <w14:schemeClr w14:val="tx1"/>
            </w14:solidFill>
          </w14:textFill>
        </w:rPr>
        <w:t>部门</w:t>
      </w:r>
      <w:r>
        <w:rPr>
          <w:rFonts w:eastAsiaTheme="minorEastAsia"/>
          <w:color w:val="000000" w:themeColor="text1"/>
          <w14:textFill>
            <w14:solidFill>
              <w14:schemeClr w14:val="tx1"/>
            </w14:solidFill>
          </w14:textFill>
        </w:rPr>
        <w:t>支出决算数为</w:t>
      </w:r>
      <w:r>
        <w:rPr>
          <w:rFonts w:hint="eastAsia" w:eastAsiaTheme="minorEastAsia"/>
          <w:color w:val="000000" w:themeColor="text1"/>
          <w:lang w:val="en-US" w:eastAsia="zh-CN"/>
          <w14:textFill>
            <w14:solidFill>
              <w14:schemeClr w14:val="tx1"/>
            </w14:solidFill>
          </w14:textFill>
        </w:rPr>
        <w:t>423.03</w:t>
      </w:r>
      <w:r>
        <w:rPr>
          <w:rFonts w:eastAsiaTheme="minorEastAsia"/>
          <w:color w:val="000000" w:themeColor="text1"/>
          <w14:textFill>
            <w14:solidFill>
              <w14:schemeClr w14:val="tx1"/>
            </w14:solidFill>
          </w14:textFill>
        </w:rPr>
        <w:t>万元。预算执行率=（支出预算完成数/支出预算下达数）×100.00%=（</w:t>
      </w:r>
      <w:r>
        <w:rPr>
          <w:rFonts w:hint="eastAsia" w:eastAsiaTheme="minorEastAsia"/>
          <w:color w:val="000000" w:themeColor="text1"/>
          <w:lang w:val="en-US" w:eastAsia="zh-CN"/>
          <w14:textFill>
            <w14:solidFill>
              <w14:schemeClr w14:val="tx1"/>
            </w14:solidFill>
          </w14:textFill>
        </w:rPr>
        <w:t>423.03/423.03</w:t>
      </w:r>
      <w:r>
        <w:rPr>
          <w:rFonts w:eastAsiaTheme="minorEastAsia"/>
          <w:color w:val="000000" w:themeColor="text1"/>
          <w14:textFill>
            <w14:solidFill>
              <w14:schemeClr w14:val="tx1"/>
            </w14:solidFill>
          </w14:textFill>
        </w:rPr>
        <w:t>）×100.00%=</w:t>
      </w:r>
      <w:r>
        <w:rPr>
          <w:rFonts w:hint="eastAsia" w:eastAsiaTheme="minorEastAsia"/>
          <w:color w:val="000000" w:themeColor="text1"/>
          <w:lang w:val="en-US" w:eastAsia="zh-CN"/>
          <w14:textFill>
            <w14:solidFill>
              <w14:schemeClr w14:val="tx1"/>
            </w14:solidFill>
          </w14:textFill>
        </w:rPr>
        <w:t>100.00</w:t>
      </w:r>
      <w:r>
        <w:rPr>
          <w:rFonts w:eastAsiaTheme="minorEastAsia"/>
          <w:color w:val="000000" w:themeColor="text1"/>
          <w14:textFill>
            <w14:solidFill>
              <w14:schemeClr w14:val="tx1"/>
            </w14:solidFill>
          </w14:textFill>
        </w:rPr>
        <w:t>%。</w:t>
      </w:r>
    </w:p>
    <w:p w14:paraId="40DF86A3">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w:t>
      </w:r>
      <w:r>
        <w:rPr>
          <w:rFonts w:hint="eastAsia" w:eastAsiaTheme="minorEastAsia"/>
          <w:color w:val="000000" w:themeColor="text1"/>
          <w:lang w:val="en-US" w:eastAsia="zh-CN"/>
          <w14:textFill>
            <w14:solidFill>
              <w14:schemeClr w14:val="tx1"/>
            </w14:solidFill>
          </w14:textFill>
        </w:rPr>
        <w:t>3</w:t>
      </w:r>
      <w:r>
        <w:rPr>
          <w:rFonts w:eastAsiaTheme="minorEastAsia"/>
          <w:color w:val="000000" w:themeColor="text1"/>
          <w14:textFill>
            <w14:solidFill>
              <w14:schemeClr w14:val="tx1"/>
            </w14:solidFill>
          </w14:textFill>
        </w:rPr>
        <w:t>.00分，根据评分标准得</w:t>
      </w:r>
      <w:r>
        <w:rPr>
          <w:rFonts w:hint="eastAsia" w:eastAsiaTheme="minorEastAsia"/>
          <w:color w:val="000000" w:themeColor="text1"/>
          <w:lang w:val="en-US" w:eastAsia="zh-CN"/>
          <w14:textFill>
            <w14:solidFill>
              <w14:schemeClr w14:val="tx1"/>
            </w14:solidFill>
          </w14:textFill>
        </w:rPr>
        <w:t>3</w:t>
      </w:r>
      <w:r>
        <w:rPr>
          <w:rFonts w:eastAsiaTheme="minorEastAsia"/>
          <w:color w:val="000000" w:themeColor="text1"/>
          <w14:textFill>
            <w14:solidFill>
              <w14:schemeClr w14:val="tx1"/>
            </w14:solidFill>
          </w14:textFill>
        </w:rPr>
        <w:t>.00分。</w:t>
      </w:r>
    </w:p>
    <w:p w14:paraId="2A27F0B3">
      <w:pPr>
        <w:ind w:firstLine="422"/>
        <w:outlineLvl w:val="2"/>
        <w:rPr>
          <w:b/>
          <w:bCs/>
          <w:color w:val="000000" w:themeColor="text1"/>
          <w14:textFill>
            <w14:solidFill>
              <w14:schemeClr w14:val="tx1"/>
            </w14:solidFill>
          </w14:textFill>
        </w:rPr>
      </w:pPr>
      <w:r>
        <w:rPr>
          <w:b/>
          <w:bCs/>
          <w:color w:val="000000" w:themeColor="text1"/>
          <w14:textFill>
            <w14:solidFill>
              <w14:schemeClr w14:val="tx1"/>
            </w14:solidFill>
          </w14:textFill>
        </w:rPr>
        <w:t>（3）B22预算、决算信息公开指标：</w:t>
      </w:r>
    </w:p>
    <w:p w14:paraId="05E2D643">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吉木萨尔县财政局于</w:t>
      </w:r>
      <w:r>
        <w:rPr>
          <w:rFonts w:hint="eastAsia" w:eastAsiaTheme="minorEastAsia"/>
          <w:color w:val="000000" w:themeColor="text1"/>
          <w:lang w:eastAsia="zh-CN"/>
          <w14:textFill>
            <w14:solidFill>
              <w14:schemeClr w14:val="tx1"/>
            </w14:solidFill>
          </w14:textFill>
        </w:rPr>
        <w:t>2024</w:t>
      </w:r>
      <w:r>
        <w:rPr>
          <w:rFonts w:eastAsiaTheme="minorEastAsia"/>
          <w:color w:val="000000" w:themeColor="text1"/>
          <w14:textFill>
            <w14:solidFill>
              <w14:schemeClr w14:val="tx1"/>
            </w14:solidFill>
          </w14:textFill>
        </w:rPr>
        <w:t>年2月</w:t>
      </w:r>
      <w:r>
        <w:rPr>
          <w:rFonts w:hint="eastAsia" w:eastAsiaTheme="minorEastAsia"/>
          <w:color w:val="000000" w:themeColor="text1"/>
          <w:lang w:val="en-US" w:eastAsia="zh-CN"/>
          <w14:textFill>
            <w14:solidFill>
              <w14:schemeClr w14:val="tx1"/>
            </w14:solidFill>
          </w14:textFill>
        </w:rPr>
        <w:t>4</w:t>
      </w:r>
      <w:r>
        <w:rPr>
          <w:rFonts w:eastAsiaTheme="minorEastAsia"/>
          <w:color w:val="000000" w:themeColor="text1"/>
          <w14:textFill>
            <w14:solidFill>
              <w14:schemeClr w14:val="tx1"/>
            </w14:solidFill>
          </w14:textFill>
        </w:rPr>
        <w:t>日下达《关于批复吉木萨尔县</w:t>
      </w:r>
      <w:r>
        <w:rPr>
          <w:rFonts w:hint="eastAsia" w:eastAsiaTheme="minorEastAsia"/>
          <w:color w:val="000000" w:themeColor="text1"/>
          <w:lang w:eastAsia="zh-CN"/>
          <w14:textFill>
            <w14:solidFill>
              <w14:schemeClr w14:val="tx1"/>
            </w14:solidFill>
          </w14:textFill>
        </w:rPr>
        <w:t>统计局2024</w:t>
      </w:r>
      <w:r>
        <w:rPr>
          <w:rFonts w:eastAsiaTheme="minorEastAsia"/>
          <w:color w:val="000000" w:themeColor="text1"/>
          <w14:textFill>
            <w14:solidFill>
              <w14:schemeClr w14:val="tx1"/>
            </w14:solidFill>
          </w14:textFill>
        </w:rPr>
        <w:t>年部门预算批复的函》文件，经查询吉木萨尔县人民政府网站-政务信息公开-预决算板块数据显示，吉木萨尔县</w:t>
      </w:r>
      <w:r>
        <w:rPr>
          <w:rFonts w:hint="eastAsia" w:eastAsiaTheme="minorEastAsia"/>
          <w:color w:val="000000" w:themeColor="text1"/>
          <w:lang w:eastAsia="zh-CN"/>
          <w14:textFill>
            <w14:solidFill>
              <w14:schemeClr w14:val="tx1"/>
            </w14:solidFill>
          </w14:textFill>
        </w:rPr>
        <w:t>统计局</w:t>
      </w:r>
      <w:r>
        <w:rPr>
          <w:rFonts w:eastAsiaTheme="minorEastAsia"/>
          <w:color w:val="000000" w:themeColor="text1"/>
          <w14:textFill>
            <w14:solidFill>
              <w14:schemeClr w14:val="tx1"/>
            </w14:solidFill>
          </w14:textFill>
        </w:rPr>
        <w:t>已于</w:t>
      </w:r>
      <w:r>
        <w:rPr>
          <w:rFonts w:hint="eastAsia" w:eastAsiaTheme="minorEastAsia"/>
          <w:color w:val="000000" w:themeColor="text1"/>
          <w:lang w:eastAsia="zh-CN"/>
          <w14:textFill>
            <w14:solidFill>
              <w14:schemeClr w14:val="tx1"/>
            </w14:solidFill>
          </w14:textFill>
        </w:rPr>
        <w:t>2024</w:t>
      </w:r>
      <w:r>
        <w:rPr>
          <w:rFonts w:eastAsiaTheme="minorEastAsia"/>
          <w:color w:val="000000" w:themeColor="text1"/>
          <w14:textFill>
            <w14:solidFill>
              <w14:schemeClr w14:val="tx1"/>
            </w14:solidFill>
          </w14:textFill>
        </w:rPr>
        <w:t>年2月19日公开</w:t>
      </w:r>
      <w:r>
        <w:rPr>
          <w:rFonts w:hint="eastAsia" w:eastAsiaTheme="minorEastAsia"/>
          <w:color w:val="000000" w:themeColor="text1"/>
          <w:lang w:eastAsia="zh-CN"/>
          <w14:textFill>
            <w14:solidFill>
              <w14:schemeClr w14:val="tx1"/>
            </w14:solidFill>
          </w14:textFill>
        </w:rPr>
        <w:t>2024</w:t>
      </w:r>
      <w:r>
        <w:rPr>
          <w:rFonts w:eastAsiaTheme="minorEastAsia"/>
          <w:color w:val="000000" w:themeColor="text1"/>
          <w14:textFill>
            <w14:solidFill>
              <w14:schemeClr w14:val="tx1"/>
            </w14:solidFill>
          </w14:textFill>
        </w:rPr>
        <w:t>年部门预算，公开时间在预算批复下达的20日内，公开内容符合《地方预决算公开操作规程》相关规定。</w:t>
      </w:r>
    </w:p>
    <w:p w14:paraId="4BB87542">
      <w:pPr>
        <w:ind w:firstLine="420"/>
        <w:rPr>
          <w:rFonts w:eastAsiaTheme="minorEastAsia"/>
          <w:color w:val="000000" w:themeColor="text1"/>
          <w14:textFill>
            <w14:solidFill>
              <w14:schemeClr w14:val="tx1"/>
            </w14:solidFill>
          </w14:textFill>
        </w:rPr>
      </w:pPr>
      <w:r>
        <w:rPr>
          <w:rFonts w:hint="eastAsia" w:eastAsiaTheme="minorEastAsia"/>
          <w:color w:val="000000" w:themeColor="text1"/>
          <w:lang w:eastAsia="zh-CN"/>
          <w14:textFill>
            <w14:solidFill>
              <w14:schemeClr w14:val="tx1"/>
            </w14:solidFill>
          </w14:textFill>
        </w:rPr>
        <w:t>2024</w:t>
      </w:r>
      <w:r>
        <w:rPr>
          <w:rFonts w:eastAsiaTheme="minorEastAsia"/>
          <w:color w:val="000000" w:themeColor="text1"/>
          <w14:textFill>
            <w14:solidFill>
              <w14:schemeClr w14:val="tx1"/>
            </w14:solidFill>
          </w14:textFill>
        </w:rPr>
        <w:t>年部门决算尚未到公开时间，不在本次评价范围之内。</w:t>
      </w:r>
    </w:p>
    <w:p w14:paraId="6CDE613D">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w:t>
      </w:r>
      <w:r>
        <w:rPr>
          <w:rFonts w:hint="eastAsia" w:eastAsiaTheme="minorEastAsia"/>
          <w:color w:val="000000" w:themeColor="text1"/>
          <w:lang w:val="en-US" w:eastAsia="zh-CN"/>
          <w14:textFill>
            <w14:solidFill>
              <w14:schemeClr w14:val="tx1"/>
            </w14:solidFill>
          </w14:textFill>
        </w:rPr>
        <w:t>1</w:t>
      </w:r>
      <w:r>
        <w:rPr>
          <w:rFonts w:eastAsiaTheme="minorEastAsia"/>
          <w:color w:val="000000" w:themeColor="text1"/>
          <w14:textFill>
            <w14:solidFill>
              <w14:schemeClr w14:val="tx1"/>
            </w14:solidFill>
          </w14:textFill>
        </w:rPr>
        <w:t>.00分，根据评分标准得</w:t>
      </w:r>
      <w:r>
        <w:rPr>
          <w:rFonts w:hint="eastAsia" w:eastAsiaTheme="minorEastAsia"/>
          <w:color w:val="000000" w:themeColor="text1"/>
          <w:lang w:val="en-US" w:eastAsia="zh-CN"/>
          <w14:textFill>
            <w14:solidFill>
              <w14:schemeClr w14:val="tx1"/>
            </w14:solidFill>
          </w14:textFill>
        </w:rPr>
        <w:t>1</w:t>
      </w:r>
      <w:r>
        <w:rPr>
          <w:rFonts w:eastAsiaTheme="minorEastAsia"/>
          <w:color w:val="000000" w:themeColor="text1"/>
          <w14:textFill>
            <w14:solidFill>
              <w14:schemeClr w14:val="tx1"/>
            </w14:solidFill>
          </w14:textFill>
        </w:rPr>
        <w:t>.00分。</w:t>
      </w:r>
    </w:p>
    <w:p w14:paraId="110558F9">
      <w:pPr>
        <w:ind w:firstLine="422"/>
        <w:outlineLvl w:val="2"/>
        <w:rPr>
          <w:b/>
          <w:bCs/>
          <w:color w:val="000000" w:themeColor="text1"/>
          <w14:textFill>
            <w14:solidFill>
              <w14:schemeClr w14:val="tx1"/>
            </w14:solidFill>
          </w14:textFill>
        </w:rPr>
      </w:pPr>
      <w:r>
        <w:rPr>
          <w:b/>
          <w:bCs/>
          <w:color w:val="000000" w:themeColor="text1"/>
          <w14:textFill>
            <w14:solidFill>
              <w14:schemeClr w14:val="tx1"/>
            </w14:solidFill>
          </w14:textFill>
        </w:rPr>
        <w:t>（4）B31资金使用合规性指标：</w:t>
      </w:r>
    </w:p>
    <w:p w14:paraId="028AB9A2">
      <w:pPr>
        <w:ind w:firstLine="420"/>
        <w:rPr>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t>经查看部门单位资金支付资料并抽取了会计凭证</w:t>
      </w:r>
      <w:r>
        <w:rPr>
          <w:rFonts w:hint="eastAsia" w:ascii="Times New Roman" w:hAnsi="Times New Roman" w:cs="Times New Roman"/>
          <w:color w:val="000000" w:themeColor="text1"/>
          <w:lang w:val="en-US" w:eastAsia="zh-CN"/>
          <w14:textFill>
            <w14:solidFill>
              <w14:schemeClr w14:val="tx1"/>
            </w14:solidFill>
          </w14:textFill>
        </w:rPr>
        <w:t>6</w:t>
      </w:r>
      <w:r>
        <w:rPr>
          <w:rFonts w:hint="default" w:ascii="Times New Roman" w:hAnsi="Times New Roman" w:cs="Times New Roman"/>
          <w:color w:val="000000" w:themeColor="text1"/>
          <w:lang w:val="en-US" w:eastAsia="zh-CN"/>
          <w14:textFill>
            <w14:solidFill>
              <w14:schemeClr w14:val="tx1"/>
            </w14:solidFill>
          </w14:textFill>
        </w:rPr>
        <w:t>笔，涉及统计局二季度住户调查补贴</w:t>
      </w:r>
      <w:r>
        <w:rPr>
          <w:rFonts w:hint="eastAsia"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统计局劳动力调查半年调查品</w:t>
      </w:r>
      <w:r>
        <w:rPr>
          <w:rFonts w:hint="eastAsia"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统计局首批两员补贴发放</w:t>
      </w:r>
      <w:r>
        <w:rPr>
          <w:rFonts w:hint="eastAsia"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统计局1-6月视频系统电路费</w:t>
      </w:r>
      <w:r>
        <w:rPr>
          <w:rFonts w:hint="eastAsia"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2024年4月份工资</w:t>
      </w:r>
      <w:r>
        <w:rPr>
          <w:rFonts w:hint="eastAsia"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2024年11月份工资等</w:t>
      </w:r>
      <w:r>
        <w:rPr>
          <w:rFonts w:hint="eastAsia" w:cs="Times New Roman"/>
          <w:color w:val="000000" w:themeColor="text1"/>
          <w:lang w:val="en-US" w:eastAsia="zh-CN"/>
          <w14:textFill>
            <w14:solidFill>
              <w14:schemeClr w14:val="tx1"/>
            </w14:solidFill>
          </w14:textFill>
        </w:rPr>
        <w:t>支出共计</w:t>
      </w:r>
      <w:r>
        <w:rPr>
          <w:rFonts w:hint="eastAsia" w:ascii="Times New Roman" w:hAnsi="Times New Roman" w:cs="Times New Roman"/>
          <w:color w:val="000000" w:themeColor="text1"/>
          <w:lang w:val="en-US" w:eastAsia="zh-CN"/>
          <w14:textFill>
            <w14:solidFill>
              <w14:schemeClr w14:val="tx1"/>
            </w14:solidFill>
          </w14:textFill>
        </w:rPr>
        <w:t>47.22</w:t>
      </w:r>
      <w:r>
        <w:rPr>
          <w:rFonts w:hint="default" w:ascii="Times New Roman" w:hAnsi="Times New Roman" w:cs="Times New Roman"/>
          <w:color w:val="000000" w:themeColor="text1"/>
          <w:lang w:val="en-US" w:eastAsia="zh-CN"/>
          <w14:textFill>
            <w14:solidFill>
              <w14:schemeClr w14:val="tx1"/>
            </w14:solidFill>
          </w14:textFill>
        </w:rPr>
        <w:t>万元，占全年支出资金比例为</w:t>
      </w:r>
      <w:r>
        <w:rPr>
          <w:rFonts w:hint="eastAsia" w:ascii="Times New Roman" w:hAnsi="Times New Roman" w:cs="Times New Roman"/>
          <w:color w:val="000000" w:themeColor="text1"/>
          <w:lang w:val="en-US" w:eastAsia="zh-CN"/>
          <w14:textFill>
            <w14:solidFill>
              <w14:schemeClr w14:val="tx1"/>
            </w14:solidFill>
          </w14:textFill>
        </w:rPr>
        <w:t>11.16</w:t>
      </w:r>
      <w:r>
        <w:rPr>
          <w:rFonts w:hint="default"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bCs/>
          <w:color w:val="000000" w:themeColor="text1"/>
          <w:lang w:eastAsia="zh-CN"/>
          <w14:textFill>
            <w14:solidFill>
              <w14:schemeClr w14:val="tx1"/>
            </w14:solidFill>
          </w14:textFill>
        </w:rPr>
        <w:t>。</w:t>
      </w:r>
      <w:r>
        <w:rPr>
          <w:color w:val="000000" w:themeColor="text1"/>
          <w14:textFill>
            <w14:solidFill>
              <w14:schemeClr w14:val="tx1"/>
            </w14:solidFill>
          </w14:textFill>
        </w:rPr>
        <w:t>吉木萨尔县</w:t>
      </w:r>
      <w:r>
        <w:rPr>
          <w:rFonts w:hint="eastAsia"/>
          <w:color w:val="000000" w:themeColor="text1"/>
          <w:lang w:eastAsia="zh-CN"/>
          <w14:textFill>
            <w14:solidFill>
              <w14:schemeClr w14:val="tx1"/>
            </w14:solidFill>
          </w14:textFill>
        </w:rPr>
        <w:t>统计局</w:t>
      </w:r>
      <w:r>
        <w:rPr>
          <w:rFonts w:hint="default" w:ascii="Times New Roman" w:hAnsi="Times New Roman" w:cs="Times New Roman"/>
          <w:bCs/>
          <w:color w:val="000000" w:themeColor="text1"/>
          <w14:textFill>
            <w14:solidFill>
              <w14:schemeClr w14:val="tx1"/>
            </w14:solidFill>
          </w14:textFill>
        </w:rPr>
        <w:t>按照《中华人民共和国预算法》</w:t>
      </w:r>
      <w:r>
        <w:rPr>
          <w:rFonts w:hint="eastAsia" w:eastAsiaTheme="minorEastAsia"/>
          <w:color w:val="000000" w:themeColor="text1"/>
          <w:lang w:eastAsia="zh-CN"/>
          <w14:textFill>
            <w14:solidFill>
              <w14:schemeClr w14:val="tx1"/>
            </w14:solidFill>
          </w14:textFill>
        </w:rPr>
        <w:t>《统计局财务管理制度》</w:t>
      </w:r>
      <w:r>
        <w:rPr>
          <w:rFonts w:hint="default" w:ascii="Times New Roman" w:hAnsi="Times New Roman" w:cs="Times New Roman"/>
          <w:bCs/>
          <w:color w:val="000000" w:themeColor="text1"/>
          <w14:textFill>
            <w14:solidFill>
              <w14:schemeClr w14:val="tx1"/>
            </w14:solidFill>
          </w14:textFill>
        </w:rPr>
        <w:t>等管理制度，</w:t>
      </w:r>
      <w:r>
        <w:rPr>
          <w:rFonts w:hint="eastAsia" w:cs="Times New Roman"/>
          <w:bCs/>
          <w:color w:val="000000" w:themeColor="text1"/>
          <w:lang w:val="en-US" w:eastAsia="zh-CN"/>
          <w14:textFill>
            <w14:solidFill>
              <w14:schemeClr w14:val="tx1"/>
            </w14:solidFill>
          </w14:textFill>
        </w:rPr>
        <w:t>各项支出均</w:t>
      </w:r>
      <w:r>
        <w:rPr>
          <w:rFonts w:hint="default" w:ascii="Times New Roman" w:hAnsi="Times New Roman" w:cs="Times New Roman"/>
          <w:bCs/>
          <w:color w:val="000000" w:themeColor="text1"/>
          <w14:textFill>
            <w14:solidFill>
              <w14:schemeClr w14:val="tx1"/>
            </w14:solidFill>
          </w14:textFill>
        </w:rPr>
        <w:t>经单位内部审核后由</w:t>
      </w:r>
      <w:r>
        <w:rPr>
          <w:rFonts w:hint="eastAsia" w:ascii="Times New Roman" w:hAnsi="Times New Roman" w:cs="Times New Roman"/>
          <w:bCs/>
          <w:color w:val="000000" w:themeColor="text1"/>
          <w:lang w:val="en-US" w:eastAsia="zh-CN"/>
          <w14:textFill>
            <w14:solidFill>
              <w14:schemeClr w14:val="tx1"/>
            </w14:solidFill>
          </w14:textFill>
        </w:rPr>
        <w:t>吉木萨尔县</w:t>
      </w:r>
      <w:r>
        <w:rPr>
          <w:rFonts w:hint="default" w:ascii="Times New Roman" w:hAnsi="Times New Roman" w:cs="Times New Roman"/>
          <w:bCs/>
          <w:color w:val="000000" w:themeColor="text1"/>
          <w14:textFill>
            <w14:solidFill>
              <w14:schemeClr w14:val="tx1"/>
            </w14:solidFill>
          </w14:textFill>
        </w:rPr>
        <w:t>财政局国库支付中心拨付，资金使用预算批复的内容实施，未</w:t>
      </w:r>
      <w:r>
        <w:rPr>
          <w:rFonts w:hint="eastAsia" w:cs="Times New Roman"/>
          <w:bCs/>
          <w:color w:val="000000" w:themeColor="text1"/>
          <w:lang w:val="en-US" w:eastAsia="zh-CN"/>
          <w14:textFill>
            <w14:solidFill>
              <w14:schemeClr w14:val="tx1"/>
            </w14:solidFill>
          </w14:textFill>
        </w:rPr>
        <w:t>发现存在</w:t>
      </w:r>
      <w:r>
        <w:rPr>
          <w:rFonts w:hint="default" w:ascii="Times New Roman" w:hAnsi="Times New Roman" w:cs="Times New Roman"/>
          <w:bCs/>
          <w:color w:val="000000" w:themeColor="text1"/>
          <w14:textFill>
            <w14:solidFill>
              <w14:schemeClr w14:val="tx1"/>
            </w14:solidFill>
          </w14:textFill>
        </w:rPr>
        <w:t>截留、挤占、挪用、虚列开支等</w:t>
      </w:r>
      <w:r>
        <w:rPr>
          <w:rFonts w:hint="eastAsia" w:cs="Times New Roman"/>
          <w:bCs/>
          <w:color w:val="000000" w:themeColor="text1"/>
          <w:lang w:val="en-US" w:eastAsia="zh-CN"/>
          <w14:textFill>
            <w14:solidFill>
              <w14:schemeClr w14:val="tx1"/>
            </w14:solidFill>
          </w14:textFill>
        </w:rPr>
        <w:t>情况</w:t>
      </w:r>
      <w:r>
        <w:rPr>
          <w:color w:val="000000" w:themeColor="text1"/>
          <w14:textFill>
            <w14:solidFill>
              <w14:schemeClr w14:val="tx1"/>
            </w14:solidFill>
          </w14:textFill>
        </w:rPr>
        <w:t>。</w:t>
      </w:r>
    </w:p>
    <w:p w14:paraId="1B53F2BD">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w:t>
      </w:r>
      <w:r>
        <w:rPr>
          <w:rFonts w:hint="eastAsia" w:eastAsiaTheme="minorEastAsia"/>
          <w:color w:val="000000" w:themeColor="text1"/>
          <w:lang w:val="en-US" w:eastAsia="zh-CN"/>
          <w14:textFill>
            <w14:solidFill>
              <w14:schemeClr w14:val="tx1"/>
            </w14:solidFill>
          </w14:textFill>
        </w:rPr>
        <w:t>4</w:t>
      </w:r>
      <w:r>
        <w:rPr>
          <w:rFonts w:eastAsiaTheme="minorEastAsia"/>
          <w:color w:val="000000" w:themeColor="text1"/>
          <w14:textFill>
            <w14:solidFill>
              <w14:schemeClr w14:val="tx1"/>
            </w14:solidFill>
          </w14:textFill>
        </w:rPr>
        <w:t>.00分，根据评分标准得</w:t>
      </w:r>
      <w:r>
        <w:rPr>
          <w:rFonts w:hint="eastAsia" w:eastAsiaTheme="minorEastAsia"/>
          <w:color w:val="000000" w:themeColor="text1"/>
          <w:lang w:val="en-US" w:eastAsia="zh-CN"/>
          <w14:textFill>
            <w14:solidFill>
              <w14:schemeClr w14:val="tx1"/>
            </w14:solidFill>
          </w14:textFill>
        </w:rPr>
        <w:t>4</w:t>
      </w:r>
      <w:r>
        <w:rPr>
          <w:rFonts w:eastAsiaTheme="minorEastAsia"/>
          <w:color w:val="000000" w:themeColor="text1"/>
          <w14:textFill>
            <w14:solidFill>
              <w14:schemeClr w14:val="tx1"/>
            </w14:solidFill>
          </w14:textFill>
        </w:rPr>
        <w:t>.00分。</w:t>
      </w:r>
    </w:p>
    <w:p w14:paraId="0FC1DE51">
      <w:pPr>
        <w:ind w:firstLine="422"/>
        <w:outlineLvl w:val="2"/>
        <w:rPr>
          <w:b/>
          <w:bCs/>
          <w:color w:val="000000" w:themeColor="text1"/>
          <w14:textFill>
            <w14:solidFill>
              <w14:schemeClr w14:val="tx1"/>
            </w14:solidFill>
          </w14:textFill>
        </w:rPr>
      </w:pPr>
      <w:r>
        <w:rPr>
          <w:b/>
          <w:bCs/>
          <w:color w:val="000000" w:themeColor="text1"/>
          <w14:textFill>
            <w14:solidFill>
              <w14:schemeClr w14:val="tx1"/>
            </w14:solidFill>
          </w14:textFill>
        </w:rPr>
        <w:t>（5）B32政府采购招投标信息公开及时性指标：</w:t>
      </w:r>
    </w:p>
    <w:p w14:paraId="01B0646F">
      <w:pPr>
        <w:ind w:firstLine="420"/>
        <w:rPr>
          <w:color w:val="000000" w:themeColor="text1"/>
          <w14:textFill>
            <w14:solidFill>
              <w14:schemeClr w14:val="tx1"/>
            </w14:solidFill>
          </w14:textFill>
        </w:rPr>
      </w:pPr>
      <w:r>
        <w:rPr>
          <w:color w:val="000000" w:themeColor="text1"/>
          <w14:textFill>
            <w14:solidFill>
              <w14:schemeClr w14:val="tx1"/>
            </w14:solidFill>
          </w14:textFill>
        </w:rPr>
        <w:t>根据</w:t>
      </w:r>
      <w:r>
        <w:rPr>
          <w:rFonts w:eastAsiaTheme="minorEastAsia"/>
          <w:color w:val="000000" w:themeColor="text1"/>
          <w14:textFill>
            <w14:solidFill>
              <w14:schemeClr w14:val="tx1"/>
            </w14:solidFill>
          </w14:textFill>
        </w:rPr>
        <w:t>吉木萨尔县</w:t>
      </w:r>
      <w:r>
        <w:rPr>
          <w:rFonts w:hint="eastAsia" w:eastAsiaTheme="minorEastAsia"/>
          <w:color w:val="000000" w:themeColor="text1"/>
          <w:lang w:eastAsia="zh-CN"/>
          <w14:textFill>
            <w14:solidFill>
              <w14:schemeClr w14:val="tx1"/>
            </w14:solidFill>
          </w14:textFill>
        </w:rPr>
        <w:t>统计局</w:t>
      </w:r>
      <w:r>
        <w:rPr>
          <w:color w:val="000000" w:themeColor="text1"/>
          <w14:textFill>
            <w14:solidFill>
              <w14:schemeClr w14:val="tx1"/>
            </w14:solidFill>
          </w14:textFill>
        </w:rPr>
        <w:t>提供的</w:t>
      </w:r>
      <w:r>
        <w:rPr>
          <w:rFonts w:hint="eastAsia"/>
          <w:color w:val="000000" w:themeColor="text1"/>
          <w:lang w:eastAsia="zh-CN"/>
          <w14:textFill>
            <w14:solidFill>
              <w14:schemeClr w14:val="tx1"/>
            </w14:solidFill>
          </w14:textFill>
        </w:rPr>
        <w:t>《2024</w:t>
      </w:r>
      <w:r>
        <w:rPr>
          <w:color w:val="000000" w:themeColor="text1"/>
          <w14:textFill>
            <w14:solidFill>
              <w14:schemeClr w14:val="tx1"/>
            </w14:solidFill>
          </w14:textFill>
        </w:rPr>
        <w:t>年决算表</w:t>
      </w:r>
      <w:r>
        <w:rPr>
          <w:rFonts w:hint="eastAsia"/>
          <w:color w:val="000000" w:themeColor="text1"/>
          <w:lang w:eastAsia="zh-CN"/>
          <w14:textFill>
            <w14:solidFill>
              <w14:schemeClr w14:val="tx1"/>
            </w14:solidFill>
          </w14:textFill>
        </w:rPr>
        <w:t>》</w:t>
      </w:r>
      <w:r>
        <w:rPr>
          <w:color w:val="000000" w:themeColor="text1"/>
          <w14:textFill>
            <w14:solidFill>
              <w14:schemeClr w14:val="tx1"/>
            </w14:solidFill>
          </w14:textFill>
        </w:rPr>
        <w:t>（财决附03表-F03机构运行信息表）和《政府采购信息统计报表》内容显示，</w:t>
      </w:r>
      <w:r>
        <w:rPr>
          <w:rFonts w:hint="eastAsia"/>
          <w:color w:val="000000" w:themeColor="text1"/>
          <w:lang w:eastAsia="zh-CN"/>
          <w14:textFill>
            <w14:solidFill>
              <w14:schemeClr w14:val="tx1"/>
            </w14:solidFill>
          </w14:textFill>
        </w:rPr>
        <w:t>2024</w:t>
      </w:r>
      <w:r>
        <w:rPr>
          <w:color w:val="000000" w:themeColor="text1"/>
          <w14:textFill>
            <w14:solidFill>
              <w14:schemeClr w14:val="tx1"/>
            </w14:solidFill>
          </w14:textFill>
        </w:rPr>
        <w:t>年采购计划金额</w:t>
      </w:r>
      <w:r>
        <w:rPr>
          <w:rFonts w:hint="eastAsia"/>
          <w:color w:val="000000" w:themeColor="text1"/>
          <w:lang w:val="en-US" w:eastAsia="zh-CN"/>
          <w14:textFill>
            <w14:solidFill>
              <w14:schemeClr w14:val="tx1"/>
            </w14:solidFill>
          </w14:textFill>
        </w:rPr>
        <w:t>6.12</w:t>
      </w:r>
      <w:r>
        <w:rPr>
          <w:color w:val="000000" w:themeColor="text1"/>
          <w14:textFill>
            <w14:solidFill>
              <w14:schemeClr w14:val="tx1"/>
            </w14:solidFill>
          </w14:textFill>
        </w:rPr>
        <w:t>万元，实际采购金额</w:t>
      </w:r>
      <w:r>
        <w:rPr>
          <w:rFonts w:hint="eastAsia"/>
          <w:color w:val="000000" w:themeColor="text1"/>
          <w:lang w:val="en-US" w:eastAsia="zh-CN"/>
          <w14:textFill>
            <w14:solidFill>
              <w14:schemeClr w14:val="tx1"/>
            </w14:solidFill>
          </w14:textFill>
        </w:rPr>
        <w:t>6.12</w:t>
      </w:r>
      <w:r>
        <w:rPr>
          <w:color w:val="000000" w:themeColor="text1"/>
          <w14:textFill>
            <w14:solidFill>
              <w14:schemeClr w14:val="tx1"/>
            </w14:solidFill>
          </w14:textFill>
        </w:rPr>
        <w:t>万元，其中：政府采购货物支出</w:t>
      </w:r>
      <w:r>
        <w:rPr>
          <w:rFonts w:hint="eastAsia"/>
          <w:color w:val="000000" w:themeColor="text1"/>
          <w:lang w:val="en-US" w:eastAsia="zh-CN"/>
          <w14:textFill>
            <w14:solidFill>
              <w14:schemeClr w14:val="tx1"/>
            </w14:solidFill>
          </w14:textFill>
        </w:rPr>
        <w:t>4.14</w:t>
      </w:r>
      <w:r>
        <w:rPr>
          <w:color w:val="000000" w:themeColor="text1"/>
          <w14:textFill>
            <w14:solidFill>
              <w14:schemeClr w14:val="tx1"/>
            </w14:solidFill>
          </w14:textFill>
        </w:rPr>
        <w:t>万元，政府采购工程支出</w:t>
      </w:r>
      <w:r>
        <w:rPr>
          <w:rFonts w:hint="eastAsia"/>
          <w:color w:val="000000" w:themeColor="text1"/>
          <w:lang w:val="en-US" w:eastAsia="zh-CN"/>
          <w14:textFill>
            <w14:solidFill>
              <w14:schemeClr w14:val="tx1"/>
            </w14:solidFill>
          </w14:textFill>
        </w:rPr>
        <w:t>0.00</w:t>
      </w:r>
      <w:r>
        <w:rPr>
          <w:color w:val="000000" w:themeColor="text1"/>
          <w14:textFill>
            <w14:solidFill>
              <w14:schemeClr w14:val="tx1"/>
            </w14:solidFill>
          </w14:textFill>
        </w:rPr>
        <w:t>万元，政府采购服务支出</w:t>
      </w:r>
      <w:r>
        <w:rPr>
          <w:rFonts w:hint="eastAsia"/>
          <w:color w:val="000000" w:themeColor="text1"/>
          <w:lang w:val="en-US" w:eastAsia="zh-CN"/>
          <w14:textFill>
            <w14:solidFill>
              <w14:schemeClr w14:val="tx1"/>
            </w14:solidFill>
          </w14:textFill>
        </w:rPr>
        <w:t>1.98</w:t>
      </w:r>
      <w:r>
        <w:rPr>
          <w:color w:val="000000" w:themeColor="text1"/>
          <w14:textFill>
            <w14:solidFill>
              <w14:schemeClr w14:val="tx1"/>
            </w14:solidFill>
          </w14:textFill>
        </w:rPr>
        <w:t>万元。经</w:t>
      </w:r>
      <w:r>
        <w:rPr>
          <w:rFonts w:hint="eastAsia"/>
          <w:color w:val="000000" w:themeColor="text1"/>
          <w:lang w:val="en-US" w:eastAsia="zh-CN"/>
          <w14:textFill>
            <w14:solidFill>
              <w14:schemeClr w14:val="tx1"/>
            </w14:solidFill>
          </w14:textFill>
        </w:rPr>
        <w:t>抽查2024年3月凭证号13#，单位在</w:t>
      </w:r>
      <w:r>
        <w:rPr>
          <w:color w:val="000000" w:themeColor="text1"/>
          <w14:textFill>
            <w14:solidFill>
              <w14:schemeClr w14:val="tx1"/>
            </w14:solidFill>
          </w14:textFill>
        </w:rPr>
        <w:t>政府采购平台采购金额</w:t>
      </w:r>
      <w:r>
        <w:rPr>
          <w:rFonts w:hint="eastAsia"/>
          <w:color w:val="000000" w:themeColor="text1"/>
          <w:lang w:val="en-US" w:eastAsia="zh-CN"/>
          <w14:textFill>
            <w14:solidFill>
              <w14:schemeClr w14:val="tx1"/>
            </w14:solidFill>
          </w14:textFill>
        </w:rPr>
        <w:t>为1.92万元，通过政采云平台集中采购方式确定供货单位，供货金额为1.92万元</w:t>
      </w:r>
      <w:r>
        <w:rPr>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并对货物进行验收后，</w:t>
      </w:r>
      <w:r>
        <w:rPr>
          <w:color w:val="000000" w:themeColor="text1"/>
          <w14:textFill>
            <w14:solidFill>
              <w14:schemeClr w14:val="tx1"/>
            </w14:solidFill>
          </w14:textFill>
        </w:rPr>
        <w:t>已按政府采购程序执行并公开采购信息。</w:t>
      </w:r>
    </w:p>
    <w:p w14:paraId="51D2DBC6">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该指标满分为2.00分，根据评分标准得2.00分。</w:t>
      </w:r>
    </w:p>
    <w:p w14:paraId="56358997">
      <w:pPr>
        <w:ind w:firstLine="422"/>
        <w:outlineLvl w:val="2"/>
        <w:rPr>
          <w:b/>
          <w:bCs/>
          <w:color w:val="000000" w:themeColor="text1"/>
          <w14:textFill>
            <w14:solidFill>
              <w14:schemeClr w14:val="tx1"/>
            </w14:solidFill>
          </w14:textFill>
        </w:rPr>
      </w:pPr>
      <w:r>
        <w:rPr>
          <w:b/>
          <w:bCs/>
          <w:color w:val="000000" w:themeColor="text1"/>
          <w14:textFill>
            <w14:solidFill>
              <w14:schemeClr w14:val="tx1"/>
            </w14:solidFill>
          </w14:textFill>
        </w:rPr>
        <w:t>（6）B41固定资产管理规范性指标：</w:t>
      </w:r>
    </w:p>
    <w:p w14:paraId="62DC6283">
      <w:pPr>
        <w:ind w:firstLine="640"/>
        <w:rPr>
          <w:color w:val="000000" w:themeColor="text1"/>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根据</w:t>
      </w:r>
      <w:r>
        <w:rPr>
          <w:rFonts w:eastAsiaTheme="minorEastAsia"/>
          <w:color w:val="000000" w:themeColor="text1"/>
          <w14:textFill>
            <w14:solidFill>
              <w14:schemeClr w14:val="tx1"/>
            </w14:solidFill>
          </w14:textFill>
        </w:rPr>
        <w:t>吉木萨尔县</w:t>
      </w:r>
      <w:r>
        <w:rPr>
          <w:rFonts w:hint="eastAsia" w:eastAsiaTheme="minorEastAsia"/>
          <w:color w:val="000000" w:themeColor="text1"/>
          <w:lang w:eastAsia="zh-CN"/>
          <w14:textFill>
            <w14:solidFill>
              <w14:schemeClr w14:val="tx1"/>
            </w14:solidFill>
          </w14:textFill>
        </w:rPr>
        <w:t>统计局</w:t>
      </w:r>
      <w:r>
        <w:rPr>
          <w:rFonts w:hint="eastAsia" w:eastAsiaTheme="minorEastAsia"/>
          <w:color w:val="000000" w:themeColor="text1"/>
          <w:lang w:val="en-US" w:eastAsia="zh-CN"/>
          <w14:textFill>
            <w14:solidFill>
              <w14:schemeClr w14:val="tx1"/>
            </w14:solidFill>
          </w14:textFill>
        </w:rPr>
        <w:t>提供的</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吉木萨尔县统计局资产管理制度</w:t>
      </w:r>
      <w:r>
        <w:rPr>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并结合实际调研可知</w:t>
      </w:r>
      <w:r>
        <w:rPr>
          <w:color w:val="000000" w:themeColor="text1"/>
          <w14:textFill>
            <w14:solidFill>
              <w14:schemeClr w14:val="tx1"/>
            </w14:solidFill>
          </w14:textFill>
        </w:rPr>
        <w:t>，</w:t>
      </w:r>
      <w:r>
        <w:rPr>
          <w:rFonts w:hint="eastAsia"/>
          <w:color w:val="000000" w:themeColor="text1"/>
          <w14:textFill>
            <w14:solidFill>
              <w14:schemeClr w14:val="tx1"/>
            </w14:solidFill>
          </w14:textFill>
        </w:rPr>
        <w:t>单位资产的保管由总务室</w:t>
      </w:r>
      <w:r>
        <w:rPr>
          <w:rFonts w:hint="default" w:ascii="Times New Roman" w:hAnsi="Times New Roman" w:cs="Times New Roman"/>
          <w:bCs/>
          <w:color w:val="000000" w:themeColor="text1"/>
          <w14:textFill>
            <w14:solidFill>
              <w14:schemeClr w14:val="tx1"/>
            </w14:solidFill>
          </w14:textFill>
        </w:rPr>
        <w:t>负责资产管理，并已按规定完成资产的入库、领用等工作</w:t>
      </w:r>
      <w:r>
        <w:rPr>
          <w:rFonts w:hint="eastAsia"/>
          <w:color w:val="000000" w:themeColor="text1"/>
          <w:lang w:eastAsia="zh-CN"/>
          <w14:textFill>
            <w14:solidFill>
              <w14:schemeClr w14:val="tx1"/>
            </w14:solidFill>
          </w14:textFill>
        </w:rPr>
        <w:t>。2024</w:t>
      </w:r>
      <w:r>
        <w:rPr>
          <w:color w:val="000000" w:themeColor="text1"/>
          <w14:textFill>
            <w14:solidFill>
              <w14:schemeClr w14:val="tx1"/>
            </w14:solidFill>
          </w14:textFill>
        </w:rPr>
        <w:t>年</w:t>
      </w:r>
      <w:r>
        <w:rPr>
          <w:rFonts w:hint="eastAsia"/>
          <w:color w:val="000000" w:themeColor="text1"/>
          <w:lang w:val="en-US" w:eastAsia="zh-CN"/>
          <w14:textFill>
            <w14:solidFill>
              <w14:schemeClr w14:val="tx1"/>
            </w14:solidFill>
          </w14:textFill>
        </w:rPr>
        <w:t>由吉木萨尔县机关事务管理局</w:t>
      </w:r>
      <w:r>
        <w:rPr>
          <w:color w:val="000000" w:themeColor="text1"/>
          <w14:textFill>
            <w14:solidFill>
              <w14:schemeClr w14:val="tx1"/>
            </w14:solidFill>
          </w14:textFill>
        </w:rPr>
        <w:t>对</w:t>
      </w:r>
      <w:r>
        <w:rPr>
          <w:rFonts w:hint="eastAsia"/>
          <w:color w:val="000000" w:themeColor="text1"/>
          <w:lang w:val="en-US" w:eastAsia="zh-CN"/>
          <w14:textFill>
            <w14:solidFill>
              <w14:schemeClr w14:val="tx1"/>
            </w14:solidFill>
          </w14:textFill>
        </w:rPr>
        <w:t>单位</w:t>
      </w:r>
      <w:r>
        <w:rPr>
          <w:color w:val="000000" w:themeColor="text1"/>
          <w14:textFill>
            <w14:solidFill>
              <w14:schemeClr w14:val="tx1"/>
            </w14:solidFill>
          </w14:textFill>
        </w:rPr>
        <w:t>全部资产进行资产盘点并</w:t>
      </w:r>
      <w:r>
        <w:rPr>
          <w:rFonts w:hint="eastAsia"/>
          <w:color w:val="000000" w:themeColor="text1"/>
          <w:lang w:val="en-US" w:eastAsia="zh-CN"/>
          <w14:textFill>
            <w14:solidFill>
              <w14:schemeClr w14:val="tx1"/>
            </w14:solidFill>
          </w14:textFill>
        </w:rPr>
        <w:t>出具</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吉木萨尔县统计局固定资产盘点表</w:t>
      </w:r>
      <w:r>
        <w:rPr>
          <w:rFonts w:hint="eastAsia"/>
          <w:color w:val="000000" w:themeColor="text1"/>
          <w:lang w:eastAsia="zh-CN"/>
          <w14:textFill>
            <w14:solidFill>
              <w14:schemeClr w14:val="tx1"/>
            </w14:solidFill>
          </w14:textFill>
        </w:rPr>
        <w:t>》</w:t>
      </w:r>
      <w:r>
        <w:rPr>
          <w:color w:val="000000" w:themeColor="text1"/>
          <w14:textFill>
            <w14:solidFill>
              <w14:schemeClr w14:val="tx1"/>
            </w14:solidFill>
          </w14:textFill>
        </w:rPr>
        <w:t>，固定资产账</w:t>
      </w:r>
      <w:r>
        <w:rPr>
          <w:rFonts w:hint="eastAsia"/>
          <w:color w:val="000000" w:themeColor="text1"/>
          <w:lang w:val="en-US" w:eastAsia="zh-CN"/>
          <w14:textFill>
            <w14:solidFill>
              <w14:schemeClr w14:val="tx1"/>
            </w14:solidFill>
          </w14:textFill>
        </w:rPr>
        <w:t>账</w:t>
      </w:r>
      <w:r>
        <w:rPr>
          <w:color w:val="000000" w:themeColor="text1"/>
          <w14:textFill>
            <w14:solidFill>
              <w14:schemeClr w14:val="tx1"/>
            </w14:solidFill>
          </w14:textFill>
        </w:rPr>
        <w:t>相符，增减清晰。</w:t>
      </w:r>
      <w:r>
        <w:rPr>
          <w:rFonts w:hint="default" w:ascii="Times New Roman" w:hAnsi="Times New Roman" w:cs="Times New Roman"/>
          <w:bCs/>
          <w:color w:val="000000" w:themeColor="text1"/>
          <w14:textFill>
            <w14:solidFill>
              <w14:schemeClr w14:val="tx1"/>
            </w14:solidFill>
          </w14:textFill>
        </w:rPr>
        <w:t>于2025年2月按照县财政局的要求编制</w:t>
      </w:r>
      <w:r>
        <w:rPr>
          <w:rFonts w:hint="default" w:ascii="Times New Roman" w:hAnsi="Times New Roman" w:cs="Times New Roman"/>
          <w:bCs/>
          <w:color w:val="000000" w:themeColor="text1"/>
          <w:lang w:val="en-US" w:eastAsia="zh-CN"/>
          <w14:textFill>
            <w14:solidFill>
              <w14:schemeClr w14:val="tx1"/>
            </w14:solidFill>
          </w14:textFill>
        </w:rPr>
        <w:t>完成并上报</w:t>
      </w:r>
      <w:r>
        <w:rPr>
          <w:rFonts w:hint="default" w:ascii="Times New Roman" w:hAnsi="Times New Roman" w:cs="Times New Roman"/>
          <w:bCs/>
          <w:color w:val="000000" w:themeColor="text1"/>
          <w14:textFill>
            <w14:solidFill>
              <w14:schemeClr w14:val="tx1"/>
            </w14:solidFill>
          </w14:textFill>
        </w:rPr>
        <w:t>资产年报。</w:t>
      </w:r>
      <w:r>
        <w:rPr>
          <w:rFonts w:hint="default" w:ascii="Times New Roman" w:hAnsi="Times New Roman" w:cs="Times New Roman"/>
          <w:bCs/>
          <w:color w:val="000000" w:themeColor="text1"/>
          <w:lang w:val="en-US" w:eastAsia="zh-CN"/>
          <w14:textFill>
            <w14:solidFill>
              <w14:schemeClr w14:val="tx1"/>
            </w14:solidFill>
          </w14:textFill>
        </w:rPr>
        <w:t>部门单位的资产验收入库、领用登记、资产盘点、清理报废等程序规范</w:t>
      </w:r>
      <w:r>
        <w:rPr>
          <w:color w:val="000000" w:themeColor="text1"/>
          <w14:textFill>
            <w14:solidFill>
              <w14:schemeClr w14:val="tx1"/>
            </w14:solidFill>
          </w14:textFill>
        </w:rPr>
        <w:t>。</w:t>
      </w:r>
    </w:p>
    <w:p w14:paraId="4B58183A">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w:t>
      </w:r>
      <w:r>
        <w:rPr>
          <w:rFonts w:hint="eastAsia" w:eastAsiaTheme="minorEastAsia"/>
          <w:color w:val="000000" w:themeColor="text1"/>
          <w:lang w:val="en-US" w:eastAsia="zh-CN"/>
          <w14:textFill>
            <w14:solidFill>
              <w14:schemeClr w14:val="tx1"/>
            </w14:solidFill>
          </w14:textFill>
        </w:rPr>
        <w:t>4</w:t>
      </w:r>
      <w:r>
        <w:rPr>
          <w:rFonts w:eastAsiaTheme="minorEastAsia"/>
          <w:color w:val="000000" w:themeColor="text1"/>
          <w14:textFill>
            <w14:solidFill>
              <w14:schemeClr w14:val="tx1"/>
            </w14:solidFill>
          </w14:textFill>
        </w:rPr>
        <w:t>.00分，根据评分标准得</w:t>
      </w:r>
      <w:r>
        <w:rPr>
          <w:rFonts w:hint="eastAsia" w:eastAsiaTheme="minorEastAsia"/>
          <w:color w:val="000000" w:themeColor="text1"/>
          <w:lang w:val="en-US" w:eastAsia="zh-CN"/>
          <w14:textFill>
            <w14:solidFill>
              <w14:schemeClr w14:val="tx1"/>
            </w14:solidFill>
          </w14:textFill>
        </w:rPr>
        <w:t>4</w:t>
      </w:r>
      <w:r>
        <w:rPr>
          <w:rFonts w:eastAsiaTheme="minorEastAsia"/>
          <w:color w:val="000000" w:themeColor="text1"/>
          <w14:textFill>
            <w14:solidFill>
              <w14:schemeClr w14:val="tx1"/>
            </w14:solidFill>
          </w14:textFill>
        </w:rPr>
        <w:t>.00分。</w:t>
      </w:r>
    </w:p>
    <w:p w14:paraId="1A44078E">
      <w:pPr>
        <w:ind w:firstLine="422"/>
        <w:outlineLvl w:val="2"/>
        <w:rPr>
          <w:b/>
          <w:bCs/>
          <w:color w:val="000000" w:themeColor="text1"/>
          <w14:textFill>
            <w14:solidFill>
              <w14:schemeClr w14:val="tx1"/>
            </w14:solidFill>
          </w14:textFill>
        </w:rPr>
      </w:pPr>
      <w:r>
        <w:rPr>
          <w:b/>
          <w:bCs/>
          <w:color w:val="000000" w:themeColor="text1"/>
          <w14:textFill>
            <w14:solidFill>
              <w14:schemeClr w14:val="tx1"/>
            </w14:solidFill>
          </w14:textFill>
        </w:rPr>
        <w:t>（7）B42固定资产利用率指标：</w:t>
      </w:r>
    </w:p>
    <w:p w14:paraId="3AE943C9">
      <w:pPr>
        <w:ind w:firstLine="420"/>
        <w:rPr>
          <w:rFonts w:eastAsiaTheme="minorEastAsia"/>
          <w:color w:val="000000" w:themeColor="text1"/>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根据</w:t>
      </w:r>
      <w:r>
        <w:rPr>
          <w:rFonts w:eastAsiaTheme="minorEastAsia"/>
          <w:color w:val="000000" w:themeColor="text1"/>
          <w14:textFill>
            <w14:solidFill>
              <w14:schemeClr w14:val="tx1"/>
            </w14:solidFill>
          </w14:textFill>
        </w:rPr>
        <w:t>吉木萨尔县</w:t>
      </w:r>
      <w:r>
        <w:rPr>
          <w:rFonts w:hint="eastAsia" w:eastAsiaTheme="minorEastAsia"/>
          <w:color w:val="000000" w:themeColor="text1"/>
          <w:lang w:eastAsia="zh-CN"/>
          <w14:textFill>
            <w14:solidFill>
              <w14:schemeClr w14:val="tx1"/>
            </w14:solidFill>
          </w14:textFill>
        </w:rPr>
        <w:t>统计局</w:t>
      </w:r>
      <w:r>
        <w:rPr>
          <w:rFonts w:hint="eastAsia" w:eastAsiaTheme="minorEastAsia"/>
          <w:color w:val="000000" w:themeColor="text1"/>
          <w:lang w:val="en-US" w:eastAsia="zh-CN"/>
          <w14:textFill>
            <w14:solidFill>
              <w14:schemeClr w14:val="tx1"/>
            </w14:solidFill>
          </w14:textFill>
        </w:rPr>
        <w:t>提供的</w:t>
      </w:r>
      <w:r>
        <w:rPr>
          <w:rFonts w:eastAsiaTheme="minorEastAsia"/>
          <w:color w:val="000000" w:themeColor="text1"/>
          <w14:textFill>
            <w14:solidFill>
              <w14:schemeClr w14:val="tx1"/>
            </w14:solidFill>
          </w14:textFill>
        </w:rPr>
        <w:t>《</w:t>
      </w:r>
      <w:r>
        <w:rPr>
          <w:rFonts w:hint="eastAsia" w:eastAsiaTheme="minorEastAsia"/>
          <w:color w:val="000000" w:themeColor="text1"/>
          <w:lang w:eastAsia="zh-CN"/>
          <w14:textFill>
            <w14:solidFill>
              <w14:schemeClr w14:val="tx1"/>
            </w14:solidFill>
          </w14:textFill>
        </w:rPr>
        <w:t>2024</w:t>
      </w:r>
      <w:r>
        <w:rPr>
          <w:rFonts w:eastAsiaTheme="minorEastAsia"/>
          <w:color w:val="000000" w:themeColor="text1"/>
          <w14:textFill>
            <w14:solidFill>
              <w14:schemeClr w14:val="tx1"/>
            </w14:solidFill>
          </w14:textFill>
        </w:rPr>
        <w:t>年度行政事业性国有资产报表》显示，202</w:t>
      </w:r>
      <w:r>
        <w:rPr>
          <w:rFonts w:hint="eastAsia" w:eastAsiaTheme="minorEastAsia"/>
          <w:color w:val="000000" w:themeColor="text1"/>
          <w:lang w:val="en-US" w:eastAsia="zh-CN"/>
          <w14:textFill>
            <w14:solidFill>
              <w14:schemeClr w14:val="tx1"/>
            </w14:solidFill>
          </w14:textFill>
        </w:rPr>
        <w:t>4</w:t>
      </w:r>
      <w:r>
        <w:rPr>
          <w:rFonts w:eastAsiaTheme="minorEastAsia"/>
          <w:color w:val="000000" w:themeColor="text1"/>
          <w14:textFill>
            <w14:solidFill>
              <w14:schemeClr w14:val="tx1"/>
            </w14:solidFill>
          </w14:textFill>
        </w:rPr>
        <w:t>年固定资产期末原值为</w:t>
      </w:r>
      <w:r>
        <w:rPr>
          <w:rFonts w:hint="eastAsia" w:eastAsiaTheme="minorEastAsia"/>
          <w:color w:val="000000" w:themeColor="text1"/>
          <w:lang w:val="en-US" w:eastAsia="zh-CN"/>
          <w14:textFill>
            <w14:solidFill>
              <w14:schemeClr w14:val="tx1"/>
            </w14:solidFill>
          </w14:textFill>
        </w:rPr>
        <w:t>84.14</w:t>
      </w:r>
      <w:r>
        <w:rPr>
          <w:rFonts w:eastAsiaTheme="minorEastAsia"/>
          <w:color w:val="000000" w:themeColor="text1"/>
          <w14:textFill>
            <w14:solidFill>
              <w14:schemeClr w14:val="tx1"/>
            </w14:solidFill>
          </w14:textFill>
        </w:rPr>
        <w:t>万元，在用资产期末原值为</w:t>
      </w:r>
      <w:r>
        <w:rPr>
          <w:rFonts w:hint="eastAsia" w:eastAsiaTheme="minorEastAsia"/>
          <w:color w:val="000000" w:themeColor="text1"/>
          <w:lang w:val="en-US" w:eastAsia="zh-CN"/>
          <w14:textFill>
            <w14:solidFill>
              <w14:schemeClr w14:val="tx1"/>
            </w14:solidFill>
          </w14:textFill>
        </w:rPr>
        <w:t>84.14</w:t>
      </w:r>
      <w:r>
        <w:rPr>
          <w:rFonts w:eastAsiaTheme="minorEastAsia"/>
          <w:color w:val="000000" w:themeColor="text1"/>
          <w14:textFill>
            <w14:solidFill>
              <w14:schemeClr w14:val="tx1"/>
            </w14:solidFill>
          </w14:textFill>
        </w:rPr>
        <w:t>万元。固定资产利用率为</w:t>
      </w:r>
      <w:r>
        <w:rPr>
          <w:rFonts w:hint="eastAsia" w:eastAsiaTheme="minorEastAsia"/>
          <w:color w:val="000000" w:themeColor="text1"/>
          <w:lang w:val="en-US" w:eastAsia="zh-CN"/>
          <w14:textFill>
            <w14:solidFill>
              <w14:schemeClr w14:val="tx1"/>
            </w14:solidFill>
          </w14:textFill>
        </w:rPr>
        <w:t>100</w:t>
      </w:r>
      <w:r>
        <w:rPr>
          <w:rFonts w:eastAsiaTheme="minorEastAsia"/>
          <w:color w:val="000000" w:themeColor="text1"/>
          <w14:textFill>
            <w14:solidFill>
              <w14:schemeClr w14:val="tx1"/>
            </w14:solidFill>
          </w14:textFill>
        </w:rPr>
        <w:t>%。</w:t>
      </w:r>
    </w:p>
    <w:p w14:paraId="7C1EF936">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w:t>
      </w:r>
      <w:r>
        <w:rPr>
          <w:rFonts w:hint="eastAsia" w:eastAsiaTheme="minorEastAsia"/>
          <w:color w:val="000000" w:themeColor="text1"/>
          <w:lang w:val="en-US" w:eastAsia="zh-CN"/>
          <w14:textFill>
            <w14:solidFill>
              <w14:schemeClr w14:val="tx1"/>
            </w14:solidFill>
          </w14:textFill>
        </w:rPr>
        <w:t>2</w:t>
      </w:r>
      <w:r>
        <w:rPr>
          <w:rFonts w:eastAsiaTheme="minorEastAsia"/>
          <w:color w:val="000000" w:themeColor="text1"/>
          <w14:textFill>
            <w14:solidFill>
              <w14:schemeClr w14:val="tx1"/>
            </w14:solidFill>
          </w14:textFill>
        </w:rPr>
        <w:t>.00分，根据评分标准得</w:t>
      </w:r>
      <w:r>
        <w:rPr>
          <w:rFonts w:hint="eastAsia" w:eastAsiaTheme="minorEastAsia"/>
          <w:color w:val="000000" w:themeColor="text1"/>
          <w:lang w:val="en-US" w:eastAsia="zh-CN"/>
          <w14:textFill>
            <w14:solidFill>
              <w14:schemeClr w14:val="tx1"/>
            </w14:solidFill>
          </w14:textFill>
        </w:rPr>
        <w:t>2</w:t>
      </w:r>
      <w:r>
        <w:rPr>
          <w:rFonts w:eastAsiaTheme="minorEastAsia"/>
          <w:color w:val="000000" w:themeColor="text1"/>
          <w14:textFill>
            <w14:solidFill>
              <w14:schemeClr w14:val="tx1"/>
            </w14:solidFill>
          </w14:textFill>
        </w:rPr>
        <w:t>.00分。</w:t>
      </w:r>
    </w:p>
    <w:p w14:paraId="333789DE">
      <w:pPr>
        <w:ind w:firstLine="422"/>
        <w:outlineLvl w:val="2"/>
        <w:rPr>
          <w:b/>
          <w:bCs/>
          <w:color w:val="000000" w:themeColor="text1"/>
          <w14:textFill>
            <w14:solidFill>
              <w14:schemeClr w14:val="tx1"/>
            </w14:solidFill>
          </w14:textFill>
        </w:rPr>
      </w:pPr>
      <w:r>
        <w:rPr>
          <w:b/>
          <w:bCs/>
          <w:color w:val="000000" w:themeColor="text1"/>
          <w14:textFill>
            <w14:solidFill>
              <w14:schemeClr w14:val="tx1"/>
            </w14:solidFill>
          </w14:textFill>
        </w:rPr>
        <w:t>（8）B51</w:t>
      </w:r>
      <w:r>
        <w:rPr>
          <w:rFonts w:ascii="Times New Roman" w:hAnsi="Times New Roman" w:cs="Times New Roman"/>
          <w:b/>
          <w:bCs/>
          <w:color w:val="000000" w:themeColor="text1"/>
          <w14:textFill>
            <w14:solidFill>
              <w14:schemeClr w14:val="tx1"/>
            </w14:solidFill>
          </w14:textFill>
        </w:rPr>
        <w:t>项目</w:t>
      </w:r>
      <w:r>
        <w:rPr>
          <w:b/>
          <w:bCs/>
          <w:color w:val="000000" w:themeColor="text1"/>
          <w14:textFill>
            <w14:solidFill>
              <w14:schemeClr w14:val="tx1"/>
            </w14:solidFill>
          </w14:textFill>
        </w:rPr>
        <w:t>绩效达标率指标：</w:t>
      </w:r>
    </w:p>
    <w:p w14:paraId="5801E8BA">
      <w:pPr>
        <w:ind w:firstLine="420"/>
        <w:rPr>
          <w:color w:val="000000" w:themeColor="text1"/>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吉木萨尔县</w:t>
      </w:r>
      <w:r>
        <w:rPr>
          <w:rFonts w:hint="eastAsia" w:eastAsiaTheme="minorEastAsia"/>
          <w:color w:val="000000" w:themeColor="text1"/>
          <w:lang w:eastAsia="zh-CN"/>
          <w14:textFill>
            <w14:solidFill>
              <w14:schemeClr w14:val="tx1"/>
            </w14:solidFill>
          </w14:textFill>
        </w:rPr>
        <w:t>统计局2024</w:t>
      </w:r>
      <w:r>
        <w:rPr>
          <w:rFonts w:hint="eastAsia" w:eastAsiaTheme="minorEastAsia"/>
          <w:color w:val="000000" w:themeColor="text1"/>
          <w14:textFill>
            <w14:solidFill>
              <w14:schemeClr w14:val="tx1"/>
            </w14:solidFill>
          </w14:textFill>
        </w:rPr>
        <w:t>年</w:t>
      </w:r>
      <w:r>
        <w:rPr>
          <w:rFonts w:hint="eastAsia" w:eastAsiaTheme="minorEastAsia"/>
          <w:color w:val="000000" w:themeColor="text1"/>
          <w:lang w:val="en-US" w:eastAsia="zh-CN"/>
          <w14:textFill>
            <w14:solidFill>
              <w14:schemeClr w14:val="tx1"/>
            </w14:solidFill>
          </w14:textFill>
        </w:rPr>
        <w:t>年初预算未安排项目支出预算，但是在年中追加预算指标时，安排两个项目，并在绩效系统中填写绩效目标表</w:t>
      </w:r>
      <w:r>
        <w:rPr>
          <w:rFonts w:hint="eastAsia" w:eastAsiaTheme="minorEastAsia"/>
          <w:color w:val="000000" w:themeColor="text1"/>
          <w:lang w:eastAsia="zh-CN"/>
          <w14:textFill>
            <w14:solidFill>
              <w14:schemeClr w14:val="tx1"/>
            </w14:solidFill>
          </w14:textFill>
        </w:rPr>
        <w:t>，</w:t>
      </w:r>
      <w:r>
        <w:rPr>
          <w:rFonts w:hint="default" w:ascii="Times New Roman" w:hAnsi="Times New Roman" w:cs="Times New Roman"/>
          <w:bCs/>
          <w:color w:val="000000" w:themeColor="text1"/>
          <w:highlight w:val="none"/>
          <w14:textFill>
            <w14:solidFill>
              <w14:schemeClr w14:val="tx1"/>
            </w14:solidFill>
          </w14:textFill>
        </w:rPr>
        <w:t>涉及预算金额</w:t>
      </w:r>
      <w:r>
        <w:rPr>
          <w:rFonts w:hint="eastAsia" w:ascii="Times New Roman" w:hAnsi="Times New Roman" w:cs="Times New Roman"/>
          <w:bCs/>
          <w:color w:val="000000" w:themeColor="text1"/>
          <w:highlight w:val="none"/>
          <w:lang w:val="en-US" w:eastAsia="zh-CN"/>
          <w14:textFill>
            <w14:solidFill>
              <w14:schemeClr w14:val="tx1"/>
            </w14:solidFill>
          </w14:textFill>
        </w:rPr>
        <w:t>90.92</w:t>
      </w:r>
      <w:r>
        <w:rPr>
          <w:rFonts w:hint="default" w:ascii="Times New Roman" w:hAnsi="Times New Roman" w:cs="Times New Roman"/>
          <w:bCs/>
          <w:color w:val="000000" w:themeColor="text1"/>
          <w:highlight w:val="none"/>
          <w14:textFill>
            <w14:solidFill>
              <w14:schemeClr w14:val="tx1"/>
            </w14:solidFill>
          </w14:textFill>
        </w:rPr>
        <w:t>万元，</w:t>
      </w:r>
      <w:r>
        <w:rPr>
          <w:rFonts w:hint="eastAsia" w:ascii="Times New Roman" w:hAnsi="Times New Roman" w:cs="Times New Roman"/>
          <w:bCs/>
          <w:color w:val="000000" w:themeColor="text1"/>
          <w:highlight w:val="none"/>
          <w:lang w:val="en-US" w:eastAsia="zh-CN"/>
          <w14:textFill>
            <w14:solidFill>
              <w14:schemeClr w14:val="tx1"/>
            </w14:solidFill>
          </w14:textFill>
        </w:rPr>
        <w:t>在2024年年底决算时，</w:t>
      </w:r>
      <w:r>
        <w:rPr>
          <w:rFonts w:hint="eastAsia" w:cs="Times New Roman"/>
          <w:bCs/>
          <w:color w:val="000000" w:themeColor="text1"/>
          <w:highlight w:val="none"/>
          <w:lang w:val="en-US" w:eastAsia="zh-CN"/>
          <w14:textFill>
            <w14:solidFill>
              <w14:schemeClr w14:val="tx1"/>
            </w14:solidFill>
          </w14:textFill>
        </w:rPr>
        <w:t>部门单位</w:t>
      </w:r>
      <w:r>
        <w:rPr>
          <w:rFonts w:hint="eastAsia" w:ascii="Times New Roman" w:hAnsi="Times New Roman" w:eastAsia="宋体" w:cs="Times New Roman"/>
          <w:bCs w:val="0"/>
          <w:color w:val="000000" w:themeColor="text1"/>
          <w:u w:val="none"/>
          <w:lang w:val="zh-TW" w:eastAsia="zh-TW"/>
          <w14:textFill>
            <w14:solidFill>
              <w14:schemeClr w14:val="tx1"/>
            </w14:solidFill>
          </w14:textFill>
        </w:rPr>
        <w:t>按照决算编制的口径</w:t>
      </w:r>
      <w:r>
        <w:rPr>
          <w:rFonts w:hint="eastAsia" w:cs="Times New Roman"/>
          <w:bCs/>
          <w:color w:val="000000" w:themeColor="text1"/>
          <w:highlight w:val="none"/>
          <w:lang w:val="en-US" w:eastAsia="zh-CN"/>
          <w14:textFill>
            <w14:solidFill>
              <w14:schemeClr w14:val="tx1"/>
            </w14:solidFill>
          </w14:textFill>
        </w:rPr>
        <w:t>将</w:t>
      </w:r>
      <w:r>
        <w:rPr>
          <w:rFonts w:hint="eastAsia" w:ascii="Times New Roman" w:hAnsi="Times New Roman" w:cs="Times New Roman"/>
          <w:bCs/>
          <w:color w:val="000000" w:themeColor="text1"/>
          <w:highlight w:val="none"/>
          <w:lang w:val="en-US" w:eastAsia="zh-CN"/>
          <w14:textFill>
            <w14:solidFill>
              <w14:schemeClr w14:val="tx1"/>
            </w14:solidFill>
          </w14:textFill>
        </w:rPr>
        <w:t>2个</w:t>
      </w:r>
      <w:r>
        <w:rPr>
          <w:rFonts w:hint="eastAsia" w:cs="Times New Roman"/>
          <w:bCs/>
          <w:color w:val="000000" w:themeColor="text1"/>
          <w:highlight w:val="none"/>
          <w:lang w:val="en-US" w:eastAsia="zh-CN"/>
          <w14:textFill>
            <w14:solidFill>
              <w14:schemeClr w14:val="tx1"/>
            </w14:solidFill>
          </w14:textFill>
        </w:rPr>
        <w:t>年中追加的</w:t>
      </w:r>
      <w:r>
        <w:rPr>
          <w:rFonts w:hint="eastAsia" w:ascii="Times New Roman" w:hAnsi="Times New Roman" w:cs="Times New Roman"/>
          <w:bCs/>
          <w:color w:val="000000" w:themeColor="text1"/>
          <w:highlight w:val="none"/>
          <w:lang w:val="en-US" w:eastAsia="zh-CN"/>
          <w14:textFill>
            <w14:solidFill>
              <w14:schemeClr w14:val="tx1"/>
            </w14:solidFill>
          </w14:textFill>
        </w:rPr>
        <w:t>预算指标调整到基本支出，</w:t>
      </w:r>
      <w:r>
        <w:rPr>
          <w:rFonts w:hint="default" w:ascii="Times New Roman" w:hAnsi="Times New Roman" w:cs="Times New Roman"/>
          <w:bCs/>
          <w:color w:val="000000" w:themeColor="text1"/>
          <w:lang w:val="en-US" w:eastAsia="zh-CN"/>
          <w14:textFill>
            <w14:solidFill>
              <w14:schemeClr w14:val="tx1"/>
            </w14:solidFill>
          </w14:textFill>
        </w:rPr>
        <w:t>经查询</w:t>
      </w:r>
      <w:r>
        <w:rPr>
          <w:rFonts w:hint="default" w:ascii="Times New Roman" w:hAnsi="Times New Roman" w:cs="Times New Roman"/>
          <w:bCs/>
          <w:color w:val="000000" w:themeColor="text1"/>
          <w14:textFill>
            <w14:solidFill>
              <w14:schemeClr w14:val="tx1"/>
            </w14:solidFill>
          </w14:textFill>
        </w:rPr>
        <w:t>新疆维吾尔自治区财政预算绩效系统数据，</w:t>
      </w:r>
      <w:r>
        <w:rPr>
          <w:rFonts w:eastAsiaTheme="minorEastAsia"/>
          <w:color w:val="000000" w:themeColor="text1"/>
          <w14:textFill>
            <w14:solidFill>
              <w14:schemeClr w14:val="tx1"/>
            </w14:solidFill>
          </w14:textFill>
        </w:rPr>
        <w:t>吉木萨尔县</w:t>
      </w:r>
      <w:r>
        <w:rPr>
          <w:rFonts w:hint="eastAsia" w:eastAsiaTheme="minorEastAsia"/>
          <w:color w:val="000000" w:themeColor="text1"/>
          <w:lang w:eastAsia="zh-CN"/>
          <w14:textFill>
            <w14:solidFill>
              <w14:schemeClr w14:val="tx1"/>
            </w14:solidFill>
          </w14:textFill>
        </w:rPr>
        <w:t>统计局2024</w:t>
      </w:r>
      <w:r>
        <w:rPr>
          <w:color w:val="000000" w:themeColor="text1"/>
          <w14:textFill>
            <w14:solidFill>
              <w14:schemeClr w14:val="tx1"/>
            </w14:solidFill>
          </w14:textFill>
        </w:rPr>
        <w:t>年共计完成项目自评</w:t>
      </w:r>
      <w:r>
        <w:rPr>
          <w:rFonts w:hint="eastAsia"/>
          <w:color w:val="000000" w:themeColor="text1"/>
          <w:lang w:val="en-US" w:eastAsia="zh-CN"/>
          <w14:textFill>
            <w14:solidFill>
              <w14:schemeClr w14:val="tx1"/>
            </w14:solidFill>
          </w14:textFill>
        </w:rPr>
        <w:t>2</w:t>
      </w:r>
      <w:r>
        <w:rPr>
          <w:color w:val="000000" w:themeColor="text1"/>
          <w14:textFill>
            <w14:solidFill>
              <w14:schemeClr w14:val="tx1"/>
            </w14:solidFill>
          </w14:textFill>
        </w:rPr>
        <w:t>个，自评平均得分为</w:t>
      </w:r>
      <w:r>
        <w:rPr>
          <w:rFonts w:hint="eastAsia"/>
          <w:color w:val="000000" w:themeColor="text1"/>
          <w:lang w:val="en-US" w:eastAsia="zh-CN"/>
          <w14:textFill>
            <w14:solidFill>
              <w14:schemeClr w14:val="tx1"/>
            </w14:solidFill>
          </w14:textFill>
        </w:rPr>
        <w:t>95.50</w:t>
      </w:r>
      <w:r>
        <w:rPr>
          <w:color w:val="000000" w:themeColor="text1"/>
          <w14:textFill>
            <w14:solidFill>
              <w14:schemeClr w14:val="tx1"/>
            </w14:solidFill>
          </w14:textFill>
        </w:rPr>
        <w:t>分，项目绩效达标率=项目绩效自评平均分×100.00%=</w:t>
      </w:r>
      <w:r>
        <w:rPr>
          <w:rFonts w:hint="eastAsia"/>
          <w:color w:val="000000" w:themeColor="text1"/>
          <w:lang w:val="en-US" w:eastAsia="zh-CN"/>
          <w14:textFill>
            <w14:solidFill>
              <w14:schemeClr w14:val="tx1"/>
            </w14:solidFill>
          </w14:textFill>
        </w:rPr>
        <w:t>95.5</w:t>
      </w:r>
      <w:r>
        <w:rPr>
          <w:color w:val="000000" w:themeColor="text1"/>
          <w14:textFill>
            <w14:solidFill>
              <w14:schemeClr w14:val="tx1"/>
            </w14:solidFill>
          </w14:textFill>
        </w:rPr>
        <w:t>%。经进一步核查，</w:t>
      </w:r>
      <w:r>
        <w:rPr>
          <w:rFonts w:hint="eastAsia"/>
          <w:color w:val="000000" w:themeColor="text1"/>
          <w:lang w:val="en-US" w:eastAsia="zh-CN"/>
          <w14:textFill>
            <w14:solidFill>
              <w14:schemeClr w14:val="tx1"/>
            </w14:solidFill>
          </w14:textFill>
        </w:rPr>
        <w:t>2</w:t>
      </w:r>
      <w:r>
        <w:rPr>
          <w:color w:val="000000" w:themeColor="text1"/>
          <w14:textFill>
            <w14:solidFill>
              <w14:schemeClr w14:val="tx1"/>
            </w14:solidFill>
          </w14:textFill>
        </w:rPr>
        <w:t>个项目所提供的印证材料及支出凭证，未发现存在印证资料与实际完成值不符的情况。</w:t>
      </w:r>
    </w:p>
    <w:p w14:paraId="1780683F">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w:t>
      </w:r>
      <w:r>
        <w:rPr>
          <w:rFonts w:hint="eastAsia" w:eastAsiaTheme="minorEastAsia"/>
          <w:color w:val="000000" w:themeColor="text1"/>
          <w:lang w:val="en-US" w:eastAsia="zh-CN"/>
          <w14:textFill>
            <w14:solidFill>
              <w14:schemeClr w14:val="tx1"/>
            </w14:solidFill>
          </w14:textFill>
        </w:rPr>
        <w:t>2.</w:t>
      </w:r>
      <w:r>
        <w:rPr>
          <w:rFonts w:eastAsiaTheme="minorEastAsia"/>
          <w:color w:val="000000" w:themeColor="text1"/>
          <w14:textFill>
            <w14:solidFill>
              <w14:schemeClr w14:val="tx1"/>
            </w14:solidFill>
          </w14:textFill>
        </w:rPr>
        <w:t>00分，根据评分标准得</w:t>
      </w:r>
      <w:r>
        <w:rPr>
          <w:rFonts w:hint="eastAsia" w:eastAsiaTheme="minorEastAsia"/>
          <w:color w:val="000000" w:themeColor="text1"/>
          <w:lang w:val="en-US" w:eastAsia="zh-CN"/>
          <w14:textFill>
            <w14:solidFill>
              <w14:schemeClr w14:val="tx1"/>
            </w14:solidFill>
          </w14:textFill>
        </w:rPr>
        <w:t>2</w:t>
      </w:r>
      <w:r>
        <w:rPr>
          <w:rFonts w:eastAsiaTheme="minorEastAsia"/>
          <w:color w:val="000000" w:themeColor="text1"/>
          <w14:textFill>
            <w14:solidFill>
              <w14:schemeClr w14:val="tx1"/>
            </w14:solidFill>
          </w14:textFill>
        </w:rPr>
        <w:t>.00分。</w:t>
      </w:r>
    </w:p>
    <w:p w14:paraId="0808E286">
      <w:pPr>
        <w:ind w:firstLine="422"/>
        <w:outlineLvl w:val="2"/>
        <w:rPr>
          <w:b/>
          <w:bCs/>
          <w:color w:val="000000" w:themeColor="text1"/>
          <w14:textFill>
            <w14:solidFill>
              <w14:schemeClr w14:val="tx1"/>
            </w14:solidFill>
          </w14:textFill>
        </w:rPr>
      </w:pPr>
      <w:r>
        <w:rPr>
          <w:b/>
          <w:bCs/>
          <w:color w:val="000000" w:themeColor="text1"/>
          <w14:textFill>
            <w14:solidFill>
              <w14:schemeClr w14:val="tx1"/>
            </w14:solidFill>
          </w14:textFill>
        </w:rPr>
        <w:t>（9）B52项目支出预算调整率指标：</w:t>
      </w:r>
    </w:p>
    <w:p w14:paraId="586668B5">
      <w:pPr>
        <w:ind w:firstLine="420"/>
        <w:rPr>
          <w:rFonts w:eastAsiaTheme="minorEastAsia"/>
          <w:color w:val="000000" w:themeColor="text1"/>
          <w14:textFill>
            <w14:solidFill>
              <w14:schemeClr w14:val="tx1"/>
            </w14:solidFill>
          </w14:textFill>
        </w:rPr>
      </w:pPr>
      <w:r>
        <w:rPr>
          <w:rFonts w:hint="eastAsia" w:ascii="Times New Roman" w:hAnsi="Times New Roman" w:eastAsia="宋体" w:cs="Times New Roman"/>
          <w:bCs w:val="0"/>
          <w:color w:val="000000" w:themeColor="text1"/>
          <w:u w:val="none"/>
          <w:lang w:val="zh-TW" w:eastAsia="zh-TW"/>
          <w14:textFill>
            <w14:solidFill>
              <w14:schemeClr w14:val="tx1"/>
            </w14:solidFill>
          </w14:textFill>
        </w:rPr>
        <w:t>2024年巩</w:t>
      </w:r>
      <w:r>
        <w:rPr>
          <w:rFonts w:hint="eastAsia" w:eastAsiaTheme="minorEastAsia"/>
          <w:color w:val="000000" w:themeColor="text1"/>
          <w:lang w:val="en-US" w:eastAsia="zh-CN"/>
          <w14:textFill>
            <w14:solidFill>
              <w14:schemeClr w14:val="tx1"/>
            </w14:solidFill>
          </w14:textFill>
        </w:rPr>
        <w:t>吉木萨尔县</w:t>
      </w:r>
      <w:r>
        <w:rPr>
          <w:rFonts w:hint="eastAsia" w:eastAsiaTheme="minorEastAsia"/>
          <w:color w:val="000000" w:themeColor="text1"/>
          <w:lang w:eastAsia="zh-CN"/>
          <w14:textFill>
            <w14:solidFill>
              <w14:schemeClr w14:val="tx1"/>
            </w14:solidFill>
          </w14:textFill>
        </w:rPr>
        <w:t>统计局</w:t>
      </w:r>
      <w:r>
        <w:rPr>
          <w:rFonts w:hint="eastAsia" w:eastAsiaTheme="minorEastAsia"/>
          <w:color w:val="000000" w:themeColor="text1"/>
          <w:lang w:val="en-US" w:eastAsia="zh-CN"/>
          <w14:textFill>
            <w14:solidFill>
              <w14:schemeClr w14:val="tx1"/>
            </w14:solidFill>
          </w14:textFill>
        </w:rPr>
        <w:t>年中追加项目预算</w:t>
      </w:r>
      <w:r>
        <w:rPr>
          <w:rFonts w:hint="eastAsia" w:ascii="Times New Roman" w:hAnsi="Times New Roman" w:cs="Times New Roman"/>
          <w:bCs/>
          <w:color w:val="000000" w:themeColor="text1"/>
          <w:highlight w:val="none"/>
          <w:lang w:val="en-US" w:eastAsia="zh-CN"/>
          <w14:textFill>
            <w14:solidFill>
              <w14:schemeClr w14:val="tx1"/>
            </w14:solidFill>
          </w14:textFill>
        </w:rPr>
        <w:t>90.92</w:t>
      </w:r>
      <w:r>
        <w:rPr>
          <w:rFonts w:hint="eastAsia" w:ascii="Times New Roman" w:hAnsi="Times New Roman" w:eastAsia="宋体" w:cs="Times New Roman"/>
          <w:bCs w:val="0"/>
          <w:color w:val="000000" w:themeColor="text1"/>
          <w:u w:val="none"/>
          <w:lang w:val="zh-TW" w:eastAsia="zh-TW"/>
          <w14:textFill>
            <w14:solidFill>
              <w14:schemeClr w14:val="tx1"/>
            </w14:solidFill>
          </w14:textFill>
        </w:rPr>
        <w:t>万元，按照决算编制的口径</w:t>
      </w:r>
      <w:r>
        <w:rPr>
          <w:rFonts w:hint="eastAsia" w:ascii="Times New Roman" w:hAnsi="Times New Roman" w:eastAsia="宋体" w:cs="Times New Roman"/>
          <w:bCs w:val="0"/>
          <w:color w:val="000000" w:themeColor="text1"/>
          <w:u w:val="none"/>
          <w:lang w:val="en-US" w:eastAsia="zh-CN"/>
          <w14:textFill>
            <w14:solidFill>
              <w14:schemeClr w14:val="tx1"/>
            </w14:solidFill>
          </w14:textFill>
        </w:rPr>
        <w:t>在编制决算报表时调剂到</w:t>
      </w:r>
      <w:r>
        <w:rPr>
          <w:rFonts w:hint="eastAsia" w:ascii="Times New Roman" w:hAnsi="Times New Roman" w:eastAsia="宋体" w:cs="Times New Roman"/>
          <w:bCs w:val="0"/>
          <w:color w:val="000000" w:themeColor="text1"/>
          <w:u w:val="none"/>
          <w:lang w:val="zh-TW" w:eastAsia="zh-TW"/>
          <w14:textFill>
            <w14:solidFill>
              <w14:schemeClr w14:val="tx1"/>
            </w14:solidFill>
          </w14:textFill>
        </w:rPr>
        <w:t>基本支出</w:t>
      </w:r>
      <w:r>
        <w:rPr>
          <w:rFonts w:hint="eastAsia" w:ascii="Times New Roman" w:hAnsi="Times New Roman" w:eastAsia="宋体" w:cs="Times New Roman"/>
          <w:bCs w:val="0"/>
          <w:color w:val="000000" w:themeColor="text1"/>
          <w:u w:val="none"/>
          <w:lang w:val="en-US" w:eastAsia="zh-CN"/>
          <w14:textFill>
            <w14:solidFill>
              <w14:schemeClr w14:val="tx1"/>
            </w14:solidFill>
          </w14:textFill>
        </w:rPr>
        <w:t>决算数</w:t>
      </w:r>
      <w:r>
        <w:rPr>
          <w:rFonts w:hint="eastAsia" w:ascii="Times New Roman" w:hAnsi="Times New Roman" w:eastAsia="宋体" w:cs="Times New Roman"/>
          <w:bCs w:val="0"/>
          <w:color w:val="000000" w:themeColor="text1"/>
          <w:u w:val="none"/>
          <w:lang w:val="zh-TW" w:eastAsia="zh-TW"/>
          <w14:textFill>
            <w14:solidFill>
              <w14:schemeClr w14:val="tx1"/>
            </w14:solidFill>
          </w14:textFill>
        </w:rPr>
        <w:t>。</w:t>
      </w:r>
      <w:r>
        <w:rPr>
          <w:rFonts w:eastAsiaTheme="minorEastAsia"/>
          <w:color w:val="000000" w:themeColor="text1"/>
          <w14:textFill>
            <w14:solidFill>
              <w14:schemeClr w14:val="tx1"/>
            </w14:solidFill>
          </w14:textFill>
        </w:rPr>
        <w:t>根据吉木萨尔县</w:t>
      </w:r>
      <w:r>
        <w:rPr>
          <w:rFonts w:hint="eastAsia" w:eastAsiaTheme="minorEastAsia"/>
          <w:color w:val="000000" w:themeColor="text1"/>
          <w:lang w:eastAsia="zh-CN"/>
          <w14:textFill>
            <w14:solidFill>
              <w14:schemeClr w14:val="tx1"/>
            </w14:solidFill>
          </w14:textFill>
        </w:rPr>
        <w:t>统计局</w:t>
      </w:r>
      <w:r>
        <w:rPr>
          <w:rFonts w:hint="eastAsia" w:eastAsiaTheme="minorEastAsia"/>
          <w:color w:val="000000" w:themeColor="text1"/>
          <w:lang w:val="en-US" w:eastAsia="zh-CN"/>
          <w14:textFill>
            <w14:solidFill>
              <w14:schemeClr w14:val="tx1"/>
            </w14:solidFill>
          </w14:textFill>
        </w:rPr>
        <w:t>提供的2024年度</w:t>
      </w:r>
      <w:r>
        <w:rPr>
          <w:rFonts w:eastAsiaTheme="minorEastAsia"/>
          <w:color w:val="000000" w:themeColor="text1"/>
          <w14:textFill>
            <w14:solidFill>
              <w14:schemeClr w14:val="tx1"/>
            </w14:solidFill>
          </w14:textFill>
        </w:rPr>
        <w:t>《收入支出决算总表》可知，部门预算单位年初项目预算数为</w:t>
      </w:r>
      <w:r>
        <w:rPr>
          <w:rFonts w:hint="eastAsia" w:eastAsiaTheme="minorEastAsia"/>
          <w:color w:val="000000" w:themeColor="text1"/>
          <w:lang w:val="en-US" w:eastAsia="zh-CN"/>
          <w14:textFill>
            <w14:solidFill>
              <w14:schemeClr w14:val="tx1"/>
            </w14:solidFill>
          </w14:textFill>
        </w:rPr>
        <w:t>0</w:t>
      </w:r>
      <w:r>
        <w:rPr>
          <w:rFonts w:eastAsiaTheme="minorEastAsia"/>
          <w:color w:val="000000" w:themeColor="text1"/>
          <w14:textFill>
            <w14:solidFill>
              <w14:schemeClr w14:val="tx1"/>
            </w14:solidFill>
          </w14:textFill>
        </w:rPr>
        <w:t>万元，全年预算数为</w:t>
      </w:r>
      <w:r>
        <w:rPr>
          <w:rFonts w:hint="eastAsia" w:eastAsiaTheme="minorEastAsia"/>
          <w:color w:val="000000" w:themeColor="text1"/>
          <w:lang w:val="en-US" w:eastAsia="zh-CN"/>
          <w14:textFill>
            <w14:solidFill>
              <w14:schemeClr w14:val="tx1"/>
            </w14:solidFill>
          </w14:textFill>
        </w:rPr>
        <w:t>0</w:t>
      </w:r>
      <w:r>
        <w:rPr>
          <w:rFonts w:eastAsiaTheme="minorEastAsia"/>
          <w:color w:val="000000" w:themeColor="text1"/>
          <w14:textFill>
            <w14:solidFill>
              <w14:schemeClr w14:val="tx1"/>
            </w14:solidFill>
          </w14:textFill>
        </w:rPr>
        <w:t>万元，</w:t>
      </w:r>
      <w:r>
        <w:rPr>
          <w:rFonts w:hint="eastAsia" w:eastAsiaTheme="minorEastAsia"/>
          <w:color w:val="000000" w:themeColor="text1"/>
          <w:lang w:val="en-US" w:eastAsia="zh-CN"/>
          <w14:textFill>
            <w14:solidFill>
              <w14:schemeClr w14:val="tx1"/>
            </w14:solidFill>
          </w14:textFill>
        </w:rPr>
        <w:t>未发生</w:t>
      </w:r>
      <w:r>
        <w:rPr>
          <w:rFonts w:eastAsiaTheme="minorEastAsia"/>
          <w:color w:val="000000" w:themeColor="text1"/>
          <w14:textFill>
            <w14:solidFill>
              <w14:schemeClr w14:val="tx1"/>
            </w14:solidFill>
          </w14:textFill>
        </w:rPr>
        <w:t>项目预算调整</w:t>
      </w:r>
      <w:r>
        <w:rPr>
          <w:rFonts w:hint="eastAsia" w:eastAsiaTheme="minorEastAsia"/>
          <w:color w:val="000000" w:themeColor="text1"/>
          <w:lang w:val="en-US" w:eastAsia="zh-CN"/>
          <w14:textFill>
            <w14:solidFill>
              <w14:schemeClr w14:val="tx1"/>
            </w14:solidFill>
          </w14:textFill>
        </w:rPr>
        <w:t>事项，得满分</w:t>
      </w:r>
      <w:r>
        <w:rPr>
          <w:rFonts w:eastAsiaTheme="minorEastAsia"/>
          <w:color w:val="000000" w:themeColor="text1"/>
          <w14:textFill>
            <w14:solidFill>
              <w14:schemeClr w14:val="tx1"/>
            </w14:solidFill>
          </w14:textFill>
        </w:rPr>
        <w:t>。</w:t>
      </w:r>
    </w:p>
    <w:p w14:paraId="65AE020D">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该指标满分为3.00分，根据评分标准得</w:t>
      </w:r>
      <w:r>
        <w:rPr>
          <w:rFonts w:hint="eastAsia" w:eastAsiaTheme="minorEastAsia"/>
          <w:color w:val="000000" w:themeColor="text1"/>
          <w:lang w:val="en-US" w:eastAsia="zh-CN"/>
          <w14:textFill>
            <w14:solidFill>
              <w14:schemeClr w14:val="tx1"/>
            </w14:solidFill>
          </w14:textFill>
        </w:rPr>
        <w:t>3</w:t>
      </w:r>
      <w:r>
        <w:rPr>
          <w:rFonts w:eastAsiaTheme="minorEastAsia"/>
          <w:color w:val="000000" w:themeColor="text1"/>
          <w14:textFill>
            <w14:solidFill>
              <w14:schemeClr w14:val="tx1"/>
            </w14:solidFill>
          </w14:textFill>
        </w:rPr>
        <w:t>.00分。</w:t>
      </w:r>
    </w:p>
    <w:p w14:paraId="4ECF1367">
      <w:pPr>
        <w:keepNext/>
        <w:keepLines/>
        <w:ind w:firstLine="422"/>
        <w:jc w:val="left"/>
        <w:outlineLvl w:val="1"/>
        <w:rPr>
          <w:b/>
          <w:color w:val="000000" w:themeColor="text1"/>
          <w14:textFill>
            <w14:solidFill>
              <w14:schemeClr w14:val="tx1"/>
            </w14:solidFill>
          </w14:textFill>
        </w:rPr>
      </w:pPr>
      <w:bookmarkStart w:id="71" w:name="_Toc31374"/>
      <w:r>
        <w:rPr>
          <w:b/>
          <w:color w:val="000000" w:themeColor="text1"/>
          <w14:textFill>
            <w14:solidFill>
              <w14:schemeClr w14:val="tx1"/>
            </w14:solidFill>
          </w14:textFill>
        </w:rPr>
        <w:t>（三）部门绩效情况</w:t>
      </w:r>
      <w:bookmarkEnd w:id="71"/>
    </w:p>
    <w:p w14:paraId="7F10349C">
      <w:pPr>
        <w:rPr>
          <w:rFonts w:hint="eastAsia" w:ascii="黑体" w:hAnsi="黑体" w:eastAsia="黑体" w:cs="黑体"/>
          <w:b w:val="0"/>
          <w:bCs/>
          <w:color w:val="000000" w:themeColor="text1"/>
          <w:spacing w:val="6"/>
          <w14:textFill>
            <w14:solidFill>
              <w14:schemeClr w14:val="tx1"/>
            </w14:solidFill>
          </w14:textFill>
        </w:rPr>
      </w:pPr>
      <w:r>
        <w:rPr>
          <w:rFonts w:eastAsiaTheme="minorEastAsia"/>
          <w:bCs/>
          <w:color w:val="000000" w:themeColor="text1"/>
          <w14:textFill>
            <w14:solidFill>
              <w14:schemeClr w14:val="tx1"/>
            </w14:solidFill>
          </w14:textFill>
        </w:rPr>
        <w:t>部门绩效类指标由3个二级指标和</w:t>
      </w:r>
      <w:r>
        <w:rPr>
          <w:rFonts w:hint="eastAsia" w:eastAsiaTheme="minorEastAsia"/>
          <w:bCs/>
          <w:color w:val="000000" w:themeColor="text1"/>
          <w:lang w:val="en-US" w:eastAsia="zh-CN"/>
          <w14:textFill>
            <w14:solidFill>
              <w14:schemeClr w14:val="tx1"/>
            </w14:solidFill>
          </w14:textFill>
        </w:rPr>
        <w:t>9</w:t>
      </w:r>
      <w:r>
        <w:rPr>
          <w:rFonts w:eastAsiaTheme="minorEastAsia"/>
          <w:bCs/>
          <w:color w:val="000000" w:themeColor="text1"/>
          <w14:textFill>
            <w14:solidFill>
              <w14:schemeClr w14:val="tx1"/>
            </w14:solidFill>
          </w14:textFill>
        </w:rPr>
        <w:t>个三级指标构成，权重分</w:t>
      </w:r>
      <w:r>
        <w:rPr>
          <w:rFonts w:hint="eastAsia" w:eastAsiaTheme="minorEastAsia"/>
          <w:bCs/>
          <w:color w:val="000000" w:themeColor="text1"/>
          <w:lang w:val="en-US" w:eastAsia="zh-CN"/>
          <w14:textFill>
            <w14:solidFill>
              <w14:schemeClr w14:val="tx1"/>
            </w14:solidFill>
          </w14:textFill>
        </w:rPr>
        <w:t>6</w:t>
      </w:r>
      <w:r>
        <w:rPr>
          <w:rFonts w:eastAsiaTheme="minorEastAsia"/>
          <w:bCs/>
          <w:color w:val="000000" w:themeColor="text1"/>
          <w14:textFill>
            <w14:solidFill>
              <w14:schemeClr w14:val="tx1"/>
            </w14:solidFill>
          </w14:textFill>
        </w:rPr>
        <w:t>0.00分，实际得分</w:t>
      </w:r>
      <w:r>
        <w:rPr>
          <w:rFonts w:hint="eastAsia" w:eastAsiaTheme="minorEastAsia"/>
          <w:bCs/>
          <w:color w:val="000000" w:themeColor="text1"/>
          <w:lang w:val="en-US" w:eastAsia="zh-CN"/>
          <w14:textFill>
            <w14:solidFill>
              <w14:schemeClr w14:val="tx1"/>
            </w14:solidFill>
          </w14:textFill>
        </w:rPr>
        <w:t>54.17</w:t>
      </w:r>
      <w:r>
        <w:rPr>
          <w:rFonts w:eastAsiaTheme="minorEastAsia"/>
          <w:bCs/>
          <w:color w:val="000000" w:themeColor="text1"/>
          <w14:textFill>
            <w14:solidFill>
              <w14:schemeClr w14:val="tx1"/>
            </w14:solidFill>
          </w14:textFill>
        </w:rPr>
        <w:t>分，得分率</w:t>
      </w:r>
      <w:r>
        <w:rPr>
          <w:rFonts w:hint="eastAsia" w:eastAsiaTheme="minorEastAsia"/>
          <w:bCs/>
          <w:color w:val="000000" w:themeColor="text1"/>
          <w:lang w:val="en-US" w:eastAsia="zh-CN"/>
          <w14:textFill>
            <w14:solidFill>
              <w14:schemeClr w14:val="tx1"/>
            </w14:solidFill>
          </w14:textFill>
        </w:rPr>
        <w:t>90.28</w:t>
      </w:r>
      <w:r>
        <w:rPr>
          <w:rFonts w:eastAsiaTheme="minorEastAsia"/>
          <w:bCs/>
          <w:color w:val="000000" w:themeColor="text1"/>
          <w14:textFill>
            <w14:solidFill>
              <w14:schemeClr w14:val="tx1"/>
            </w14:solidFill>
          </w14:textFill>
        </w:rPr>
        <w:t>%。各指标业绩值和绩效分值如下表所示：</w:t>
      </w:r>
    </w:p>
    <w:p w14:paraId="56AC9C96">
      <w:pPr>
        <w:ind w:firstLine="0" w:firstLineChars="0"/>
        <w:jc w:val="center"/>
        <w:rPr>
          <w:rFonts w:hint="eastAsia" w:ascii="黑体" w:hAnsi="黑体" w:eastAsia="黑体" w:cs="黑体"/>
          <w:b w:val="0"/>
          <w:bCs/>
          <w:color w:val="000000" w:themeColor="text1"/>
          <w:spacing w:val="6"/>
          <w14:textFill>
            <w14:solidFill>
              <w14:schemeClr w14:val="tx1"/>
            </w14:solidFill>
          </w14:textFill>
        </w:rPr>
      </w:pPr>
      <w:r>
        <w:rPr>
          <w:rFonts w:hint="eastAsia" w:ascii="黑体" w:hAnsi="黑体" w:eastAsia="黑体" w:cs="黑体"/>
          <w:b w:val="0"/>
          <w:bCs/>
          <w:color w:val="000000" w:themeColor="text1"/>
          <w:spacing w:val="6"/>
          <w14:textFill>
            <w14:solidFill>
              <w14:schemeClr w14:val="tx1"/>
            </w14:solidFill>
          </w14:textFill>
        </w:rPr>
        <w:t>表4-3：部门绩效类指标及分值</w:t>
      </w:r>
    </w:p>
    <w:tbl>
      <w:tblPr>
        <w:tblStyle w:val="24"/>
        <w:tblW w:w="84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23" w:type="dxa"/>
        </w:tblCellMar>
      </w:tblPr>
      <w:tblGrid>
        <w:gridCol w:w="990"/>
        <w:gridCol w:w="1275"/>
        <w:gridCol w:w="2109"/>
        <w:gridCol w:w="1089"/>
        <w:gridCol w:w="889"/>
        <w:gridCol w:w="622"/>
        <w:gridCol w:w="580"/>
        <w:gridCol w:w="902"/>
      </w:tblGrid>
      <w:tr w14:paraId="70CCD1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23" w:type="dxa"/>
          </w:tblCellMar>
        </w:tblPrEx>
        <w:trPr>
          <w:trHeight w:val="397" w:hRule="atLeast"/>
          <w:tblHeader/>
        </w:trPr>
        <w:tc>
          <w:tcPr>
            <w:tcW w:w="990" w:type="dxa"/>
            <w:shd w:val="clear" w:color="auto" w:fill="auto"/>
            <w:vAlign w:val="center"/>
          </w:tcPr>
          <w:p w14:paraId="6545D0B1">
            <w:pPr>
              <w:widowControl/>
              <w:spacing w:line="240" w:lineRule="auto"/>
              <w:ind w:firstLine="0" w:firstLineChars="0"/>
              <w:jc w:val="center"/>
              <w:textAlignment w:val="center"/>
              <w:rPr>
                <w:color w:val="000000" w:themeColor="text1"/>
                <w:lang w:bidi="ar"/>
                <w14:textFill>
                  <w14:solidFill>
                    <w14:schemeClr w14:val="tx1"/>
                  </w14:solidFill>
                </w14:textFill>
              </w:rPr>
            </w:pPr>
            <w:r>
              <w:rPr>
                <w:b/>
                <w:color w:val="000000" w:themeColor="text1"/>
                <w:lang w:bidi="ar"/>
                <w14:textFill>
                  <w14:solidFill>
                    <w14:schemeClr w14:val="tx1"/>
                  </w14:solidFill>
                </w14:textFill>
              </w:rPr>
              <w:t>一级指标</w:t>
            </w:r>
          </w:p>
        </w:tc>
        <w:tc>
          <w:tcPr>
            <w:tcW w:w="1275" w:type="dxa"/>
            <w:shd w:val="clear" w:color="auto" w:fill="auto"/>
            <w:vAlign w:val="center"/>
          </w:tcPr>
          <w:p w14:paraId="48C8B58D">
            <w:pPr>
              <w:widowControl/>
              <w:spacing w:line="240" w:lineRule="auto"/>
              <w:ind w:firstLine="0" w:firstLineChars="0"/>
              <w:jc w:val="center"/>
              <w:textAlignment w:val="center"/>
              <w:rPr>
                <w:color w:val="000000" w:themeColor="text1"/>
                <w:lang w:bidi="ar"/>
                <w14:textFill>
                  <w14:solidFill>
                    <w14:schemeClr w14:val="tx1"/>
                  </w14:solidFill>
                </w14:textFill>
              </w:rPr>
            </w:pPr>
            <w:r>
              <w:rPr>
                <w:b/>
                <w:color w:val="000000" w:themeColor="text1"/>
                <w:lang w:bidi="ar"/>
                <w14:textFill>
                  <w14:solidFill>
                    <w14:schemeClr w14:val="tx1"/>
                  </w14:solidFill>
                </w14:textFill>
              </w:rPr>
              <w:t>二级指标</w:t>
            </w:r>
          </w:p>
        </w:tc>
        <w:tc>
          <w:tcPr>
            <w:tcW w:w="2109" w:type="dxa"/>
            <w:shd w:val="clear" w:color="auto" w:fill="auto"/>
            <w:vAlign w:val="center"/>
          </w:tcPr>
          <w:p w14:paraId="28FF21FB">
            <w:pPr>
              <w:widowControl/>
              <w:spacing w:line="240" w:lineRule="auto"/>
              <w:ind w:firstLine="0" w:firstLineChars="0"/>
              <w:jc w:val="center"/>
              <w:textAlignment w:val="center"/>
              <w:rPr>
                <w:color w:val="000000" w:themeColor="text1"/>
                <w:lang w:bidi="ar"/>
                <w14:textFill>
                  <w14:solidFill>
                    <w14:schemeClr w14:val="tx1"/>
                  </w14:solidFill>
                </w14:textFill>
              </w:rPr>
            </w:pPr>
            <w:r>
              <w:rPr>
                <w:b/>
                <w:color w:val="000000" w:themeColor="text1"/>
                <w:lang w:bidi="ar"/>
                <w14:textFill>
                  <w14:solidFill>
                    <w14:schemeClr w14:val="tx1"/>
                  </w14:solidFill>
                </w14:textFill>
              </w:rPr>
              <w:t>三级指标</w:t>
            </w:r>
          </w:p>
        </w:tc>
        <w:tc>
          <w:tcPr>
            <w:tcW w:w="1089" w:type="dxa"/>
            <w:shd w:val="clear" w:color="auto" w:fill="auto"/>
            <w:vAlign w:val="center"/>
          </w:tcPr>
          <w:p w14:paraId="254DF745">
            <w:pPr>
              <w:widowControl/>
              <w:spacing w:line="240" w:lineRule="auto"/>
              <w:ind w:firstLine="0" w:firstLineChars="0"/>
              <w:jc w:val="center"/>
              <w:textAlignment w:val="center"/>
              <w:rPr>
                <w:color w:val="000000" w:themeColor="text1"/>
                <w:lang w:bidi="ar"/>
                <w14:textFill>
                  <w14:solidFill>
                    <w14:schemeClr w14:val="tx1"/>
                  </w14:solidFill>
                </w14:textFill>
              </w:rPr>
            </w:pPr>
            <w:r>
              <w:rPr>
                <w:b/>
                <w:color w:val="000000" w:themeColor="text1"/>
                <w:lang w:bidi="ar"/>
                <w14:textFill>
                  <w14:solidFill>
                    <w14:schemeClr w14:val="tx1"/>
                  </w14:solidFill>
                </w14:textFill>
              </w:rPr>
              <w:t>目标值</w:t>
            </w:r>
          </w:p>
        </w:tc>
        <w:tc>
          <w:tcPr>
            <w:tcW w:w="889" w:type="dxa"/>
            <w:shd w:val="clear" w:color="auto" w:fill="auto"/>
            <w:noWrap/>
            <w:vAlign w:val="center"/>
          </w:tcPr>
          <w:p w14:paraId="2DC7AE12">
            <w:pPr>
              <w:widowControl/>
              <w:spacing w:line="240" w:lineRule="auto"/>
              <w:ind w:firstLine="0" w:firstLineChars="0"/>
              <w:jc w:val="center"/>
              <w:textAlignment w:val="center"/>
              <w:rPr>
                <w:color w:val="000000" w:themeColor="text1"/>
                <w:lang w:bidi="ar"/>
                <w14:textFill>
                  <w14:solidFill>
                    <w14:schemeClr w14:val="tx1"/>
                  </w14:solidFill>
                </w14:textFill>
              </w:rPr>
            </w:pPr>
            <w:r>
              <w:rPr>
                <w:b/>
                <w:color w:val="000000" w:themeColor="text1"/>
                <w:lang w:bidi="ar"/>
                <w14:textFill>
                  <w14:solidFill>
                    <w14:schemeClr w14:val="tx1"/>
                  </w14:solidFill>
                </w14:textFill>
              </w:rPr>
              <w:t>实际完成值</w:t>
            </w:r>
          </w:p>
        </w:tc>
        <w:tc>
          <w:tcPr>
            <w:tcW w:w="622" w:type="dxa"/>
            <w:shd w:val="clear" w:color="auto" w:fill="auto"/>
            <w:vAlign w:val="center"/>
          </w:tcPr>
          <w:p w14:paraId="52C6EC2D">
            <w:pPr>
              <w:widowControl/>
              <w:spacing w:line="240" w:lineRule="auto"/>
              <w:ind w:firstLine="0" w:firstLineChars="0"/>
              <w:jc w:val="center"/>
              <w:textAlignment w:val="center"/>
              <w:rPr>
                <w:color w:val="000000" w:themeColor="text1"/>
                <w:lang w:bidi="ar"/>
                <w14:textFill>
                  <w14:solidFill>
                    <w14:schemeClr w14:val="tx1"/>
                  </w14:solidFill>
                </w14:textFill>
              </w:rPr>
            </w:pPr>
            <w:r>
              <w:rPr>
                <w:b/>
                <w:color w:val="000000" w:themeColor="text1"/>
                <w:lang w:bidi="ar"/>
                <w14:textFill>
                  <w14:solidFill>
                    <w14:schemeClr w14:val="tx1"/>
                  </w14:solidFill>
                </w14:textFill>
              </w:rPr>
              <w:t>权重</w:t>
            </w:r>
          </w:p>
        </w:tc>
        <w:tc>
          <w:tcPr>
            <w:tcW w:w="580" w:type="dxa"/>
            <w:shd w:val="clear" w:color="auto" w:fill="auto"/>
            <w:vAlign w:val="center"/>
          </w:tcPr>
          <w:p w14:paraId="0AAC734A">
            <w:pPr>
              <w:widowControl/>
              <w:spacing w:line="240" w:lineRule="auto"/>
              <w:ind w:firstLine="0" w:firstLineChars="0"/>
              <w:jc w:val="center"/>
              <w:textAlignment w:val="center"/>
              <w:rPr>
                <w:color w:val="000000" w:themeColor="text1"/>
                <w:lang w:bidi="ar"/>
                <w14:textFill>
                  <w14:solidFill>
                    <w14:schemeClr w14:val="tx1"/>
                  </w14:solidFill>
                </w14:textFill>
              </w:rPr>
            </w:pPr>
            <w:r>
              <w:rPr>
                <w:b/>
                <w:color w:val="000000" w:themeColor="text1"/>
                <w:lang w:bidi="ar"/>
                <w14:textFill>
                  <w14:solidFill>
                    <w14:schemeClr w14:val="tx1"/>
                  </w14:solidFill>
                </w14:textFill>
              </w:rPr>
              <w:t>得分</w:t>
            </w:r>
          </w:p>
        </w:tc>
        <w:tc>
          <w:tcPr>
            <w:tcW w:w="902" w:type="dxa"/>
            <w:shd w:val="clear" w:color="auto" w:fill="auto"/>
            <w:vAlign w:val="center"/>
          </w:tcPr>
          <w:p w14:paraId="78A14226">
            <w:pPr>
              <w:widowControl/>
              <w:spacing w:line="240" w:lineRule="auto"/>
              <w:ind w:firstLine="0" w:firstLineChars="0"/>
              <w:jc w:val="center"/>
              <w:textAlignment w:val="center"/>
              <w:rPr>
                <w:color w:val="000000" w:themeColor="text1"/>
                <w:lang w:bidi="ar"/>
                <w14:textFill>
                  <w14:solidFill>
                    <w14:schemeClr w14:val="tx1"/>
                  </w14:solidFill>
                </w14:textFill>
              </w:rPr>
            </w:pPr>
            <w:r>
              <w:rPr>
                <w:b/>
                <w:color w:val="000000" w:themeColor="text1"/>
                <w:lang w:bidi="ar"/>
                <w14:textFill>
                  <w14:solidFill>
                    <w14:schemeClr w14:val="tx1"/>
                  </w14:solidFill>
                </w14:textFill>
              </w:rPr>
              <w:t>得分率</w:t>
            </w:r>
          </w:p>
        </w:tc>
      </w:tr>
      <w:tr w14:paraId="0A9EA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23" w:type="dxa"/>
          </w:tblCellMar>
        </w:tblPrEx>
        <w:trPr>
          <w:trHeight w:val="397" w:hRule="atLeast"/>
        </w:trPr>
        <w:tc>
          <w:tcPr>
            <w:tcW w:w="990" w:type="dxa"/>
            <w:vMerge w:val="restart"/>
            <w:shd w:val="clear" w:color="auto" w:fill="auto"/>
            <w:vAlign w:val="center"/>
          </w:tcPr>
          <w:p w14:paraId="52C953B4">
            <w:pPr>
              <w:widowControl/>
              <w:spacing w:line="240" w:lineRule="auto"/>
              <w:ind w:firstLine="0" w:firstLineChars="0"/>
              <w:jc w:val="center"/>
              <w:textAlignment w:val="center"/>
              <w:rPr>
                <w:color w:val="000000" w:themeColor="text1"/>
                <w14:textFill>
                  <w14:solidFill>
                    <w14:schemeClr w14:val="tx1"/>
                  </w14:solidFill>
                </w14:textFill>
              </w:rPr>
            </w:pPr>
            <w:r>
              <w:rPr>
                <w:color w:val="000000" w:themeColor="text1"/>
                <w:lang w:bidi="ar"/>
                <w14:textFill>
                  <w14:solidFill>
                    <w14:schemeClr w14:val="tx1"/>
                  </w14:solidFill>
                </w14:textFill>
              </w:rPr>
              <w:t>C部门绩效</w:t>
            </w:r>
            <w:r>
              <w:rPr>
                <w:color w:val="000000" w:themeColor="text1"/>
                <w:lang w:bidi="ar"/>
                <w14:textFill>
                  <w14:solidFill>
                    <w14:schemeClr w14:val="tx1"/>
                  </w14:solidFill>
                </w14:textFill>
              </w:rPr>
              <w:br w:type="textWrapping"/>
            </w:r>
            <w:r>
              <w:rPr>
                <w:color w:val="000000" w:themeColor="text1"/>
                <w:lang w:bidi="ar"/>
                <w14:textFill>
                  <w14:solidFill>
                    <w14:schemeClr w14:val="tx1"/>
                  </w14:solidFill>
                </w14:textFill>
              </w:rPr>
              <w:t>（</w:t>
            </w:r>
            <w:r>
              <w:rPr>
                <w:rFonts w:hint="eastAsia"/>
                <w:color w:val="000000" w:themeColor="text1"/>
                <w:lang w:val="en-US" w:eastAsia="zh-CN" w:bidi="ar"/>
                <w14:textFill>
                  <w14:solidFill>
                    <w14:schemeClr w14:val="tx1"/>
                  </w14:solidFill>
                </w14:textFill>
              </w:rPr>
              <w:t>6</w:t>
            </w:r>
            <w:r>
              <w:rPr>
                <w:color w:val="000000" w:themeColor="text1"/>
                <w:lang w:bidi="ar"/>
                <w14:textFill>
                  <w14:solidFill>
                    <w14:schemeClr w14:val="tx1"/>
                  </w14:solidFill>
                </w14:textFill>
              </w:rPr>
              <w:t>0.00分）</w:t>
            </w:r>
          </w:p>
        </w:tc>
        <w:tc>
          <w:tcPr>
            <w:tcW w:w="1275" w:type="dxa"/>
            <w:vMerge w:val="restart"/>
            <w:shd w:val="clear" w:color="auto" w:fill="auto"/>
            <w:vAlign w:val="center"/>
          </w:tcPr>
          <w:p w14:paraId="76CE3989">
            <w:pPr>
              <w:widowControl/>
              <w:spacing w:line="240" w:lineRule="auto"/>
              <w:ind w:firstLine="0" w:firstLineChars="0"/>
              <w:jc w:val="left"/>
              <w:textAlignment w:val="center"/>
              <w:rPr>
                <w:rFonts w:hint="eastAsia" w:eastAsia="宋体"/>
                <w:color w:val="000000" w:themeColor="text1"/>
                <w:lang w:val="en-US" w:eastAsia="zh-CN" w:bidi="ar"/>
                <w14:textFill>
                  <w14:solidFill>
                    <w14:schemeClr w14:val="tx1"/>
                  </w14:solidFill>
                </w14:textFill>
              </w:rPr>
            </w:pPr>
            <w:r>
              <w:rPr>
                <w:rFonts w:hint="eastAsia" w:eastAsia="宋体"/>
                <w:color w:val="000000" w:themeColor="text1"/>
                <w:lang w:val="en-US" w:eastAsia="zh-CN" w:bidi="ar"/>
                <w14:textFill>
                  <w14:solidFill>
                    <w14:schemeClr w14:val="tx1"/>
                  </w14:solidFill>
                </w14:textFill>
              </w:rPr>
              <w:t>C1履职效能-全面服务经济发展</w:t>
            </w:r>
          </w:p>
        </w:tc>
        <w:tc>
          <w:tcPr>
            <w:tcW w:w="2109" w:type="dxa"/>
            <w:shd w:val="clear" w:color="auto" w:fill="auto"/>
            <w:vAlign w:val="center"/>
          </w:tcPr>
          <w:p w14:paraId="2980F85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C11撰写综合分析报告和专题分析报告数量</w:t>
            </w:r>
          </w:p>
        </w:tc>
        <w:tc>
          <w:tcPr>
            <w:tcW w:w="1089" w:type="dxa"/>
            <w:shd w:val="clear" w:color="auto" w:fill="auto"/>
            <w:vAlign w:val="center"/>
          </w:tcPr>
          <w:p w14:paraId="1023BEC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color w:val="000000" w:themeColor="text1"/>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≥64篇</w:t>
            </w:r>
          </w:p>
        </w:tc>
        <w:tc>
          <w:tcPr>
            <w:tcW w:w="889" w:type="dxa"/>
            <w:shd w:val="clear" w:color="auto" w:fill="auto"/>
            <w:noWrap/>
            <w:vAlign w:val="center"/>
          </w:tcPr>
          <w:p w14:paraId="3A216B9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color w:val="000000" w:themeColor="text1"/>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67篇</w:t>
            </w:r>
          </w:p>
        </w:tc>
        <w:tc>
          <w:tcPr>
            <w:tcW w:w="622" w:type="dxa"/>
            <w:shd w:val="clear" w:color="auto" w:fill="auto"/>
            <w:vAlign w:val="center"/>
          </w:tcPr>
          <w:p w14:paraId="3B9F0D7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color w:val="000000" w:themeColor="text1"/>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6.00 </w:t>
            </w:r>
          </w:p>
        </w:tc>
        <w:tc>
          <w:tcPr>
            <w:tcW w:w="580" w:type="dxa"/>
            <w:shd w:val="clear" w:color="auto" w:fill="auto"/>
            <w:vAlign w:val="center"/>
          </w:tcPr>
          <w:p w14:paraId="68016EF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color w:val="000000" w:themeColor="text1"/>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6.00 </w:t>
            </w:r>
          </w:p>
        </w:tc>
        <w:tc>
          <w:tcPr>
            <w:tcW w:w="902" w:type="dxa"/>
            <w:shd w:val="clear" w:color="auto" w:fill="auto"/>
            <w:vAlign w:val="center"/>
          </w:tcPr>
          <w:p w14:paraId="3A1AD15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ascii="Times New Roman" w:hAnsi="Times New Roman" w:eastAsia="宋体" w:cs="Times New Roman"/>
                <w:color w:val="000000" w:themeColor="text1"/>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r>
      <w:tr w14:paraId="01351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23" w:type="dxa"/>
          </w:tblCellMar>
        </w:tblPrEx>
        <w:trPr>
          <w:trHeight w:val="397" w:hRule="atLeast"/>
        </w:trPr>
        <w:tc>
          <w:tcPr>
            <w:tcW w:w="990" w:type="dxa"/>
            <w:vMerge w:val="continue"/>
            <w:shd w:val="clear" w:color="auto" w:fill="auto"/>
            <w:vAlign w:val="center"/>
          </w:tcPr>
          <w:p w14:paraId="09A049F1">
            <w:pPr>
              <w:widowControl/>
              <w:spacing w:line="240" w:lineRule="auto"/>
              <w:ind w:firstLine="0" w:firstLineChars="0"/>
              <w:jc w:val="center"/>
              <w:rPr>
                <w:color w:val="000000" w:themeColor="text1"/>
                <w14:textFill>
                  <w14:solidFill>
                    <w14:schemeClr w14:val="tx1"/>
                  </w14:solidFill>
                </w14:textFill>
              </w:rPr>
            </w:pPr>
          </w:p>
        </w:tc>
        <w:tc>
          <w:tcPr>
            <w:tcW w:w="1275" w:type="dxa"/>
            <w:vMerge w:val="continue"/>
            <w:shd w:val="clear" w:color="auto" w:fill="auto"/>
            <w:vAlign w:val="center"/>
          </w:tcPr>
          <w:p w14:paraId="513E3A3E">
            <w:pPr>
              <w:widowControl/>
              <w:spacing w:line="240" w:lineRule="auto"/>
              <w:ind w:firstLine="0" w:firstLineChars="0"/>
              <w:jc w:val="left"/>
              <w:textAlignment w:val="center"/>
              <w:rPr>
                <w:rFonts w:hint="eastAsia" w:eastAsia="宋体"/>
                <w:color w:val="000000" w:themeColor="text1"/>
                <w:lang w:val="en-US" w:eastAsia="zh-CN" w:bidi="ar"/>
                <w14:textFill>
                  <w14:solidFill>
                    <w14:schemeClr w14:val="tx1"/>
                  </w14:solidFill>
                </w14:textFill>
              </w:rPr>
            </w:pPr>
          </w:p>
        </w:tc>
        <w:tc>
          <w:tcPr>
            <w:tcW w:w="2109" w:type="dxa"/>
            <w:shd w:val="clear" w:color="auto" w:fill="auto"/>
            <w:vAlign w:val="center"/>
          </w:tcPr>
          <w:p w14:paraId="679A48C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0"/>
                <w:szCs w:val="20"/>
                <w:u w:val="none"/>
                <w:lang w:val="en-US" w:eastAsia="zh-CN" w:bidi="ar"/>
                <w14:textFill>
                  <w14:solidFill>
                    <w14:schemeClr w14:val="tx1"/>
                  </w14:solidFill>
                </w14:textFill>
              </w:rPr>
              <w:t>C12</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统计数据质量保障率</w:t>
            </w:r>
          </w:p>
        </w:tc>
        <w:tc>
          <w:tcPr>
            <w:tcW w:w="1089" w:type="dxa"/>
            <w:shd w:val="clear" w:color="auto" w:fill="auto"/>
            <w:vAlign w:val="center"/>
          </w:tcPr>
          <w:p w14:paraId="65BFBDD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color w:val="000000" w:themeColor="text1"/>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c>
          <w:tcPr>
            <w:tcW w:w="889" w:type="dxa"/>
            <w:shd w:val="clear" w:color="auto" w:fill="auto"/>
            <w:vAlign w:val="center"/>
          </w:tcPr>
          <w:p w14:paraId="7C25827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color w:val="000000" w:themeColor="text1"/>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c>
          <w:tcPr>
            <w:tcW w:w="622" w:type="dxa"/>
            <w:shd w:val="clear" w:color="auto" w:fill="auto"/>
            <w:vAlign w:val="center"/>
          </w:tcPr>
          <w:p w14:paraId="57B1908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color w:val="000000" w:themeColor="text1"/>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7.00 </w:t>
            </w:r>
          </w:p>
        </w:tc>
        <w:tc>
          <w:tcPr>
            <w:tcW w:w="580" w:type="dxa"/>
            <w:shd w:val="clear" w:color="auto" w:fill="auto"/>
            <w:vAlign w:val="center"/>
          </w:tcPr>
          <w:p w14:paraId="7335D4D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color w:val="000000" w:themeColor="text1"/>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7.00 </w:t>
            </w:r>
          </w:p>
        </w:tc>
        <w:tc>
          <w:tcPr>
            <w:tcW w:w="902" w:type="dxa"/>
            <w:shd w:val="clear" w:color="auto" w:fill="auto"/>
            <w:vAlign w:val="center"/>
          </w:tcPr>
          <w:p w14:paraId="76E23C4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ascii="Times New Roman" w:hAnsi="Times New Roman" w:eastAsia="宋体" w:cs="Times New Roman"/>
                <w:color w:val="000000" w:themeColor="text1"/>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r>
      <w:tr w14:paraId="08B7DC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23" w:type="dxa"/>
          </w:tblCellMar>
        </w:tblPrEx>
        <w:trPr>
          <w:trHeight w:val="397" w:hRule="atLeast"/>
        </w:trPr>
        <w:tc>
          <w:tcPr>
            <w:tcW w:w="990" w:type="dxa"/>
            <w:vMerge w:val="continue"/>
            <w:shd w:val="clear" w:color="auto" w:fill="auto"/>
            <w:vAlign w:val="center"/>
          </w:tcPr>
          <w:p w14:paraId="158CF813">
            <w:pPr>
              <w:widowControl/>
              <w:spacing w:line="240" w:lineRule="auto"/>
              <w:ind w:firstLine="0" w:firstLineChars="0"/>
              <w:jc w:val="center"/>
              <w:rPr>
                <w:color w:val="000000" w:themeColor="text1"/>
                <w14:textFill>
                  <w14:solidFill>
                    <w14:schemeClr w14:val="tx1"/>
                  </w14:solidFill>
                </w14:textFill>
              </w:rPr>
            </w:pPr>
          </w:p>
        </w:tc>
        <w:tc>
          <w:tcPr>
            <w:tcW w:w="1275" w:type="dxa"/>
            <w:vMerge w:val="continue"/>
            <w:shd w:val="clear" w:color="auto" w:fill="auto"/>
            <w:vAlign w:val="center"/>
          </w:tcPr>
          <w:p w14:paraId="39C9D0B0">
            <w:pPr>
              <w:widowControl/>
              <w:spacing w:line="240" w:lineRule="auto"/>
              <w:ind w:firstLine="0" w:firstLineChars="0"/>
              <w:jc w:val="left"/>
              <w:textAlignment w:val="center"/>
              <w:rPr>
                <w:rFonts w:hint="eastAsia" w:eastAsia="宋体"/>
                <w:color w:val="000000" w:themeColor="text1"/>
                <w:lang w:val="en-US" w:eastAsia="zh-CN" w:bidi="ar"/>
                <w14:textFill>
                  <w14:solidFill>
                    <w14:schemeClr w14:val="tx1"/>
                  </w14:solidFill>
                </w14:textFill>
              </w:rPr>
            </w:pPr>
          </w:p>
        </w:tc>
        <w:tc>
          <w:tcPr>
            <w:tcW w:w="2109" w:type="dxa"/>
            <w:shd w:val="clear" w:color="auto" w:fill="auto"/>
            <w:vAlign w:val="center"/>
          </w:tcPr>
          <w:p w14:paraId="377E9D3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0"/>
                <w:szCs w:val="20"/>
                <w:u w:val="none"/>
                <w:lang w:val="en-US" w:eastAsia="zh-CN" w:bidi="ar"/>
                <w14:textFill>
                  <w14:solidFill>
                    <w14:schemeClr w14:val="tx1"/>
                  </w14:solidFill>
                </w14:textFill>
              </w:rPr>
              <w:t>C13</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统计上门服务完成率</w:t>
            </w:r>
          </w:p>
        </w:tc>
        <w:tc>
          <w:tcPr>
            <w:tcW w:w="1089" w:type="dxa"/>
            <w:shd w:val="clear" w:color="auto" w:fill="auto"/>
            <w:vAlign w:val="center"/>
          </w:tcPr>
          <w:p w14:paraId="53CD2CF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color w:val="000000" w:themeColor="text1"/>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c>
          <w:tcPr>
            <w:tcW w:w="889" w:type="dxa"/>
            <w:shd w:val="clear" w:color="auto" w:fill="auto"/>
            <w:noWrap/>
            <w:vAlign w:val="center"/>
          </w:tcPr>
          <w:p w14:paraId="1FE5C8C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color w:val="000000" w:themeColor="text1"/>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c>
          <w:tcPr>
            <w:tcW w:w="622" w:type="dxa"/>
            <w:shd w:val="clear" w:color="auto" w:fill="auto"/>
            <w:vAlign w:val="center"/>
          </w:tcPr>
          <w:p w14:paraId="78447A8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color w:val="000000" w:themeColor="text1"/>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6.00 </w:t>
            </w:r>
          </w:p>
        </w:tc>
        <w:tc>
          <w:tcPr>
            <w:tcW w:w="580" w:type="dxa"/>
            <w:shd w:val="clear" w:color="auto" w:fill="auto"/>
            <w:vAlign w:val="center"/>
          </w:tcPr>
          <w:p w14:paraId="77D0FEF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color w:val="000000" w:themeColor="text1"/>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6.00 </w:t>
            </w:r>
          </w:p>
        </w:tc>
        <w:tc>
          <w:tcPr>
            <w:tcW w:w="902" w:type="dxa"/>
            <w:shd w:val="clear" w:color="auto" w:fill="auto"/>
            <w:vAlign w:val="center"/>
          </w:tcPr>
          <w:p w14:paraId="78DE266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ascii="Times New Roman" w:hAnsi="Times New Roman" w:eastAsia="宋体" w:cs="Times New Roman"/>
                <w:color w:val="000000" w:themeColor="text1"/>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r>
      <w:tr w14:paraId="4E34E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23" w:type="dxa"/>
          </w:tblCellMar>
        </w:tblPrEx>
        <w:trPr>
          <w:trHeight w:val="397" w:hRule="atLeast"/>
        </w:trPr>
        <w:tc>
          <w:tcPr>
            <w:tcW w:w="990" w:type="dxa"/>
            <w:vMerge w:val="continue"/>
            <w:shd w:val="clear" w:color="auto" w:fill="auto"/>
            <w:vAlign w:val="center"/>
          </w:tcPr>
          <w:p w14:paraId="3A38AF97">
            <w:pPr>
              <w:widowControl/>
              <w:spacing w:line="240" w:lineRule="auto"/>
              <w:ind w:firstLine="0" w:firstLineChars="0"/>
              <w:jc w:val="center"/>
              <w:rPr>
                <w:color w:val="000000" w:themeColor="text1"/>
                <w14:textFill>
                  <w14:solidFill>
                    <w14:schemeClr w14:val="tx1"/>
                  </w14:solidFill>
                </w14:textFill>
              </w:rPr>
            </w:pPr>
          </w:p>
        </w:tc>
        <w:tc>
          <w:tcPr>
            <w:tcW w:w="1275" w:type="dxa"/>
            <w:vMerge w:val="restart"/>
            <w:shd w:val="clear" w:color="auto" w:fill="auto"/>
            <w:vAlign w:val="center"/>
          </w:tcPr>
          <w:p w14:paraId="10E5A889">
            <w:pPr>
              <w:widowControl/>
              <w:spacing w:line="240" w:lineRule="auto"/>
              <w:ind w:firstLine="0" w:firstLineChars="0"/>
              <w:jc w:val="left"/>
              <w:textAlignment w:val="center"/>
              <w:rPr>
                <w:rFonts w:hint="eastAsia" w:eastAsia="宋体"/>
                <w:color w:val="000000" w:themeColor="text1"/>
                <w:lang w:val="en-US" w:eastAsia="zh-CN" w:bidi="ar"/>
                <w14:textFill>
                  <w14:solidFill>
                    <w14:schemeClr w14:val="tx1"/>
                  </w14:solidFill>
                </w14:textFill>
              </w:rPr>
            </w:pPr>
            <w:r>
              <w:rPr>
                <w:rFonts w:hint="eastAsia" w:eastAsia="宋体"/>
                <w:color w:val="000000" w:themeColor="text1"/>
                <w:lang w:val="en-US" w:eastAsia="zh-CN" w:bidi="ar"/>
                <w14:textFill>
                  <w14:solidFill>
                    <w14:schemeClr w14:val="tx1"/>
                  </w14:solidFill>
                </w14:textFill>
              </w:rPr>
              <w:t>C2履职效能-全面做好经济普查</w:t>
            </w:r>
          </w:p>
        </w:tc>
        <w:tc>
          <w:tcPr>
            <w:tcW w:w="2109" w:type="dxa"/>
            <w:shd w:val="clear" w:color="auto" w:fill="auto"/>
            <w:vAlign w:val="center"/>
          </w:tcPr>
          <w:p w14:paraId="0D7A73B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0"/>
                <w:szCs w:val="20"/>
                <w:u w:val="none"/>
                <w:lang w:val="en-US" w:eastAsia="zh-CN" w:bidi="ar"/>
                <w14:textFill>
                  <w14:solidFill>
                    <w14:schemeClr w14:val="tx1"/>
                  </w14:solidFill>
                </w14:textFill>
              </w:rPr>
              <w:t>C21</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第五次全国经济普查共登记一套表单位</w:t>
            </w:r>
          </w:p>
        </w:tc>
        <w:tc>
          <w:tcPr>
            <w:tcW w:w="1089" w:type="dxa"/>
            <w:shd w:val="clear" w:color="auto" w:fill="auto"/>
            <w:vAlign w:val="center"/>
          </w:tcPr>
          <w:p w14:paraId="2E0558F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color w:val="000000" w:themeColor="text1"/>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≥106家</w:t>
            </w:r>
          </w:p>
        </w:tc>
        <w:tc>
          <w:tcPr>
            <w:tcW w:w="889" w:type="dxa"/>
            <w:shd w:val="clear" w:color="auto" w:fill="auto"/>
            <w:vAlign w:val="center"/>
          </w:tcPr>
          <w:p w14:paraId="3D43D13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color w:val="000000" w:themeColor="text1"/>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136家</w:t>
            </w:r>
          </w:p>
        </w:tc>
        <w:tc>
          <w:tcPr>
            <w:tcW w:w="622" w:type="dxa"/>
            <w:shd w:val="clear" w:color="auto" w:fill="auto"/>
            <w:vAlign w:val="center"/>
          </w:tcPr>
          <w:p w14:paraId="21B7652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color w:val="000000" w:themeColor="text1"/>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5.00 </w:t>
            </w:r>
          </w:p>
        </w:tc>
        <w:tc>
          <w:tcPr>
            <w:tcW w:w="580" w:type="dxa"/>
            <w:shd w:val="clear" w:color="auto" w:fill="auto"/>
            <w:vAlign w:val="center"/>
          </w:tcPr>
          <w:p w14:paraId="3CCE371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color w:val="000000" w:themeColor="text1"/>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5.00 </w:t>
            </w:r>
          </w:p>
        </w:tc>
        <w:tc>
          <w:tcPr>
            <w:tcW w:w="902" w:type="dxa"/>
            <w:shd w:val="clear" w:color="auto" w:fill="auto"/>
            <w:vAlign w:val="center"/>
          </w:tcPr>
          <w:p w14:paraId="773F429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ascii="Times New Roman" w:hAnsi="Times New Roman" w:eastAsia="宋体" w:cs="Times New Roman"/>
                <w:color w:val="000000" w:themeColor="text1"/>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r>
      <w:tr w14:paraId="4D582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23" w:type="dxa"/>
          </w:tblCellMar>
        </w:tblPrEx>
        <w:trPr>
          <w:trHeight w:val="397" w:hRule="atLeast"/>
        </w:trPr>
        <w:tc>
          <w:tcPr>
            <w:tcW w:w="990" w:type="dxa"/>
            <w:vMerge w:val="continue"/>
            <w:shd w:val="clear" w:color="auto" w:fill="auto"/>
            <w:vAlign w:val="center"/>
          </w:tcPr>
          <w:p w14:paraId="5F902D0B">
            <w:pPr>
              <w:widowControl/>
              <w:spacing w:line="240" w:lineRule="auto"/>
              <w:ind w:firstLine="0" w:firstLineChars="0"/>
              <w:jc w:val="center"/>
              <w:rPr>
                <w:color w:val="000000" w:themeColor="text1"/>
                <w14:textFill>
                  <w14:solidFill>
                    <w14:schemeClr w14:val="tx1"/>
                  </w14:solidFill>
                </w14:textFill>
              </w:rPr>
            </w:pPr>
          </w:p>
        </w:tc>
        <w:tc>
          <w:tcPr>
            <w:tcW w:w="1275" w:type="dxa"/>
            <w:vMerge w:val="continue"/>
            <w:shd w:val="clear" w:color="auto" w:fill="auto"/>
            <w:vAlign w:val="center"/>
          </w:tcPr>
          <w:p w14:paraId="6B2AD9A0">
            <w:pPr>
              <w:widowControl/>
              <w:spacing w:line="240" w:lineRule="auto"/>
              <w:ind w:firstLine="0" w:firstLineChars="0"/>
              <w:jc w:val="left"/>
              <w:textAlignment w:val="center"/>
              <w:rPr>
                <w:rFonts w:hint="eastAsia" w:eastAsia="宋体"/>
                <w:color w:val="000000" w:themeColor="text1"/>
                <w:lang w:val="en-US" w:eastAsia="zh-CN" w:bidi="ar"/>
                <w14:textFill>
                  <w14:solidFill>
                    <w14:schemeClr w14:val="tx1"/>
                  </w14:solidFill>
                </w14:textFill>
              </w:rPr>
            </w:pPr>
          </w:p>
        </w:tc>
        <w:tc>
          <w:tcPr>
            <w:tcW w:w="2109" w:type="dxa"/>
            <w:shd w:val="clear" w:color="auto" w:fill="auto"/>
            <w:vAlign w:val="center"/>
          </w:tcPr>
          <w:p w14:paraId="587D9C9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0"/>
                <w:szCs w:val="20"/>
                <w:u w:val="none"/>
                <w:lang w:val="en-US" w:eastAsia="zh-CN" w:bidi="ar"/>
                <w14:textFill>
                  <w14:solidFill>
                    <w14:schemeClr w14:val="tx1"/>
                  </w14:solidFill>
                </w14:textFill>
              </w:rPr>
              <w:t>C22</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第五次全国经济普查上报率</w:t>
            </w:r>
          </w:p>
        </w:tc>
        <w:tc>
          <w:tcPr>
            <w:tcW w:w="1089" w:type="dxa"/>
            <w:shd w:val="clear" w:color="auto" w:fill="auto"/>
            <w:vAlign w:val="center"/>
          </w:tcPr>
          <w:p w14:paraId="7865C8F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color w:val="000000" w:themeColor="text1"/>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c>
          <w:tcPr>
            <w:tcW w:w="889" w:type="dxa"/>
            <w:shd w:val="clear" w:color="auto" w:fill="auto"/>
            <w:noWrap/>
            <w:vAlign w:val="center"/>
          </w:tcPr>
          <w:p w14:paraId="6E303E2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color w:val="000000" w:themeColor="text1"/>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c>
          <w:tcPr>
            <w:tcW w:w="622" w:type="dxa"/>
            <w:shd w:val="clear" w:color="auto" w:fill="auto"/>
            <w:vAlign w:val="center"/>
          </w:tcPr>
          <w:p w14:paraId="6F458FB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color w:val="000000" w:themeColor="text1"/>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5.00 </w:t>
            </w:r>
          </w:p>
        </w:tc>
        <w:tc>
          <w:tcPr>
            <w:tcW w:w="580" w:type="dxa"/>
            <w:shd w:val="clear" w:color="auto" w:fill="auto"/>
            <w:vAlign w:val="center"/>
          </w:tcPr>
          <w:p w14:paraId="08946F7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color w:val="000000" w:themeColor="text1"/>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5.00 </w:t>
            </w:r>
          </w:p>
        </w:tc>
        <w:tc>
          <w:tcPr>
            <w:tcW w:w="902" w:type="dxa"/>
            <w:shd w:val="clear" w:color="auto" w:fill="auto"/>
            <w:vAlign w:val="center"/>
          </w:tcPr>
          <w:p w14:paraId="5ECF048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ascii="Times New Roman" w:hAnsi="Times New Roman" w:eastAsia="宋体" w:cs="Times New Roman"/>
                <w:color w:val="000000" w:themeColor="text1"/>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r>
      <w:tr w14:paraId="62BFF8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23" w:type="dxa"/>
          </w:tblCellMar>
        </w:tblPrEx>
        <w:trPr>
          <w:trHeight w:val="397" w:hRule="atLeast"/>
        </w:trPr>
        <w:tc>
          <w:tcPr>
            <w:tcW w:w="990" w:type="dxa"/>
            <w:vMerge w:val="continue"/>
            <w:shd w:val="clear" w:color="auto" w:fill="auto"/>
            <w:vAlign w:val="center"/>
          </w:tcPr>
          <w:p w14:paraId="3444187B">
            <w:pPr>
              <w:widowControl/>
              <w:spacing w:line="240" w:lineRule="auto"/>
              <w:ind w:firstLine="0" w:firstLineChars="0"/>
              <w:jc w:val="center"/>
              <w:rPr>
                <w:color w:val="000000" w:themeColor="text1"/>
                <w14:textFill>
                  <w14:solidFill>
                    <w14:schemeClr w14:val="tx1"/>
                  </w14:solidFill>
                </w14:textFill>
              </w:rPr>
            </w:pPr>
          </w:p>
        </w:tc>
        <w:tc>
          <w:tcPr>
            <w:tcW w:w="1275" w:type="dxa"/>
            <w:vMerge w:val="continue"/>
            <w:shd w:val="clear" w:color="auto" w:fill="auto"/>
            <w:vAlign w:val="center"/>
          </w:tcPr>
          <w:p w14:paraId="39AD89EA">
            <w:pPr>
              <w:widowControl/>
              <w:spacing w:line="240" w:lineRule="auto"/>
              <w:ind w:firstLine="0" w:firstLineChars="0"/>
              <w:jc w:val="left"/>
              <w:textAlignment w:val="center"/>
              <w:rPr>
                <w:rFonts w:hint="eastAsia" w:eastAsia="宋体"/>
                <w:color w:val="000000" w:themeColor="text1"/>
                <w:lang w:val="en-US" w:eastAsia="zh-CN" w:bidi="ar"/>
                <w14:textFill>
                  <w14:solidFill>
                    <w14:schemeClr w14:val="tx1"/>
                  </w14:solidFill>
                </w14:textFill>
              </w:rPr>
            </w:pPr>
          </w:p>
        </w:tc>
        <w:tc>
          <w:tcPr>
            <w:tcW w:w="2109" w:type="dxa"/>
            <w:shd w:val="clear" w:color="auto" w:fill="auto"/>
            <w:vAlign w:val="center"/>
          </w:tcPr>
          <w:p w14:paraId="2362ABB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C23第五次经济普查工作完成及时性</w:t>
            </w:r>
          </w:p>
        </w:tc>
        <w:tc>
          <w:tcPr>
            <w:tcW w:w="1089" w:type="dxa"/>
            <w:shd w:val="clear" w:color="auto" w:fill="auto"/>
            <w:vAlign w:val="center"/>
          </w:tcPr>
          <w:p w14:paraId="3881E89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color w:val="000000" w:themeColor="text1"/>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c>
          <w:tcPr>
            <w:tcW w:w="889" w:type="dxa"/>
            <w:shd w:val="clear" w:color="auto" w:fill="auto"/>
            <w:noWrap/>
            <w:vAlign w:val="center"/>
          </w:tcPr>
          <w:p w14:paraId="6DA2DB7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color w:val="000000" w:themeColor="text1"/>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w:t>
            </w:r>
          </w:p>
        </w:tc>
        <w:tc>
          <w:tcPr>
            <w:tcW w:w="622" w:type="dxa"/>
            <w:shd w:val="clear" w:color="auto" w:fill="auto"/>
            <w:vAlign w:val="center"/>
          </w:tcPr>
          <w:p w14:paraId="34ED338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color w:val="000000" w:themeColor="text1"/>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5.00 </w:t>
            </w:r>
          </w:p>
        </w:tc>
        <w:tc>
          <w:tcPr>
            <w:tcW w:w="580" w:type="dxa"/>
            <w:shd w:val="clear" w:color="auto" w:fill="auto"/>
            <w:vAlign w:val="center"/>
          </w:tcPr>
          <w:p w14:paraId="48FB3BB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color w:val="000000" w:themeColor="text1"/>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5.00 </w:t>
            </w:r>
          </w:p>
        </w:tc>
        <w:tc>
          <w:tcPr>
            <w:tcW w:w="902" w:type="dxa"/>
            <w:shd w:val="clear" w:color="auto" w:fill="auto"/>
            <w:vAlign w:val="center"/>
          </w:tcPr>
          <w:p w14:paraId="54F1CF1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ascii="Times New Roman" w:hAnsi="Times New Roman" w:eastAsia="宋体" w:cs="Times New Roman"/>
                <w:color w:val="000000" w:themeColor="text1"/>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r>
      <w:tr w14:paraId="405832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23" w:type="dxa"/>
          </w:tblCellMar>
        </w:tblPrEx>
        <w:trPr>
          <w:trHeight w:val="397" w:hRule="atLeast"/>
        </w:trPr>
        <w:tc>
          <w:tcPr>
            <w:tcW w:w="990" w:type="dxa"/>
            <w:vMerge w:val="continue"/>
            <w:shd w:val="clear" w:color="auto" w:fill="auto"/>
            <w:vAlign w:val="center"/>
          </w:tcPr>
          <w:p w14:paraId="16E6FCF3">
            <w:pPr>
              <w:widowControl/>
              <w:spacing w:line="240" w:lineRule="auto"/>
              <w:ind w:firstLine="0" w:firstLineChars="0"/>
              <w:jc w:val="center"/>
              <w:rPr>
                <w:color w:val="000000" w:themeColor="text1"/>
                <w14:textFill>
                  <w14:solidFill>
                    <w14:schemeClr w14:val="tx1"/>
                  </w14:solidFill>
                </w14:textFill>
              </w:rPr>
            </w:pPr>
          </w:p>
        </w:tc>
        <w:tc>
          <w:tcPr>
            <w:tcW w:w="1275" w:type="dxa"/>
            <w:vMerge w:val="continue"/>
            <w:shd w:val="clear" w:color="auto" w:fill="auto"/>
            <w:vAlign w:val="center"/>
          </w:tcPr>
          <w:p w14:paraId="441F66C2">
            <w:pPr>
              <w:widowControl/>
              <w:spacing w:line="240" w:lineRule="auto"/>
              <w:ind w:firstLine="0" w:firstLineChars="0"/>
              <w:jc w:val="left"/>
              <w:textAlignment w:val="center"/>
              <w:rPr>
                <w:rFonts w:hint="eastAsia" w:eastAsia="宋体"/>
                <w:color w:val="000000" w:themeColor="text1"/>
                <w:lang w:val="en-US" w:eastAsia="zh-CN" w:bidi="ar"/>
                <w14:textFill>
                  <w14:solidFill>
                    <w14:schemeClr w14:val="tx1"/>
                  </w14:solidFill>
                </w14:textFill>
              </w:rPr>
            </w:pPr>
          </w:p>
        </w:tc>
        <w:tc>
          <w:tcPr>
            <w:tcW w:w="2109" w:type="dxa"/>
            <w:shd w:val="clear" w:color="auto" w:fill="auto"/>
            <w:vAlign w:val="center"/>
          </w:tcPr>
          <w:p w14:paraId="3DEC8E7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C24第五次经济普查数据填报综合差错率</w:t>
            </w:r>
          </w:p>
        </w:tc>
        <w:tc>
          <w:tcPr>
            <w:tcW w:w="1089" w:type="dxa"/>
            <w:shd w:val="clear" w:color="auto" w:fill="auto"/>
            <w:vAlign w:val="center"/>
          </w:tcPr>
          <w:p w14:paraId="24E6569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color w:val="000000" w:themeColor="text1"/>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符合标准</w:t>
            </w:r>
          </w:p>
        </w:tc>
        <w:tc>
          <w:tcPr>
            <w:tcW w:w="889" w:type="dxa"/>
            <w:shd w:val="clear" w:color="auto" w:fill="auto"/>
            <w:noWrap/>
            <w:vAlign w:val="center"/>
          </w:tcPr>
          <w:p w14:paraId="06846F3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color w:val="000000" w:themeColor="text1"/>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符合标准</w:t>
            </w:r>
          </w:p>
        </w:tc>
        <w:tc>
          <w:tcPr>
            <w:tcW w:w="622" w:type="dxa"/>
            <w:shd w:val="clear" w:color="auto" w:fill="auto"/>
            <w:vAlign w:val="center"/>
          </w:tcPr>
          <w:p w14:paraId="720B332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color w:val="000000" w:themeColor="text1"/>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6.00 </w:t>
            </w:r>
          </w:p>
        </w:tc>
        <w:tc>
          <w:tcPr>
            <w:tcW w:w="580" w:type="dxa"/>
            <w:shd w:val="clear" w:color="auto" w:fill="auto"/>
            <w:vAlign w:val="center"/>
          </w:tcPr>
          <w:p w14:paraId="5504800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color w:val="000000" w:themeColor="text1"/>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6.00 </w:t>
            </w:r>
          </w:p>
        </w:tc>
        <w:tc>
          <w:tcPr>
            <w:tcW w:w="902" w:type="dxa"/>
            <w:shd w:val="clear" w:color="auto" w:fill="auto"/>
            <w:vAlign w:val="center"/>
          </w:tcPr>
          <w:p w14:paraId="292C79B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ascii="Times New Roman" w:hAnsi="Times New Roman" w:eastAsia="宋体" w:cs="Times New Roman"/>
                <w:color w:val="000000" w:themeColor="text1"/>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r>
      <w:tr w14:paraId="09E345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23" w:type="dxa"/>
          </w:tblCellMar>
        </w:tblPrEx>
        <w:trPr>
          <w:trHeight w:val="397" w:hRule="atLeast"/>
        </w:trPr>
        <w:tc>
          <w:tcPr>
            <w:tcW w:w="990" w:type="dxa"/>
            <w:vMerge w:val="continue"/>
            <w:shd w:val="clear" w:color="auto" w:fill="auto"/>
            <w:vAlign w:val="center"/>
          </w:tcPr>
          <w:p w14:paraId="57DC299E">
            <w:pPr>
              <w:widowControl/>
              <w:spacing w:line="240" w:lineRule="auto"/>
              <w:ind w:firstLine="0" w:firstLineChars="0"/>
              <w:jc w:val="center"/>
              <w:rPr>
                <w:color w:val="000000" w:themeColor="text1"/>
                <w14:textFill>
                  <w14:solidFill>
                    <w14:schemeClr w14:val="tx1"/>
                  </w14:solidFill>
                </w14:textFill>
              </w:rPr>
            </w:pPr>
          </w:p>
        </w:tc>
        <w:tc>
          <w:tcPr>
            <w:tcW w:w="1275" w:type="dxa"/>
            <w:vMerge w:val="restart"/>
            <w:shd w:val="clear" w:color="auto" w:fill="auto"/>
            <w:vAlign w:val="center"/>
          </w:tcPr>
          <w:p w14:paraId="52D9C12B">
            <w:pPr>
              <w:widowControl/>
              <w:spacing w:line="240" w:lineRule="auto"/>
              <w:ind w:firstLine="0" w:firstLineChars="0"/>
              <w:jc w:val="left"/>
              <w:textAlignment w:val="center"/>
              <w:rPr>
                <w:rFonts w:hint="eastAsia" w:eastAsia="宋体"/>
                <w:color w:val="000000" w:themeColor="text1"/>
                <w:lang w:val="en-US" w:eastAsia="zh-CN" w:bidi="ar"/>
                <w14:textFill>
                  <w14:solidFill>
                    <w14:schemeClr w14:val="tx1"/>
                  </w14:solidFill>
                </w14:textFill>
              </w:rPr>
            </w:pPr>
            <w:r>
              <w:rPr>
                <w:rFonts w:hint="eastAsia" w:eastAsia="宋体"/>
                <w:color w:val="000000" w:themeColor="text1"/>
                <w:lang w:val="en-US" w:eastAsia="zh-CN" w:bidi="ar"/>
                <w14:textFill>
                  <w14:solidFill>
                    <w14:schemeClr w14:val="tx1"/>
                  </w14:solidFill>
                </w14:textFill>
              </w:rPr>
              <w:t>C3满意度</w:t>
            </w:r>
          </w:p>
        </w:tc>
        <w:tc>
          <w:tcPr>
            <w:tcW w:w="2109" w:type="dxa"/>
            <w:shd w:val="clear" w:color="auto" w:fill="auto"/>
            <w:vAlign w:val="center"/>
          </w:tcPr>
          <w:p w14:paraId="03B1957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C31受益统计工作人员满意度</w:t>
            </w:r>
          </w:p>
        </w:tc>
        <w:tc>
          <w:tcPr>
            <w:tcW w:w="1089" w:type="dxa"/>
            <w:shd w:val="clear" w:color="auto" w:fill="auto"/>
            <w:vAlign w:val="center"/>
          </w:tcPr>
          <w:p w14:paraId="5F3FC0B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color w:val="000000" w:themeColor="text1"/>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≥90.00%</w:t>
            </w:r>
          </w:p>
        </w:tc>
        <w:tc>
          <w:tcPr>
            <w:tcW w:w="889" w:type="dxa"/>
            <w:shd w:val="clear" w:color="auto" w:fill="auto"/>
            <w:noWrap/>
            <w:vAlign w:val="center"/>
          </w:tcPr>
          <w:p w14:paraId="774E18B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color w:val="000000" w:themeColor="text1"/>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73.33%</w:t>
            </w:r>
          </w:p>
        </w:tc>
        <w:tc>
          <w:tcPr>
            <w:tcW w:w="622" w:type="dxa"/>
            <w:shd w:val="clear" w:color="auto" w:fill="auto"/>
            <w:vAlign w:val="center"/>
          </w:tcPr>
          <w:p w14:paraId="17822DB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color w:val="000000" w:themeColor="text1"/>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10.00 </w:t>
            </w:r>
          </w:p>
        </w:tc>
        <w:tc>
          <w:tcPr>
            <w:tcW w:w="580" w:type="dxa"/>
            <w:shd w:val="clear" w:color="auto" w:fill="auto"/>
            <w:vAlign w:val="center"/>
          </w:tcPr>
          <w:p w14:paraId="1F4F408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color w:val="000000" w:themeColor="text1"/>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4.17 </w:t>
            </w:r>
          </w:p>
        </w:tc>
        <w:tc>
          <w:tcPr>
            <w:tcW w:w="902" w:type="dxa"/>
            <w:shd w:val="clear" w:color="auto" w:fill="auto"/>
            <w:vAlign w:val="center"/>
          </w:tcPr>
          <w:p w14:paraId="407E04F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ascii="Times New Roman" w:hAnsi="Times New Roman" w:eastAsia="宋体" w:cs="Times New Roman"/>
                <w:color w:val="000000" w:themeColor="text1"/>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41.68%</w:t>
            </w:r>
          </w:p>
        </w:tc>
      </w:tr>
      <w:tr w14:paraId="303C4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23" w:type="dxa"/>
          </w:tblCellMar>
        </w:tblPrEx>
        <w:trPr>
          <w:trHeight w:val="397" w:hRule="atLeast"/>
        </w:trPr>
        <w:tc>
          <w:tcPr>
            <w:tcW w:w="990" w:type="dxa"/>
            <w:vMerge w:val="continue"/>
            <w:shd w:val="clear" w:color="auto" w:fill="auto"/>
            <w:vAlign w:val="center"/>
          </w:tcPr>
          <w:p w14:paraId="57152C43">
            <w:pPr>
              <w:widowControl/>
              <w:spacing w:line="240" w:lineRule="auto"/>
              <w:ind w:firstLine="0" w:firstLineChars="0"/>
              <w:jc w:val="center"/>
              <w:rPr>
                <w:color w:val="000000" w:themeColor="text1"/>
                <w14:textFill>
                  <w14:solidFill>
                    <w14:schemeClr w14:val="tx1"/>
                  </w14:solidFill>
                </w14:textFill>
              </w:rPr>
            </w:pPr>
          </w:p>
        </w:tc>
        <w:tc>
          <w:tcPr>
            <w:tcW w:w="1275" w:type="dxa"/>
            <w:vMerge w:val="continue"/>
            <w:shd w:val="clear" w:color="auto" w:fill="auto"/>
            <w:vAlign w:val="center"/>
          </w:tcPr>
          <w:p w14:paraId="18F1B7E6">
            <w:pPr>
              <w:widowControl/>
              <w:spacing w:line="240" w:lineRule="auto"/>
              <w:ind w:firstLine="0" w:firstLineChars="0"/>
              <w:jc w:val="left"/>
              <w:textAlignment w:val="center"/>
              <w:rPr>
                <w:rFonts w:hint="eastAsia" w:eastAsia="宋体"/>
                <w:color w:val="000000" w:themeColor="text1"/>
                <w:lang w:val="en-US" w:eastAsia="zh-CN" w:bidi="ar"/>
                <w14:textFill>
                  <w14:solidFill>
                    <w14:schemeClr w14:val="tx1"/>
                  </w14:solidFill>
                </w14:textFill>
              </w:rPr>
            </w:pPr>
          </w:p>
        </w:tc>
        <w:tc>
          <w:tcPr>
            <w:tcW w:w="2109" w:type="dxa"/>
            <w:shd w:val="clear" w:color="auto" w:fill="auto"/>
            <w:vAlign w:val="center"/>
          </w:tcPr>
          <w:p w14:paraId="2AF2306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C32受益纳统企业满意度</w:t>
            </w:r>
          </w:p>
        </w:tc>
        <w:tc>
          <w:tcPr>
            <w:tcW w:w="1089" w:type="dxa"/>
            <w:shd w:val="clear" w:color="auto" w:fill="auto"/>
            <w:vAlign w:val="center"/>
          </w:tcPr>
          <w:p w14:paraId="641ED59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color w:val="000000" w:themeColor="text1"/>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≥90.00%</w:t>
            </w:r>
          </w:p>
        </w:tc>
        <w:tc>
          <w:tcPr>
            <w:tcW w:w="889" w:type="dxa"/>
            <w:shd w:val="clear" w:color="auto" w:fill="auto"/>
            <w:vAlign w:val="center"/>
          </w:tcPr>
          <w:p w14:paraId="3C7BEA8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color w:val="000000" w:themeColor="text1"/>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92.96%</w:t>
            </w:r>
          </w:p>
        </w:tc>
        <w:tc>
          <w:tcPr>
            <w:tcW w:w="622" w:type="dxa"/>
            <w:shd w:val="clear" w:color="auto" w:fill="auto"/>
            <w:vAlign w:val="center"/>
          </w:tcPr>
          <w:p w14:paraId="5F75596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color w:val="000000" w:themeColor="text1"/>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10.00 </w:t>
            </w:r>
          </w:p>
        </w:tc>
        <w:tc>
          <w:tcPr>
            <w:tcW w:w="580" w:type="dxa"/>
            <w:shd w:val="clear" w:color="auto" w:fill="auto"/>
            <w:vAlign w:val="center"/>
          </w:tcPr>
          <w:p w14:paraId="6A44DBF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Times New Roman" w:hAnsi="Times New Roman" w:eastAsia="宋体" w:cs="Times New Roman"/>
                <w:color w:val="000000" w:themeColor="text1"/>
                <w:lang w:eastAsia="zh-CN"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 xml:space="preserve">10.00 </w:t>
            </w:r>
          </w:p>
        </w:tc>
        <w:tc>
          <w:tcPr>
            <w:tcW w:w="902" w:type="dxa"/>
            <w:shd w:val="clear" w:color="auto" w:fill="auto"/>
            <w:vAlign w:val="center"/>
          </w:tcPr>
          <w:p w14:paraId="3F874A7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ascii="Times New Roman" w:hAnsi="Times New Roman" w:eastAsia="宋体" w:cs="Times New Roman"/>
                <w:color w:val="000000" w:themeColor="text1"/>
                <w:lang w:bidi="ar"/>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100.00%</w:t>
            </w:r>
          </w:p>
        </w:tc>
      </w:tr>
      <w:tr w14:paraId="10C5A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23" w:type="dxa"/>
          </w:tblCellMar>
        </w:tblPrEx>
        <w:trPr>
          <w:trHeight w:val="397" w:hRule="atLeast"/>
        </w:trPr>
        <w:tc>
          <w:tcPr>
            <w:tcW w:w="6352" w:type="dxa"/>
            <w:gridSpan w:val="5"/>
            <w:shd w:val="clear" w:color="auto" w:fill="auto"/>
            <w:vAlign w:val="center"/>
          </w:tcPr>
          <w:p w14:paraId="51F870A9">
            <w:pPr>
              <w:widowControl/>
              <w:spacing w:line="240" w:lineRule="auto"/>
              <w:ind w:firstLine="0" w:firstLineChars="0"/>
              <w:jc w:val="center"/>
              <w:textAlignment w:val="center"/>
              <w:rPr>
                <w:b/>
                <w:bCs/>
                <w:color w:val="000000" w:themeColor="text1"/>
                <w:lang w:bidi="ar"/>
                <w14:textFill>
                  <w14:solidFill>
                    <w14:schemeClr w14:val="tx1"/>
                  </w14:solidFill>
                </w14:textFill>
              </w:rPr>
            </w:pPr>
            <w:r>
              <w:rPr>
                <w:b/>
                <w:bCs/>
                <w:color w:val="000000" w:themeColor="text1"/>
                <w14:textFill>
                  <w14:solidFill>
                    <w14:schemeClr w14:val="tx1"/>
                  </w14:solidFill>
                </w14:textFill>
              </w:rPr>
              <w:t>合计</w:t>
            </w:r>
          </w:p>
        </w:tc>
        <w:tc>
          <w:tcPr>
            <w:tcW w:w="622" w:type="dxa"/>
            <w:shd w:val="clear" w:color="auto" w:fill="auto"/>
            <w:vAlign w:val="center"/>
          </w:tcPr>
          <w:p w14:paraId="1A79EF5F">
            <w:pPr>
              <w:widowControl/>
              <w:spacing w:line="240" w:lineRule="auto"/>
              <w:ind w:firstLine="0" w:firstLineChars="0"/>
              <w:jc w:val="center"/>
              <w:textAlignment w:val="center"/>
              <w:rPr>
                <w:rFonts w:ascii="Times New Roman" w:hAnsi="Times New Roman" w:cs="Times New Roman"/>
                <w:b/>
                <w:bCs/>
                <w:color w:val="000000" w:themeColor="text1"/>
                <w14:textFill>
                  <w14:solidFill>
                    <w14:schemeClr w14:val="tx1"/>
                  </w14:solidFill>
                </w14:textFill>
              </w:rPr>
            </w:pPr>
            <w:r>
              <w:rPr>
                <w:rFonts w:hint="eastAsia" w:ascii="Times New Roman" w:hAnsi="Times New Roman" w:cs="Times New Roman"/>
                <w:b/>
                <w:bCs/>
                <w:color w:val="000000" w:themeColor="text1"/>
                <w:lang w:val="en-US" w:eastAsia="zh-CN"/>
                <w14:textFill>
                  <w14:solidFill>
                    <w14:schemeClr w14:val="tx1"/>
                  </w14:solidFill>
                </w14:textFill>
              </w:rPr>
              <w:t xml:space="preserve">60.00 </w:t>
            </w:r>
          </w:p>
        </w:tc>
        <w:tc>
          <w:tcPr>
            <w:tcW w:w="580" w:type="dxa"/>
            <w:shd w:val="clear" w:color="auto" w:fill="auto"/>
            <w:vAlign w:val="center"/>
          </w:tcPr>
          <w:p w14:paraId="2DC03470">
            <w:pPr>
              <w:widowControl/>
              <w:spacing w:line="240" w:lineRule="auto"/>
              <w:ind w:firstLine="0" w:firstLineChars="0"/>
              <w:jc w:val="center"/>
              <w:textAlignment w:val="center"/>
              <w:rPr>
                <w:rFonts w:hint="eastAsia" w:ascii="Times New Roman" w:hAnsi="Times New Roman" w:cs="Times New Roman"/>
                <w:b/>
                <w:bCs/>
                <w:color w:val="000000" w:themeColor="text1"/>
                <w:lang w:eastAsia="zh-CN"/>
                <w14:textFill>
                  <w14:solidFill>
                    <w14:schemeClr w14:val="tx1"/>
                  </w14:solidFill>
                </w14:textFill>
              </w:rPr>
            </w:pPr>
            <w:r>
              <w:rPr>
                <w:rFonts w:hint="eastAsia" w:ascii="Times New Roman" w:hAnsi="Times New Roman" w:cs="Times New Roman"/>
                <w:b/>
                <w:bCs/>
                <w:color w:val="000000" w:themeColor="text1"/>
                <w:lang w:val="en-US" w:eastAsia="zh-CN"/>
                <w14:textFill>
                  <w14:solidFill>
                    <w14:schemeClr w14:val="tx1"/>
                  </w14:solidFill>
                </w14:textFill>
              </w:rPr>
              <w:t xml:space="preserve">54.17 </w:t>
            </w:r>
          </w:p>
        </w:tc>
        <w:tc>
          <w:tcPr>
            <w:tcW w:w="902" w:type="dxa"/>
            <w:shd w:val="clear" w:color="auto" w:fill="auto"/>
            <w:vAlign w:val="center"/>
          </w:tcPr>
          <w:p w14:paraId="2936C2AC">
            <w:pPr>
              <w:widowControl/>
              <w:spacing w:line="240" w:lineRule="auto"/>
              <w:ind w:firstLine="0" w:firstLineChars="0"/>
              <w:jc w:val="center"/>
              <w:textAlignment w:val="center"/>
              <w:rPr>
                <w:rFonts w:ascii="Times New Roman" w:hAnsi="Times New Roman" w:cs="Times New Roman"/>
                <w:b/>
                <w:bCs/>
                <w:color w:val="000000" w:themeColor="text1"/>
                <w14:textFill>
                  <w14:solidFill>
                    <w14:schemeClr w14:val="tx1"/>
                  </w14:solidFill>
                </w14:textFill>
              </w:rPr>
            </w:pPr>
            <w:r>
              <w:rPr>
                <w:rFonts w:hint="eastAsia" w:ascii="Times New Roman" w:hAnsi="Times New Roman" w:cs="Times New Roman"/>
                <w:b/>
                <w:bCs/>
                <w:color w:val="000000" w:themeColor="text1"/>
                <w:lang w:val="en-US" w:eastAsia="zh-CN"/>
                <w14:textFill>
                  <w14:solidFill>
                    <w14:schemeClr w14:val="tx1"/>
                  </w14:solidFill>
                </w14:textFill>
              </w:rPr>
              <w:t>90.28%</w:t>
            </w:r>
          </w:p>
        </w:tc>
      </w:tr>
    </w:tbl>
    <w:p w14:paraId="5EF10032">
      <w:pPr>
        <w:spacing w:line="240" w:lineRule="auto"/>
        <w:ind w:firstLine="422"/>
        <w:rPr>
          <w:b/>
          <w:bCs/>
          <w:color w:val="000000" w:themeColor="text1"/>
          <w14:textFill>
            <w14:solidFill>
              <w14:schemeClr w14:val="tx1"/>
            </w14:solidFill>
          </w14:textFill>
        </w:rPr>
      </w:pPr>
    </w:p>
    <w:p w14:paraId="4E23B3B9">
      <w:pPr>
        <w:ind w:firstLine="422"/>
        <w:rPr>
          <w:b/>
          <w:bCs/>
          <w:color w:val="000000" w:themeColor="text1"/>
          <w14:textFill>
            <w14:solidFill>
              <w14:schemeClr w14:val="tx1"/>
            </w14:solidFill>
          </w14:textFill>
        </w:rPr>
      </w:pPr>
      <w:r>
        <w:rPr>
          <w:b/>
          <w:bCs/>
          <w:color w:val="000000" w:themeColor="text1"/>
          <w14:textFill>
            <w14:solidFill>
              <w14:schemeClr w14:val="tx1"/>
            </w14:solidFill>
          </w14:textFill>
        </w:rPr>
        <w:t>指标得分分析：</w:t>
      </w:r>
    </w:p>
    <w:p w14:paraId="2D7A5C59">
      <w:pPr>
        <w:ind w:firstLine="422"/>
        <w:outlineLvl w:val="2"/>
        <w:rPr>
          <w:b/>
          <w:bCs/>
          <w:color w:val="000000" w:themeColor="text1"/>
          <w14:textFill>
            <w14:solidFill>
              <w14:schemeClr w14:val="tx1"/>
            </w14:solidFill>
          </w14:textFill>
        </w:rPr>
      </w:pPr>
      <w:r>
        <w:rPr>
          <w:rFonts w:hint="eastAsia"/>
          <w:b/>
          <w:bCs/>
          <w:color w:val="000000" w:themeColor="text1"/>
          <w:lang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1</w:t>
      </w:r>
      <w:r>
        <w:rPr>
          <w:rFonts w:hint="eastAsia"/>
          <w:b/>
          <w:bCs/>
          <w:color w:val="000000" w:themeColor="text1"/>
          <w:lang w:eastAsia="zh-CN"/>
          <w14:textFill>
            <w14:solidFill>
              <w14:schemeClr w14:val="tx1"/>
            </w14:solidFill>
          </w14:textFill>
        </w:rPr>
        <w:t>）</w:t>
      </w:r>
      <w:r>
        <w:rPr>
          <w:rFonts w:hint="eastAsia"/>
          <w:b/>
          <w:bCs/>
          <w:color w:val="000000" w:themeColor="text1"/>
          <w14:textFill>
            <w14:solidFill>
              <w14:schemeClr w14:val="tx1"/>
            </w14:solidFill>
          </w14:textFill>
        </w:rPr>
        <w:t>C11撰写综合分析报告和专题分析报告数量</w:t>
      </w:r>
      <w:r>
        <w:rPr>
          <w:b/>
          <w:bCs/>
          <w:color w:val="000000" w:themeColor="text1"/>
          <w14:textFill>
            <w14:solidFill>
              <w14:schemeClr w14:val="tx1"/>
            </w14:solidFill>
          </w14:textFill>
        </w:rPr>
        <w:t>指标：</w:t>
      </w:r>
    </w:p>
    <w:p w14:paraId="06887D23">
      <w:pPr>
        <w:ind w:firstLine="420"/>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根据吉木萨尔县统计局提供的</w:t>
      </w:r>
      <w:r>
        <w:rPr>
          <w:rFonts w:hint="eastAsia" w:ascii="Times New Roman" w:hAnsi="Times New Roman" w:cs="Times New Roman" w:eastAsiaTheme="minorEastAsia"/>
          <w:color w:val="000000" w:themeColor="text1"/>
          <w:lang w:val="en-US" w:eastAsia="zh-CN"/>
          <w14:textFill>
            <w14:solidFill>
              <w14:schemeClr w14:val="tx1"/>
            </w14:solidFill>
          </w14:textFill>
        </w:rPr>
        <w:t>《吉木萨尔县统计局2024年工作总结》</w:t>
      </w:r>
      <w:r>
        <w:rPr>
          <w:rFonts w:hint="eastAsia" w:eastAsiaTheme="minorEastAsia"/>
          <w:color w:val="000000" w:themeColor="text1"/>
          <w:lang w:val="en-US" w:eastAsia="zh-CN"/>
          <w14:textFill>
            <w14:solidFill>
              <w14:schemeClr w14:val="tx1"/>
            </w14:solidFill>
          </w14:textFill>
        </w:rPr>
        <w:t>《2024年1-12月建筑业总产值原因分析》《2024年吉木萨尔县规上工业企业情况分析》</w:t>
      </w:r>
      <w:r>
        <w:rPr>
          <w:rFonts w:hint="eastAsia"/>
          <w:lang w:eastAsia="zh-CN"/>
        </w:rPr>
        <w:t>《652327吉木萨尔县2024年1-2月、</w:t>
      </w:r>
      <w:r>
        <w:rPr>
          <w:rFonts w:hint="eastAsia"/>
          <w:lang w:val="en-US" w:eastAsia="zh-CN"/>
        </w:rPr>
        <w:t>1-3月、1-5月、1-6月、1-7月、1-8月、1-9月、1-10月、1-11月、1-12月</w:t>
      </w:r>
      <w:r>
        <w:rPr>
          <w:rFonts w:hint="eastAsia"/>
          <w:lang w:eastAsia="zh-CN"/>
        </w:rPr>
        <w:t>规模以上工业效益指标变动情况说明》《吉木萨尔县2024年1-2月房地产开发投资运行分析》《吉木萨尔县固定资产投资与经济社会发展关系调研报告》《吉木萨尔县2024年1-9月建筑业运行情况分析》《吉木萨尔县2024年1-12月固定资产投资分析报告》《2024年吉木萨尔县县属规模以上工业生产情况》《吉木萨尔县2024年1-2月、</w:t>
      </w:r>
      <w:r>
        <w:rPr>
          <w:rFonts w:hint="eastAsia"/>
          <w:lang w:val="en-US" w:eastAsia="zh-CN"/>
        </w:rPr>
        <w:t>1-3月、1-5月、1-6月、1-7月、1-8月、1-9月、1-10月、1-11月、1-12月</w:t>
      </w:r>
      <w:r>
        <w:rPr>
          <w:rFonts w:hint="eastAsia"/>
          <w:lang w:eastAsia="zh-CN"/>
        </w:rPr>
        <w:t>经济运行分析》</w:t>
      </w:r>
      <w:r>
        <w:rPr>
          <w:rFonts w:hint="eastAsia" w:eastAsiaTheme="minorEastAsia"/>
          <w:color w:val="000000" w:themeColor="text1"/>
          <w:lang w:val="en-US" w:eastAsia="zh-CN"/>
          <w14:textFill>
            <w14:solidFill>
              <w14:schemeClr w14:val="tx1"/>
            </w14:solidFill>
          </w14:textFill>
        </w:rPr>
        <w:t>等资料显示，2024年吉木萨尔县统计局完成对规模以上工业企业、固定资产投资项目、限额以上批发零售住宿餐饮业和县域综合经济运行情况分析、实际完成撰写综合分析报告8篇，专题分析56篇，撰写综合分析报告和专题分析报告共64篇，达到预期目标。</w:t>
      </w:r>
    </w:p>
    <w:p w14:paraId="2BCF2329">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w:t>
      </w:r>
      <w:r>
        <w:rPr>
          <w:rFonts w:hint="eastAsia" w:eastAsiaTheme="minorEastAsia"/>
          <w:color w:val="000000" w:themeColor="text1"/>
          <w:lang w:val="en-US" w:eastAsia="zh-CN"/>
          <w14:textFill>
            <w14:solidFill>
              <w14:schemeClr w14:val="tx1"/>
            </w14:solidFill>
          </w14:textFill>
        </w:rPr>
        <w:t>6</w:t>
      </w:r>
      <w:r>
        <w:rPr>
          <w:rFonts w:eastAsiaTheme="minorEastAsia"/>
          <w:color w:val="000000" w:themeColor="text1"/>
          <w14:textFill>
            <w14:solidFill>
              <w14:schemeClr w14:val="tx1"/>
            </w14:solidFill>
          </w14:textFill>
        </w:rPr>
        <w:t>.00分，根据评分标准得</w:t>
      </w:r>
      <w:r>
        <w:rPr>
          <w:rFonts w:hint="eastAsia" w:eastAsiaTheme="minorEastAsia"/>
          <w:color w:val="000000" w:themeColor="text1"/>
          <w:lang w:val="en-US" w:eastAsia="zh-CN"/>
          <w14:textFill>
            <w14:solidFill>
              <w14:schemeClr w14:val="tx1"/>
            </w14:solidFill>
          </w14:textFill>
        </w:rPr>
        <w:t>6</w:t>
      </w:r>
      <w:r>
        <w:rPr>
          <w:rFonts w:eastAsiaTheme="minorEastAsia"/>
          <w:color w:val="000000" w:themeColor="text1"/>
          <w14:textFill>
            <w14:solidFill>
              <w14:schemeClr w14:val="tx1"/>
            </w14:solidFill>
          </w14:textFill>
        </w:rPr>
        <w:t>.00分。</w:t>
      </w:r>
    </w:p>
    <w:p w14:paraId="399FCF9D">
      <w:pPr>
        <w:ind w:firstLine="422"/>
        <w:outlineLvl w:val="2"/>
        <w:rPr>
          <w:rFonts w:hint="eastAsia" w:ascii="Times New Roman" w:hAnsi="Times New Roman" w:cs="Times New Roman"/>
          <w:b/>
          <w:bCs/>
          <w:color w:val="000000" w:themeColor="text1"/>
          <w:lang w:eastAsia="zh-CN"/>
          <w14:textFill>
            <w14:solidFill>
              <w14:schemeClr w14:val="tx1"/>
            </w14:solidFill>
          </w14:textFill>
        </w:rPr>
      </w:pPr>
      <w:r>
        <w:rPr>
          <w:rFonts w:hint="eastAsia" w:ascii="Times New Roman" w:hAnsi="Times New Roman" w:cs="Times New Roman"/>
          <w:b/>
          <w:bCs/>
          <w:color w:val="000000" w:themeColor="text1"/>
          <w:lang w:eastAsia="zh-CN"/>
          <w14:textFill>
            <w14:solidFill>
              <w14:schemeClr w14:val="tx1"/>
            </w14:solidFill>
          </w14:textFill>
        </w:rPr>
        <w:t>（</w:t>
      </w:r>
      <w:r>
        <w:rPr>
          <w:rFonts w:hint="eastAsia" w:ascii="Times New Roman" w:hAnsi="Times New Roman" w:cs="Times New Roman"/>
          <w:b/>
          <w:bCs/>
          <w:color w:val="000000" w:themeColor="text1"/>
          <w:lang w:val="en-US" w:eastAsia="zh-CN"/>
          <w14:textFill>
            <w14:solidFill>
              <w14:schemeClr w14:val="tx1"/>
            </w14:solidFill>
          </w14:textFill>
        </w:rPr>
        <w:t>2</w:t>
      </w:r>
      <w:r>
        <w:rPr>
          <w:rFonts w:hint="eastAsia" w:ascii="Times New Roman" w:hAnsi="Times New Roman" w:cs="Times New Roman"/>
          <w:b/>
          <w:bCs/>
          <w:color w:val="000000" w:themeColor="text1"/>
          <w:lang w:eastAsia="zh-CN"/>
          <w14:textFill>
            <w14:solidFill>
              <w14:schemeClr w14:val="tx1"/>
            </w14:solidFill>
          </w14:textFill>
        </w:rPr>
        <w:t>）C12统计数据质量保障率</w:t>
      </w:r>
      <w:r>
        <w:rPr>
          <w:b/>
          <w:bCs/>
          <w:color w:val="000000" w:themeColor="text1"/>
          <w14:textFill>
            <w14:solidFill>
              <w14:schemeClr w14:val="tx1"/>
            </w14:solidFill>
          </w14:textFill>
        </w:rPr>
        <w:t>指标：</w:t>
      </w:r>
    </w:p>
    <w:p w14:paraId="2C37CF40">
      <w:pPr>
        <w:ind w:firstLine="42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eastAsia" w:ascii="Times New Roman" w:hAnsi="Times New Roman" w:cs="Times New Roman" w:eastAsiaTheme="minorEastAsia"/>
          <w:color w:val="000000" w:themeColor="text1"/>
          <w:lang w:val="en-US" w:eastAsia="zh-CN"/>
          <w14:textFill>
            <w14:solidFill>
              <w14:schemeClr w14:val="tx1"/>
            </w14:solidFill>
          </w14:textFill>
        </w:rPr>
        <w:t>根据吉木萨尔县统计局提供的《吉木萨尔县统计局2024年工作总结》统计公报公开</w:t>
      </w:r>
      <w:r>
        <w:rPr>
          <w:rFonts w:hint="eastAsia" w:eastAsiaTheme="minorEastAsia"/>
          <w:color w:val="000000" w:themeColor="text1"/>
          <w:lang w:val="en-US" w:eastAsia="zh-CN"/>
          <w14:textFill>
            <w14:solidFill>
              <w14:schemeClr w14:val="tx1"/>
            </w14:solidFill>
          </w14:textFill>
        </w:rPr>
        <w:t>等资料显示，</w:t>
      </w:r>
      <w:r>
        <w:rPr>
          <w:rFonts w:hint="eastAsia" w:ascii="Times New Roman" w:hAnsi="Times New Roman" w:cs="Times New Roman" w:eastAsiaTheme="minorEastAsia"/>
          <w:color w:val="000000" w:themeColor="text1"/>
          <w:lang w:val="en-US" w:eastAsia="zh-CN"/>
          <w14:textFill>
            <w14:solidFill>
              <w14:schemeClr w14:val="tx1"/>
            </w14:solidFill>
          </w14:textFill>
        </w:rPr>
        <w:t>吉木萨尔县统计局制定了统计数据质量审核责任追究制度，明确主要领导、分管领导及专业人员工作职责，督促专业人员按照“随报随审，即报即审”的原则，规范建立原始记录，</w:t>
      </w:r>
      <w:r>
        <w:rPr>
          <w:rFonts w:hint="eastAsia" w:cs="Times New Roman" w:eastAsiaTheme="minorEastAsia"/>
          <w:color w:val="000000" w:themeColor="text1"/>
          <w:lang w:val="en-US" w:eastAsia="zh-CN"/>
          <w14:textFill>
            <w14:solidFill>
              <w14:schemeClr w14:val="tx1"/>
            </w14:solidFill>
          </w14:textFill>
        </w:rPr>
        <w:t>确保统计数据</w:t>
      </w:r>
      <w:r>
        <w:rPr>
          <w:rFonts w:hint="eastAsia" w:ascii="Times New Roman" w:hAnsi="Times New Roman" w:cs="Times New Roman" w:eastAsiaTheme="minorEastAsia"/>
          <w:color w:val="000000" w:themeColor="text1"/>
          <w:lang w:val="en-US" w:eastAsia="zh-CN"/>
          <w14:textFill>
            <w14:solidFill>
              <w14:schemeClr w14:val="tx1"/>
            </w14:solidFill>
          </w14:textFill>
        </w:rPr>
        <w:t>账表一致，</w:t>
      </w:r>
      <w:r>
        <w:rPr>
          <w:rFonts w:hint="eastAsia" w:cs="Times New Roman" w:eastAsiaTheme="minorEastAsia"/>
          <w:color w:val="000000" w:themeColor="text1"/>
          <w:lang w:val="en-US" w:eastAsia="zh-CN"/>
          <w14:textFill>
            <w14:solidFill>
              <w14:schemeClr w14:val="tx1"/>
            </w14:solidFill>
          </w14:textFill>
        </w:rPr>
        <w:t>保障统计</w:t>
      </w:r>
      <w:r>
        <w:rPr>
          <w:rFonts w:hint="eastAsia" w:ascii="Times New Roman" w:hAnsi="Times New Roman" w:cs="Times New Roman" w:eastAsiaTheme="minorEastAsia"/>
          <w:color w:val="000000" w:themeColor="text1"/>
          <w:lang w:val="en-US" w:eastAsia="zh-CN"/>
          <w14:textFill>
            <w14:solidFill>
              <w14:schemeClr w14:val="tx1"/>
            </w14:solidFill>
          </w14:textFill>
        </w:rPr>
        <w:t>数据质量。达到预期目标。</w:t>
      </w:r>
    </w:p>
    <w:p w14:paraId="7E452FF3">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w:t>
      </w:r>
      <w:r>
        <w:rPr>
          <w:rFonts w:hint="eastAsia" w:eastAsiaTheme="minorEastAsia"/>
          <w:color w:val="000000" w:themeColor="text1"/>
          <w:lang w:val="en-US" w:eastAsia="zh-CN"/>
          <w14:textFill>
            <w14:solidFill>
              <w14:schemeClr w14:val="tx1"/>
            </w14:solidFill>
          </w14:textFill>
        </w:rPr>
        <w:t>7</w:t>
      </w:r>
      <w:r>
        <w:rPr>
          <w:rFonts w:eastAsiaTheme="minorEastAsia"/>
          <w:color w:val="000000" w:themeColor="text1"/>
          <w14:textFill>
            <w14:solidFill>
              <w14:schemeClr w14:val="tx1"/>
            </w14:solidFill>
          </w14:textFill>
        </w:rPr>
        <w:t>.00分，根据评分标准得</w:t>
      </w:r>
      <w:r>
        <w:rPr>
          <w:rFonts w:hint="eastAsia" w:eastAsiaTheme="minorEastAsia"/>
          <w:color w:val="000000" w:themeColor="text1"/>
          <w:lang w:val="en-US" w:eastAsia="zh-CN"/>
          <w14:textFill>
            <w14:solidFill>
              <w14:schemeClr w14:val="tx1"/>
            </w14:solidFill>
          </w14:textFill>
        </w:rPr>
        <w:t>7</w:t>
      </w:r>
      <w:r>
        <w:rPr>
          <w:rFonts w:eastAsiaTheme="minorEastAsia"/>
          <w:color w:val="000000" w:themeColor="text1"/>
          <w14:textFill>
            <w14:solidFill>
              <w14:schemeClr w14:val="tx1"/>
            </w14:solidFill>
          </w14:textFill>
        </w:rPr>
        <w:t>.00分。</w:t>
      </w:r>
    </w:p>
    <w:p w14:paraId="39B39315">
      <w:pPr>
        <w:ind w:firstLine="422"/>
        <w:outlineLvl w:val="2"/>
        <w:rPr>
          <w:rFonts w:hint="eastAsia" w:ascii="Times New Roman" w:hAnsi="Times New Roman" w:cs="Times New Roman"/>
          <w:b/>
          <w:bCs/>
          <w:color w:val="000000" w:themeColor="text1"/>
          <w:lang w:eastAsia="zh-CN"/>
          <w14:textFill>
            <w14:solidFill>
              <w14:schemeClr w14:val="tx1"/>
            </w14:solidFill>
          </w14:textFill>
        </w:rPr>
      </w:pPr>
      <w:r>
        <w:rPr>
          <w:rFonts w:hint="eastAsia" w:ascii="Times New Roman" w:hAnsi="Times New Roman" w:cs="Times New Roman"/>
          <w:b/>
          <w:bCs/>
          <w:color w:val="000000" w:themeColor="text1"/>
          <w:lang w:eastAsia="zh-CN"/>
          <w14:textFill>
            <w14:solidFill>
              <w14:schemeClr w14:val="tx1"/>
            </w14:solidFill>
          </w14:textFill>
        </w:rPr>
        <w:t>（</w:t>
      </w:r>
      <w:r>
        <w:rPr>
          <w:rFonts w:hint="eastAsia" w:ascii="Times New Roman" w:hAnsi="Times New Roman" w:cs="Times New Roman"/>
          <w:b/>
          <w:bCs/>
          <w:color w:val="000000" w:themeColor="text1"/>
          <w:lang w:val="en-US" w:eastAsia="zh-CN"/>
          <w14:textFill>
            <w14:solidFill>
              <w14:schemeClr w14:val="tx1"/>
            </w14:solidFill>
          </w14:textFill>
        </w:rPr>
        <w:t>3</w:t>
      </w:r>
      <w:r>
        <w:rPr>
          <w:rFonts w:hint="eastAsia" w:ascii="Times New Roman" w:hAnsi="Times New Roman" w:cs="Times New Roman"/>
          <w:b/>
          <w:bCs/>
          <w:color w:val="000000" w:themeColor="text1"/>
          <w:lang w:eastAsia="zh-CN"/>
          <w14:textFill>
            <w14:solidFill>
              <w14:schemeClr w14:val="tx1"/>
            </w14:solidFill>
          </w14:textFill>
        </w:rPr>
        <w:t>）C13统计上门服务完成率</w:t>
      </w:r>
      <w:r>
        <w:rPr>
          <w:b/>
          <w:bCs/>
          <w:color w:val="000000" w:themeColor="text1"/>
          <w14:textFill>
            <w14:solidFill>
              <w14:schemeClr w14:val="tx1"/>
            </w14:solidFill>
          </w14:textFill>
        </w:rPr>
        <w:t>指标：</w:t>
      </w:r>
    </w:p>
    <w:p w14:paraId="78D341BC">
      <w:pPr>
        <w:ind w:firstLine="420"/>
        <w:rPr>
          <w:rFonts w:hint="default" w:eastAsiaTheme="minorEastAsia"/>
          <w:color w:val="000000" w:themeColor="text1"/>
          <w:lang w:val="en-US" w:eastAsia="zh-CN"/>
          <w14:textFill>
            <w14:solidFill>
              <w14:schemeClr w14:val="tx1"/>
            </w14:solidFill>
          </w14:textFill>
        </w:rPr>
      </w:pPr>
      <w:r>
        <w:rPr>
          <w:rFonts w:hint="eastAsia" w:ascii="Times New Roman" w:hAnsi="Times New Roman" w:cs="Times New Roman" w:eastAsiaTheme="minorEastAsia"/>
          <w:color w:val="000000" w:themeColor="text1"/>
          <w:lang w:val="en-US" w:eastAsia="zh-CN"/>
          <w14:textFill>
            <w14:solidFill>
              <w14:schemeClr w14:val="tx1"/>
            </w14:solidFill>
          </w14:textFill>
        </w:rPr>
        <w:t>根据吉木萨尔县统计局提供的《吉木萨尔县统计局2024年工作总结》</w:t>
      </w:r>
      <w:r>
        <w:rPr>
          <w:rFonts w:hint="eastAsia" w:eastAsiaTheme="minorEastAsia"/>
          <w:color w:val="000000" w:themeColor="text1"/>
          <w:lang w:val="en-US" w:eastAsia="zh-CN"/>
          <w14:textFill>
            <w14:solidFill>
              <w14:schemeClr w14:val="tx1"/>
            </w14:solidFill>
          </w14:textFill>
        </w:rPr>
        <w:t>等资料显示，</w:t>
      </w:r>
      <w:r>
        <w:rPr>
          <w:rFonts w:hint="eastAsia" w:ascii="Times New Roman" w:hAnsi="Times New Roman" w:cs="Times New Roman" w:eastAsiaTheme="minorEastAsia"/>
          <w:color w:val="000000" w:themeColor="text1"/>
          <w:lang w:val="en-US" w:eastAsia="zh-CN"/>
          <w14:textFill>
            <w14:solidFill>
              <w14:schemeClr w14:val="tx1"/>
            </w14:solidFill>
          </w14:textFill>
        </w:rPr>
        <w:t>吉木萨尔县统计局对乡镇全覆盖走访指导2次，对全县120户城乡住户调查户进行现场指导72户，达138人次。统计上门服务完成率为100%。达到预期目标。</w:t>
      </w:r>
    </w:p>
    <w:p w14:paraId="5FEA0D5C">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w:t>
      </w:r>
      <w:r>
        <w:rPr>
          <w:rFonts w:hint="eastAsia" w:eastAsiaTheme="minorEastAsia"/>
          <w:color w:val="000000" w:themeColor="text1"/>
          <w:lang w:val="en-US" w:eastAsia="zh-CN"/>
          <w14:textFill>
            <w14:solidFill>
              <w14:schemeClr w14:val="tx1"/>
            </w14:solidFill>
          </w14:textFill>
        </w:rPr>
        <w:t>6</w:t>
      </w:r>
      <w:r>
        <w:rPr>
          <w:rFonts w:eastAsiaTheme="minorEastAsia"/>
          <w:color w:val="000000" w:themeColor="text1"/>
          <w14:textFill>
            <w14:solidFill>
              <w14:schemeClr w14:val="tx1"/>
            </w14:solidFill>
          </w14:textFill>
        </w:rPr>
        <w:t>.00分，根据评分标准得</w:t>
      </w:r>
      <w:r>
        <w:rPr>
          <w:rFonts w:hint="eastAsia" w:eastAsiaTheme="minorEastAsia"/>
          <w:color w:val="000000" w:themeColor="text1"/>
          <w:lang w:val="en-US" w:eastAsia="zh-CN"/>
          <w14:textFill>
            <w14:solidFill>
              <w14:schemeClr w14:val="tx1"/>
            </w14:solidFill>
          </w14:textFill>
        </w:rPr>
        <w:t>6</w:t>
      </w:r>
      <w:r>
        <w:rPr>
          <w:rFonts w:eastAsiaTheme="minorEastAsia"/>
          <w:color w:val="000000" w:themeColor="text1"/>
          <w14:textFill>
            <w14:solidFill>
              <w14:schemeClr w14:val="tx1"/>
            </w14:solidFill>
          </w14:textFill>
        </w:rPr>
        <w:t>.00分。</w:t>
      </w:r>
    </w:p>
    <w:p w14:paraId="35E2F8C1">
      <w:pPr>
        <w:ind w:firstLine="422"/>
        <w:outlineLvl w:val="2"/>
        <w:rPr>
          <w:rFonts w:hint="eastAsia"/>
          <w:b/>
          <w:bCs/>
          <w:color w:val="000000" w:themeColor="text1"/>
          <w14:textFill>
            <w14:solidFill>
              <w14:schemeClr w14:val="tx1"/>
            </w14:solidFill>
          </w14:textFill>
        </w:rPr>
      </w:pPr>
      <w:r>
        <w:rPr>
          <w:rFonts w:hint="eastAsia"/>
          <w:b/>
          <w:bCs/>
          <w:color w:val="000000" w:themeColor="text1"/>
          <w:lang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4</w:t>
      </w:r>
      <w:r>
        <w:rPr>
          <w:rFonts w:hint="eastAsia"/>
          <w:b/>
          <w:bCs/>
          <w:color w:val="000000" w:themeColor="text1"/>
          <w:lang w:eastAsia="zh-CN"/>
          <w14:textFill>
            <w14:solidFill>
              <w14:schemeClr w14:val="tx1"/>
            </w14:solidFill>
          </w14:textFill>
        </w:rPr>
        <w:t>）</w:t>
      </w:r>
      <w:r>
        <w:rPr>
          <w:rFonts w:hint="eastAsia"/>
          <w:b/>
          <w:bCs/>
          <w:color w:val="000000" w:themeColor="text1"/>
          <w14:textFill>
            <w14:solidFill>
              <w14:schemeClr w14:val="tx1"/>
            </w14:solidFill>
          </w14:textFill>
        </w:rPr>
        <w:t>C</w:t>
      </w:r>
      <w:r>
        <w:rPr>
          <w:rFonts w:hint="eastAsia"/>
          <w:b/>
          <w:bCs/>
          <w:color w:val="000000" w:themeColor="text1"/>
          <w:lang w:val="en-US" w:eastAsia="zh-CN"/>
          <w14:textFill>
            <w14:solidFill>
              <w14:schemeClr w14:val="tx1"/>
            </w14:solidFill>
          </w14:textFill>
        </w:rPr>
        <w:t>21</w:t>
      </w:r>
      <w:r>
        <w:rPr>
          <w:rFonts w:hint="eastAsia"/>
          <w:b/>
          <w:bCs/>
          <w:color w:val="000000" w:themeColor="text1"/>
          <w14:textFill>
            <w14:solidFill>
              <w14:schemeClr w14:val="tx1"/>
            </w14:solidFill>
          </w14:textFill>
        </w:rPr>
        <w:t>第五次全国经济普查共登记一套表单位</w:t>
      </w:r>
      <w:r>
        <w:rPr>
          <w:b/>
          <w:bCs/>
          <w:color w:val="000000" w:themeColor="text1"/>
          <w14:textFill>
            <w14:solidFill>
              <w14:schemeClr w14:val="tx1"/>
            </w14:solidFill>
          </w14:textFill>
        </w:rPr>
        <w:t>指标：</w:t>
      </w:r>
    </w:p>
    <w:p w14:paraId="19026141">
      <w:pPr>
        <w:ind w:firstLine="420"/>
        <w:rPr>
          <w:rFonts w:hint="eastAsia" w:eastAsiaTheme="minorEastAsia"/>
          <w:color w:val="000000" w:themeColor="text1"/>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根据吉木萨尔县统计局提供的《一套表单位五经普登记明细》等资料显示</w:t>
      </w:r>
      <w:r>
        <w:rPr>
          <w:rFonts w:hint="eastAsia" w:eastAsiaTheme="minorEastAsia"/>
          <w:color w:val="000000" w:themeColor="text1"/>
          <w14:textFill>
            <w14:solidFill>
              <w14:schemeClr w14:val="tx1"/>
            </w14:solidFill>
          </w14:textFill>
        </w:rPr>
        <w:t>，</w:t>
      </w:r>
      <w:r>
        <w:rPr>
          <w:rFonts w:hint="eastAsia" w:eastAsiaTheme="minorEastAsia"/>
          <w:color w:val="000000" w:themeColor="text1"/>
          <w:lang w:eastAsia="zh-CN"/>
          <w14:textFill>
            <w14:solidFill>
              <w14:schemeClr w14:val="tx1"/>
            </w14:solidFill>
          </w14:textFill>
        </w:rPr>
        <w:t>2024</w:t>
      </w:r>
      <w:r>
        <w:rPr>
          <w:rFonts w:hint="eastAsia" w:eastAsiaTheme="minorEastAsia"/>
          <w:color w:val="000000" w:themeColor="text1"/>
          <w14:textFill>
            <w14:solidFill>
              <w14:schemeClr w14:val="tx1"/>
            </w14:solidFill>
          </w14:textFill>
        </w:rPr>
        <w:t>年</w:t>
      </w:r>
      <w:r>
        <w:rPr>
          <w:rFonts w:hint="eastAsia" w:eastAsiaTheme="minorEastAsia"/>
          <w:color w:val="000000" w:themeColor="text1"/>
          <w:lang w:val="en-US" w:eastAsia="zh-CN"/>
          <w14:textFill>
            <w14:solidFill>
              <w14:schemeClr w14:val="tx1"/>
            </w14:solidFill>
          </w14:textFill>
        </w:rPr>
        <w:t>统计局</w:t>
      </w:r>
      <w:r>
        <w:rPr>
          <w:rFonts w:hint="eastAsia" w:eastAsiaTheme="minorEastAsia"/>
          <w:color w:val="000000" w:themeColor="text1"/>
          <w14:textFill>
            <w14:solidFill>
              <w14:schemeClr w14:val="tx1"/>
            </w14:solidFill>
          </w14:textFill>
        </w:rPr>
        <w:t>第五次全国经济普查共登记一套表单位</w:t>
      </w:r>
      <w:r>
        <w:rPr>
          <w:rFonts w:hint="eastAsia" w:eastAsiaTheme="minorEastAsia"/>
          <w:color w:val="000000" w:themeColor="text1"/>
          <w:lang w:val="en-US" w:eastAsia="zh-CN"/>
          <w14:textFill>
            <w14:solidFill>
              <w14:schemeClr w14:val="tx1"/>
            </w14:solidFill>
          </w14:textFill>
        </w:rPr>
        <w:t>共136家，</w:t>
      </w:r>
      <w:r>
        <w:rPr>
          <w:rFonts w:hint="eastAsia" w:eastAsiaTheme="minorEastAsia"/>
          <w:color w:val="000000" w:themeColor="text1"/>
          <w14:textFill>
            <w14:solidFill>
              <w14:schemeClr w14:val="tx1"/>
            </w14:solidFill>
          </w14:textFill>
        </w:rPr>
        <w:t>达到预期目标。</w:t>
      </w:r>
    </w:p>
    <w:p w14:paraId="2FE8C599">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w:t>
      </w:r>
      <w:r>
        <w:rPr>
          <w:rFonts w:hint="eastAsia" w:eastAsiaTheme="minorEastAsia"/>
          <w:color w:val="000000" w:themeColor="text1"/>
          <w:lang w:val="en-US" w:eastAsia="zh-CN"/>
          <w14:textFill>
            <w14:solidFill>
              <w14:schemeClr w14:val="tx1"/>
            </w14:solidFill>
          </w14:textFill>
        </w:rPr>
        <w:t>5</w:t>
      </w:r>
      <w:r>
        <w:rPr>
          <w:rFonts w:eastAsiaTheme="minorEastAsia"/>
          <w:color w:val="000000" w:themeColor="text1"/>
          <w14:textFill>
            <w14:solidFill>
              <w14:schemeClr w14:val="tx1"/>
            </w14:solidFill>
          </w14:textFill>
        </w:rPr>
        <w:t>.00分，根据评分标准得</w:t>
      </w:r>
      <w:r>
        <w:rPr>
          <w:rFonts w:hint="eastAsia" w:eastAsiaTheme="minorEastAsia"/>
          <w:color w:val="000000" w:themeColor="text1"/>
          <w:lang w:val="en-US" w:eastAsia="zh-CN"/>
          <w14:textFill>
            <w14:solidFill>
              <w14:schemeClr w14:val="tx1"/>
            </w14:solidFill>
          </w14:textFill>
        </w:rPr>
        <w:t>5</w:t>
      </w:r>
      <w:r>
        <w:rPr>
          <w:rFonts w:eastAsiaTheme="minorEastAsia"/>
          <w:color w:val="000000" w:themeColor="text1"/>
          <w14:textFill>
            <w14:solidFill>
              <w14:schemeClr w14:val="tx1"/>
            </w14:solidFill>
          </w14:textFill>
        </w:rPr>
        <w:t>.00分。</w:t>
      </w:r>
    </w:p>
    <w:p w14:paraId="502D1158">
      <w:pPr>
        <w:ind w:firstLine="422"/>
        <w:outlineLvl w:val="2"/>
        <w:rPr>
          <w:rFonts w:hint="eastAsia"/>
          <w:b/>
          <w:bCs/>
          <w:color w:val="000000" w:themeColor="text1"/>
          <w14:textFill>
            <w14:solidFill>
              <w14:schemeClr w14:val="tx1"/>
            </w14:solidFill>
          </w14:textFill>
        </w:rPr>
      </w:pPr>
      <w:r>
        <w:rPr>
          <w:rFonts w:hint="eastAsia"/>
          <w:b/>
          <w:bCs/>
          <w:color w:val="000000" w:themeColor="text1"/>
          <w:lang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5</w:t>
      </w:r>
      <w:r>
        <w:rPr>
          <w:rFonts w:hint="eastAsia"/>
          <w:b/>
          <w:bCs/>
          <w:color w:val="000000" w:themeColor="text1"/>
          <w:lang w:eastAsia="zh-CN"/>
          <w14:textFill>
            <w14:solidFill>
              <w14:schemeClr w14:val="tx1"/>
            </w14:solidFill>
          </w14:textFill>
        </w:rPr>
        <w:t>）</w:t>
      </w:r>
      <w:r>
        <w:rPr>
          <w:rFonts w:hint="eastAsia"/>
          <w:b/>
          <w:bCs/>
          <w:color w:val="000000" w:themeColor="text1"/>
          <w14:textFill>
            <w14:solidFill>
              <w14:schemeClr w14:val="tx1"/>
            </w14:solidFill>
          </w14:textFill>
        </w:rPr>
        <w:t>C</w:t>
      </w:r>
      <w:r>
        <w:rPr>
          <w:rFonts w:hint="eastAsia"/>
          <w:b/>
          <w:bCs/>
          <w:color w:val="000000" w:themeColor="text1"/>
          <w:lang w:val="en-US" w:eastAsia="zh-CN"/>
          <w14:textFill>
            <w14:solidFill>
              <w14:schemeClr w14:val="tx1"/>
            </w14:solidFill>
          </w14:textFill>
        </w:rPr>
        <w:t>22</w:t>
      </w:r>
      <w:r>
        <w:rPr>
          <w:rFonts w:hint="eastAsia"/>
          <w:b/>
          <w:bCs/>
          <w:color w:val="000000" w:themeColor="text1"/>
          <w14:textFill>
            <w14:solidFill>
              <w14:schemeClr w14:val="tx1"/>
            </w14:solidFill>
          </w14:textFill>
        </w:rPr>
        <w:t>第五次全国经济普查上报率</w:t>
      </w:r>
      <w:r>
        <w:rPr>
          <w:b/>
          <w:bCs/>
          <w:color w:val="000000" w:themeColor="text1"/>
          <w14:textFill>
            <w14:solidFill>
              <w14:schemeClr w14:val="tx1"/>
            </w14:solidFill>
          </w14:textFill>
        </w:rPr>
        <w:t>指标：</w:t>
      </w:r>
    </w:p>
    <w:p w14:paraId="732C919E">
      <w:pPr>
        <w:ind w:firstLine="420"/>
        <w:rPr>
          <w:rFonts w:hint="eastAsia" w:ascii="Times New Roman" w:hAnsi="Times New Roman" w:cs="Times New Roman" w:eastAsiaTheme="minorEastAsia"/>
          <w:color w:val="000000" w:themeColor="text1"/>
          <w:lang w:val="en-US" w:eastAsia="zh-CN"/>
          <w14:textFill>
            <w14:solidFill>
              <w14:schemeClr w14:val="tx1"/>
            </w14:solidFill>
          </w14:textFill>
        </w:rPr>
      </w:pPr>
      <w:r>
        <w:rPr>
          <w:rFonts w:hint="eastAsia" w:ascii="Times New Roman" w:hAnsi="Times New Roman" w:cs="Times New Roman" w:eastAsiaTheme="minorEastAsia"/>
          <w:color w:val="000000" w:themeColor="text1"/>
          <w:lang w:val="en-US" w:eastAsia="zh-CN"/>
          <w14:textFill>
            <w14:solidFill>
              <w14:schemeClr w14:val="tx1"/>
            </w14:solidFill>
          </w14:textFill>
        </w:rPr>
        <w:t>根据吉木萨尔县统计局提供的《吉木萨尔县第五次全国经济普查工作总结》资料显示，2024年吉木萨尔县统计局高质量完成普查登记工作，第五次全国经济普查上报率100%。达到预期目标。</w:t>
      </w:r>
    </w:p>
    <w:p w14:paraId="63C29E97">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w:t>
      </w:r>
      <w:r>
        <w:rPr>
          <w:rFonts w:hint="eastAsia" w:eastAsiaTheme="minorEastAsia"/>
          <w:color w:val="000000" w:themeColor="text1"/>
          <w:lang w:val="en-US" w:eastAsia="zh-CN"/>
          <w14:textFill>
            <w14:solidFill>
              <w14:schemeClr w14:val="tx1"/>
            </w14:solidFill>
          </w14:textFill>
        </w:rPr>
        <w:t>5.</w:t>
      </w:r>
      <w:r>
        <w:rPr>
          <w:rFonts w:eastAsiaTheme="minorEastAsia"/>
          <w:color w:val="000000" w:themeColor="text1"/>
          <w14:textFill>
            <w14:solidFill>
              <w14:schemeClr w14:val="tx1"/>
            </w14:solidFill>
          </w14:textFill>
        </w:rPr>
        <w:t>00分，根据评分标准得</w:t>
      </w:r>
      <w:r>
        <w:rPr>
          <w:rFonts w:hint="eastAsia" w:eastAsiaTheme="minorEastAsia"/>
          <w:color w:val="000000" w:themeColor="text1"/>
          <w:lang w:val="en-US" w:eastAsia="zh-CN"/>
          <w14:textFill>
            <w14:solidFill>
              <w14:schemeClr w14:val="tx1"/>
            </w14:solidFill>
          </w14:textFill>
        </w:rPr>
        <w:t>5</w:t>
      </w:r>
      <w:r>
        <w:rPr>
          <w:rFonts w:eastAsiaTheme="minorEastAsia"/>
          <w:color w:val="000000" w:themeColor="text1"/>
          <w14:textFill>
            <w14:solidFill>
              <w14:schemeClr w14:val="tx1"/>
            </w14:solidFill>
          </w14:textFill>
        </w:rPr>
        <w:t>.00分。</w:t>
      </w:r>
    </w:p>
    <w:p w14:paraId="23B5C39B">
      <w:pPr>
        <w:ind w:firstLine="422"/>
        <w:outlineLvl w:val="2"/>
        <w:rPr>
          <w:rFonts w:hint="eastAsia"/>
          <w:b/>
          <w:bCs/>
          <w:color w:val="000000" w:themeColor="text1"/>
          <w14:textFill>
            <w14:solidFill>
              <w14:schemeClr w14:val="tx1"/>
            </w14:solidFill>
          </w14:textFill>
        </w:rPr>
      </w:pPr>
      <w:r>
        <w:rPr>
          <w:rFonts w:hint="eastAsia"/>
          <w:b/>
          <w:bCs/>
          <w:color w:val="000000" w:themeColor="text1"/>
          <w:lang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6</w:t>
      </w:r>
      <w:r>
        <w:rPr>
          <w:rFonts w:hint="eastAsia"/>
          <w:b/>
          <w:bCs/>
          <w:color w:val="000000" w:themeColor="text1"/>
          <w:lang w:eastAsia="zh-CN"/>
          <w14:textFill>
            <w14:solidFill>
              <w14:schemeClr w14:val="tx1"/>
            </w14:solidFill>
          </w14:textFill>
        </w:rPr>
        <w:t>）</w:t>
      </w:r>
      <w:r>
        <w:rPr>
          <w:rFonts w:hint="eastAsia"/>
          <w:b/>
          <w:bCs/>
          <w:color w:val="000000" w:themeColor="text1"/>
          <w14:textFill>
            <w14:solidFill>
              <w14:schemeClr w14:val="tx1"/>
            </w14:solidFill>
          </w14:textFill>
        </w:rPr>
        <w:t>C23第五次经济普查工作完成及时性</w:t>
      </w:r>
      <w:r>
        <w:rPr>
          <w:b/>
          <w:bCs/>
          <w:color w:val="000000" w:themeColor="text1"/>
          <w14:textFill>
            <w14:solidFill>
              <w14:schemeClr w14:val="tx1"/>
            </w14:solidFill>
          </w14:textFill>
        </w:rPr>
        <w:t>指标：</w:t>
      </w:r>
    </w:p>
    <w:p w14:paraId="5823E360">
      <w:pPr>
        <w:ind w:firstLine="420"/>
        <w:rPr>
          <w:rFonts w:hint="eastAsia" w:ascii="Times New Roman" w:hAnsi="Times New Roman" w:cs="Times New Roman" w:eastAsiaTheme="minorEastAsia"/>
          <w:color w:val="000000" w:themeColor="text1"/>
          <w:lang w:val="en-US" w:eastAsia="zh-CN"/>
          <w14:textFill>
            <w14:solidFill>
              <w14:schemeClr w14:val="tx1"/>
            </w14:solidFill>
          </w14:textFill>
        </w:rPr>
      </w:pPr>
      <w:r>
        <w:rPr>
          <w:rFonts w:hint="eastAsia" w:ascii="Times New Roman" w:hAnsi="Times New Roman" w:cs="Times New Roman" w:eastAsiaTheme="minorEastAsia"/>
          <w:color w:val="000000" w:themeColor="text1"/>
          <w:lang w:val="en-US" w:eastAsia="zh-CN"/>
          <w14:textFill>
            <w14:solidFill>
              <w14:schemeClr w14:val="tx1"/>
            </w14:solidFill>
          </w14:textFill>
        </w:rPr>
        <w:t>根据吉木萨尔县统计局提供的《吉木萨尔县第五次全国经济普查工作总结》资料显示，2024年统计局在2024年8月2日编制完成《吉木萨尔县第五次全国经济普查工作总结》，已按要求完成任务。达到预期目标。</w:t>
      </w:r>
    </w:p>
    <w:p w14:paraId="5E57046C">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w:t>
      </w:r>
      <w:r>
        <w:rPr>
          <w:rFonts w:hint="eastAsia" w:eastAsiaTheme="minorEastAsia"/>
          <w:color w:val="000000" w:themeColor="text1"/>
          <w:lang w:val="en-US" w:eastAsia="zh-CN"/>
          <w14:textFill>
            <w14:solidFill>
              <w14:schemeClr w14:val="tx1"/>
            </w14:solidFill>
          </w14:textFill>
        </w:rPr>
        <w:t>6</w:t>
      </w:r>
      <w:r>
        <w:rPr>
          <w:rFonts w:eastAsiaTheme="minorEastAsia"/>
          <w:color w:val="000000" w:themeColor="text1"/>
          <w14:textFill>
            <w14:solidFill>
              <w14:schemeClr w14:val="tx1"/>
            </w14:solidFill>
          </w14:textFill>
        </w:rPr>
        <w:t>.00分，根据评分标准得</w:t>
      </w:r>
      <w:r>
        <w:rPr>
          <w:rFonts w:hint="eastAsia" w:eastAsiaTheme="minorEastAsia"/>
          <w:color w:val="000000" w:themeColor="text1"/>
          <w:lang w:val="en-US" w:eastAsia="zh-CN"/>
          <w14:textFill>
            <w14:solidFill>
              <w14:schemeClr w14:val="tx1"/>
            </w14:solidFill>
          </w14:textFill>
        </w:rPr>
        <w:t>6</w:t>
      </w:r>
      <w:r>
        <w:rPr>
          <w:rFonts w:eastAsiaTheme="minorEastAsia"/>
          <w:color w:val="000000" w:themeColor="text1"/>
          <w14:textFill>
            <w14:solidFill>
              <w14:schemeClr w14:val="tx1"/>
            </w14:solidFill>
          </w14:textFill>
        </w:rPr>
        <w:t>.00分。</w:t>
      </w:r>
    </w:p>
    <w:p w14:paraId="6203D64A">
      <w:pPr>
        <w:ind w:firstLine="422"/>
        <w:outlineLvl w:val="2"/>
        <w:rPr>
          <w:rFonts w:hint="eastAsia"/>
          <w:b/>
          <w:bCs/>
          <w:color w:val="000000" w:themeColor="text1"/>
          <w:lang w:eastAsia="zh-CN"/>
          <w14:textFill>
            <w14:solidFill>
              <w14:schemeClr w14:val="tx1"/>
            </w14:solidFill>
          </w14:textFill>
        </w:rPr>
      </w:pPr>
      <w:r>
        <w:rPr>
          <w:rFonts w:hint="eastAsia"/>
          <w:b/>
          <w:bCs/>
          <w:color w:val="000000" w:themeColor="text1"/>
          <w:lang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7</w:t>
      </w:r>
      <w:r>
        <w:rPr>
          <w:rFonts w:hint="eastAsia"/>
          <w:b/>
          <w:bCs/>
          <w:color w:val="000000" w:themeColor="text1"/>
          <w:lang w:eastAsia="zh-CN"/>
          <w14:textFill>
            <w14:solidFill>
              <w14:schemeClr w14:val="tx1"/>
            </w14:solidFill>
          </w14:textFill>
        </w:rPr>
        <w:t>）C24第五次经济普查数据填报综合差错率</w:t>
      </w:r>
      <w:r>
        <w:rPr>
          <w:rFonts w:hint="eastAsia"/>
          <w:b/>
          <w:bCs/>
          <w:color w:val="000000" w:themeColor="text1"/>
          <w:lang w:val="en-US" w:eastAsia="zh-CN"/>
          <w14:textFill>
            <w14:solidFill>
              <w14:schemeClr w14:val="tx1"/>
            </w14:solidFill>
          </w14:textFill>
        </w:rPr>
        <w:t>指标：</w:t>
      </w:r>
    </w:p>
    <w:p w14:paraId="6BA3F611">
      <w:pPr>
        <w:ind w:firstLine="42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eastAsia" w:ascii="Times New Roman" w:hAnsi="Times New Roman" w:cs="Times New Roman" w:eastAsiaTheme="minorEastAsia"/>
          <w:color w:val="000000" w:themeColor="text1"/>
          <w:lang w:val="en-US" w:eastAsia="zh-CN"/>
          <w14:textFill>
            <w14:solidFill>
              <w14:schemeClr w14:val="tx1"/>
            </w14:solidFill>
          </w14:textFill>
        </w:rPr>
        <w:t>根据吉木萨尔县统计局提供的《吉木萨尔县统计局2024年工作总结》《新疆维吾尔自治区第五次全国经济普查公报（第一号）》</w:t>
      </w:r>
      <w:r>
        <w:rPr>
          <w:rFonts w:hint="eastAsia" w:eastAsiaTheme="minorEastAsia"/>
          <w:color w:val="000000" w:themeColor="text1"/>
          <w:lang w:val="en-US" w:eastAsia="zh-CN"/>
          <w14:textFill>
            <w14:solidFill>
              <w14:schemeClr w14:val="tx1"/>
            </w14:solidFill>
          </w14:textFill>
        </w:rPr>
        <w:t>等资料显示：</w:t>
      </w:r>
      <w:r>
        <w:rPr>
          <w:rFonts w:hint="eastAsia" w:ascii="Times New Roman" w:hAnsi="Times New Roman" w:cs="Times New Roman" w:eastAsiaTheme="minorEastAsia"/>
          <w:color w:val="000000" w:themeColor="text1"/>
          <w:lang w:val="en-US" w:eastAsia="zh-CN"/>
          <w14:textFill>
            <w14:solidFill>
              <w14:schemeClr w14:val="tx1"/>
            </w14:solidFill>
          </w14:textFill>
        </w:rPr>
        <w:t>“为检验各地普查工作成效和普查数据质量，新疆经普办组织开展全国经济普查</w:t>
      </w:r>
      <w:r>
        <w:rPr>
          <w:rFonts w:hint="eastAsia" w:cs="Times New Roman" w:eastAsiaTheme="minorEastAsia"/>
          <w:color w:val="000000" w:themeColor="text1"/>
          <w:lang w:val="en-US" w:eastAsia="zh-CN"/>
          <w14:textFill>
            <w14:solidFill>
              <w14:schemeClr w14:val="tx1"/>
            </w14:solidFill>
          </w14:textFill>
        </w:rPr>
        <w:t>数据</w:t>
      </w:r>
      <w:r>
        <w:rPr>
          <w:rFonts w:hint="eastAsia" w:ascii="Times New Roman" w:hAnsi="Times New Roman" w:cs="Times New Roman" w:eastAsiaTheme="minorEastAsia"/>
          <w:color w:val="000000" w:themeColor="text1"/>
          <w:lang w:val="en-US" w:eastAsia="zh-CN"/>
          <w14:textFill>
            <w14:solidFill>
              <w14:schemeClr w14:val="tx1"/>
            </w14:solidFill>
          </w14:textFill>
        </w:rPr>
        <w:t>质量抽查，对全疆14个地（州、市）的23个样本县（市、区）、92个样本普查小区、1,713个单位和个体经营户进行登记规范性和主查，抽查工作采用随机抽样方法，以独立调查的方式进行，确保抽查结果客观公正。国务院经济普查办公室事后质量抽查结果表明、新疆普查数据填错率为5.8%，普查数据质量符合控制标准。”达到预期目标。</w:t>
      </w:r>
    </w:p>
    <w:p w14:paraId="4B142567">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w:t>
      </w:r>
      <w:r>
        <w:rPr>
          <w:rFonts w:hint="eastAsia" w:eastAsiaTheme="minorEastAsia"/>
          <w:color w:val="000000" w:themeColor="text1"/>
          <w:lang w:val="en-US" w:eastAsia="zh-CN"/>
          <w14:textFill>
            <w14:solidFill>
              <w14:schemeClr w14:val="tx1"/>
            </w14:solidFill>
          </w14:textFill>
        </w:rPr>
        <w:t>6</w:t>
      </w:r>
      <w:r>
        <w:rPr>
          <w:rFonts w:eastAsiaTheme="minorEastAsia"/>
          <w:color w:val="000000" w:themeColor="text1"/>
          <w14:textFill>
            <w14:solidFill>
              <w14:schemeClr w14:val="tx1"/>
            </w14:solidFill>
          </w14:textFill>
        </w:rPr>
        <w:t>.00分，根据评分标准得</w:t>
      </w:r>
      <w:r>
        <w:rPr>
          <w:rFonts w:hint="eastAsia" w:eastAsiaTheme="minorEastAsia"/>
          <w:color w:val="000000" w:themeColor="text1"/>
          <w:lang w:val="en-US" w:eastAsia="zh-CN"/>
          <w14:textFill>
            <w14:solidFill>
              <w14:schemeClr w14:val="tx1"/>
            </w14:solidFill>
          </w14:textFill>
        </w:rPr>
        <w:t>6</w:t>
      </w:r>
      <w:r>
        <w:rPr>
          <w:rFonts w:eastAsiaTheme="minorEastAsia"/>
          <w:color w:val="000000" w:themeColor="text1"/>
          <w14:textFill>
            <w14:solidFill>
              <w14:schemeClr w14:val="tx1"/>
            </w14:solidFill>
          </w14:textFill>
        </w:rPr>
        <w:t>.00分。</w:t>
      </w:r>
    </w:p>
    <w:p w14:paraId="71BD529F">
      <w:pPr>
        <w:ind w:firstLine="422"/>
        <w:outlineLvl w:val="2"/>
        <w:rPr>
          <w:rFonts w:hint="eastAsia" w:eastAsia="宋体"/>
          <w:b/>
          <w:bCs/>
          <w:color w:val="000000" w:themeColor="text1"/>
          <w:lang w:val="en-US" w:eastAsia="zh-CN"/>
          <w14:textFill>
            <w14:solidFill>
              <w14:schemeClr w14:val="tx1"/>
            </w14:solidFill>
          </w14:textFill>
        </w:rPr>
      </w:pPr>
      <w:r>
        <w:rPr>
          <w:rFonts w:hint="eastAsia"/>
          <w:b/>
          <w:bCs/>
          <w:color w:val="000000" w:themeColor="text1"/>
          <w:lang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8</w:t>
      </w:r>
      <w:r>
        <w:rPr>
          <w:rFonts w:hint="eastAsia"/>
          <w:b/>
          <w:bCs/>
          <w:color w:val="000000" w:themeColor="text1"/>
          <w:lang w:eastAsia="zh-CN"/>
          <w14:textFill>
            <w14:solidFill>
              <w14:schemeClr w14:val="tx1"/>
            </w14:solidFill>
          </w14:textFill>
        </w:rPr>
        <w:t>）</w:t>
      </w:r>
      <w:r>
        <w:rPr>
          <w:rFonts w:hint="eastAsia"/>
          <w:b/>
          <w:bCs/>
          <w:color w:val="000000" w:themeColor="text1"/>
          <w14:textFill>
            <w14:solidFill>
              <w14:schemeClr w14:val="tx1"/>
            </w14:solidFill>
          </w14:textFill>
        </w:rPr>
        <w:t>C31受益统计工作人员满意度</w:t>
      </w:r>
      <w:r>
        <w:rPr>
          <w:rFonts w:hint="eastAsia"/>
          <w:b/>
          <w:bCs/>
          <w:color w:val="000000" w:themeColor="text1"/>
          <w:lang w:val="en-US" w:eastAsia="zh-CN"/>
          <w14:textFill>
            <w14:solidFill>
              <w14:schemeClr w14:val="tx1"/>
            </w14:solidFill>
          </w14:textFill>
        </w:rPr>
        <w:t>指标：</w:t>
      </w:r>
    </w:p>
    <w:p w14:paraId="5C76D414">
      <w:pPr>
        <w:ind w:firstLine="420"/>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eastAsia" w:ascii="Times New Roman" w:hAnsi="Times New Roman" w:cs="Times New Roman" w:eastAsiaTheme="minorEastAsia"/>
          <w:color w:val="000000" w:themeColor="text1"/>
          <w:lang w:val="en-US" w:eastAsia="zh-CN"/>
          <w14:textFill>
            <w14:solidFill>
              <w14:schemeClr w14:val="tx1"/>
            </w14:solidFill>
          </w14:textFill>
        </w:rPr>
        <w:t>绩效评价组通过发放线上调查问卷，以了解吉木萨尔县统计局部门整体实施情况，向受益统计工作人员共发放调查问卷32份，收回有效问卷32份。根据调查问卷反馈结果，“问题4.您认为当前工作任务量是否合理？”满意度为55.63%；“问题6.您对自身当前的统计专业能力（如方法应用、工具使用等）满意度如何？”满意度为69.06%；“问题7.您是否能及时获取所需的统计制度、标准或政策解读？”满意度为85.00%；“问题8.您对目前使用的统计软件/工具（如Excel、SPSS、统计平台等）的适用性评价？”满意度为76.56%；“问题9.2024年您对当前的工作沟通协作环境（如部门配合、跨单位对接等）满意度如何？”满意度为70.63%；“问题10.2024年您是否获得过足够的专业培训机会（如统计技能、新政策培训等）？”满意度为83.13%；“问题11.总体而言，您对当前2024年统计工作的整体满意度为？”满意度为85.00%。综上，吉木萨尔县统计局受益统计工作人员满意度达73.33%，实际完成率大于60%且小于90%的，按超过的比重赋分，计算公式为：得分=（实际完成率-60%）/（90%-60%）×指标分值=（73.33%-60%）/（90%-60%）×</w:t>
      </w:r>
      <w:r>
        <w:rPr>
          <w:rFonts w:hint="eastAsia" w:cs="Times New Roman" w:eastAsiaTheme="minorEastAsia"/>
          <w:color w:val="000000" w:themeColor="text1"/>
          <w:lang w:val="en-US" w:eastAsia="zh-CN"/>
          <w14:textFill>
            <w14:solidFill>
              <w14:schemeClr w14:val="tx1"/>
            </w14:solidFill>
          </w14:textFill>
        </w:rPr>
        <w:t>10</w:t>
      </w:r>
      <w:r>
        <w:rPr>
          <w:rFonts w:hint="eastAsia" w:ascii="Times New Roman" w:hAnsi="Times New Roman" w:cs="Times New Roman" w:eastAsiaTheme="minorEastAsia"/>
          <w:color w:val="000000" w:themeColor="text1"/>
          <w:lang w:val="en-US" w:eastAsia="zh-CN"/>
          <w14:textFill>
            <w14:solidFill>
              <w14:schemeClr w14:val="tx1"/>
            </w14:solidFill>
          </w14:textFill>
        </w:rPr>
        <w:t>=</w:t>
      </w:r>
      <w:r>
        <w:rPr>
          <w:rFonts w:hint="eastAsia" w:cs="Times New Roman" w:eastAsiaTheme="minorEastAsia"/>
          <w:color w:val="000000" w:themeColor="text1"/>
          <w:lang w:val="en-US" w:eastAsia="zh-CN"/>
          <w14:textFill>
            <w14:solidFill>
              <w14:schemeClr w14:val="tx1"/>
            </w14:solidFill>
          </w14:textFill>
        </w:rPr>
        <w:t>4.17</w:t>
      </w:r>
      <w:r>
        <w:rPr>
          <w:rFonts w:hint="eastAsia" w:ascii="Times New Roman" w:hAnsi="Times New Roman" w:cs="Times New Roman" w:eastAsiaTheme="minorEastAsia"/>
          <w:color w:val="000000" w:themeColor="text1"/>
          <w:lang w:val="en-US" w:eastAsia="zh-CN"/>
          <w14:textFill>
            <w14:solidFill>
              <w14:schemeClr w14:val="tx1"/>
            </w14:solidFill>
          </w14:textFill>
        </w:rPr>
        <w:t>分。</w:t>
      </w:r>
    </w:p>
    <w:p w14:paraId="265B7008">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w:t>
      </w:r>
      <w:r>
        <w:rPr>
          <w:rFonts w:hint="eastAsia" w:eastAsiaTheme="minorEastAsia"/>
          <w:color w:val="000000" w:themeColor="text1"/>
          <w:lang w:val="en-US" w:eastAsia="zh-CN"/>
          <w14:textFill>
            <w14:solidFill>
              <w14:schemeClr w14:val="tx1"/>
            </w14:solidFill>
          </w14:textFill>
        </w:rPr>
        <w:t>10</w:t>
      </w:r>
      <w:r>
        <w:rPr>
          <w:rFonts w:eastAsiaTheme="minorEastAsia"/>
          <w:color w:val="000000" w:themeColor="text1"/>
          <w14:textFill>
            <w14:solidFill>
              <w14:schemeClr w14:val="tx1"/>
            </w14:solidFill>
          </w14:textFill>
        </w:rPr>
        <w:t>.00分，根据评分标准得</w:t>
      </w:r>
      <w:r>
        <w:rPr>
          <w:rFonts w:hint="eastAsia" w:eastAsiaTheme="minorEastAsia"/>
          <w:color w:val="000000" w:themeColor="text1"/>
          <w:lang w:val="en-US" w:eastAsia="zh-CN"/>
          <w14:textFill>
            <w14:solidFill>
              <w14:schemeClr w14:val="tx1"/>
            </w14:solidFill>
          </w14:textFill>
        </w:rPr>
        <w:t>4.17</w:t>
      </w:r>
      <w:r>
        <w:rPr>
          <w:rFonts w:eastAsiaTheme="minorEastAsia"/>
          <w:color w:val="000000" w:themeColor="text1"/>
          <w14:textFill>
            <w14:solidFill>
              <w14:schemeClr w14:val="tx1"/>
            </w14:solidFill>
          </w14:textFill>
        </w:rPr>
        <w:t>分。</w:t>
      </w:r>
    </w:p>
    <w:p w14:paraId="78A51A86">
      <w:pPr>
        <w:ind w:firstLine="422"/>
        <w:outlineLvl w:val="2"/>
        <w:rPr>
          <w:rFonts w:hint="eastAsia"/>
          <w:b/>
          <w:bCs/>
          <w:color w:val="000000" w:themeColor="text1"/>
          <w14:textFill>
            <w14:solidFill>
              <w14:schemeClr w14:val="tx1"/>
            </w14:solidFill>
          </w14:textFill>
        </w:rPr>
      </w:pPr>
      <w:r>
        <w:rPr>
          <w:rFonts w:hint="eastAsia"/>
          <w:b/>
          <w:bCs/>
          <w:color w:val="000000" w:themeColor="text1"/>
          <w:lang w:eastAsia="zh-CN"/>
          <w14:textFill>
            <w14:solidFill>
              <w14:schemeClr w14:val="tx1"/>
            </w14:solidFill>
          </w14:textFill>
        </w:rPr>
        <w:t>（</w:t>
      </w:r>
      <w:r>
        <w:rPr>
          <w:rFonts w:hint="eastAsia"/>
          <w:b/>
          <w:bCs/>
          <w:color w:val="000000" w:themeColor="text1"/>
          <w:lang w:val="en-US" w:eastAsia="zh-CN"/>
          <w14:textFill>
            <w14:solidFill>
              <w14:schemeClr w14:val="tx1"/>
            </w14:solidFill>
          </w14:textFill>
        </w:rPr>
        <w:t>9</w:t>
      </w:r>
      <w:r>
        <w:rPr>
          <w:rFonts w:hint="eastAsia"/>
          <w:b/>
          <w:bCs/>
          <w:color w:val="000000" w:themeColor="text1"/>
          <w:lang w:eastAsia="zh-CN"/>
          <w14:textFill>
            <w14:solidFill>
              <w14:schemeClr w14:val="tx1"/>
            </w14:solidFill>
          </w14:textFill>
        </w:rPr>
        <w:t>）</w:t>
      </w:r>
      <w:r>
        <w:rPr>
          <w:rFonts w:hint="eastAsia"/>
          <w:b/>
          <w:bCs/>
          <w:color w:val="000000" w:themeColor="text1"/>
          <w14:textFill>
            <w14:solidFill>
              <w14:schemeClr w14:val="tx1"/>
            </w14:solidFill>
          </w14:textFill>
        </w:rPr>
        <w:t>C32受益纳统企业满意度</w:t>
      </w:r>
    </w:p>
    <w:p w14:paraId="28592AF4">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绩效评价组通过发放线上调查问卷，以了解吉木萨尔县</w:t>
      </w:r>
      <w:r>
        <w:rPr>
          <w:rFonts w:hint="eastAsia" w:eastAsiaTheme="minorEastAsia"/>
          <w:color w:val="000000" w:themeColor="text1"/>
          <w:lang w:eastAsia="zh-CN"/>
          <w14:textFill>
            <w14:solidFill>
              <w14:schemeClr w14:val="tx1"/>
            </w14:solidFill>
          </w14:textFill>
        </w:rPr>
        <w:t>统计局</w:t>
      </w:r>
      <w:r>
        <w:rPr>
          <w:rFonts w:eastAsiaTheme="minorEastAsia"/>
          <w:color w:val="000000" w:themeColor="text1"/>
          <w14:textFill>
            <w14:solidFill>
              <w14:schemeClr w14:val="tx1"/>
            </w14:solidFill>
          </w14:textFill>
        </w:rPr>
        <w:t>部门整体实施情况，向</w:t>
      </w:r>
      <w:r>
        <w:rPr>
          <w:rFonts w:hint="eastAsia" w:eastAsiaTheme="minorEastAsia"/>
          <w:color w:val="000000" w:themeColor="text1"/>
          <w14:textFill>
            <w14:solidFill>
              <w14:schemeClr w14:val="tx1"/>
            </w14:solidFill>
          </w14:textFill>
        </w:rPr>
        <w:t>受益纳统企业</w:t>
      </w:r>
      <w:r>
        <w:rPr>
          <w:rFonts w:eastAsiaTheme="minorEastAsia"/>
          <w:color w:val="000000" w:themeColor="text1"/>
          <w14:textFill>
            <w14:solidFill>
              <w14:schemeClr w14:val="tx1"/>
            </w14:solidFill>
          </w14:textFill>
        </w:rPr>
        <w:t>共发放调查问卷</w:t>
      </w:r>
      <w:r>
        <w:rPr>
          <w:rFonts w:hint="eastAsia" w:eastAsiaTheme="minorEastAsia"/>
          <w:color w:val="000000" w:themeColor="text1"/>
          <w:lang w:val="en-US" w:eastAsia="zh-CN"/>
          <w14:textFill>
            <w14:solidFill>
              <w14:schemeClr w14:val="tx1"/>
            </w14:solidFill>
          </w14:textFill>
        </w:rPr>
        <w:t>63</w:t>
      </w:r>
      <w:r>
        <w:rPr>
          <w:rFonts w:eastAsiaTheme="minorEastAsia"/>
          <w:color w:val="000000" w:themeColor="text1"/>
          <w14:textFill>
            <w14:solidFill>
              <w14:schemeClr w14:val="tx1"/>
            </w14:solidFill>
          </w14:textFill>
        </w:rPr>
        <w:t>份，收回有效问卷</w:t>
      </w:r>
      <w:r>
        <w:rPr>
          <w:rFonts w:hint="eastAsia" w:eastAsiaTheme="minorEastAsia"/>
          <w:color w:val="000000" w:themeColor="text1"/>
          <w:lang w:val="en-US" w:eastAsia="zh-CN"/>
          <w14:textFill>
            <w14:solidFill>
              <w14:schemeClr w14:val="tx1"/>
            </w14:solidFill>
          </w14:textFill>
        </w:rPr>
        <w:t>63</w:t>
      </w:r>
      <w:r>
        <w:rPr>
          <w:rFonts w:eastAsiaTheme="minorEastAsia"/>
          <w:color w:val="000000" w:themeColor="text1"/>
          <w14:textFill>
            <w14:solidFill>
              <w14:schemeClr w14:val="tx1"/>
            </w14:solidFill>
          </w14:textFill>
        </w:rPr>
        <w:t>份。根据调查问卷反馈结果，</w:t>
      </w:r>
      <w:r>
        <w:rPr>
          <w:rFonts w:hint="eastAsia" w:eastAsiaTheme="minorEastAsia"/>
          <w:color w:val="000000" w:themeColor="text1"/>
          <w:lang w:eastAsia="zh-CN"/>
          <w14:textFill>
            <w14:solidFill>
              <w14:schemeClr w14:val="tx1"/>
            </w14:solidFill>
          </w14:textFill>
        </w:rPr>
        <w:t>“</w:t>
      </w:r>
      <w:r>
        <w:rPr>
          <w:rFonts w:eastAsiaTheme="minorEastAsia"/>
          <w:color w:val="000000" w:themeColor="text1"/>
          <w14:textFill>
            <w14:solidFill>
              <w14:schemeClr w14:val="tx1"/>
            </w14:solidFill>
          </w14:textFill>
        </w:rPr>
        <w:t>问题</w:t>
      </w:r>
      <w:r>
        <w:rPr>
          <w:rFonts w:hint="eastAsia" w:eastAsiaTheme="minorEastAsia"/>
          <w:color w:val="000000" w:themeColor="text1"/>
          <w14:textFill>
            <w14:solidFill>
              <w14:schemeClr w14:val="tx1"/>
            </w14:solidFill>
          </w14:textFill>
        </w:rPr>
        <w:t>6.您对统计报送平台/系统的操作便捷性满意度如何？</w:t>
      </w:r>
      <w:r>
        <w:rPr>
          <w:rFonts w:eastAsiaTheme="minorEastAsia"/>
          <w:color w:val="000000" w:themeColor="text1"/>
          <w14:textFill>
            <w14:solidFill>
              <w14:schemeClr w14:val="tx1"/>
            </w14:solidFill>
          </w14:textFill>
        </w:rPr>
        <w:t>”满意度为</w:t>
      </w:r>
      <w:r>
        <w:rPr>
          <w:rFonts w:hint="eastAsia" w:eastAsiaTheme="minorEastAsia"/>
          <w:color w:val="000000" w:themeColor="text1"/>
          <w14:textFill>
            <w14:solidFill>
              <w14:schemeClr w14:val="tx1"/>
            </w14:solidFill>
          </w14:textFill>
        </w:rPr>
        <w:t>90.48%</w:t>
      </w:r>
      <w:r>
        <w:rPr>
          <w:rFonts w:hint="eastAsia" w:eastAsiaTheme="minorEastAsia"/>
          <w:color w:val="000000" w:themeColor="text1"/>
          <w:lang w:eastAsia="zh-CN"/>
          <w14:textFill>
            <w14:solidFill>
              <w14:schemeClr w14:val="tx1"/>
            </w14:solidFill>
          </w14:textFill>
        </w:rPr>
        <w:t>；“</w:t>
      </w:r>
      <w:r>
        <w:rPr>
          <w:rFonts w:eastAsiaTheme="minorEastAsia"/>
          <w:color w:val="000000" w:themeColor="text1"/>
          <w14:textFill>
            <w14:solidFill>
              <w14:schemeClr w14:val="tx1"/>
            </w14:solidFill>
          </w14:textFill>
        </w:rPr>
        <w:t>问题</w:t>
      </w:r>
      <w:r>
        <w:rPr>
          <w:rFonts w:hint="eastAsia" w:eastAsiaTheme="minorEastAsia"/>
          <w:color w:val="000000" w:themeColor="text1"/>
          <w14:textFill>
            <w14:solidFill>
              <w14:schemeClr w14:val="tx1"/>
            </w14:solidFill>
          </w14:textFill>
        </w:rPr>
        <w:t>7.统计部门对指标解释、填报要求的说明是否清晰？</w:t>
      </w:r>
      <w:r>
        <w:rPr>
          <w:rFonts w:eastAsiaTheme="minorEastAsia"/>
          <w:color w:val="000000" w:themeColor="text1"/>
          <w14:textFill>
            <w14:solidFill>
              <w14:schemeClr w14:val="tx1"/>
            </w14:solidFill>
          </w14:textFill>
        </w:rPr>
        <w:t>”满意度为</w:t>
      </w:r>
      <w:r>
        <w:rPr>
          <w:rFonts w:hint="eastAsia" w:eastAsiaTheme="minorEastAsia"/>
          <w:color w:val="000000" w:themeColor="text1"/>
          <w14:textFill>
            <w14:solidFill>
              <w14:schemeClr w14:val="tx1"/>
            </w14:solidFill>
          </w14:textFill>
        </w:rPr>
        <w:t>90.79%</w:t>
      </w:r>
      <w:r>
        <w:rPr>
          <w:rFonts w:hint="eastAsia" w:eastAsiaTheme="minorEastAsia"/>
          <w:color w:val="000000" w:themeColor="text1"/>
          <w:lang w:eastAsia="zh-CN"/>
          <w14:textFill>
            <w14:solidFill>
              <w14:schemeClr w14:val="tx1"/>
            </w14:solidFill>
          </w14:textFill>
        </w:rPr>
        <w:t>；“</w:t>
      </w:r>
      <w:r>
        <w:rPr>
          <w:rFonts w:eastAsiaTheme="minorEastAsia"/>
          <w:color w:val="000000" w:themeColor="text1"/>
          <w14:textFill>
            <w14:solidFill>
              <w14:schemeClr w14:val="tx1"/>
            </w14:solidFill>
          </w14:textFill>
        </w:rPr>
        <w:t>问题</w:t>
      </w:r>
      <w:r>
        <w:rPr>
          <w:rFonts w:hint="eastAsia" w:eastAsiaTheme="minorEastAsia"/>
          <w:color w:val="000000" w:themeColor="text1"/>
          <w14:textFill>
            <w14:solidFill>
              <w14:schemeClr w14:val="tx1"/>
            </w14:solidFill>
          </w14:textFill>
        </w:rPr>
        <w:t>8.当您遇到统计问题时，统计工作人员是否能及时提供指导帮助？</w:t>
      </w:r>
      <w:r>
        <w:rPr>
          <w:rFonts w:eastAsiaTheme="minorEastAsia"/>
          <w:color w:val="000000" w:themeColor="text1"/>
          <w14:textFill>
            <w14:solidFill>
              <w14:schemeClr w14:val="tx1"/>
            </w14:solidFill>
          </w14:textFill>
        </w:rPr>
        <w:t>”满意度为</w:t>
      </w:r>
      <w:r>
        <w:rPr>
          <w:rFonts w:hint="eastAsia" w:eastAsiaTheme="minorEastAsia"/>
          <w:color w:val="000000" w:themeColor="text1"/>
          <w14:textFill>
            <w14:solidFill>
              <w14:schemeClr w14:val="tx1"/>
            </w14:solidFill>
          </w14:textFill>
        </w:rPr>
        <w:t>96.19%</w:t>
      </w:r>
      <w:r>
        <w:rPr>
          <w:rFonts w:hint="eastAsia" w:eastAsiaTheme="minorEastAsia"/>
          <w:color w:val="000000" w:themeColor="text1"/>
          <w:lang w:eastAsia="zh-CN"/>
          <w14:textFill>
            <w14:solidFill>
              <w14:schemeClr w14:val="tx1"/>
            </w14:solidFill>
          </w14:textFill>
        </w:rPr>
        <w:t>；“</w:t>
      </w:r>
      <w:r>
        <w:rPr>
          <w:rFonts w:eastAsiaTheme="minorEastAsia"/>
          <w:color w:val="000000" w:themeColor="text1"/>
          <w14:textFill>
            <w14:solidFill>
              <w14:schemeClr w14:val="tx1"/>
            </w14:solidFill>
          </w14:textFill>
        </w:rPr>
        <w:t>问题</w:t>
      </w:r>
      <w:r>
        <w:rPr>
          <w:rFonts w:hint="eastAsia" w:eastAsiaTheme="minorEastAsia"/>
          <w:color w:val="000000" w:themeColor="text1"/>
          <w14:textFill>
            <w14:solidFill>
              <w14:schemeClr w14:val="tx1"/>
            </w14:solidFill>
          </w14:textFill>
        </w:rPr>
        <w:t>9.您对统计部门组织的培训或政策解读活动满意度如何？</w:t>
      </w:r>
      <w:r>
        <w:rPr>
          <w:rFonts w:eastAsiaTheme="minorEastAsia"/>
          <w:color w:val="000000" w:themeColor="text1"/>
          <w14:textFill>
            <w14:solidFill>
              <w14:schemeClr w14:val="tx1"/>
            </w14:solidFill>
          </w14:textFill>
        </w:rPr>
        <w:t>”满意度为</w:t>
      </w:r>
      <w:r>
        <w:rPr>
          <w:rFonts w:hint="eastAsia" w:eastAsiaTheme="minorEastAsia"/>
          <w:color w:val="000000" w:themeColor="text1"/>
          <w14:textFill>
            <w14:solidFill>
              <w14:schemeClr w14:val="tx1"/>
            </w14:solidFill>
          </w14:textFill>
        </w:rPr>
        <w:t>93.02%</w:t>
      </w:r>
      <w:r>
        <w:rPr>
          <w:rFonts w:hint="eastAsia" w:eastAsiaTheme="minorEastAsia"/>
          <w:color w:val="000000" w:themeColor="text1"/>
          <w:lang w:eastAsia="zh-CN"/>
          <w14:textFill>
            <w14:solidFill>
              <w14:schemeClr w14:val="tx1"/>
            </w14:solidFill>
          </w14:textFill>
        </w:rPr>
        <w:t>；“</w:t>
      </w:r>
      <w:r>
        <w:rPr>
          <w:rFonts w:eastAsiaTheme="minorEastAsia"/>
          <w:color w:val="000000" w:themeColor="text1"/>
          <w14:textFill>
            <w14:solidFill>
              <w14:schemeClr w14:val="tx1"/>
            </w14:solidFill>
          </w14:textFill>
        </w:rPr>
        <w:t>问题</w:t>
      </w:r>
      <w:r>
        <w:rPr>
          <w:rFonts w:hint="eastAsia" w:eastAsiaTheme="minorEastAsia"/>
          <w:color w:val="000000" w:themeColor="text1"/>
          <w14:textFill>
            <w14:solidFill>
              <w14:schemeClr w14:val="tx1"/>
            </w14:solidFill>
          </w14:textFill>
        </w:rPr>
        <w:t>10.统计部门对企业报送数据的审核反馈是否及时明确？</w:t>
      </w:r>
      <w:r>
        <w:rPr>
          <w:rFonts w:eastAsiaTheme="minorEastAsia"/>
          <w:color w:val="000000" w:themeColor="text1"/>
          <w14:textFill>
            <w14:solidFill>
              <w14:schemeClr w14:val="tx1"/>
            </w14:solidFill>
          </w14:textFill>
        </w:rPr>
        <w:t>”满意度为</w:t>
      </w:r>
      <w:r>
        <w:rPr>
          <w:rFonts w:hint="eastAsia" w:eastAsiaTheme="minorEastAsia"/>
          <w:color w:val="000000" w:themeColor="text1"/>
          <w14:textFill>
            <w14:solidFill>
              <w14:schemeClr w14:val="tx1"/>
            </w14:solidFill>
          </w14:textFill>
        </w:rPr>
        <w:t>94.29%</w:t>
      </w:r>
      <w:r>
        <w:rPr>
          <w:rFonts w:hint="eastAsia" w:eastAsiaTheme="minorEastAsia"/>
          <w:color w:val="000000" w:themeColor="text1"/>
          <w:lang w:eastAsia="zh-CN"/>
          <w14:textFill>
            <w14:solidFill>
              <w14:schemeClr w14:val="tx1"/>
            </w14:solidFill>
          </w14:textFill>
        </w:rPr>
        <w:t>；“</w:t>
      </w:r>
      <w:r>
        <w:rPr>
          <w:rFonts w:eastAsiaTheme="minorEastAsia"/>
          <w:color w:val="000000" w:themeColor="text1"/>
          <w14:textFill>
            <w14:solidFill>
              <w14:schemeClr w14:val="tx1"/>
            </w14:solidFill>
          </w14:textFill>
        </w:rPr>
        <w:t>问题</w:t>
      </w:r>
      <w:r>
        <w:rPr>
          <w:rFonts w:hint="eastAsia" w:eastAsiaTheme="minorEastAsia"/>
          <w:color w:val="000000" w:themeColor="text1"/>
          <w14:textFill>
            <w14:solidFill>
              <w14:schemeClr w14:val="tx1"/>
            </w14:solidFill>
          </w14:textFill>
        </w:rPr>
        <w:t>11.您认为统计部门对企业数据的隐私保护与安全管理是否到位</w:t>
      </w:r>
      <w:r>
        <w:rPr>
          <w:rFonts w:hint="eastAsia" w:eastAsiaTheme="minorEastAsia"/>
          <w:color w:val="000000" w:themeColor="text1"/>
          <w:lang w:eastAsia="zh-CN"/>
          <w14:textFill>
            <w14:solidFill>
              <w14:schemeClr w14:val="tx1"/>
            </w14:solidFill>
          </w14:textFill>
        </w:rPr>
        <w:t>？</w:t>
      </w:r>
      <w:r>
        <w:rPr>
          <w:rFonts w:eastAsiaTheme="minorEastAsia"/>
          <w:color w:val="000000" w:themeColor="text1"/>
          <w14:textFill>
            <w14:solidFill>
              <w14:schemeClr w14:val="tx1"/>
            </w14:solidFill>
          </w14:textFill>
        </w:rPr>
        <w:t>”满意度为</w:t>
      </w:r>
      <w:r>
        <w:rPr>
          <w:rFonts w:hint="eastAsia" w:eastAsiaTheme="minorEastAsia"/>
          <w:color w:val="000000" w:themeColor="text1"/>
          <w14:textFill>
            <w14:solidFill>
              <w14:schemeClr w14:val="tx1"/>
            </w14:solidFill>
          </w14:textFill>
        </w:rPr>
        <w:t>93.02%</w:t>
      </w:r>
      <w:r>
        <w:rPr>
          <w:rFonts w:hint="eastAsia" w:eastAsiaTheme="minorEastAsia"/>
          <w:color w:val="000000" w:themeColor="text1"/>
          <w:lang w:eastAsia="zh-CN"/>
          <w14:textFill>
            <w14:solidFill>
              <w14:schemeClr w14:val="tx1"/>
            </w14:solidFill>
          </w14:textFill>
        </w:rPr>
        <w:t>；“</w:t>
      </w:r>
      <w:r>
        <w:rPr>
          <w:rFonts w:eastAsiaTheme="minorEastAsia"/>
          <w:color w:val="000000" w:themeColor="text1"/>
          <w14:textFill>
            <w14:solidFill>
              <w14:schemeClr w14:val="tx1"/>
            </w14:solidFill>
          </w14:textFill>
        </w:rPr>
        <w:t>问题</w:t>
      </w:r>
      <w:r>
        <w:rPr>
          <w:rFonts w:hint="eastAsia" w:eastAsiaTheme="minorEastAsia"/>
          <w:color w:val="000000" w:themeColor="text1"/>
          <w14:textFill>
            <w14:solidFill>
              <w14:schemeClr w14:val="tx1"/>
            </w14:solidFill>
          </w14:textFill>
        </w:rPr>
        <w:t>12.总体而言，您对企业参与统计工作的整体满意度为：</w:t>
      </w:r>
      <w:r>
        <w:rPr>
          <w:rFonts w:eastAsiaTheme="minorEastAsia"/>
          <w:color w:val="000000" w:themeColor="text1"/>
          <w14:textFill>
            <w14:solidFill>
              <w14:schemeClr w14:val="tx1"/>
            </w14:solidFill>
          </w14:textFill>
        </w:rPr>
        <w:t>”满意度为</w:t>
      </w:r>
      <w:r>
        <w:rPr>
          <w:rFonts w:hint="eastAsia" w:eastAsiaTheme="minorEastAsia"/>
          <w:color w:val="000000" w:themeColor="text1"/>
          <w14:textFill>
            <w14:solidFill>
              <w14:schemeClr w14:val="tx1"/>
            </w14:solidFill>
          </w14:textFill>
        </w:rPr>
        <w:t>90.32%</w:t>
      </w:r>
      <w:r>
        <w:rPr>
          <w:rFonts w:eastAsiaTheme="minorEastAsia"/>
          <w:color w:val="000000" w:themeColor="text1"/>
          <w14:textFill>
            <w14:solidFill>
              <w14:schemeClr w14:val="tx1"/>
            </w14:solidFill>
          </w14:textFill>
        </w:rPr>
        <w:t>。综上，吉木萨尔县</w:t>
      </w:r>
      <w:r>
        <w:rPr>
          <w:rFonts w:hint="eastAsia" w:eastAsiaTheme="minorEastAsia"/>
          <w:color w:val="000000" w:themeColor="text1"/>
          <w:lang w:eastAsia="zh-CN"/>
          <w14:textFill>
            <w14:solidFill>
              <w14:schemeClr w14:val="tx1"/>
            </w14:solidFill>
          </w14:textFill>
        </w:rPr>
        <w:t>统计局</w:t>
      </w:r>
      <w:r>
        <w:rPr>
          <w:rFonts w:eastAsiaTheme="minorEastAsia"/>
          <w:color w:val="000000" w:themeColor="text1"/>
          <w14:textFill>
            <w14:solidFill>
              <w14:schemeClr w14:val="tx1"/>
            </w14:solidFill>
          </w14:textFill>
        </w:rPr>
        <w:t>部门整体</w:t>
      </w:r>
      <w:r>
        <w:rPr>
          <w:rFonts w:hint="eastAsia" w:eastAsiaTheme="minorEastAsia"/>
          <w:color w:val="000000" w:themeColor="text1"/>
          <w14:textFill>
            <w14:solidFill>
              <w14:schemeClr w14:val="tx1"/>
            </w14:solidFill>
          </w14:textFill>
        </w:rPr>
        <w:t>受益纳统企业满意度</w:t>
      </w:r>
      <w:r>
        <w:rPr>
          <w:rFonts w:eastAsiaTheme="minorEastAsia"/>
          <w:color w:val="000000" w:themeColor="text1"/>
          <w14:textFill>
            <w14:solidFill>
              <w14:schemeClr w14:val="tx1"/>
            </w14:solidFill>
          </w14:textFill>
        </w:rPr>
        <w:t>达</w:t>
      </w:r>
      <w:r>
        <w:rPr>
          <w:rFonts w:hint="eastAsia" w:eastAsiaTheme="minorEastAsia"/>
          <w:color w:val="000000" w:themeColor="text1"/>
          <w:lang w:val="en-US" w:eastAsia="zh-CN"/>
          <w14:textFill>
            <w14:solidFill>
              <w14:schemeClr w14:val="tx1"/>
            </w14:solidFill>
          </w14:textFill>
        </w:rPr>
        <w:t>92.96</w:t>
      </w:r>
      <w:r>
        <w:rPr>
          <w:rFonts w:eastAsiaTheme="minorEastAsia"/>
          <w:color w:val="000000" w:themeColor="text1"/>
          <w14:textFill>
            <w14:solidFill>
              <w14:schemeClr w14:val="tx1"/>
            </w14:solidFill>
          </w14:textFill>
        </w:rPr>
        <w:t>%，达成预期绩效目标。</w:t>
      </w:r>
    </w:p>
    <w:p w14:paraId="6CDFFCFB">
      <w:pPr>
        <w:ind w:firstLine="420"/>
        <w:rPr>
          <w:b/>
          <w:bCs/>
          <w:color w:val="000000" w:themeColor="text1"/>
          <w14:textFill>
            <w14:solidFill>
              <w14:schemeClr w14:val="tx1"/>
            </w14:solidFill>
          </w14:textFill>
        </w:rPr>
      </w:pPr>
      <w:r>
        <w:rPr>
          <w:rFonts w:eastAsiaTheme="minorEastAsia"/>
          <w:color w:val="000000" w:themeColor="text1"/>
          <w14:textFill>
            <w14:solidFill>
              <w14:schemeClr w14:val="tx1"/>
            </w14:solidFill>
          </w14:textFill>
        </w:rPr>
        <w:t>该指标满分为</w:t>
      </w:r>
      <w:r>
        <w:rPr>
          <w:rFonts w:hint="eastAsia" w:eastAsiaTheme="minorEastAsia"/>
          <w:color w:val="000000" w:themeColor="text1"/>
          <w:lang w:val="en-US" w:eastAsia="zh-CN"/>
          <w14:textFill>
            <w14:solidFill>
              <w14:schemeClr w14:val="tx1"/>
            </w14:solidFill>
          </w14:textFill>
        </w:rPr>
        <w:t>10</w:t>
      </w:r>
      <w:r>
        <w:rPr>
          <w:rFonts w:eastAsiaTheme="minorEastAsia"/>
          <w:color w:val="000000" w:themeColor="text1"/>
          <w14:textFill>
            <w14:solidFill>
              <w14:schemeClr w14:val="tx1"/>
            </w14:solidFill>
          </w14:textFill>
        </w:rPr>
        <w:t>.00分，根据评分标准得</w:t>
      </w:r>
      <w:r>
        <w:rPr>
          <w:rFonts w:hint="eastAsia" w:eastAsiaTheme="minorEastAsia"/>
          <w:color w:val="000000" w:themeColor="text1"/>
          <w:lang w:val="en-US" w:eastAsia="zh-CN"/>
          <w14:textFill>
            <w14:solidFill>
              <w14:schemeClr w14:val="tx1"/>
            </w14:solidFill>
          </w14:textFill>
        </w:rPr>
        <w:t>10</w:t>
      </w:r>
      <w:r>
        <w:rPr>
          <w:rFonts w:eastAsiaTheme="minorEastAsia"/>
          <w:color w:val="000000" w:themeColor="text1"/>
          <w14:textFill>
            <w14:solidFill>
              <w14:schemeClr w14:val="tx1"/>
            </w14:solidFill>
          </w14:textFill>
        </w:rPr>
        <w:t>.00分。</w:t>
      </w:r>
    </w:p>
    <w:p w14:paraId="66DD040F">
      <w:pPr>
        <w:keepNext/>
        <w:keepLines/>
        <w:ind w:firstLine="482"/>
        <w:outlineLvl w:val="0"/>
        <w:rPr>
          <w:b/>
          <w:color w:val="000000" w:themeColor="text1"/>
          <w:kern w:val="44"/>
          <w:sz w:val="24"/>
          <w:szCs w:val="24"/>
          <w14:textFill>
            <w14:solidFill>
              <w14:schemeClr w14:val="tx1"/>
            </w14:solidFill>
          </w14:textFill>
        </w:rPr>
      </w:pPr>
      <w:bookmarkStart w:id="72" w:name="_Toc30458"/>
      <w:bookmarkEnd w:id="72"/>
      <w:bookmarkStart w:id="73" w:name="_Toc9171"/>
      <w:commentRangeStart w:id="0"/>
      <w:r>
        <w:rPr>
          <w:b/>
          <w:color w:val="000000" w:themeColor="text1"/>
          <w:kern w:val="44"/>
          <w:sz w:val="24"/>
          <w:szCs w:val="24"/>
          <w14:textFill>
            <w14:solidFill>
              <w14:schemeClr w14:val="tx1"/>
            </w14:solidFill>
          </w14:textFill>
        </w:rPr>
        <w:t>五、主要经验及做法、存在的问题和建议</w:t>
      </w:r>
      <w:commentRangeEnd w:id="0"/>
      <w:r>
        <w:commentReference w:id="0"/>
      </w:r>
      <w:bookmarkEnd w:id="73"/>
    </w:p>
    <w:p w14:paraId="2E088F05">
      <w:pPr>
        <w:keepNext/>
        <w:keepLines/>
        <w:ind w:firstLine="422"/>
        <w:jc w:val="left"/>
        <w:outlineLvl w:val="1"/>
        <w:rPr>
          <w:b/>
          <w:color w:val="000000" w:themeColor="text1"/>
          <w14:textFill>
            <w14:solidFill>
              <w14:schemeClr w14:val="tx1"/>
            </w14:solidFill>
          </w14:textFill>
        </w:rPr>
      </w:pPr>
      <w:bookmarkStart w:id="74" w:name="_Toc15518"/>
      <w:bookmarkEnd w:id="74"/>
      <w:bookmarkStart w:id="75" w:name="_Toc16974"/>
      <w:bookmarkEnd w:id="75"/>
      <w:bookmarkStart w:id="76" w:name="_Toc24811"/>
      <w:bookmarkStart w:id="77" w:name="_Toc14662"/>
      <w:r>
        <w:rPr>
          <w:b/>
          <w:color w:val="000000" w:themeColor="text1"/>
          <w14:textFill>
            <w14:solidFill>
              <w14:schemeClr w14:val="tx1"/>
            </w14:solidFill>
          </w14:textFill>
        </w:rPr>
        <w:t>（一）主要经验及做法</w:t>
      </w:r>
      <w:bookmarkEnd w:id="76"/>
      <w:bookmarkEnd w:id="77"/>
    </w:p>
    <w:p w14:paraId="004001E5">
      <w:pPr>
        <w:ind w:firstLine="420"/>
        <w:rPr>
          <w:rFonts w:hint="eastAsia"/>
          <w:color w:val="000000" w:themeColor="text1"/>
          <w14:textFill>
            <w14:solidFill>
              <w14:schemeClr w14:val="tx1"/>
            </w14:solidFill>
          </w14:textFill>
        </w:rPr>
      </w:pPr>
      <w:bookmarkStart w:id="78" w:name="_Toc4015"/>
      <w:bookmarkEnd w:id="78"/>
      <w:bookmarkStart w:id="79" w:name="_Toc13318"/>
      <w:bookmarkEnd w:id="79"/>
      <w:bookmarkStart w:id="80" w:name="_Toc370"/>
      <w:bookmarkEnd w:id="80"/>
      <w:bookmarkStart w:id="81" w:name="_Toc2529"/>
      <w:r>
        <w:rPr>
          <w:rFonts w:hint="eastAsia"/>
          <w:color w:val="000000" w:themeColor="text1"/>
          <w14:textFill>
            <w14:solidFill>
              <w14:schemeClr w14:val="tx1"/>
            </w14:solidFill>
          </w14:textFill>
        </w:rPr>
        <w:t>一是坚持法治理念，全面做好经济普查。</w:t>
      </w:r>
      <w:r>
        <w:rPr>
          <w:rFonts w:hint="eastAsia"/>
          <w:color w:val="000000" w:themeColor="text1"/>
          <w:lang w:eastAsia="zh-CN"/>
          <w14:textFill>
            <w14:solidFill>
              <w14:schemeClr w14:val="tx1"/>
            </w14:solidFill>
          </w14:textFill>
        </w:rPr>
        <w:t>县委、县政府</w:t>
      </w:r>
      <w:r>
        <w:rPr>
          <w:rFonts w:hint="eastAsia"/>
          <w:color w:val="000000" w:themeColor="text1"/>
          <w14:textFill>
            <w14:solidFill>
              <w14:schemeClr w14:val="tx1"/>
            </w14:solidFill>
          </w14:textFill>
        </w:rPr>
        <w:t>主要领导多次在县委常委会、政府常务会安排部署推动五经普工作，普查登记首日亲自参与并指导普查登记工作，对普查工作提出具体明确要求</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督促县班子成员领导深入包联乡镇、重点行业参与普查入户，为普查工作的顺利完成奠定了坚实的基础</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积极主动与市监、编办、民政、统战、农业农村等部门对接，按照“管行业必须管普查”的要求，通过部门数据比对、组织行业部门与普查员联合入户等方式，充分发挥部门作用，提高普查数据质量。</w:t>
      </w:r>
    </w:p>
    <w:p w14:paraId="4C73989D">
      <w:pPr>
        <w:ind w:firstLine="420"/>
        <w:rPr>
          <w:rFonts w:hint="eastAsia" w:eastAsia="宋体"/>
          <w:color w:val="000000" w:themeColor="text1"/>
          <w:lang w:eastAsia="zh-CN"/>
          <w14:textFill>
            <w14:solidFill>
              <w14:schemeClr w14:val="tx1"/>
            </w14:solidFill>
          </w14:textFill>
        </w:rPr>
      </w:pPr>
      <w:r>
        <w:rPr>
          <w:rFonts w:hint="eastAsia"/>
          <w:color w:val="000000" w:themeColor="text1"/>
          <w14:textFill>
            <w14:solidFill>
              <w14:schemeClr w14:val="tx1"/>
            </w14:solidFill>
          </w14:textFill>
        </w:rPr>
        <w:t>二是部门密切协作</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发挥指挥协调枢纽作用，形成做好普查工作的强大合力。严格落实普查工作调度和通报机制，多措并举强化业务指导，采取“从始到终、定人包联”开展督导检查，分类研究解决普查登记重点难点问题，实现普查数据“来源清、质量高、责任明”。坚持质量与进度齐抓并重，落实普查方案，组织普查“两员”深入街巷、走企入户，全面完成了一套表单位、非一套表单位、个体经营户及投入产出调查单位的普查数据登记工作</w:t>
      </w:r>
      <w:r>
        <w:rPr>
          <w:rFonts w:hint="eastAsia"/>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严格落实《</w:t>
      </w:r>
      <w:r>
        <w:rPr>
          <w:rFonts w:hint="eastAsia"/>
          <w:color w:val="000000" w:themeColor="text1"/>
          <w:lang w:eastAsia="zh-CN"/>
          <w14:textFill>
            <w14:solidFill>
              <w14:schemeClr w14:val="tx1"/>
            </w14:solidFill>
          </w14:textFill>
        </w:rPr>
        <w:t>全国经济普查条例</w:t>
      </w:r>
      <w:r>
        <w:rPr>
          <w:rFonts w:hint="eastAsia"/>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执行</w:t>
      </w:r>
      <w:r>
        <w:rPr>
          <w:rFonts w:hint="eastAsia"/>
          <w:color w:val="000000" w:themeColor="text1"/>
          <w14:textFill>
            <w14:solidFill>
              <w14:schemeClr w14:val="tx1"/>
            </w14:solidFill>
          </w14:textFill>
        </w:rPr>
        <w:t>“即报即审”“随报随审”要求，安排县经普办及统计局专业人员按照即采、即报、即审、即改的原则做好</w:t>
      </w:r>
      <w:r>
        <w:rPr>
          <w:rFonts w:hint="eastAsia"/>
          <w:color w:val="000000" w:themeColor="text1"/>
          <w:lang w:val="en-US" w:eastAsia="zh-CN"/>
          <w14:textFill>
            <w14:solidFill>
              <w14:schemeClr w14:val="tx1"/>
            </w14:solidFill>
          </w14:textFill>
        </w:rPr>
        <w:t>统计</w:t>
      </w:r>
      <w:r>
        <w:rPr>
          <w:rFonts w:hint="eastAsia"/>
          <w:color w:val="000000" w:themeColor="text1"/>
          <w14:textFill>
            <w14:solidFill>
              <w14:schemeClr w14:val="tx1"/>
            </w14:solidFill>
          </w14:textFill>
        </w:rPr>
        <w:t>数据审核工作，全面保障普查数据质量</w:t>
      </w:r>
      <w:r>
        <w:rPr>
          <w:rFonts w:hint="eastAsia"/>
          <w:color w:val="000000" w:themeColor="text1"/>
          <w:lang w:eastAsia="zh-CN"/>
          <w14:textFill>
            <w14:solidFill>
              <w14:schemeClr w14:val="tx1"/>
            </w14:solidFill>
          </w14:textFill>
        </w:rPr>
        <w:t>。</w:t>
      </w:r>
    </w:p>
    <w:p w14:paraId="3A1C3B9A">
      <w:pPr>
        <w:keepNext/>
        <w:keepLines/>
        <w:ind w:firstLine="422"/>
        <w:jc w:val="left"/>
        <w:outlineLvl w:val="1"/>
        <w:rPr>
          <w:b/>
          <w:color w:val="000000" w:themeColor="text1"/>
          <w14:textFill>
            <w14:solidFill>
              <w14:schemeClr w14:val="tx1"/>
            </w14:solidFill>
          </w14:textFill>
        </w:rPr>
      </w:pPr>
      <w:r>
        <w:rPr>
          <w:b/>
          <w:color w:val="000000" w:themeColor="text1"/>
          <w14:textFill>
            <w14:solidFill>
              <w14:schemeClr w14:val="tx1"/>
            </w14:solidFill>
          </w14:textFill>
        </w:rPr>
        <w:t>（二）主要存在问题及原因分析</w:t>
      </w:r>
      <w:bookmarkEnd w:id="81"/>
    </w:p>
    <w:p w14:paraId="70754A69">
      <w:pPr>
        <w:ind w:firstLine="422"/>
        <w:rPr>
          <w:rFonts w:hint="default" w:eastAsiaTheme="minorEastAsia"/>
          <w:b/>
          <w:bCs/>
          <w:color w:val="000000" w:themeColor="text1"/>
          <w:lang w:val="en-US" w:eastAsia="zh-CN"/>
          <w14:textFill>
            <w14:solidFill>
              <w14:schemeClr w14:val="tx1"/>
            </w14:solidFill>
          </w14:textFill>
        </w:rPr>
      </w:pPr>
      <w:bookmarkStart w:id="82" w:name="_Toc3444"/>
      <w:r>
        <w:rPr>
          <w:rFonts w:eastAsiaTheme="minorEastAsia"/>
          <w:b/>
          <w:bCs/>
          <w:color w:val="000000" w:themeColor="text1"/>
          <w14:textFill>
            <w14:solidFill>
              <w14:schemeClr w14:val="tx1"/>
            </w14:solidFill>
          </w14:textFill>
        </w:rPr>
        <w:t>1.年度计划未明确任务科室责任主体</w:t>
      </w:r>
    </w:p>
    <w:p w14:paraId="4E04EF39">
      <w:pPr>
        <w:ind w:firstLine="420"/>
        <w:rPr>
          <w:rFonts w:hint="eastAsia" w:eastAsia="宋体"/>
          <w:color w:val="000000" w:themeColor="text1"/>
          <w:lang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吉木萨尔县统计局</w:t>
      </w:r>
      <w:r>
        <w:rPr>
          <w:rFonts w:eastAsiaTheme="minorEastAsia"/>
          <w:color w:val="000000" w:themeColor="text1"/>
          <w14:textFill>
            <w14:solidFill>
              <w14:schemeClr w14:val="tx1"/>
            </w14:solidFill>
          </w14:textFill>
        </w:rPr>
        <w:t>在</w:t>
      </w:r>
      <w:r>
        <w:rPr>
          <w:rFonts w:hint="eastAsia" w:eastAsiaTheme="minorEastAsia"/>
          <w:color w:val="000000" w:themeColor="text1"/>
          <w:lang w:val="en-US" w:eastAsia="zh-CN"/>
          <w14:textFill>
            <w14:solidFill>
              <w14:schemeClr w14:val="tx1"/>
            </w14:solidFill>
          </w14:textFill>
        </w:rPr>
        <w:t>制定</w:t>
      </w:r>
      <w:r>
        <w:rPr>
          <w:rFonts w:eastAsiaTheme="minorEastAsia"/>
          <w:color w:val="000000" w:themeColor="text1"/>
          <w14:textFill>
            <w14:solidFill>
              <w14:schemeClr w14:val="tx1"/>
            </w14:solidFill>
          </w14:textFill>
        </w:rPr>
        <w:t>202</w:t>
      </w:r>
      <w:r>
        <w:rPr>
          <w:rFonts w:hint="eastAsia" w:eastAsiaTheme="minorEastAsia"/>
          <w:color w:val="000000" w:themeColor="text1"/>
          <w:lang w:val="en-US" w:eastAsia="zh-CN"/>
          <w14:textFill>
            <w14:solidFill>
              <w14:schemeClr w14:val="tx1"/>
            </w14:solidFill>
          </w14:textFill>
        </w:rPr>
        <w:t>4</w:t>
      </w:r>
      <w:r>
        <w:rPr>
          <w:rFonts w:eastAsiaTheme="minorEastAsia"/>
          <w:color w:val="000000" w:themeColor="text1"/>
          <w14:textFill>
            <w14:solidFill>
              <w14:schemeClr w14:val="tx1"/>
            </w14:solidFill>
          </w14:textFill>
        </w:rPr>
        <w:t>年</w:t>
      </w:r>
      <w:r>
        <w:rPr>
          <w:rFonts w:hint="eastAsia" w:eastAsiaTheme="minorEastAsia"/>
          <w:color w:val="000000" w:themeColor="text1"/>
          <w:lang w:val="en-US" w:eastAsia="zh-CN"/>
          <w14:textFill>
            <w14:solidFill>
              <w14:schemeClr w14:val="tx1"/>
            </w14:solidFill>
          </w14:textFill>
        </w:rPr>
        <w:t>年度工作</w:t>
      </w:r>
      <w:r>
        <w:rPr>
          <w:rFonts w:eastAsiaTheme="minorEastAsia"/>
          <w:color w:val="000000" w:themeColor="text1"/>
          <w14:textFill>
            <w14:solidFill>
              <w14:schemeClr w14:val="tx1"/>
            </w14:solidFill>
          </w14:textFill>
        </w:rPr>
        <w:t>计划时，</w:t>
      </w:r>
      <w:r>
        <w:rPr>
          <w:rFonts w:hint="eastAsia" w:eastAsiaTheme="minorEastAsia"/>
          <w:color w:val="000000" w:themeColor="text1"/>
          <w:lang w:val="en-US" w:eastAsia="zh-CN"/>
          <w14:textFill>
            <w14:solidFill>
              <w14:schemeClr w14:val="tx1"/>
            </w14:solidFill>
          </w14:textFill>
        </w:rPr>
        <w:t>总结了上一年度的工作不足，</w:t>
      </w:r>
      <w:r>
        <w:rPr>
          <w:rFonts w:hint="eastAsia" w:cs="Times New Roman"/>
          <w:bCs/>
          <w:color w:val="000000" w:themeColor="text1"/>
          <w:highlight w:val="none"/>
          <w:lang w:val="en-US" w:eastAsia="zh-CN"/>
          <w14:textFill>
            <w14:solidFill>
              <w14:schemeClr w14:val="tx1"/>
            </w14:solidFill>
          </w14:textFill>
        </w:rPr>
        <w:t>并提出了单位政治任务、服务质量要求、年度统计业务工作等年度任务目标</w:t>
      </w:r>
      <w:r>
        <w:rPr>
          <w:rFonts w:hint="eastAsia" w:cs="Times New Roman" w:eastAsiaTheme="minorEastAsia"/>
          <w:bCs/>
          <w:color w:val="000000" w:themeColor="text1"/>
          <w:highlight w:val="none"/>
          <w:lang w:eastAsia="zh-CN"/>
          <w14:textFill>
            <w14:solidFill>
              <w14:schemeClr w14:val="tx1"/>
            </w14:solidFill>
          </w14:textFill>
        </w:rPr>
        <w:t>，</w:t>
      </w:r>
      <w:r>
        <w:rPr>
          <w:rFonts w:hint="default" w:ascii="Times New Roman" w:hAnsi="Times New Roman" w:cs="Times New Roman"/>
          <w:bCs/>
          <w:color w:val="000000" w:themeColor="text1"/>
          <w:highlight w:val="none"/>
          <w14:textFill>
            <w14:solidFill>
              <w14:schemeClr w14:val="tx1"/>
            </w14:solidFill>
          </w14:textFill>
        </w:rPr>
        <w:t>但</w:t>
      </w:r>
      <w:r>
        <w:rPr>
          <w:rFonts w:hint="eastAsia" w:cs="Times New Roman"/>
          <w:bCs/>
          <w:color w:val="000000" w:themeColor="text1"/>
          <w:highlight w:val="none"/>
          <w:lang w:val="en-US" w:eastAsia="zh-CN"/>
          <w14:textFill>
            <w14:solidFill>
              <w14:schemeClr w14:val="tx1"/>
            </w14:solidFill>
          </w14:textFill>
        </w:rPr>
        <w:t>未结合</w:t>
      </w:r>
      <w:r>
        <w:rPr>
          <w:rFonts w:eastAsiaTheme="minorEastAsia"/>
          <w:color w:val="000000" w:themeColor="text1"/>
          <w14:textFill>
            <w14:solidFill>
              <w14:schemeClr w14:val="tx1"/>
            </w14:solidFill>
          </w14:textFill>
        </w:rPr>
        <w:t>《</w:t>
      </w:r>
      <w:r>
        <w:rPr>
          <w:rFonts w:hint="eastAsia" w:eastAsiaTheme="minorEastAsia"/>
          <w:color w:val="000000" w:themeColor="text1"/>
          <w14:textFill>
            <w14:solidFill>
              <w14:schemeClr w14:val="tx1"/>
            </w14:solidFill>
          </w14:textFill>
        </w:rPr>
        <w:t>新疆维吾尔自治区统计改革发展“十四五”规划（2021—2025年）</w:t>
      </w:r>
      <w:r>
        <w:rPr>
          <w:rFonts w:eastAsiaTheme="minorEastAsia"/>
          <w:color w:val="000000" w:themeColor="text1"/>
          <w14:textFill>
            <w14:solidFill>
              <w14:schemeClr w14:val="tx1"/>
            </w14:solidFill>
          </w14:textFill>
        </w:rPr>
        <w:t>》</w:t>
      </w:r>
      <w:r>
        <w:rPr>
          <w:rFonts w:hint="eastAsia" w:ascii="Times New Roman" w:hAnsi="Times New Roman" w:cs="Times New Roman" w:eastAsiaTheme="minorEastAsia"/>
          <w:color w:val="000000" w:themeColor="text1"/>
          <w:lang w:eastAsia="zh-CN"/>
          <w14:textFill>
            <w14:solidFill>
              <w14:schemeClr w14:val="tx1"/>
            </w14:solidFill>
          </w14:textFill>
        </w:rPr>
        <w:t>《吉木萨尔县国民经济和社会发展第十四个五年规划和二〇三五年远景目标纲要》</w:t>
      </w:r>
      <w:r>
        <w:rPr>
          <w:rFonts w:hint="eastAsia" w:ascii="Times New Roman" w:hAnsi="Times New Roman" w:cs="Times New Roman" w:eastAsiaTheme="minorEastAsia"/>
          <w:color w:val="000000" w:themeColor="text1"/>
          <w:lang w:val="en-US" w:eastAsia="zh-CN"/>
          <w14:textFill>
            <w14:solidFill>
              <w14:schemeClr w14:val="tx1"/>
            </w14:solidFill>
          </w14:textFill>
        </w:rPr>
        <w:t>等</w:t>
      </w:r>
      <w:r>
        <w:rPr>
          <w:rFonts w:hint="eastAsia" w:cs="Times New Roman"/>
          <w:bCs/>
          <w:color w:val="000000" w:themeColor="text1"/>
          <w:highlight w:val="none"/>
          <w:lang w:val="en-US" w:eastAsia="zh-CN"/>
          <w14:textFill>
            <w14:solidFill>
              <w14:schemeClr w14:val="tx1"/>
            </w14:solidFill>
          </w14:textFill>
        </w:rPr>
        <w:t>统计发展规划</w:t>
      </w:r>
      <w:r>
        <w:rPr>
          <w:rFonts w:hint="default" w:ascii="Times New Roman" w:hAnsi="Times New Roman" w:cs="Times New Roman"/>
          <w:bCs/>
          <w:color w:val="000000" w:themeColor="text1"/>
          <w:highlight w:val="none"/>
          <w14:textFill>
            <w14:solidFill>
              <w14:schemeClr w14:val="tx1"/>
            </w14:solidFill>
          </w14:textFill>
        </w:rPr>
        <w:t>制定年度总目标，各重点任务工作量化</w:t>
      </w:r>
      <w:r>
        <w:rPr>
          <w:rFonts w:hint="eastAsia" w:cs="Times New Roman"/>
          <w:bCs/>
          <w:color w:val="000000" w:themeColor="text1"/>
          <w:highlight w:val="none"/>
          <w:lang w:val="en-US" w:eastAsia="zh-CN"/>
          <w14:textFill>
            <w14:solidFill>
              <w14:schemeClr w14:val="tx1"/>
            </w14:solidFill>
          </w14:textFill>
        </w:rPr>
        <w:t>不够</w:t>
      </w:r>
      <w:r>
        <w:rPr>
          <w:rFonts w:hint="default" w:ascii="Times New Roman" w:hAnsi="Times New Roman" w:cs="Times New Roman"/>
          <w:bCs/>
          <w:color w:val="000000" w:themeColor="text1"/>
          <w:highlight w:val="none"/>
          <w14:textFill>
            <w14:solidFill>
              <w14:schemeClr w14:val="tx1"/>
            </w14:solidFill>
          </w14:textFill>
        </w:rPr>
        <w:t>具体，</w:t>
      </w:r>
      <w:r>
        <w:rPr>
          <w:rFonts w:hint="eastAsia" w:cs="Times New Roman"/>
          <w:bCs/>
          <w:color w:val="000000" w:themeColor="text1"/>
          <w:highlight w:val="none"/>
          <w:lang w:val="en-US" w:eastAsia="zh-CN"/>
          <w14:textFill>
            <w14:solidFill>
              <w14:schemeClr w14:val="tx1"/>
            </w14:solidFill>
          </w14:textFill>
        </w:rPr>
        <w:t>未明确</w:t>
      </w:r>
      <w:r>
        <w:rPr>
          <w:rFonts w:hint="default" w:ascii="Times New Roman" w:hAnsi="Times New Roman" w:cs="Times New Roman"/>
          <w:bCs/>
          <w:color w:val="000000" w:themeColor="text1"/>
          <w:highlight w:val="none"/>
          <w14:textFill>
            <w14:solidFill>
              <w14:schemeClr w14:val="tx1"/>
            </w14:solidFill>
          </w14:textFill>
        </w:rPr>
        <w:t>责任主体和各项任务的完成时间。</w:t>
      </w:r>
    </w:p>
    <w:p w14:paraId="7DB9C70C">
      <w:pPr>
        <w:ind w:firstLine="422"/>
        <w:rPr>
          <w:rFonts w:hint="default" w:ascii="Times New Roman" w:hAnsi="Times New Roman" w:cs="Times New Roman"/>
          <w:b/>
          <w:bCs/>
          <w:color w:val="000000" w:themeColor="text1"/>
          <w:highlight w:val="none"/>
          <w:lang w:val="en-US" w:eastAsia="zh-CN"/>
          <w14:textFill>
            <w14:solidFill>
              <w14:schemeClr w14:val="tx1"/>
            </w14:solidFill>
          </w14:textFill>
        </w:rPr>
      </w:pPr>
      <w:r>
        <w:rPr>
          <w:rFonts w:hint="eastAsia" w:cs="Times New Roman"/>
          <w:b/>
          <w:bCs/>
          <w:color w:val="000000" w:themeColor="text1"/>
          <w:highlight w:val="none"/>
          <w:lang w:val="en-US" w:eastAsia="zh-CN"/>
          <w14:textFill>
            <w14:solidFill>
              <w14:schemeClr w14:val="tx1"/>
            </w14:solidFill>
          </w14:textFill>
        </w:rPr>
        <w:t>2.</w:t>
      </w:r>
      <w:r>
        <w:rPr>
          <w:rFonts w:hint="default" w:ascii="Times New Roman" w:hAnsi="Times New Roman" w:cs="Times New Roman"/>
          <w:b/>
          <w:bCs/>
          <w:color w:val="000000" w:themeColor="text1"/>
          <w:highlight w:val="none"/>
          <w:lang w:val="en-US" w:eastAsia="zh-CN"/>
          <w14:textFill>
            <w14:solidFill>
              <w14:schemeClr w14:val="tx1"/>
            </w14:solidFill>
          </w14:textFill>
        </w:rPr>
        <w:t>单位</w:t>
      </w:r>
      <w:r>
        <w:rPr>
          <w:rFonts w:hint="eastAsia" w:cs="Times New Roman"/>
          <w:b/>
          <w:bCs/>
          <w:color w:val="000000" w:themeColor="text1"/>
          <w:highlight w:val="none"/>
          <w:lang w:val="en-US" w:eastAsia="zh-CN"/>
          <w14:textFill>
            <w14:solidFill>
              <w14:schemeClr w14:val="tx1"/>
            </w14:solidFill>
          </w14:textFill>
        </w:rPr>
        <w:t>财务管理制度和合同管理</w:t>
      </w:r>
      <w:r>
        <w:rPr>
          <w:rFonts w:hint="default" w:ascii="Times New Roman" w:hAnsi="Times New Roman" w:cs="Times New Roman"/>
          <w:b/>
          <w:bCs/>
          <w:color w:val="000000" w:themeColor="text1"/>
          <w:highlight w:val="none"/>
          <w:lang w:val="en-US" w:eastAsia="zh-CN"/>
          <w14:textFill>
            <w14:solidFill>
              <w14:schemeClr w14:val="tx1"/>
            </w14:solidFill>
          </w14:textFill>
        </w:rPr>
        <w:t>制度不</w:t>
      </w:r>
      <w:r>
        <w:rPr>
          <w:rFonts w:hint="eastAsia" w:cs="Times New Roman"/>
          <w:b/>
          <w:bCs/>
          <w:color w:val="000000" w:themeColor="text1"/>
          <w:highlight w:val="none"/>
          <w:lang w:val="en-US" w:eastAsia="zh-CN"/>
          <w14:textFill>
            <w14:solidFill>
              <w14:schemeClr w14:val="tx1"/>
            </w14:solidFill>
          </w14:textFill>
        </w:rPr>
        <w:t>够完善</w:t>
      </w:r>
    </w:p>
    <w:p w14:paraId="22336DFC">
      <w:pPr>
        <w:ind w:firstLine="64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bCs/>
          <w:color w:val="000000" w:themeColor="text1"/>
          <w:lang w:eastAsia="zh-CN"/>
          <w14:textFill>
            <w14:solidFill>
              <w14:schemeClr w14:val="tx1"/>
            </w14:solidFill>
          </w14:textFill>
        </w:rPr>
        <w:t>经查看已制定的财务管理制度和业务管理制度框架和内容，</w:t>
      </w:r>
      <w:r>
        <w:rPr>
          <w:rFonts w:hint="eastAsia" w:cs="Times New Roman"/>
          <w:bCs/>
          <w:color w:val="000000" w:themeColor="text1"/>
          <w:lang w:val="en-US" w:eastAsia="zh-CN"/>
          <w14:textFill>
            <w14:solidFill>
              <w14:schemeClr w14:val="tx1"/>
            </w14:solidFill>
          </w14:textFill>
        </w:rPr>
        <w:t>主要</w:t>
      </w:r>
      <w:r>
        <w:rPr>
          <w:rFonts w:hint="default" w:ascii="Times New Roman" w:hAnsi="Times New Roman" w:eastAsia="宋体" w:cs="Times New Roman"/>
          <w:bCs/>
          <w:color w:val="000000" w:themeColor="text1"/>
          <w:lang w:eastAsia="zh-CN"/>
          <w14:textFill>
            <w14:solidFill>
              <w14:schemeClr w14:val="tx1"/>
            </w14:solidFill>
          </w14:textFill>
        </w:rPr>
        <w:t>存在以下问题：</w:t>
      </w:r>
      <w:r>
        <w:rPr>
          <w:rFonts w:hint="eastAsia"/>
          <w:color w:val="000000" w:themeColor="text1"/>
          <w:lang w:val="en-US" w:eastAsia="zh-CN"/>
          <w14:textFill>
            <w14:solidFill>
              <w14:schemeClr w14:val="tx1"/>
            </w14:solidFill>
          </w14:textFill>
        </w:rPr>
        <w:t>一是《</w:t>
      </w:r>
      <w:r>
        <w:rPr>
          <w:rFonts w:hint="eastAsia" w:eastAsiaTheme="minorEastAsia"/>
          <w:color w:val="000000" w:themeColor="text1"/>
          <w:lang w:eastAsia="zh-CN"/>
          <w14:textFill>
            <w14:solidFill>
              <w14:schemeClr w14:val="tx1"/>
            </w14:solidFill>
          </w14:textFill>
        </w:rPr>
        <w:t>吉木萨尔县统计局合同管理制度</w:t>
      </w:r>
      <w:r>
        <w:rPr>
          <w:rFonts w:hint="eastAsia"/>
          <w:color w:val="000000" w:themeColor="text1"/>
          <w:lang w:val="en-US" w:eastAsia="zh-CN"/>
          <w14:textFill>
            <w14:solidFill>
              <w14:schemeClr w14:val="tx1"/>
            </w14:solidFill>
          </w14:textFill>
        </w:rPr>
        <w:t>》中未建立合同签订范围和条件，以及缺少合同纠纷协调机制。二是</w:t>
      </w:r>
      <w:r>
        <w:rPr>
          <w:rFonts w:hint="eastAsia" w:eastAsiaTheme="minorEastAsia"/>
          <w:color w:val="000000" w:themeColor="text1"/>
          <w:lang w:eastAsia="zh-CN"/>
          <w14:textFill>
            <w14:solidFill>
              <w14:schemeClr w14:val="tx1"/>
            </w14:solidFill>
          </w14:textFill>
        </w:rPr>
        <w:t>《统计局财务管理制度》</w:t>
      </w:r>
      <w:r>
        <w:rPr>
          <w:rFonts w:hint="default" w:ascii="Times New Roman" w:hAnsi="Times New Roman" w:cs="Times New Roman"/>
          <w:color w:val="000000" w:themeColor="text1"/>
          <w:lang w:val="en-US" w:eastAsia="zh-CN"/>
          <w14:textFill>
            <w14:solidFill>
              <w14:schemeClr w14:val="tx1"/>
            </w14:solidFill>
          </w14:textFill>
        </w:rPr>
        <w:t>中缺少</w:t>
      </w:r>
      <w:r>
        <w:rPr>
          <w:rFonts w:hint="default" w:ascii="Times New Roman" w:hAnsi="Times New Roman" w:cs="Times New Roman"/>
          <w:color w:val="000000" w:themeColor="text1"/>
          <w14:textFill>
            <w14:solidFill>
              <w14:schemeClr w14:val="tx1"/>
            </w14:solidFill>
          </w14:textFill>
        </w:rPr>
        <w:t>决算管理</w:t>
      </w:r>
      <w:r>
        <w:rPr>
          <w:rFonts w:hint="default" w:ascii="Times New Roman" w:hAnsi="Times New Roman" w:cs="Times New Roman"/>
          <w:color w:val="000000" w:themeColor="text1"/>
          <w:lang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票据</w:t>
      </w:r>
      <w:r>
        <w:rPr>
          <w:rFonts w:hint="default" w:ascii="Times New Roman" w:hAnsi="Times New Roman" w:cs="Times New Roman"/>
          <w:color w:val="000000" w:themeColor="text1"/>
          <w14:textFill>
            <w14:solidFill>
              <w14:schemeClr w14:val="tx1"/>
            </w14:solidFill>
          </w14:textFill>
        </w:rPr>
        <w:t>管理</w:t>
      </w:r>
      <w:r>
        <w:rPr>
          <w:rFonts w:hint="default" w:ascii="Times New Roman" w:hAnsi="Times New Roman" w:cs="Times New Roman"/>
          <w:color w:val="000000" w:themeColor="text1"/>
          <w:lang w:val="en-US" w:eastAsia="zh-CN"/>
          <w14:textFill>
            <w14:solidFill>
              <w14:schemeClr w14:val="tx1"/>
            </w14:solidFill>
          </w14:textFill>
        </w:rPr>
        <w:t>等</w:t>
      </w:r>
      <w:r>
        <w:rPr>
          <w:rFonts w:hint="default" w:ascii="Times New Roman" w:hAnsi="Times New Roman" w:cs="Times New Roman"/>
          <w:color w:val="000000" w:themeColor="text1"/>
          <w14:textFill>
            <w14:solidFill>
              <w14:schemeClr w14:val="tx1"/>
            </w14:solidFill>
          </w14:textFill>
        </w:rPr>
        <w:t>内容</w:t>
      </w:r>
      <w:r>
        <w:rPr>
          <w:rFonts w:hint="eastAsia"/>
          <w:color w:val="000000" w:themeColor="text1"/>
          <w:lang w:val="en-US" w:eastAsia="zh-CN"/>
          <w14:textFill>
            <w14:solidFill>
              <w14:schemeClr w14:val="tx1"/>
            </w14:solidFill>
          </w14:textFill>
        </w:rPr>
        <w:t>。</w:t>
      </w:r>
    </w:p>
    <w:p w14:paraId="0EE7E0A2">
      <w:pPr>
        <w:ind w:firstLine="422"/>
        <w:rPr>
          <w:rFonts w:hint="default" w:eastAsiaTheme="minorEastAsia"/>
          <w:b/>
          <w:bCs/>
          <w:color w:val="000000" w:themeColor="text1"/>
          <w:lang w:val="en-US" w:eastAsia="zh-CN"/>
          <w14:textFill>
            <w14:solidFill>
              <w14:schemeClr w14:val="tx1"/>
            </w14:solidFill>
          </w14:textFill>
        </w:rPr>
      </w:pPr>
      <w:r>
        <w:rPr>
          <w:rFonts w:hint="eastAsia" w:eastAsiaTheme="minorEastAsia"/>
          <w:b/>
          <w:bCs/>
          <w:color w:val="000000" w:themeColor="text1"/>
          <w:lang w:val="en-US" w:eastAsia="zh-CN"/>
          <w14:textFill>
            <w14:solidFill>
              <w14:schemeClr w14:val="tx1"/>
            </w14:solidFill>
          </w14:textFill>
        </w:rPr>
        <w:t>3</w:t>
      </w:r>
      <w:r>
        <w:rPr>
          <w:rFonts w:eastAsiaTheme="minorEastAsia"/>
          <w:b/>
          <w:bCs/>
          <w:color w:val="000000" w:themeColor="text1"/>
          <w14:textFill>
            <w14:solidFill>
              <w14:schemeClr w14:val="tx1"/>
            </w14:solidFill>
          </w14:textFill>
        </w:rPr>
        <w:t>.</w:t>
      </w:r>
      <w:r>
        <w:rPr>
          <w:rFonts w:hint="eastAsia" w:eastAsiaTheme="minorEastAsia"/>
          <w:b/>
          <w:bCs/>
          <w:color w:val="000000" w:themeColor="text1"/>
          <w:lang w:val="en-US" w:eastAsia="zh-CN"/>
          <w14:textFill>
            <w14:solidFill>
              <w14:schemeClr w14:val="tx1"/>
            </w14:solidFill>
          </w14:textFill>
        </w:rPr>
        <w:t>统计工作人员满意度较低，统计工作方式方法有待优化完善</w:t>
      </w:r>
    </w:p>
    <w:p w14:paraId="1A53D636">
      <w:pPr>
        <w:ind w:firstLine="420"/>
        <w:rPr>
          <w:rFonts w:eastAsiaTheme="minorEastAsia"/>
          <w:color w:val="000000" w:themeColor="text1"/>
          <w14:textFill>
            <w14:solidFill>
              <w14:schemeClr w14:val="tx1"/>
            </w14:solidFill>
          </w14:textFill>
        </w:rPr>
      </w:pPr>
      <w:r>
        <w:rPr>
          <w:rFonts w:hint="eastAsia" w:ascii="Times New Roman" w:hAnsi="Times New Roman" w:cs="Times New Roman" w:eastAsiaTheme="minorEastAsia"/>
          <w:color w:val="000000" w:themeColor="text1"/>
          <w:lang w:val="en-US" w:eastAsia="zh-CN"/>
          <w14:textFill>
            <w14:solidFill>
              <w14:schemeClr w14:val="tx1"/>
            </w14:solidFill>
          </w14:textFill>
        </w:rPr>
        <w:t>本次评价过程中</w:t>
      </w:r>
      <w:r>
        <w:rPr>
          <w:rFonts w:hint="eastAsia" w:cs="Times New Roman" w:eastAsiaTheme="minorEastAsia"/>
          <w:color w:val="000000" w:themeColor="text1"/>
          <w:lang w:val="en-US" w:eastAsia="zh-CN"/>
          <w14:textFill>
            <w14:solidFill>
              <w14:schemeClr w14:val="tx1"/>
            </w14:solidFill>
          </w14:textFill>
        </w:rPr>
        <w:t>根据</w:t>
      </w:r>
      <w:r>
        <w:rPr>
          <w:rFonts w:hint="eastAsia" w:ascii="Times New Roman" w:hAnsi="Times New Roman" w:cs="Times New Roman" w:eastAsiaTheme="minorEastAsia"/>
          <w:color w:val="000000" w:themeColor="text1"/>
          <w:lang w:val="en-US" w:eastAsia="zh-CN"/>
          <w14:textFill>
            <w14:solidFill>
              <w14:schemeClr w14:val="tx1"/>
            </w14:solidFill>
          </w14:textFill>
        </w:rPr>
        <w:t>统计工作人员</w:t>
      </w:r>
      <w:r>
        <w:rPr>
          <w:rFonts w:hint="eastAsia" w:cs="Times New Roman" w:eastAsiaTheme="minorEastAsia"/>
          <w:color w:val="000000" w:themeColor="text1"/>
          <w:lang w:val="en-US" w:eastAsia="zh-CN"/>
          <w14:textFill>
            <w14:solidFill>
              <w14:schemeClr w14:val="tx1"/>
            </w14:solidFill>
          </w14:textFill>
        </w:rPr>
        <w:t>满意度调查结果反馈</w:t>
      </w:r>
      <w:r>
        <w:rPr>
          <w:rFonts w:hint="eastAsia" w:ascii="Times New Roman" w:hAnsi="Times New Roman" w:cs="Times New Roman" w:eastAsiaTheme="minorEastAsia"/>
          <w:color w:val="000000" w:themeColor="text1"/>
          <w:lang w:val="en-US" w:eastAsia="zh-CN"/>
          <w14:textFill>
            <w14:solidFill>
              <w14:schemeClr w14:val="tx1"/>
            </w14:solidFill>
          </w14:textFill>
        </w:rPr>
        <w:t>，</w:t>
      </w:r>
      <w:r>
        <w:rPr>
          <w:rFonts w:hint="eastAsia" w:cs="Times New Roman" w:eastAsiaTheme="minorEastAsia"/>
          <w:color w:val="000000" w:themeColor="text1"/>
          <w:lang w:val="en-US" w:eastAsia="zh-CN"/>
          <w14:textFill>
            <w14:solidFill>
              <w14:schemeClr w14:val="tx1"/>
            </w14:solidFill>
          </w14:textFill>
        </w:rPr>
        <w:t>主要认为</w:t>
      </w:r>
      <w:r>
        <w:rPr>
          <w:rFonts w:hint="eastAsia" w:ascii="Times New Roman" w:hAnsi="Times New Roman" w:cs="Times New Roman" w:eastAsiaTheme="minorEastAsia"/>
          <w:color w:val="000000" w:themeColor="text1"/>
          <w:lang w:val="en-US" w:eastAsia="zh-CN"/>
          <w14:textFill>
            <w14:solidFill>
              <w14:schemeClr w14:val="tx1"/>
            </w14:solidFill>
          </w14:textFill>
        </w:rPr>
        <w:t>统计工作任务较重，基层人员不足，人员服务能力</w:t>
      </w:r>
      <w:r>
        <w:rPr>
          <w:rFonts w:hint="eastAsia" w:cs="Times New Roman" w:eastAsiaTheme="minorEastAsia"/>
          <w:color w:val="000000" w:themeColor="text1"/>
          <w:lang w:val="en-US" w:eastAsia="zh-CN"/>
          <w14:textFill>
            <w14:solidFill>
              <w14:schemeClr w14:val="tx1"/>
            </w14:solidFill>
          </w14:textFill>
        </w:rPr>
        <w:t>参差不齐</w:t>
      </w:r>
      <w:r>
        <w:rPr>
          <w:rFonts w:hint="eastAsia" w:ascii="Times New Roman" w:hAnsi="Times New Roman" w:cs="Times New Roman" w:eastAsiaTheme="minorEastAsia"/>
          <w:color w:val="000000" w:themeColor="text1"/>
          <w:lang w:val="en-US" w:eastAsia="zh-CN"/>
          <w14:textFill>
            <w14:solidFill>
              <w14:schemeClr w14:val="tx1"/>
            </w14:solidFill>
          </w14:textFill>
        </w:rPr>
        <w:t>，部分</w:t>
      </w:r>
      <w:r>
        <w:rPr>
          <w:rFonts w:hint="eastAsia" w:cs="Times New Roman" w:eastAsiaTheme="minorEastAsia"/>
          <w:color w:val="000000" w:themeColor="text1"/>
          <w:lang w:val="en-US" w:eastAsia="zh-CN"/>
          <w14:textFill>
            <w14:solidFill>
              <w14:schemeClr w14:val="tx1"/>
            </w14:solidFill>
          </w14:textFill>
        </w:rPr>
        <w:t>统计</w:t>
      </w:r>
      <w:r>
        <w:rPr>
          <w:rFonts w:hint="eastAsia" w:ascii="Times New Roman" w:hAnsi="Times New Roman" w:cs="Times New Roman" w:eastAsiaTheme="minorEastAsia"/>
          <w:color w:val="000000" w:themeColor="text1"/>
          <w:lang w:val="en-US" w:eastAsia="zh-CN"/>
          <w14:textFill>
            <w14:solidFill>
              <w14:schemeClr w14:val="tx1"/>
            </w14:solidFill>
          </w14:textFill>
        </w:rPr>
        <w:t>工作乡镇无法完成，影响统计数据质量。希望在今后开展统计工作中</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升级统计工具/系统，</w:t>
      </w:r>
      <w:r>
        <w:rPr>
          <w:rFonts w:hint="eastAsia" w:ascii="Times New Roman" w:hAnsi="Times New Roman" w:cs="Times New Roman" w:eastAsiaTheme="minorEastAsia"/>
          <w:color w:val="000000" w:themeColor="text1"/>
          <w:lang w:val="en-US" w:eastAsia="zh-CN"/>
          <w14:textFill>
            <w14:solidFill>
              <w14:schemeClr w14:val="tx1"/>
            </w14:solidFill>
          </w14:textFill>
        </w:rPr>
        <w:t>精简报表，</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优化工作流程，减少重复劳动，优化工作流程；加强统计人员的专业培训与指导</w:t>
      </w:r>
      <w:r>
        <w:rPr>
          <w:rFonts w:eastAsiaTheme="minorEastAsia"/>
          <w:color w:val="000000" w:themeColor="text1"/>
          <w14:textFill>
            <w14:solidFill>
              <w14:schemeClr w14:val="tx1"/>
            </w14:solidFill>
          </w14:textFill>
        </w:rPr>
        <w:t>。</w:t>
      </w:r>
    </w:p>
    <w:p w14:paraId="73788A33">
      <w:pPr>
        <w:keepNext/>
        <w:keepLines/>
        <w:ind w:firstLine="422"/>
        <w:jc w:val="left"/>
        <w:outlineLvl w:val="1"/>
        <w:rPr>
          <w:b/>
          <w:color w:val="000000" w:themeColor="text1"/>
          <w14:textFill>
            <w14:solidFill>
              <w14:schemeClr w14:val="tx1"/>
            </w14:solidFill>
          </w14:textFill>
        </w:rPr>
      </w:pPr>
      <w:r>
        <w:rPr>
          <w:b/>
          <w:color w:val="000000" w:themeColor="text1"/>
          <w14:textFill>
            <w14:solidFill>
              <w14:schemeClr w14:val="tx1"/>
            </w14:solidFill>
          </w14:textFill>
        </w:rPr>
        <w:t>（三）改进建议</w:t>
      </w:r>
      <w:bookmarkEnd w:id="82"/>
    </w:p>
    <w:p w14:paraId="33A5B8A3">
      <w:pPr>
        <w:keepNext/>
        <w:keepLines/>
        <w:ind w:firstLine="422"/>
        <w:rPr>
          <w:rFonts w:eastAsiaTheme="minorEastAsia"/>
          <w:b/>
          <w:bCs/>
          <w:color w:val="000000" w:themeColor="text1"/>
          <w14:textFill>
            <w14:solidFill>
              <w14:schemeClr w14:val="tx1"/>
            </w14:solidFill>
          </w14:textFill>
        </w:rPr>
      </w:pPr>
      <w:bookmarkStart w:id="83" w:name="_Toc32445"/>
      <w:bookmarkEnd w:id="83"/>
      <w:bookmarkStart w:id="84" w:name="_Toc27080"/>
      <w:r>
        <w:rPr>
          <w:rFonts w:eastAsiaTheme="minorEastAsia"/>
          <w:b/>
          <w:bCs/>
          <w:color w:val="000000" w:themeColor="text1"/>
          <w14:textFill>
            <w14:solidFill>
              <w14:schemeClr w14:val="tx1"/>
            </w14:solidFill>
          </w14:textFill>
        </w:rPr>
        <w:t>1.完善年度工作任务计划，落实责任主体，提高决策执行有效性</w:t>
      </w:r>
    </w:p>
    <w:p w14:paraId="46DC27C2">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建议部门预算单位围绕全面落实</w:t>
      </w:r>
      <w:r>
        <w:rPr>
          <w:rFonts w:hint="eastAsia" w:eastAsiaTheme="minorEastAsia"/>
          <w:color w:val="000000" w:themeColor="text1"/>
          <w:lang w:eastAsia="zh-CN"/>
          <w14:textFill>
            <w14:solidFill>
              <w14:schemeClr w14:val="tx1"/>
            </w14:solidFill>
          </w14:textFill>
        </w:rPr>
        <w:t>吉木萨尔县委、县政府</w:t>
      </w:r>
      <w:r>
        <w:rPr>
          <w:rFonts w:eastAsiaTheme="minorEastAsia"/>
          <w:color w:val="000000" w:themeColor="text1"/>
          <w14:textFill>
            <w14:solidFill>
              <w14:schemeClr w14:val="tx1"/>
            </w14:solidFill>
          </w14:textFill>
        </w:rPr>
        <w:t>要求，结合区域经济社会发展需求及单位事业发展</w:t>
      </w:r>
      <w:r>
        <w:rPr>
          <w:rFonts w:hint="eastAsia" w:eastAsiaTheme="minorEastAsia"/>
          <w:color w:val="000000" w:themeColor="text1"/>
          <w:lang w:val="en-US" w:eastAsia="zh-CN"/>
          <w14:textFill>
            <w14:solidFill>
              <w14:schemeClr w14:val="tx1"/>
            </w14:solidFill>
          </w14:textFill>
        </w:rPr>
        <w:t>目标</w:t>
      </w:r>
      <w:r>
        <w:rPr>
          <w:rFonts w:eastAsiaTheme="minorEastAsia"/>
          <w:color w:val="000000" w:themeColor="text1"/>
          <w14:textFill>
            <w14:solidFill>
              <w14:schemeClr w14:val="tx1"/>
            </w14:solidFill>
          </w14:textFill>
        </w:rPr>
        <w:t>，合理制定部门单位年度工作计划，反映部门总体工作思路，包</w:t>
      </w:r>
      <w:r>
        <w:rPr>
          <w:rFonts w:hint="eastAsia" w:eastAsiaTheme="minorEastAsia"/>
          <w:color w:val="000000" w:themeColor="text1"/>
          <w:lang w:val="en-US" w:eastAsia="zh-CN"/>
          <w14:textFill>
            <w14:solidFill>
              <w14:schemeClr w14:val="tx1"/>
            </w14:solidFill>
          </w14:textFill>
        </w:rPr>
        <w:t>括</w:t>
      </w:r>
      <w:r>
        <w:rPr>
          <w:rFonts w:eastAsiaTheme="minorEastAsia"/>
          <w:color w:val="000000" w:themeColor="text1"/>
          <w14:textFill>
            <w14:solidFill>
              <w14:schemeClr w14:val="tx1"/>
            </w14:solidFill>
          </w14:textFill>
        </w:rPr>
        <w:t>明确总体目标、实施</w:t>
      </w:r>
      <w:r>
        <w:rPr>
          <w:rFonts w:hint="eastAsia" w:eastAsiaTheme="minorEastAsia"/>
          <w:color w:val="000000" w:themeColor="text1"/>
          <w:lang w:eastAsia="zh-CN"/>
          <w14:textFill>
            <w14:solidFill>
              <w14:schemeClr w14:val="tx1"/>
            </w14:solidFill>
          </w14:textFill>
        </w:rPr>
        <w:t>（</w:t>
      </w:r>
      <w:r>
        <w:rPr>
          <w:rFonts w:hint="eastAsia" w:eastAsiaTheme="minorEastAsia"/>
          <w:color w:val="000000" w:themeColor="text1"/>
          <w:lang w:val="en-US" w:eastAsia="zh-CN"/>
          <w14:textFill>
            <w14:solidFill>
              <w14:schemeClr w14:val="tx1"/>
            </w14:solidFill>
          </w14:textFill>
        </w:rPr>
        <w:t>工作</w:t>
      </w:r>
      <w:r>
        <w:rPr>
          <w:rFonts w:hint="eastAsia" w:eastAsiaTheme="minorEastAsia"/>
          <w:color w:val="000000" w:themeColor="text1"/>
          <w:lang w:eastAsia="zh-CN"/>
          <w14:textFill>
            <w14:solidFill>
              <w14:schemeClr w14:val="tx1"/>
            </w14:solidFill>
          </w14:textFill>
        </w:rPr>
        <w:t>）</w:t>
      </w:r>
      <w:r>
        <w:rPr>
          <w:rFonts w:eastAsiaTheme="minorEastAsia"/>
          <w:color w:val="000000" w:themeColor="text1"/>
          <w14:textFill>
            <w14:solidFill>
              <w14:schemeClr w14:val="tx1"/>
            </w14:solidFill>
          </w14:textFill>
        </w:rPr>
        <w:t>内容、责任主</w:t>
      </w:r>
      <w:r>
        <w:rPr>
          <w:rFonts w:hint="eastAsia" w:eastAsiaTheme="minorEastAsia"/>
          <w:color w:val="000000" w:themeColor="text1"/>
          <w:lang w:eastAsia="zh-CN"/>
          <w14:textFill>
            <w14:solidFill>
              <w14:schemeClr w14:val="tx1"/>
            </w14:solidFill>
          </w14:textFill>
        </w:rPr>
        <w:t>体等</w:t>
      </w:r>
      <w:r>
        <w:rPr>
          <w:rFonts w:eastAsiaTheme="minorEastAsia"/>
          <w:color w:val="000000" w:themeColor="text1"/>
          <w14:textFill>
            <w14:solidFill>
              <w14:schemeClr w14:val="tx1"/>
            </w14:solidFill>
          </w14:textFill>
        </w:rPr>
        <w:t>相关内容，</w:t>
      </w:r>
      <w:r>
        <w:rPr>
          <w:rFonts w:hint="eastAsia" w:eastAsiaTheme="minorEastAsia"/>
          <w:color w:val="000000" w:themeColor="text1"/>
          <w:lang w:val="en-US" w:eastAsia="zh-CN"/>
          <w14:textFill>
            <w14:solidFill>
              <w14:schemeClr w14:val="tx1"/>
            </w14:solidFill>
          </w14:textFill>
        </w:rPr>
        <w:t>并</w:t>
      </w:r>
      <w:r>
        <w:rPr>
          <w:rFonts w:eastAsiaTheme="minorEastAsia"/>
          <w:color w:val="000000" w:themeColor="text1"/>
          <w14:textFill>
            <w14:solidFill>
              <w14:schemeClr w14:val="tx1"/>
            </w14:solidFill>
          </w14:textFill>
        </w:rPr>
        <w:t>结合部门职能</w:t>
      </w:r>
      <w:r>
        <w:rPr>
          <w:rFonts w:hint="eastAsia" w:eastAsiaTheme="minorEastAsia"/>
          <w:color w:val="000000" w:themeColor="text1"/>
          <w:lang w:eastAsia="zh-CN"/>
          <w14:textFill>
            <w14:solidFill>
              <w14:schemeClr w14:val="tx1"/>
            </w14:solidFill>
          </w14:textFill>
        </w:rPr>
        <w:t>，</w:t>
      </w:r>
      <w:r>
        <w:rPr>
          <w:rFonts w:eastAsiaTheme="minorEastAsia"/>
          <w:color w:val="000000" w:themeColor="text1"/>
          <w14:textFill>
            <w14:solidFill>
              <w14:schemeClr w14:val="tx1"/>
            </w14:solidFill>
          </w14:textFill>
        </w:rPr>
        <w:t>细化</w:t>
      </w:r>
      <w:r>
        <w:rPr>
          <w:rFonts w:hint="eastAsia" w:eastAsiaTheme="minorEastAsia"/>
          <w:color w:val="000000" w:themeColor="text1"/>
          <w:lang w:val="en-US" w:eastAsia="zh-CN"/>
          <w14:textFill>
            <w14:solidFill>
              <w14:schemeClr w14:val="tx1"/>
            </w14:solidFill>
          </w14:textFill>
        </w:rPr>
        <w:t>和压实</w:t>
      </w:r>
      <w:r>
        <w:rPr>
          <w:rFonts w:eastAsiaTheme="minorEastAsia"/>
          <w:color w:val="000000" w:themeColor="text1"/>
          <w14:textFill>
            <w14:solidFill>
              <w14:schemeClr w14:val="tx1"/>
            </w14:solidFill>
          </w14:textFill>
        </w:rPr>
        <w:t>各科室任务安排，提升年度计划的科学完整性。</w:t>
      </w:r>
    </w:p>
    <w:p w14:paraId="0DB75BCB">
      <w:pPr>
        <w:bidi w:val="0"/>
        <w:rPr>
          <w:rFonts w:hint="default" w:ascii="Times New Roman" w:hAnsi="Times New Roman" w:cs="Times New Roman" w:eastAsiaTheme="minorEastAsia"/>
          <w:b/>
          <w:bCs/>
          <w:color w:val="000000" w:themeColor="text1"/>
          <w:highlight w:val="none"/>
          <w:lang w:val="en-US" w:eastAsia="zh-CN"/>
          <w14:textFill>
            <w14:solidFill>
              <w14:schemeClr w14:val="tx1"/>
            </w14:solidFill>
          </w14:textFill>
        </w:rPr>
      </w:pPr>
      <w:r>
        <w:rPr>
          <w:rFonts w:hint="eastAsia" w:cs="Times New Roman"/>
          <w:b/>
          <w:bCs/>
          <w:color w:val="000000" w:themeColor="text1"/>
          <w:highlight w:val="none"/>
          <w:lang w:val="en-US" w:eastAsia="zh-CN"/>
          <w14:textFill>
            <w14:solidFill>
              <w14:schemeClr w14:val="tx1"/>
            </w14:solidFill>
          </w14:textFill>
        </w:rPr>
        <w:t>2</w:t>
      </w:r>
      <w:r>
        <w:rPr>
          <w:rFonts w:hint="default" w:ascii="Times New Roman" w:hAnsi="Times New Roman" w:cs="Times New Roman"/>
          <w:b/>
          <w:bCs/>
          <w:color w:val="000000" w:themeColor="text1"/>
          <w:highlight w:val="none"/>
          <w:lang w:val="en-US" w:eastAsia="zh-CN"/>
          <w14:textFill>
            <w14:solidFill>
              <w14:schemeClr w14:val="tx1"/>
            </w14:solidFill>
          </w14:textFill>
        </w:rPr>
        <w:t>.建立健全内部控制制度，有效防范风险</w:t>
      </w:r>
    </w:p>
    <w:p w14:paraId="222DD172">
      <w:pPr>
        <w:bidi w:val="0"/>
        <w:ind w:firstLine="0"/>
        <w:rPr>
          <w:rFonts w:hint="default" w:ascii="Times New Roman" w:hAnsi="Times New Roman" w:cs="Times New Roman"/>
          <w:color w:val="000000" w:themeColor="text1"/>
          <w:highlight w:val="none"/>
          <w:lang w:val="en-US" w:eastAsia="zh-CN"/>
          <w14:textFill>
            <w14:solidFill>
              <w14:schemeClr w14:val="tx1"/>
            </w14:solidFill>
          </w14:textFill>
        </w:rPr>
      </w:pPr>
      <w:r>
        <w:rPr>
          <w:rFonts w:hint="default" w:ascii="Times New Roman" w:hAnsi="Times New Roman" w:cs="Times New Roman"/>
          <w:color w:val="000000" w:themeColor="text1"/>
          <w:highlight w:val="none"/>
          <w:lang w:val="en-US" w:eastAsia="zh-CN"/>
          <w14:textFill>
            <w14:solidFill>
              <w14:schemeClr w14:val="tx1"/>
            </w14:solidFill>
          </w14:textFill>
        </w:rPr>
        <w:t>建议</w:t>
      </w:r>
      <w:r>
        <w:rPr>
          <w:rFonts w:eastAsiaTheme="minorEastAsia"/>
          <w:color w:val="000000" w:themeColor="text1"/>
          <w14:textFill>
            <w14:solidFill>
              <w14:schemeClr w14:val="tx1"/>
            </w14:solidFill>
          </w14:textFill>
        </w:rPr>
        <w:t>部门预算单位</w:t>
      </w:r>
      <w:r>
        <w:rPr>
          <w:rFonts w:hint="default" w:ascii="Times New Roman" w:hAnsi="Times New Roman" w:cs="Times New Roman"/>
          <w:color w:val="000000" w:themeColor="text1"/>
          <w:highlight w:val="none"/>
          <w:lang w:val="en-US" w:eastAsia="zh-CN"/>
          <w14:textFill>
            <w14:solidFill>
              <w14:schemeClr w14:val="tx1"/>
            </w14:solidFill>
          </w14:textFill>
        </w:rPr>
        <w:t>：一是严格按照</w:t>
      </w:r>
      <w:r>
        <w:rPr>
          <w:rFonts w:hint="default"/>
          <w:color w:val="000000" w:themeColor="text1"/>
          <w:highlight w:val="none"/>
          <w:lang w:val="en-US" w:eastAsia="zh-CN"/>
          <w14:textFill>
            <w14:solidFill>
              <w14:schemeClr w14:val="tx1"/>
            </w14:solidFill>
          </w14:textFill>
        </w:rPr>
        <w:t>《中华人民共和国预算法》</w:t>
      </w:r>
      <w:r>
        <w:rPr>
          <w:rFonts w:hint="default"/>
          <w:color w:val="000000" w:themeColor="text1"/>
          <w:highlight w:val="none"/>
          <w14:textFill>
            <w14:solidFill>
              <w14:schemeClr w14:val="tx1"/>
            </w14:solidFill>
          </w14:textFill>
        </w:rPr>
        <w:t>《政府会计准则》</w:t>
      </w:r>
      <w:r>
        <w:rPr>
          <w:rFonts w:hint="default" w:ascii="Times New Roman" w:hAnsi="Times New Roman" w:cs="Times New Roman"/>
          <w:color w:val="000000" w:themeColor="text1"/>
          <w:highlight w:val="none"/>
          <w:lang w:val="en-US" w:eastAsia="zh-CN"/>
          <w14:textFill>
            <w14:solidFill>
              <w14:schemeClr w14:val="tx1"/>
            </w14:solidFill>
          </w14:textFill>
        </w:rPr>
        <w:t>《行政事业单位内部控制规范（试行）》（财会〔2012〕21号）</w:t>
      </w:r>
      <w:r>
        <w:rPr>
          <w:rFonts w:hint="eastAsia" w:cs="Times New Roman"/>
          <w:color w:val="000000" w:themeColor="text1"/>
          <w:highlight w:val="none"/>
          <w:lang w:val="en-US" w:eastAsia="zh-CN"/>
          <w14:textFill>
            <w14:solidFill>
              <w14:schemeClr w14:val="tx1"/>
            </w14:solidFill>
          </w14:textFill>
        </w:rPr>
        <w:t>等法律法规，</w:t>
      </w:r>
      <w:r>
        <w:rPr>
          <w:rFonts w:hint="default"/>
          <w:color w:val="000000" w:themeColor="text1"/>
          <w:highlight w:val="none"/>
          <w:lang w:val="en-US" w:eastAsia="zh-CN"/>
          <w14:textFill>
            <w14:solidFill>
              <w14:schemeClr w14:val="tx1"/>
            </w14:solidFill>
          </w14:textFill>
        </w:rPr>
        <w:t>结合外部环境的变化</w:t>
      </w:r>
      <w:r>
        <w:rPr>
          <w:rFonts w:hint="eastAsia"/>
          <w:color w:val="000000" w:themeColor="text1"/>
          <w:highlight w:val="none"/>
          <w:lang w:val="en-US" w:eastAsia="zh-CN"/>
          <w14:textFill>
            <w14:solidFill>
              <w14:schemeClr w14:val="tx1"/>
            </w14:solidFill>
          </w14:textFill>
        </w:rPr>
        <w:t>和</w:t>
      </w:r>
      <w:r>
        <w:rPr>
          <w:rFonts w:hint="default"/>
          <w:color w:val="000000" w:themeColor="text1"/>
          <w:highlight w:val="none"/>
          <w:lang w:val="en-US" w:eastAsia="zh-CN"/>
          <w14:textFill>
            <w14:solidFill>
              <w14:schemeClr w14:val="tx1"/>
            </w14:solidFill>
          </w14:textFill>
        </w:rPr>
        <w:t>本单位实际管理需要，</w:t>
      </w:r>
      <w:r>
        <w:rPr>
          <w:rFonts w:hint="eastAsia" w:cs="Times New Roman"/>
          <w:color w:val="000000" w:themeColor="text1"/>
          <w:highlight w:val="none"/>
          <w:lang w:val="en-US" w:eastAsia="zh-CN"/>
          <w14:textFill>
            <w14:solidFill>
              <w14:schemeClr w14:val="tx1"/>
            </w14:solidFill>
          </w14:textFill>
        </w:rPr>
        <w:t>及时修订和完善</w:t>
      </w:r>
      <w:r>
        <w:rPr>
          <w:rFonts w:hint="default" w:ascii="Times New Roman" w:hAnsi="Times New Roman" w:eastAsia="宋体" w:cs="Times New Roman"/>
          <w:bCs/>
          <w:color w:val="000000" w:themeColor="text1"/>
          <w:lang w:eastAsia="zh-CN"/>
          <w14:textFill>
            <w14:solidFill>
              <w14:schemeClr w14:val="tx1"/>
            </w14:solidFill>
          </w14:textFill>
        </w:rPr>
        <w:t>财务管理制度</w:t>
      </w:r>
      <w:r>
        <w:rPr>
          <w:rFonts w:hint="eastAsia" w:cs="Times New Roman"/>
          <w:bCs/>
          <w:color w:val="000000" w:themeColor="text1"/>
          <w:lang w:val="en-US" w:eastAsia="zh-CN"/>
          <w14:textFill>
            <w14:solidFill>
              <w14:schemeClr w14:val="tx1"/>
            </w14:solidFill>
          </w14:textFill>
        </w:rPr>
        <w:t>和合同</w:t>
      </w:r>
      <w:r>
        <w:rPr>
          <w:rFonts w:hint="default" w:ascii="Times New Roman" w:hAnsi="Times New Roman" w:eastAsia="宋体" w:cs="Times New Roman"/>
          <w:bCs/>
          <w:color w:val="000000" w:themeColor="text1"/>
          <w:lang w:eastAsia="zh-CN"/>
          <w14:textFill>
            <w14:solidFill>
              <w14:schemeClr w14:val="tx1"/>
            </w14:solidFill>
          </w14:textFill>
        </w:rPr>
        <w:t>管理制度</w:t>
      </w:r>
      <w:r>
        <w:rPr>
          <w:rFonts w:hint="eastAsia" w:cs="Times New Roman"/>
          <w:bCs/>
          <w:color w:val="000000" w:themeColor="text1"/>
          <w:lang w:val="en-US" w:eastAsia="zh-CN"/>
          <w14:textFill>
            <w14:solidFill>
              <w14:schemeClr w14:val="tx1"/>
            </w14:solidFill>
          </w14:textFill>
        </w:rPr>
        <w:t>等，</w:t>
      </w:r>
      <w:r>
        <w:rPr>
          <w:rFonts w:hint="default" w:ascii="Times New Roman" w:hAnsi="Times New Roman" w:cs="Times New Roman"/>
          <w:color w:val="000000" w:themeColor="text1"/>
          <w:highlight w:val="none"/>
          <w:lang w:val="en-US" w:eastAsia="zh-CN"/>
          <w14:textFill>
            <w14:solidFill>
              <w14:schemeClr w14:val="tx1"/>
            </w14:solidFill>
          </w14:textFill>
        </w:rPr>
        <w:t>确保经济活动的决策、执行和监督</w:t>
      </w:r>
      <w:r>
        <w:rPr>
          <w:rFonts w:hint="default" w:ascii="Times New Roman" w:hAnsi="Times New Roman" w:cs="Times New Roman"/>
          <w:color w:val="000000" w:themeColor="text1"/>
          <w:lang w:val="en-US" w:eastAsia="zh-CN"/>
          <w14:textFill>
            <w14:solidFill>
              <w14:schemeClr w14:val="tx1"/>
            </w14:solidFill>
          </w14:textFill>
        </w:rPr>
        <w:t>管理规范</w:t>
      </w:r>
      <w:r>
        <w:rPr>
          <w:rFonts w:hint="eastAsia" w:ascii="Times New Roman" w:hAnsi="Times New Roman" w:cs="Times New Roman"/>
          <w:color w:val="000000" w:themeColor="text1"/>
          <w:lang w:val="en-US" w:eastAsia="zh-CN"/>
          <w14:textFill>
            <w14:solidFill>
              <w14:schemeClr w14:val="tx1"/>
            </w14:solidFill>
          </w14:textFill>
        </w:rPr>
        <w:t>，</w:t>
      </w:r>
      <w:r>
        <w:rPr>
          <w:rFonts w:hint="default" w:ascii="Times New Roman" w:hAnsi="Times New Roman" w:cs="Times New Roman"/>
          <w:color w:val="000000" w:themeColor="text1"/>
          <w:lang w:val="en-US" w:eastAsia="zh-CN"/>
          <w14:textFill>
            <w14:solidFill>
              <w14:schemeClr w14:val="tx1"/>
            </w14:solidFill>
          </w14:textFill>
        </w:rPr>
        <w:t>制度执行有效</w:t>
      </w:r>
      <w:r>
        <w:rPr>
          <w:rFonts w:hint="default" w:ascii="Times New Roman" w:hAnsi="Times New Roman" w:cs="Times New Roman"/>
          <w:color w:val="000000" w:themeColor="text1"/>
          <w:highlight w:val="none"/>
          <w:lang w:val="en-US" w:eastAsia="zh-CN"/>
          <w14:textFill>
            <w14:solidFill>
              <w14:schemeClr w14:val="tx1"/>
            </w14:solidFill>
          </w14:textFill>
        </w:rPr>
        <w:t>，</w:t>
      </w:r>
      <w:r>
        <w:rPr>
          <w:rFonts w:hint="eastAsia" w:cs="Times New Roman"/>
          <w:color w:val="000000" w:themeColor="text1"/>
          <w:highlight w:val="none"/>
          <w:lang w:val="en-US" w:eastAsia="zh-CN"/>
          <w14:textFill>
            <w14:solidFill>
              <w14:schemeClr w14:val="tx1"/>
            </w14:solidFill>
          </w14:textFill>
        </w:rPr>
        <w:t>进而</w:t>
      </w:r>
      <w:r>
        <w:rPr>
          <w:rFonts w:hint="default" w:ascii="Times New Roman" w:hAnsi="Times New Roman" w:cs="Times New Roman"/>
          <w:color w:val="000000" w:themeColor="text1"/>
          <w:highlight w:val="none"/>
          <w:lang w:val="en-US" w:eastAsia="zh-CN"/>
          <w14:textFill>
            <w14:solidFill>
              <w14:schemeClr w14:val="tx1"/>
            </w14:solidFill>
          </w14:textFill>
        </w:rPr>
        <w:t>提高工作效率，规范财经秩序。二是</w:t>
      </w:r>
      <w:r>
        <w:rPr>
          <w:rFonts w:hint="default" w:ascii="Times New Roman" w:hAnsi="Times New Roman" w:cs="Times New Roman"/>
          <w:color w:val="000000" w:themeColor="text1"/>
          <w:lang w:val="en-US" w:eastAsia="zh-CN"/>
          <w14:textFill>
            <w14:solidFill>
              <w14:schemeClr w14:val="tx1"/>
            </w14:solidFill>
          </w14:textFill>
        </w:rPr>
        <w:t>充分发挥单位内控领导小组的作用，</w:t>
      </w:r>
      <w:r>
        <w:rPr>
          <w:rFonts w:hint="default" w:cs="Times New Roman"/>
          <w:color w:val="000000" w:themeColor="text1"/>
          <w:highlight w:val="none"/>
          <w:lang w:val="en-US" w:eastAsia="zh-CN"/>
          <w14:textFill>
            <w14:solidFill>
              <w14:schemeClr w14:val="tx1"/>
            </w14:solidFill>
          </w14:textFill>
        </w:rPr>
        <w:t>强化单位内控运行评价工作，加强对单位内控运行的监督，</w:t>
      </w:r>
      <w:r>
        <w:rPr>
          <w:rFonts w:hint="default" w:ascii="Times New Roman" w:hAnsi="Times New Roman" w:cs="Times New Roman"/>
          <w:color w:val="000000" w:themeColor="text1"/>
          <w:lang w:val="en-US" w:eastAsia="zh-CN"/>
          <w14:textFill>
            <w14:solidFill>
              <w14:schemeClr w14:val="tx1"/>
            </w14:solidFill>
          </w14:textFill>
        </w:rPr>
        <w:t>利</w:t>
      </w:r>
      <w:r>
        <w:rPr>
          <w:rFonts w:hint="default" w:ascii="Times New Roman" w:hAnsi="Times New Roman" w:cs="Times New Roman"/>
          <w:color w:val="000000" w:themeColor="text1"/>
          <w:highlight w:val="none"/>
          <w:lang w:val="en-US" w:eastAsia="zh-CN"/>
          <w14:textFill>
            <w14:solidFill>
              <w14:schemeClr w14:val="tx1"/>
            </w14:solidFill>
          </w14:textFill>
        </w:rPr>
        <w:t>用每年填报的行政事业单位评价结果，遵照“以评促改”的原则对评价中发现的问题进行整改落实，</w:t>
      </w:r>
      <w:r>
        <w:rPr>
          <w:rFonts w:hint="default" w:cs="Times New Roman"/>
          <w:color w:val="000000" w:themeColor="text1"/>
          <w:highlight w:val="none"/>
          <w:lang w:val="en-US" w:eastAsia="zh-CN"/>
          <w14:textFill>
            <w14:solidFill>
              <w14:schemeClr w14:val="tx1"/>
            </w14:solidFill>
          </w14:textFill>
        </w:rPr>
        <w:t>进一步</w:t>
      </w:r>
      <w:r>
        <w:rPr>
          <w:rFonts w:hint="default" w:ascii="Times New Roman" w:hAnsi="Times New Roman" w:cs="Times New Roman"/>
          <w:color w:val="000000" w:themeColor="text1"/>
          <w:highlight w:val="none"/>
          <w:lang w:val="en-US" w:eastAsia="zh-CN"/>
          <w14:textFill>
            <w14:solidFill>
              <w14:schemeClr w14:val="tx1"/>
            </w14:solidFill>
          </w14:textFill>
        </w:rPr>
        <w:t>提高单位内部</w:t>
      </w:r>
      <w:r>
        <w:rPr>
          <w:rFonts w:hint="default" w:cs="Times New Roman"/>
          <w:color w:val="000000" w:themeColor="text1"/>
          <w:highlight w:val="none"/>
          <w:lang w:val="en-US" w:eastAsia="zh-CN"/>
          <w14:textFill>
            <w14:solidFill>
              <w14:schemeClr w14:val="tx1"/>
            </w14:solidFill>
          </w14:textFill>
        </w:rPr>
        <w:t>控制</w:t>
      </w:r>
      <w:r>
        <w:rPr>
          <w:rFonts w:hint="default" w:ascii="Times New Roman" w:hAnsi="Times New Roman" w:cs="Times New Roman"/>
          <w:color w:val="000000" w:themeColor="text1"/>
          <w:highlight w:val="none"/>
          <w:lang w:val="en-US" w:eastAsia="zh-CN"/>
          <w14:textFill>
            <w14:solidFill>
              <w14:schemeClr w14:val="tx1"/>
            </w14:solidFill>
          </w14:textFill>
        </w:rPr>
        <w:t>管理水平</w:t>
      </w:r>
      <w:r>
        <w:rPr>
          <w:rFonts w:hint="default" w:ascii="Times New Roman" w:hAnsi="Times New Roman" w:cs="Times New Roman"/>
          <w:bCs/>
          <w:color w:val="000000" w:themeColor="text1"/>
          <w:lang w:val="en-US" w:eastAsia="zh-CN"/>
          <w14:textFill>
            <w14:solidFill>
              <w14:schemeClr w14:val="tx1"/>
            </w14:solidFill>
          </w14:textFill>
        </w:rPr>
        <w:t>。</w:t>
      </w:r>
    </w:p>
    <w:p w14:paraId="1C2CA95F">
      <w:pPr>
        <w:keepNext/>
        <w:keepLines/>
        <w:ind w:firstLine="422"/>
        <w:rPr>
          <w:rFonts w:hint="default" w:eastAsiaTheme="minorEastAsia"/>
          <w:b/>
          <w:bCs/>
          <w:color w:val="000000" w:themeColor="text1"/>
          <w:lang w:val="en-US" w:eastAsia="zh-CN"/>
          <w14:textFill>
            <w14:solidFill>
              <w14:schemeClr w14:val="tx1"/>
            </w14:solidFill>
          </w14:textFill>
        </w:rPr>
      </w:pPr>
      <w:r>
        <w:rPr>
          <w:rFonts w:hint="eastAsia" w:eastAsiaTheme="minorEastAsia"/>
          <w:b/>
          <w:bCs/>
          <w:color w:val="000000" w:themeColor="text1"/>
          <w:lang w:val="en-US" w:eastAsia="zh-CN"/>
          <w14:textFill>
            <w14:solidFill>
              <w14:schemeClr w14:val="tx1"/>
            </w14:solidFill>
          </w14:textFill>
        </w:rPr>
        <w:t>3</w:t>
      </w:r>
      <w:r>
        <w:rPr>
          <w:rFonts w:eastAsiaTheme="minorEastAsia"/>
          <w:b/>
          <w:bCs/>
          <w:color w:val="000000" w:themeColor="text1"/>
          <w14:textFill>
            <w14:solidFill>
              <w14:schemeClr w14:val="tx1"/>
            </w14:solidFill>
          </w14:textFill>
        </w:rPr>
        <w:t>.优化</w:t>
      </w:r>
      <w:r>
        <w:rPr>
          <w:rFonts w:eastAsiaTheme="minorEastAsia"/>
          <w:b/>
          <w:bCs/>
          <w:color w:val="000000" w:themeColor="text1"/>
          <w:lang w:val="zh-TW"/>
          <w14:textFill>
            <w14:solidFill>
              <w14:schemeClr w14:val="tx1"/>
            </w14:solidFill>
          </w14:textFill>
        </w:rPr>
        <w:t>完善</w:t>
      </w:r>
      <w:r>
        <w:rPr>
          <w:rFonts w:hint="eastAsia" w:eastAsiaTheme="minorEastAsia"/>
          <w:b/>
          <w:bCs/>
          <w:color w:val="000000" w:themeColor="text1"/>
          <w:lang w:val="en-US" w:eastAsia="zh-CN"/>
          <w14:textFill>
            <w14:solidFill>
              <w14:schemeClr w14:val="tx1"/>
            </w14:solidFill>
          </w14:textFill>
        </w:rPr>
        <w:t>工作方法</w:t>
      </w:r>
      <w:r>
        <w:rPr>
          <w:rFonts w:eastAsiaTheme="minorEastAsia"/>
          <w:b/>
          <w:bCs/>
          <w:color w:val="000000" w:themeColor="text1"/>
          <w:lang w:val="zh-TW"/>
          <w14:textFill>
            <w14:solidFill>
              <w14:schemeClr w14:val="tx1"/>
            </w14:solidFill>
          </w14:textFill>
        </w:rPr>
        <w:t>，</w:t>
      </w:r>
      <w:r>
        <w:rPr>
          <w:rFonts w:hint="eastAsia" w:eastAsiaTheme="minorEastAsia"/>
          <w:b/>
          <w:bCs/>
          <w:color w:val="000000" w:themeColor="text1"/>
          <w:lang w:val="en-US" w:eastAsia="zh-CN"/>
          <w14:textFill>
            <w14:solidFill>
              <w14:schemeClr w14:val="tx1"/>
            </w14:solidFill>
          </w14:textFill>
        </w:rPr>
        <w:t>提高统计数据准确性</w:t>
      </w:r>
    </w:p>
    <w:p w14:paraId="7A4D86F5">
      <w:pPr>
        <w:bidi w:val="0"/>
        <w:ind w:firstLine="0"/>
        <w:rPr>
          <w:bCs/>
          <w:color w:val="000000" w:themeColor="text1"/>
          <w14:textFill>
            <w14:solidFill>
              <w14:schemeClr w14:val="tx1"/>
            </w14:solidFill>
          </w14:textFill>
        </w:rPr>
        <w:sectPr>
          <w:headerReference r:id="rId16" w:type="default"/>
          <w:footerReference r:id="rId17" w:type="default"/>
          <w:pgSz w:w="11906" w:h="16838"/>
          <w:pgMar w:top="1320" w:right="1797" w:bottom="1440" w:left="1797" w:header="851" w:footer="794" w:gutter="0"/>
          <w:pgNumType w:fmt="decimal" w:start="1"/>
          <w:cols w:space="720" w:num="1"/>
          <w:docGrid w:type="lines" w:linePitch="312" w:charSpace="0"/>
        </w:sectPr>
      </w:pPr>
      <w:r>
        <w:rPr>
          <w:rFonts w:hint="default" w:ascii="Times New Roman" w:hAnsi="Times New Roman" w:cs="Times New Roman"/>
          <w:color w:val="000000" w:themeColor="text1"/>
          <w:highlight w:val="none"/>
          <w:lang w:val="en-US" w:eastAsia="zh-CN"/>
          <w14:textFill>
            <w14:solidFill>
              <w14:schemeClr w14:val="tx1"/>
            </w14:solidFill>
          </w14:textFill>
        </w:rPr>
        <w:t>建议</w:t>
      </w:r>
      <w:r>
        <w:rPr>
          <w:rFonts w:eastAsiaTheme="minorEastAsia"/>
          <w:color w:val="000000" w:themeColor="text1"/>
          <w14:textFill>
            <w14:solidFill>
              <w14:schemeClr w14:val="tx1"/>
            </w14:solidFill>
          </w14:textFill>
        </w:rPr>
        <w:t>部门预算单位</w:t>
      </w:r>
      <w:r>
        <w:rPr>
          <w:rFonts w:hint="default" w:ascii="Times New Roman" w:hAnsi="Times New Roman" w:cs="Times New Roman"/>
          <w:color w:val="000000" w:themeColor="text1"/>
          <w:highlight w:val="none"/>
          <w:lang w:val="en-US" w:eastAsia="zh-CN"/>
          <w14:textFill>
            <w14:solidFill>
              <w14:schemeClr w14:val="tx1"/>
            </w14:solidFill>
          </w14:textFill>
        </w:rPr>
        <w:t>：一</w:t>
      </w:r>
      <w:r>
        <w:rPr>
          <w:rFonts w:hint="eastAsia" w:cs="Times New Roman"/>
          <w:color w:val="000000" w:themeColor="text1"/>
          <w:highlight w:val="none"/>
          <w:lang w:val="en-US" w:eastAsia="zh-CN"/>
          <w14:textFill>
            <w14:solidFill>
              <w14:schemeClr w14:val="tx1"/>
            </w14:solidFill>
          </w14:textFill>
        </w:rPr>
        <w:t>是</w:t>
      </w:r>
      <w:r>
        <w:rPr>
          <w:rFonts w:hint="default" w:ascii="Times New Roman" w:hAnsi="Times New Roman" w:cs="Times New Roman"/>
          <w:color w:val="000000" w:themeColor="text1"/>
          <w:highlight w:val="none"/>
          <w:lang w:val="en-US" w:eastAsia="zh-CN"/>
          <w14:textFill>
            <w14:solidFill>
              <w14:schemeClr w14:val="tx1"/>
            </w14:solidFill>
          </w14:textFill>
        </w:rPr>
        <w:t>以“减负增效”为核心，整合部门数据资源，精简报表指标，推动移动端直报、智能审核、自动</w:t>
      </w:r>
      <w:r>
        <w:rPr>
          <w:rFonts w:hint="default"/>
          <w:color w:val="000000" w:themeColor="text1"/>
          <w:highlight w:val="none"/>
          <w:lang w:val="en-US" w:eastAsia="zh-CN"/>
          <w14:textFill>
            <w14:solidFill>
              <w14:schemeClr w14:val="tx1"/>
            </w14:solidFill>
          </w14:textFill>
        </w:rPr>
        <w:t>汇总</w:t>
      </w:r>
      <w:r>
        <w:rPr>
          <w:rFonts w:hint="default" w:ascii="Times New Roman" w:hAnsi="Times New Roman" w:cs="Times New Roman"/>
          <w:color w:val="000000" w:themeColor="text1"/>
          <w:highlight w:val="none"/>
          <w:lang w:val="en-US" w:eastAsia="zh-CN"/>
          <w14:textFill>
            <w14:solidFill>
              <w14:schemeClr w14:val="tx1"/>
            </w14:solidFill>
          </w14:textFill>
        </w:rPr>
        <w:t>，减少重复填报和人工复核；</w:t>
      </w:r>
      <w:r>
        <w:rPr>
          <w:rFonts w:hint="eastAsia" w:cs="Times New Roman"/>
          <w:color w:val="000000" w:themeColor="text1"/>
          <w:highlight w:val="none"/>
          <w:lang w:val="en-US" w:eastAsia="zh-CN"/>
          <w14:textFill>
            <w14:solidFill>
              <w14:schemeClr w14:val="tx1"/>
            </w14:solidFill>
          </w14:textFill>
        </w:rPr>
        <w:t>二是</w:t>
      </w:r>
      <w:r>
        <w:rPr>
          <w:rFonts w:hint="default" w:ascii="Times New Roman" w:hAnsi="Times New Roman" w:cs="Times New Roman"/>
          <w:color w:val="000000" w:themeColor="text1"/>
          <w:highlight w:val="none"/>
          <w:lang w:val="en-US" w:eastAsia="zh-CN"/>
          <w14:textFill>
            <w14:solidFill>
              <w14:schemeClr w14:val="tx1"/>
            </w14:solidFill>
          </w14:textFill>
        </w:rPr>
        <w:t>梳理并下放高频简易事项，明确乡镇职责边界，配套标准化操作指引，让基层“接得住”；</w:t>
      </w:r>
      <w:r>
        <w:rPr>
          <w:rFonts w:hint="eastAsia" w:cs="Times New Roman"/>
          <w:color w:val="000000" w:themeColor="text1"/>
          <w:highlight w:val="none"/>
          <w:lang w:val="en-US" w:eastAsia="zh-CN"/>
          <w14:textFill>
            <w14:solidFill>
              <w14:schemeClr w14:val="tx1"/>
            </w14:solidFill>
          </w14:textFill>
        </w:rPr>
        <w:t>三是</w:t>
      </w:r>
      <w:r>
        <w:rPr>
          <w:rFonts w:hint="default" w:ascii="Times New Roman" w:hAnsi="Times New Roman" w:cs="Times New Roman"/>
          <w:color w:val="000000" w:themeColor="text1"/>
          <w:highlight w:val="none"/>
          <w:lang w:val="en-US" w:eastAsia="zh-CN"/>
          <w14:textFill>
            <w14:solidFill>
              <w14:schemeClr w14:val="tx1"/>
            </w14:solidFill>
          </w14:textFill>
        </w:rPr>
        <w:t>构建分层分类培训体系，重点加强数据采集、质量控制和解读应用能力，同时畅通技术支援热线与驻点帮扶，形成“培训+实操+反馈”闭环，持续提升人员专业水平</w:t>
      </w:r>
      <w:r>
        <w:rPr>
          <w:rFonts w:hint="eastAsia" w:cs="Times New Roman"/>
          <w:color w:val="000000" w:themeColor="text1"/>
          <w:highlight w:val="none"/>
          <w:lang w:val="en-US" w:eastAsia="zh-CN"/>
          <w14:textFill>
            <w14:solidFill>
              <w14:schemeClr w14:val="tx1"/>
            </w14:solidFill>
          </w14:textFill>
        </w:rPr>
        <w:t>，提高统计数据准确性</w:t>
      </w:r>
      <w:r>
        <w:rPr>
          <w:color w:val="000000" w:themeColor="text1"/>
          <w14:textFill>
            <w14:solidFill>
              <w14:schemeClr w14:val="tx1"/>
            </w14:solidFill>
          </w14:textFill>
        </w:rPr>
        <w:t>。</w:t>
      </w:r>
    </w:p>
    <w:p w14:paraId="14E6F0B4">
      <w:pPr>
        <w:keepNext/>
        <w:keepLines/>
        <w:ind w:firstLine="482"/>
        <w:outlineLvl w:val="0"/>
        <w:rPr>
          <w:rFonts w:ascii="Times New Roman" w:hAnsi="Times New Roman" w:eastAsia="宋体" w:cs="Times New Roman"/>
          <w:b/>
          <w:color w:val="000000" w:themeColor="text1"/>
          <w:kern w:val="44"/>
          <w:sz w:val="24"/>
          <w:szCs w:val="24"/>
          <w14:textFill>
            <w14:solidFill>
              <w14:schemeClr w14:val="tx1"/>
            </w14:solidFill>
          </w14:textFill>
        </w:rPr>
      </w:pPr>
      <w:r>
        <w:rPr>
          <w:rFonts w:hint="eastAsia" w:ascii="Times New Roman" w:hAnsi="Times New Roman" w:eastAsia="宋体" w:cs="Times New Roman"/>
          <w:b/>
          <w:color w:val="000000" w:themeColor="text1"/>
          <w:kern w:val="44"/>
          <w:sz w:val="24"/>
          <w:szCs w:val="24"/>
          <w:lang w:val="en-US" w:eastAsia="zh-CN"/>
          <w14:textFill>
            <w14:solidFill>
              <w14:schemeClr w14:val="tx1"/>
            </w14:solidFill>
          </w14:textFill>
        </w:rPr>
        <w:t>六、</w:t>
      </w:r>
      <w:r>
        <w:rPr>
          <w:rFonts w:ascii="Times New Roman" w:hAnsi="Times New Roman" w:eastAsia="宋体" w:cs="Times New Roman"/>
          <w:b/>
          <w:color w:val="000000" w:themeColor="text1"/>
          <w:kern w:val="44"/>
          <w:sz w:val="24"/>
          <w:szCs w:val="24"/>
          <w14:textFill>
            <w14:solidFill>
              <w14:schemeClr w14:val="tx1"/>
            </w14:solidFill>
          </w14:textFill>
        </w:rPr>
        <w:t>绩效评价结果应用建议</w:t>
      </w:r>
      <w:bookmarkEnd w:id="84"/>
    </w:p>
    <w:p w14:paraId="1E5FEE13">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（一）绩效结果挂钩次年预算资金安排</w:t>
      </w:r>
    </w:p>
    <w:p w14:paraId="3679C180">
      <w:pPr>
        <w:ind w:firstLine="420"/>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为有效提高财政预算资金的经济性、效率性、效益性和公平性，建议将本次绩效评价结果作为预算单位次年预算编制的重要依据，并优化支出结构、完善相关办法、改进预算管理。</w:t>
      </w:r>
    </w:p>
    <w:p w14:paraId="765A2225">
      <w:pPr>
        <w:rPr>
          <w:rFonts w:eastAsiaTheme="minorEastAsia"/>
          <w:color w:val="000000" w:themeColor="text1"/>
          <w14:textFill>
            <w14:solidFill>
              <w14:schemeClr w14:val="tx1"/>
            </w14:solidFill>
          </w14:textFill>
        </w:rPr>
      </w:pPr>
      <w:r>
        <w:rPr>
          <w:rFonts w:eastAsiaTheme="minorEastAsia"/>
          <w:color w:val="000000" w:themeColor="text1"/>
          <w14:textFill>
            <w14:solidFill>
              <w14:schemeClr w14:val="tx1"/>
            </w14:solidFill>
          </w14:textFill>
        </w:rPr>
        <w:t>（二）绩效结果挂钩整改措施</w:t>
      </w:r>
    </w:p>
    <w:p w14:paraId="2D9386E8">
      <w:pPr>
        <w:ind w:firstLine="420"/>
        <w:rPr>
          <w:rFonts w:eastAsia="宋体"/>
          <w:bCs/>
          <w:color w:val="000000" w:themeColor="text1"/>
          <w14:textFill>
            <w14:solidFill>
              <w14:schemeClr w14:val="tx1"/>
            </w14:solidFill>
          </w14:textFill>
        </w:rPr>
      </w:pPr>
      <w:r>
        <w:rPr>
          <w:rFonts w:eastAsiaTheme="minorEastAsia"/>
          <w:color w:val="000000" w:themeColor="text1"/>
          <w14:textFill>
            <w14:solidFill>
              <w14:schemeClr w14:val="tx1"/>
            </w14:solidFill>
          </w14:textFill>
        </w:rPr>
        <w:t>根据本次绩效评价报告中</w:t>
      </w:r>
      <w:r>
        <w:rPr>
          <w:rFonts w:eastAsia="宋体"/>
          <w:bCs/>
          <w:color w:val="000000" w:themeColor="text1"/>
          <w14:textFill>
            <w14:solidFill>
              <w14:schemeClr w14:val="tx1"/>
            </w14:solidFill>
          </w14:textFill>
        </w:rPr>
        <w:t>所反馈的问题和建议，由项目实施单位及时研究制定整改措施，积极落实整改要求，切实改进资金管理和项目管理，并在规定的时间内，将整改情况向</w:t>
      </w:r>
      <w:r>
        <w:rPr>
          <w:rFonts w:hint="eastAsia" w:eastAsia="宋体"/>
          <w:bCs/>
          <w:color w:val="000000" w:themeColor="text1"/>
          <w:lang w:val="en-US" w:eastAsia="zh-CN"/>
          <w14:textFill>
            <w14:solidFill>
              <w14:schemeClr w14:val="tx1"/>
            </w14:solidFill>
          </w14:textFill>
        </w:rPr>
        <w:t>吉木萨尔县</w:t>
      </w:r>
      <w:r>
        <w:rPr>
          <w:rFonts w:eastAsia="宋体"/>
          <w:bCs/>
          <w:color w:val="000000" w:themeColor="text1"/>
          <w14:textFill>
            <w14:solidFill>
              <w14:schemeClr w14:val="tx1"/>
            </w14:solidFill>
          </w14:textFill>
        </w:rPr>
        <w:t>财政局行文报告，并附《绩效评价结果整改报告》。</w:t>
      </w:r>
    </w:p>
    <w:p w14:paraId="06BD47AA">
      <w:pPr>
        <w:numPr>
          <w:ilvl w:val="0"/>
          <w:numId w:val="1"/>
        </w:numPr>
        <w:ind w:left="0" w:leftChars="0" w:firstLine="420" w:firstLineChars="200"/>
        <w:rPr>
          <w:rFonts w:eastAsia="宋体"/>
          <w:bCs/>
          <w:color w:val="000000" w:themeColor="text1"/>
          <w14:textFill>
            <w14:solidFill>
              <w14:schemeClr w14:val="tx1"/>
            </w14:solidFill>
          </w14:textFill>
        </w:rPr>
      </w:pPr>
      <w:r>
        <w:rPr>
          <w:rFonts w:eastAsia="宋体"/>
          <w:bCs/>
          <w:color w:val="000000" w:themeColor="text1"/>
          <w14:textFill>
            <w14:solidFill>
              <w14:schemeClr w14:val="tx1"/>
            </w14:solidFill>
          </w14:textFill>
        </w:rPr>
        <w:t>绩效结果挂钩报告公开</w:t>
      </w:r>
    </w:p>
    <w:p w14:paraId="049F37F4">
      <w:pPr>
        <w:ind w:firstLine="420"/>
        <w:rPr>
          <w:rFonts w:eastAsia="宋体"/>
          <w:bCs/>
          <w:color w:val="000000" w:themeColor="text1"/>
          <w14:textFill>
            <w14:solidFill>
              <w14:schemeClr w14:val="tx1"/>
            </w14:solidFill>
          </w14:textFill>
        </w:rPr>
      </w:pPr>
      <w:r>
        <w:rPr>
          <w:rFonts w:eastAsia="宋体"/>
          <w:bCs/>
          <w:color w:val="000000" w:themeColor="text1"/>
          <w14:textFill>
            <w14:solidFill>
              <w14:schemeClr w14:val="tx1"/>
            </w14:solidFill>
          </w14:textFill>
        </w:rPr>
        <w:t>积极推进评价结果和评价报告等绩效信息的公开。按照政府信息公开有关规定，由</w:t>
      </w:r>
      <w:r>
        <w:rPr>
          <w:rFonts w:hint="eastAsia" w:eastAsia="宋体"/>
          <w:bCs/>
          <w:color w:val="000000" w:themeColor="text1"/>
          <w:lang w:val="en-US" w:eastAsia="zh-CN"/>
          <w14:textFill>
            <w14:solidFill>
              <w14:schemeClr w14:val="tx1"/>
            </w14:solidFill>
          </w14:textFill>
        </w:rPr>
        <w:t>吉木萨尔县</w:t>
      </w:r>
      <w:r>
        <w:rPr>
          <w:rFonts w:eastAsia="宋体"/>
          <w:bCs/>
          <w:color w:val="000000" w:themeColor="text1"/>
          <w14:textFill>
            <w14:solidFill>
              <w14:schemeClr w14:val="tx1"/>
            </w14:solidFill>
          </w14:textFill>
        </w:rPr>
        <w:t>财政局将本次绩效评价的结果信息进行公开，加强社会和舆论监督，提高财政资金使用透明度。</w:t>
      </w:r>
    </w:p>
    <w:p w14:paraId="0A1CF4E2">
      <w:pPr>
        <w:keepNext/>
        <w:keepLines/>
        <w:ind w:firstLine="482"/>
        <w:outlineLvl w:val="0"/>
        <w:rPr>
          <w:b/>
          <w:color w:val="000000" w:themeColor="text1"/>
          <w:kern w:val="44"/>
          <w:sz w:val="24"/>
          <w:szCs w:val="24"/>
          <w14:textFill>
            <w14:solidFill>
              <w14:schemeClr w14:val="tx1"/>
            </w14:solidFill>
          </w14:textFill>
        </w:rPr>
      </w:pPr>
      <w:bookmarkStart w:id="85" w:name="_Toc14419"/>
      <w:r>
        <w:rPr>
          <w:rFonts w:hint="eastAsia"/>
          <w:b/>
          <w:color w:val="000000" w:themeColor="text1"/>
          <w:kern w:val="44"/>
          <w:sz w:val="24"/>
          <w:szCs w:val="24"/>
          <w:lang w:val="en-US" w:eastAsia="zh-CN"/>
          <w14:textFill>
            <w14:solidFill>
              <w14:schemeClr w14:val="tx1"/>
            </w14:solidFill>
          </w14:textFill>
        </w:rPr>
        <w:t>七</w:t>
      </w:r>
      <w:r>
        <w:rPr>
          <w:b/>
          <w:color w:val="000000" w:themeColor="text1"/>
          <w:kern w:val="44"/>
          <w:sz w:val="24"/>
          <w:szCs w:val="24"/>
          <w14:textFill>
            <w14:solidFill>
              <w14:schemeClr w14:val="tx1"/>
            </w14:solidFill>
          </w14:textFill>
        </w:rPr>
        <w:t>、其他需要</w:t>
      </w:r>
      <w:r>
        <w:rPr>
          <w:rFonts w:eastAsia="宋体"/>
          <w:b/>
          <w:color w:val="000000" w:themeColor="text1"/>
          <w:kern w:val="44"/>
          <w:sz w:val="24"/>
          <w:szCs w:val="24"/>
          <w14:textFill>
            <w14:solidFill>
              <w14:schemeClr w14:val="tx1"/>
            </w14:solidFill>
          </w14:textFill>
        </w:rPr>
        <w:t>说明</w:t>
      </w:r>
      <w:r>
        <w:rPr>
          <w:b/>
          <w:color w:val="000000" w:themeColor="text1"/>
          <w:kern w:val="44"/>
          <w:sz w:val="24"/>
          <w:szCs w:val="24"/>
          <w14:textFill>
            <w14:solidFill>
              <w14:schemeClr w14:val="tx1"/>
            </w14:solidFill>
          </w14:textFill>
        </w:rPr>
        <w:t>的问题</w:t>
      </w:r>
      <w:bookmarkEnd w:id="85"/>
    </w:p>
    <w:p w14:paraId="277B7F64">
      <w:pPr>
        <w:ind w:firstLine="420"/>
        <w:rPr>
          <w:bCs/>
          <w:color w:val="000000" w:themeColor="text1"/>
          <w14:textFill>
            <w14:solidFill>
              <w14:schemeClr w14:val="tx1"/>
            </w14:solidFill>
          </w14:textFill>
        </w:rPr>
      </w:pPr>
      <w:r>
        <w:rPr>
          <w:bCs/>
          <w:color w:val="000000" w:themeColor="text1"/>
          <w14:textFill>
            <w14:solidFill>
              <w14:schemeClr w14:val="tx1"/>
            </w14:solidFill>
          </w14:textFill>
        </w:rPr>
        <w:t>被评价单位的责任是提供与形成本次绩效评价报告相关的基础工作材料和相关资金财务核算资料，并对其真实性、合法性、完整性负责。评价机构参照《财政部关于印发〈预算绩效评价共性指标体系框架〉的通知》（财预〔2013〕53号）、《项目支出绩效评价管理办法》（财预〔2020〕10号）等政策依据进行评价，选择的绩效评价程序取决于评估人员的判断，部门整体支出评价的可靠性基于相关部门和单位提供资料的全面性和准确性，评价工作组尽可能地收集更为全面、有效、准确的文件和数据，但由于受客观因素的限制，只能在相关部门和单位提供的现有资料的前提下，结合应有的职业判断作出尽可能可靠的评价结论。</w:t>
      </w:r>
    </w:p>
    <w:p w14:paraId="79B323B1">
      <w:pPr>
        <w:ind w:firstLine="422"/>
        <w:jc w:val="right"/>
        <w:rPr>
          <w:b/>
          <w:color w:val="000000" w:themeColor="text1"/>
          <w14:textFill>
            <w14:solidFill>
              <w14:schemeClr w14:val="tx1"/>
            </w14:solidFill>
          </w14:textFill>
        </w:rPr>
      </w:pPr>
    </w:p>
    <w:p w14:paraId="106371C2">
      <w:pPr>
        <w:ind w:firstLine="422"/>
        <w:jc w:val="right"/>
        <w:rPr>
          <w:b/>
          <w:color w:val="000000" w:themeColor="text1"/>
          <w14:textFill>
            <w14:solidFill>
              <w14:schemeClr w14:val="tx1"/>
            </w14:solidFill>
          </w14:textFill>
        </w:rPr>
      </w:pPr>
    </w:p>
    <w:p w14:paraId="2B925ED1">
      <w:pPr>
        <w:ind w:firstLine="422"/>
        <w:jc w:val="right"/>
        <w:rPr>
          <w:b/>
          <w:color w:val="000000" w:themeColor="text1"/>
          <w14:textFill>
            <w14:solidFill>
              <w14:schemeClr w14:val="tx1"/>
            </w14:solidFill>
          </w14:textFill>
        </w:rPr>
      </w:pPr>
      <w:r>
        <w:rPr>
          <w:b/>
          <w:color w:val="000000" w:themeColor="text1"/>
          <w14:textFill>
            <w14:solidFill>
              <w14:schemeClr w14:val="tx1"/>
            </w14:solidFill>
          </w14:textFill>
        </w:rPr>
        <w:t>评价机构：新疆驰远天合有限责任会计师事务所</w:t>
      </w:r>
    </w:p>
    <w:p w14:paraId="76C7AA7A">
      <w:pPr>
        <w:ind w:firstLine="4006" w:firstLineChars="1900"/>
        <w:jc w:val="left"/>
        <w:rPr>
          <w:color w:val="000000" w:themeColor="text1"/>
          <w14:textFill>
            <w14:solidFill>
              <w14:schemeClr w14:val="tx1"/>
            </w14:solidFill>
          </w14:textFill>
        </w:rPr>
      </w:pPr>
      <w:r>
        <w:rPr>
          <w:b/>
          <w:color w:val="000000" w:themeColor="text1"/>
          <w14:textFill>
            <w14:solidFill>
              <w14:schemeClr w14:val="tx1"/>
            </w14:solidFill>
          </w14:textFill>
        </w:rPr>
        <w:t>评价时间：202</w:t>
      </w:r>
      <w:r>
        <w:rPr>
          <w:rFonts w:hint="eastAsia"/>
          <w:b/>
          <w:color w:val="000000" w:themeColor="text1"/>
          <w:lang w:val="en-US" w:eastAsia="zh-CN"/>
          <w14:textFill>
            <w14:solidFill>
              <w14:schemeClr w14:val="tx1"/>
            </w14:solidFill>
          </w14:textFill>
        </w:rPr>
        <w:t>5</w:t>
      </w:r>
      <w:r>
        <w:rPr>
          <w:b/>
          <w:color w:val="000000" w:themeColor="text1"/>
          <w14:textFill>
            <w14:solidFill>
              <w14:schemeClr w14:val="tx1"/>
            </w14:solidFill>
          </w14:textFill>
        </w:rPr>
        <w:t>年</w:t>
      </w:r>
      <w:r>
        <w:rPr>
          <w:rFonts w:hint="eastAsia"/>
          <w:b/>
          <w:color w:val="000000" w:themeColor="text1"/>
          <w:lang w:val="en-US" w:eastAsia="zh-CN"/>
          <w14:textFill>
            <w14:solidFill>
              <w14:schemeClr w14:val="tx1"/>
            </w14:solidFill>
          </w14:textFill>
        </w:rPr>
        <w:t>8</w:t>
      </w:r>
      <w:r>
        <w:rPr>
          <w:b/>
          <w:color w:val="000000" w:themeColor="text1"/>
          <w14:textFill>
            <w14:solidFill>
              <w14:schemeClr w14:val="tx1"/>
            </w14:solidFill>
          </w14:textFill>
        </w:rPr>
        <w:t>月</w:t>
      </w:r>
    </w:p>
    <w:p w14:paraId="64D107C5">
      <w:pPr>
        <w:widowControl/>
        <w:adjustRightInd/>
        <w:snapToGrid/>
        <w:spacing w:line="240" w:lineRule="auto"/>
        <w:ind w:firstLine="0" w:firstLineChars="0"/>
        <w:jc w:val="left"/>
        <w:rPr>
          <w:b/>
          <w:color w:val="000000" w:themeColor="text1"/>
          <w14:textFill>
            <w14:solidFill>
              <w14:schemeClr w14:val="tx1"/>
            </w14:solidFill>
          </w14:textFill>
        </w:rPr>
        <w:sectPr>
          <w:headerReference r:id="rId18" w:type="default"/>
          <w:footerReference r:id="rId19" w:type="default"/>
          <w:pgSz w:w="11906" w:h="16838"/>
          <w:pgMar w:top="1440" w:right="1800" w:bottom="1440" w:left="1800" w:header="851" w:footer="907" w:gutter="0"/>
          <w:pgNumType w:fmt="decimal"/>
          <w:cols w:space="720" w:num="1"/>
          <w:docGrid w:type="lines" w:linePitch="312" w:charSpace="0"/>
        </w:sectPr>
      </w:pPr>
    </w:p>
    <w:p w14:paraId="03834B6C">
      <w:pPr>
        <w:keepNext/>
        <w:keepLines/>
        <w:ind w:firstLine="0" w:firstLineChars="0"/>
        <w:outlineLvl w:val="0"/>
        <w:rPr>
          <w:b/>
          <w:bCs/>
          <w:color w:val="000000" w:themeColor="text1"/>
          <w:kern w:val="44"/>
          <w:sz w:val="24"/>
          <w:szCs w:val="24"/>
          <w14:textFill>
            <w14:solidFill>
              <w14:schemeClr w14:val="tx1"/>
            </w14:solidFill>
          </w14:textFill>
        </w:rPr>
      </w:pPr>
      <w:bookmarkStart w:id="86" w:name="_Toc6163"/>
      <w:r>
        <w:rPr>
          <w:b/>
          <w:bCs/>
          <w:color w:val="000000" w:themeColor="text1"/>
          <w:kern w:val="44"/>
          <w:sz w:val="24"/>
          <w:szCs w:val="24"/>
          <w14:textFill>
            <w14:solidFill>
              <w14:schemeClr w14:val="tx1"/>
            </w14:solidFill>
          </w14:textFill>
        </w:rPr>
        <w:t>附件1：绩效评价指标体系及综合评价表</w:t>
      </w:r>
      <w:bookmarkEnd w:id="86"/>
    </w:p>
    <w:p w14:paraId="0B7D0006">
      <w:pPr>
        <w:ind w:firstLine="506"/>
        <w:jc w:val="center"/>
        <w:rPr>
          <w:b/>
          <w:color w:val="000000" w:themeColor="text1"/>
          <w:spacing w:val="6"/>
          <w:sz w:val="24"/>
          <w:szCs w:val="24"/>
          <w14:textFill>
            <w14:solidFill>
              <w14:schemeClr w14:val="tx1"/>
            </w14:solidFill>
          </w14:textFill>
        </w:rPr>
      </w:pPr>
      <w:r>
        <w:rPr>
          <w:b/>
          <w:color w:val="000000" w:themeColor="text1"/>
          <w:spacing w:val="6"/>
          <w:sz w:val="24"/>
          <w:szCs w:val="24"/>
          <w14:textFill>
            <w14:solidFill>
              <w14:schemeClr w14:val="tx1"/>
            </w14:solidFill>
          </w14:textFill>
        </w:rPr>
        <w:t>吉木萨尔县</w:t>
      </w:r>
      <w:r>
        <w:rPr>
          <w:rFonts w:hint="eastAsia"/>
          <w:b/>
          <w:color w:val="000000" w:themeColor="text1"/>
          <w:spacing w:val="6"/>
          <w:sz w:val="24"/>
          <w:szCs w:val="24"/>
          <w:lang w:eastAsia="zh-CN"/>
          <w14:textFill>
            <w14:solidFill>
              <w14:schemeClr w14:val="tx1"/>
            </w14:solidFill>
          </w14:textFill>
        </w:rPr>
        <w:t>统计局</w:t>
      </w:r>
      <w:r>
        <w:rPr>
          <w:b/>
          <w:color w:val="000000" w:themeColor="text1"/>
          <w:spacing w:val="6"/>
          <w:sz w:val="24"/>
          <w:szCs w:val="24"/>
          <w14:textFill>
            <w14:solidFill>
              <w14:schemeClr w14:val="tx1"/>
            </w14:solidFill>
          </w14:textFill>
        </w:rPr>
        <w:t>部门整体绩效评价指标体系及综合评分表</w:t>
      </w:r>
    </w:p>
    <w:tbl>
      <w:tblPr>
        <w:tblStyle w:val="2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729"/>
        <w:gridCol w:w="675"/>
        <w:gridCol w:w="942"/>
        <w:gridCol w:w="2716"/>
        <w:gridCol w:w="4233"/>
        <w:gridCol w:w="1560"/>
        <w:gridCol w:w="1042"/>
        <w:gridCol w:w="761"/>
        <w:gridCol w:w="670"/>
        <w:gridCol w:w="846"/>
      </w:tblGrid>
      <w:tr w14:paraId="0D2BD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blHeader/>
        </w:trPr>
        <w:tc>
          <w:tcPr>
            <w:tcW w:w="0" w:type="auto"/>
            <w:shd w:val="clear" w:color="auto" w:fill="auto"/>
            <w:vAlign w:val="center"/>
          </w:tcPr>
          <w:p w14:paraId="35AF884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一级指标</w:t>
            </w:r>
          </w:p>
        </w:tc>
        <w:tc>
          <w:tcPr>
            <w:tcW w:w="0" w:type="auto"/>
            <w:shd w:val="clear" w:color="auto" w:fill="auto"/>
            <w:vAlign w:val="center"/>
          </w:tcPr>
          <w:p w14:paraId="6D98ECC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二级指标</w:t>
            </w:r>
          </w:p>
        </w:tc>
        <w:tc>
          <w:tcPr>
            <w:tcW w:w="0" w:type="auto"/>
            <w:shd w:val="clear" w:color="auto" w:fill="auto"/>
            <w:vAlign w:val="center"/>
          </w:tcPr>
          <w:p w14:paraId="4E5B7EF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三级指标</w:t>
            </w:r>
          </w:p>
        </w:tc>
        <w:tc>
          <w:tcPr>
            <w:tcW w:w="0" w:type="auto"/>
            <w:shd w:val="clear" w:color="auto" w:fill="auto"/>
            <w:vAlign w:val="center"/>
          </w:tcPr>
          <w:p w14:paraId="4D14E84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指标解释</w:t>
            </w:r>
          </w:p>
        </w:tc>
        <w:tc>
          <w:tcPr>
            <w:tcW w:w="4233" w:type="dxa"/>
            <w:shd w:val="clear" w:color="auto" w:fill="auto"/>
            <w:vAlign w:val="center"/>
          </w:tcPr>
          <w:p w14:paraId="5348271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评分标准</w:t>
            </w:r>
          </w:p>
        </w:tc>
        <w:tc>
          <w:tcPr>
            <w:tcW w:w="1560" w:type="dxa"/>
            <w:shd w:val="clear" w:color="auto" w:fill="auto"/>
            <w:vAlign w:val="center"/>
          </w:tcPr>
          <w:p w14:paraId="6B4C15D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业绩值</w:t>
            </w:r>
          </w:p>
        </w:tc>
        <w:tc>
          <w:tcPr>
            <w:tcW w:w="1042" w:type="dxa"/>
            <w:shd w:val="clear" w:color="auto" w:fill="auto"/>
            <w:vAlign w:val="center"/>
          </w:tcPr>
          <w:p w14:paraId="04C5CB4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完成值</w:t>
            </w:r>
          </w:p>
        </w:tc>
        <w:tc>
          <w:tcPr>
            <w:tcW w:w="0" w:type="auto"/>
            <w:shd w:val="clear" w:color="auto" w:fill="auto"/>
            <w:vAlign w:val="center"/>
          </w:tcPr>
          <w:p w14:paraId="10A0E90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权重</w:t>
            </w:r>
          </w:p>
        </w:tc>
        <w:tc>
          <w:tcPr>
            <w:tcW w:w="0" w:type="auto"/>
            <w:shd w:val="clear" w:color="auto" w:fill="auto"/>
            <w:vAlign w:val="center"/>
          </w:tcPr>
          <w:p w14:paraId="10A2193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得分</w:t>
            </w:r>
          </w:p>
        </w:tc>
        <w:tc>
          <w:tcPr>
            <w:tcW w:w="0" w:type="auto"/>
            <w:shd w:val="clear" w:color="auto" w:fill="auto"/>
            <w:vAlign w:val="center"/>
          </w:tcPr>
          <w:p w14:paraId="45B3A5D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得分率</w:t>
            </w:r>
          </w:p>
        </w:tc>
      </w:tr>
      <w:tr w14:paraId="0FEC8B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vMerge w:val="restart"/>
            <w:shd w:val="clear" w:color="auto" w:fill="auto"/>
            <w:vAlign w:val="center"/>
          </w:tcPr>
          <w:p w14:paraId="4D23E54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A部门决策</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（15分）</w:t>
            </w:r>
          </w:p>
        </w:tc>
        <w:tc>
          <w:tcPr>
            <w:tcW w:w="0" w:type="auto"/>
            <w:vMerge w:val="restart"/>
            <w:shd w:val="clear" w:color="auto" w:fill="auto"/>
            <w:vAlign w:val="center"/>
          </w:tcPr>
          <w:p w14:paraId="1D0E9BA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A1部门战略计划</w:t>
            </w:r>
          </w:p>
        </w:tc>
        <w:tc>
          <w:tcPr>
            <w:tcW w:w="0" w:type="auto"/>
            <w:shd w:val="clear" w:color="auto" w:fill="auto"/>
            <w:vAlign w:val="center"/>
          </w:tcPr>
          <w:p w14:paraId="0C54F28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A11中长期规划科学合理性</w:t>
            </w:r>
          </w:p>
        </w:tc>
        <w:tc>
          <w:tcPr>
            <w:tcW w:w="0" w:type="auto"/>
            <w:shd w:val="clear" w:color="auto" w:fill="auto"/>
            <w:vAlign w:val="center"/>
          </w:tcPr>
          <w:p w14:paraId="2A01B7C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考察部门中长期规划的科学性，以及与本区及上级部门中长期规划的匹配性</w:t>
            </w:r>
          </w:p>
        </w:tc>
        <w:tc>
          <w:tcPr>
            <w:tcW w:w="4233" w:type="dxa"/>
            <w:shd w:val="clear" w:color="auto" w:fill="auto"/>
            <w:vAlign w:val="center"/>
          </w:tcPr>
          <w:p w14:paraId="2756F10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1.是否制定中长期规划；</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2.依据自治区的总体规划，将任务落实到部门中长期规划；          </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3.中长期规划是否对总体目标、规划实施内容及时间安排有明确规定；</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4.中长期规划对部门各项职能的履行均进行了完整规划。</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中长期规划清晰、全面、完整，经相应的程序认定，得2分；缺失一项扣0.5分；无规划，不得分。</w:t>
            </w:r>
          </w:p>
        </w:tc>
        <w:tc>
          <w:tcPr>
            <w:tcW w:w="1560" w:type="dxa"/>
            <w:shd w:val="clear" w:color="auto" w:fill="auto"/>
            <w:vAlign w:val="center"/>
          </w:tcPr>
          <w:p w14:paraId="046FAD2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合理</w:t>
            </w:r>
          </w:p>
        </w:tc>
        <w:tc>
          <w:tcPr>
            <w:tcW w:w="1042" w:type="dxa"/>
            <w:shd w:val="clear" w:color="auto" w:fill="auto"/>
            <w:vAlign w:val="center"/>
          </w:tcPr>
          <w:p w14:paraId="5505268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合理</w:t>
            </w:r>
          </w:p>
        </w:tc>
        <w:tc>
          <w:tcPr>
            <w:tcW w:w="0" w:type="auto"/>
            <w:shd w:val="clear" w:color="auto" w:fill="auto"/>
            <w:vAlign w:val="center"/>
          </w:tcPr>
          <w:p w14:paraId="2BB0D47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2.00 </w:t>
            </w:r>
          </w:p>
        </w:tc>
        <w:tc>
          <w:tcPr>
            <w:tcW w:w="0" w:type="auto"/>
            <w:shd w:val="clear" w:color="auto" w:fill="auto"/>
            <w:vAlign w:val="center"/>
          </w:tcPr>
          <w:p w14:paraId="2442CCB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2.00 </w:t>
            </w:r>
          </w:p>
        </w:tc>
        <w:tc>
          <w:tcPr>
            <w:tcW w:w="0" w:type="auto"/>
            <w:shd w:val="clear" w:color="auto" w:fill="auto"/>
            <w:vAlign w:val="center"/>
          </w:tcPr>
          <w:p w14:paraId="23273D7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r>
      <w:tr w14:paraId="289EB0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vMerge w:val="continue"/>
            <w:shd w:val="clear" w:color="auto" w:fill="auto"/>
            <w:vAlign w:val="center"/>
          </w:tcPr>
          <w:p w14:paraId="17C6F44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vMerge w:val="continue"/>
            <w:shd w:val="clear" w:color="auto" w:fill="auto"/>
            <w:vAlign w:val="center"/>
          </w:tcPr>
          <w:p w14:paraId="7A422A1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shd w:val="clear" w:color="auto" w:fill="auto"/>
            <w:vAlign w:val="center"/>
          </w:tcPr>
          <w:p w14:paraId="7553B1C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A12年度工作计划科学完整性</w:t>
            </w:r>
          </w:p>
        </w:tc>
        <w:tc>
          <w:tcPr>
            <w:tcW w:w="0" w:type="auto"/>
            <w:shd w:val="clear" w:color="auto" w:fill="auto"/>
            <w:vAlign w:val="center"/>
          </w:tcPr>
          <w:p w14:paraId="13564B7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考察年度工作计划的合理性、明确性，与本部门规划及上级部门的适应性</w:t>
            </w:r>
          </w:p>
        </w:tc>
        <w:tc>
          <w:tcPr>
            <w:tcW w:w="4233" w:type="dxa"/>
            <w:shd w:val="clear" w:color="auto" w:fill="auto"/>
            <w:vAlign w:val="center"/>
          </w:tcPr>
          <w:p w14:paraId="16C24FD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1.是否制定明确的年度工作计划；</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2.年度工作计划包含明确的总体目标、计划实施内容、责任主体相关内容；                                                                                                     </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3.年度工作计划针对部门全部职能的履行进行了计划安排。</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部门工作计划明确、全面、完整，并经集体决策正式下发文件，得4分；缺失一项扣0.5分；无计划，不得分。</w:t>
            </w:r>
          </w:p>
        </w:tc>
        <w:tc>
          <w:tcPr>
            <w:tcW w:w="1560" w:type="dxa"/>
            <w:shd w:val="clear" w:color="auto" w:fill="auto"/>
            <w:vAlign w:val="center"/>
          </w:tcPr>
          <w:p w14:paraId="5CCD8B3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科学完整</w:t>
            </w:r>
          </w:p>
        </w:tc>
        <w:tc>
          <w:tcPr>
            <w:tcW w:w="1042" w:type="dxa"/>
            <w:shd w:val="clear" w:color="auto" w:fill="auto"/>
            <w:vAlign w:val="center"/>
          </w:tcPr>
          <w:p w14:paraId="4A952DF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较科学完整</w:t>
            </w:r>
          </w:p>
        </w:tc>
        <w:tc>
          <w:tcPr>
            <w:tcW w:w="0" w:type="auto"/>
            <w:shd w:val="clear" w:color="auto" w:fill="auto"/>
            <w:vAlign w:val="center"/>
          </w:tcPr>
          <w:p w14:paraId="69991F2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4.00 </w:t>
            </w:r>
          </w:p>
        </w:tc>
        <w:tc>
          <w:tcPr>
            <w:tcW w:w="0" w:type="auto"/>
            <w:shd w:val="clear" w:color="auto" w:fill="auto"/>
            <w:vAlign w:val="center"/>
          </w:tcPr>
          <w:p w14:paraId="2C143F2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2.00 </w:t>
            </w:r>
          </w:p>
        </w:tc>
        <w:tc>
          <w:tcPr>
            <w:tcW w:w="0" w:type="auto"/>
            <w:shd w:val="clear" w:color="auto" w:fill="auto"/>
            <w:vAlign w:val="center"/>
          </w:tcPr>
          <w:p w14:paraId="5A670CA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50.00%</w:t>
            </w:r>
          </w:p>
        </w:tc>
      </w:tr>
      <w:tr w14:paraId="035AB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vMerge w:val="continue"/>
            <w:shd w:val="clear" w:color="auto" w:fill="auto"/>
            <w:vAlign w:val="center"/>
          </w:tcPr>
          <w:p w14:paraId="25EA092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vMerge w:val="restart"/>
            <w:shd w:val="clear" w:color="auto" w:fill="auto"/>
            <w:vAlign w:val="center"/>
          </w:tcPr>
          <w:p w14:paraId="6DC1577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A2绩效目标</w:t>
            </w:r>
          </w:p>
        </w:tc>
        <w:tc>
          <w:tcPr>
            <w:tcW w:w="0" w:type="auto"/>
            <w:shd w:val="clear" w:color="auto" w:fill="auto"/>
            <w:vAlign w:val="center"/>
          </w:tcPr>
          <w:p w14:paraId="21BF0D7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A21绩效目标明确性</w:t>
            </w:r>
          </w:p>
        </w:tc>
        <w:tc>
          <w:tcPr>
            <w:tcW w:w="0" w:type="auto"/>
            <w:shd w:val="clear" w:color="auto" w:fill="auto"/>
            <w:vAlign w:val="center"/>
          </w:tcPr>
          <w:p w14:paraId="5E820A2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考察部门（单位）是否按要求编报项目绩效目标，是否依据充分、内容完整、覆盖全面、符合实际。</w:t>
            </w:r>
          </w:p>
        </w:tc>
        <w:tc>
          <w:tcPr>
            <w:tcW w:w="4233" w:type="dxa"/>
            <w:shd w:val="clear" w:color="auto" w:fill="auto"/>
            <w:vAlign w:val="center"/>
          </w:tcPr>
          <w:p w14:paraId="5C06E81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1.是否有部门整体支出绩效目标；</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2.绩效目标与部门职能、规划计划是否具有相关性；</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3.预期产出效益和效果是否符合正常的业绩水平。</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若1不符合，则此指标不得分；若1符合，则每发现一处不符扣0.2分，扣完为止。</w:t>
            </w:r>
          </w:p>
        </w:tc>
        <w:tc>
          <w:tcPr>
            <w:tcW w:w="1560" w:type="dxa"/>
            <w:shd w:val="clear" w:color="auto" w:fill="auto"/>
            <w:vAlign w:val="center"/>
          </w:tcPr>
          <w:p w14:paraId="625ABF9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明确</w:t>
            </w:r>
          </w:p>
        </w:tc>
        <w:tc>
          <w:tcPr>
            <w:tcW w:w="1042" w:type="dxa"/>
            <w:shd w:val="clear" w:color="auto" w:fill="auto"/>
            <w:vAlign w:val="center"/>
          </w:tcPr>
          <w:p w14:paraId="43EE8CF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明确</w:t>
            </w:r>
          </w:p>
        </w:tc>
        <w:tc>
          <w:tcPr>
            <w:tcW w:w="0" w:type="auto"/>
            <w:shd w:val="clear" w:color="auto" w:fill="auto"/>
            <w:vAlign w:val="center"/>
          </w:tcPr>
          <w:p w14:paraId="2235CC4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2.00 </w:t>
            </w:r>
          </w:p>
        </w:tc>
        <w:tc>
          <w:tcPr>
            <w:tcW w:w="0" w:type="auto"/>
            <w:shd w:val="clear" w:color="auto" w:fill="auto"/>
            <w:vAlign w:val="center"/>
          </w:tcPr>
          <w:p w14:paraId="5FDCF4E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2.00 </w:t>
            </w:r>
          </w:p>
        </w:tc>
        <w:tc>
          <w:tcPr>
            <w:tcW w:w="0" w:type="auto"/>
            <w:shd w:val="clear" w:color="auto" w:fill="auto"/>
            <w:vAlign w:val="center"/>
          </w:tcPr>
          <w:p w14:paraId="6B5A077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r>
      <w:tr w14:paraId="09818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vMerge w:val="continue"/>
            <w:shd w:val="clear" w:color="auto" w:fill="auto"/>
            <w:vAlign w:val="center"/>
          </w:tcPr>
          <w:p w14:paraId="4A80195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vMerge w:val="continue"/>
            <w:shd w:val="clear" w:color="auto" w:fill="auto"/>
            <w:vAlign w:val="center"/>
          </w:tcPr>
          <w:p w14:paraId="49C6AD9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shd w:val="clear" w:color="auto" w:fill="auto"/>
            <w:vAlign w:val="center"/>
          </w:tcPr>
          <w:p w14:paraId="7846513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A22绩效目标合理性</w:t>
            </w:r>
          </w:p>
        </w:tc>
        <w:tc>
          <w:tcPr>
            <w:tcW w:w="0" w:type="auto"/>
            <w:shd w:val="clear" w:color="auto" w:fill="auto"/>
            <w:vAlign w:val="center"/>
          </w:tcPr>
          <w:p w14:paraId="7D34CBE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考察部门（单位）设定的绩效指标是否清晰、细化、可量化，用以反映和考核部门（单位）整体绩效目标的细化情况。</w:t>
            </w:r>
          </w:p>
        </w:tc>
        <w:tc>
          <w:tcPr>
            <w:tcW w:w="4233" w:type="dxa"/>
            <w:shd w:val="clear" w:color="auto" w:fill="auto"/>
            <w:vAlign w:val="center"/>
          </w:tcPr>
          <w:p w14:paraId="17BB94A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1.是否将部门整体支出绩效目标细化分解为具体的绩效指标；                       </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2.是否通过清晰、可衡量的指标值予以体现；</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3.是否与部门年度工作任务数或计划数相对应。</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每发现一处不符扣0.2分，扣完为止。</w:t>
            </w:r>
          </w:p>
        </w:tc>
        <w:tc>
          <w:tcPr>
            <w:tcW w:w="1560" w:type="dxa"/>
            <w:shd w:val="clear" w:color="auto" w:fill="auto"/>
            <w:vAlign w:val="center"/>
          </w:tcPr>
          <w:p w14:paraId="6A60345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合理</w:t>
            </w:r>
          </w:p>
        </w:tc>
        <w:tc>
          <w:tcPr>
            <w:tcW w:w="1042" w:type="dxa"/>
            <w:shd w:val="clear" w:color="auto" w:fill="auto"/>
            <w:vAlign w:val="center"/>
          </w:tcPr>
          <w:p w14:paraId="4E397FE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合理</w:t>
            </w:r>
          </w:p>
        </w:tc>
        <w:tc>
          <w:tcPr>
            <w:tcW w:w="0" w:type="auto"/>
            <w:shd w:val="clear" w:color="auto" w:fill="auto"/>
            <w:vAlign w:val="center"/>
          </w:tcPr>
          <w:p w14:paraId="7E2DA90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2.00 </w:t>
            </w:r>
          </w:p>
        </w:tc>
        <w:tc>
          <w:tcPr>
            <w:tcW w:w="0" w:type="auto"/>
            <w:shd w:val="clear" w:color="auto" w:fill="auto"/>
            <w:vAlign w:val="center"/>
          </w:tcPr>
          <w:p w14:paraId="512D7EA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2.00 </w:t>
            </w:r>
          </w:p>
        </w:tc>
        <w:tc>
          <w:tcPr>
            <w:tcW w:w="0" w:type="auto"/>
            <w:shd w:val="clear" w:color="auto" w:fill="auto"/>
            <w:vAlign w:val="center"/>
          </w:tcPr>
          <w:p w14:paraId="42ACB03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r>
      <w:tr w14:paraId="27524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vMerge w:val="continue"/>
            <w:shd w:val="clear" w:color="auto" w:fill="auto"/>
            <w:vAlign w:val="center"/>
          </w:tcPr>
          <w:p w14:paraId="10B4C61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vMerge w:val="restart"/>
            <w:shd w:val="clear" w:color="auto" w:fill="auto"/>
            <w:vAlign w:val="center"/>
          </w:tcPr>
          <w:p w14:paraId="58EA6ED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A3部门预算编制</w:t>
            </w:r>
          </w:p>
        </w:tc>
        <w:tc>
          <w:tcPr>
            <w:tcW w:w="0" w:type="auto"/>
            <w:shd w:val="clear" w:color="auto" w:fill="auto"/>
            <w:vAlign w:val="center"/>
          </w:tcPr>
          <w:p w14:paraId="7621931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A31预算编制规范性</w:t>
            </w:r>
          </w:p>
        </w:tc>
        <w:tc>
          <w:tcPr>
            <w:tcW w:w="0" w:type="auto"/>
            <w:shd w:val="clear" w:color="auto" w:fill="auto"/>
            <w:vAlign w:val="center"/>
          </w:tcPr>
          <w:p w14:paraId="1691652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考察部门（单位）是否严格按照当年预算编制要求规范编制预算；预算申报程序准确；审批流程规范；履行集体决策确定等情况</w:t>
            </w:r>
          </w:p>
        </w:tc>
        <w:tc>
          <w:tcPr>
            <w:tcW w:w="4233" w:type="dxa"/>
            <w:shd w:val="clear" w:color="auto" w:fill="auto"/>
            <w:vAlign w:val="center"/>
          </w:tcPr>
          <w:p w14:paraId="48697D5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1.预算编制是否经过科学论证；</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2.预算额度测算依据是否充分，是否按照标准编制；                                      </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3.预算确定的资金量是否与工作任务相匹配；                            </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4.预算编制严格按照当年预算编制要求规范编制预算、预算申报程序准确、审批流程严谨、主管部门集体决策确定。</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以上情况均符合，得2分；有不符情况每项扣0.5分，扣完为止。</w:t>
            </w:r>
          </w:p>
        </w:tc>
        <w:tc>
          <w:tcPr>
            <w:tcW w:w="1560" w:type="dxa"/>
            <w:shd w:val="clear" w:color="auto" w:fill="auto"/>
            <w:vAlign w:val="center"/>
          </w:tcPr>
          <w:p w14:paraId="606EBCC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规范</w:t>
            </w:r>
          </w:p>
        </w:tc>
        <w:tc>
          <w:tcPr>
            <w:tcW w:w="1042" w:type="dxa"/>
            <w:shd w:val="clear" w:color="auto" w:fill="auto"/>
            <w:vAlign w:val="center"/>
          </w:tcPr>
          <w:p w14:paraId="770BD11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规范</w:t>
            </w:r>
          </w:p>
        </w:tc>
        <w:tc>
          <w:tcPr>
            <w:tcW w:w="0" w:type="auto"/>
            <w:shd w:val="clear" w:color="auto" w:fill="auto"/>
            <w:vAlign w:val="center"/>
          </w:tcPr>
          <w:p w14:paraId="10FF910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2.00 </w:t>
            </w:r>
          </w:p>
        </w:tc>
        <w:tc>
          <w:tcPr>
            <w:tcW w:w="0" w:type="auto"/>
            <w:shd w:val="clear" w:color="auto" w:fill="auto"/>
            <w:vAlign w:val="center"/>
          </w:tcPr>
          <w:p w14:paraId="7D1357D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2.00 </w:t>
            </w:r>
          </w:p>
        </w:tc>
        <w:tc>
          <w:tcPr>
            <w:tcW w:w="0" w:type="auto"/>
            <w:shd w:val="clear" w:color="auto" w:fill="auto"/>
            <w:vAlign w:val="center"/>
          </w:tcPr>
          <w:p w14:paraId="6000199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r>
      <w:tr w14:paraId="246657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0" w:type="auto"/>
            <w:vMerge w:val="continue"/>
            <w:shd w:val="clear" w:color="auto" w:fill="auto"/>
            <w:vAlign w:val="center"/>
          </w:tcPr>
          <w:p w14:paraId="69A35CA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vMerge w:val="continue"/>
            <w:shd w:val="clear" w:color="auto" w:fill="auto"/>
            <w:vAlign w:val="center"/>
          </w:tcPr>
          <w:p w14:paraId="50CA98D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shd w:val="clear" w:color="auto" w:fill="auto"/>
            <w:vAlign w:val="center"/>
          </w:tcPr>
          <w:p w14:paraId="2AF4C4E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A32预算编制与重点工作任务的匹配性</w:t>
            </w:r>
          </w:p>
        </w:tc>
        <w:tc>
          <w:tcPr>
            <w:tcW w:w="0" w:type="auto"/>
            <w:shd w:val="clear" w:color="auto" w:fill="auto"/>
            <w:vAlign w:val="center"/>
          </w:tcPr>
          <w:p w14:paraId="641EC98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考察部门预算安排和工作计划的匹配性，重点工作资金的保障性，项目是否遵循轻重缓急按序保障</w:t>
            </w:r>
          </w:p>
        </w:tc>
        <w:tc>
          <w:tcPr>
            <w:tcW w:w="4233" w:type="dxa"/>
            <w:shd w:val="clear" w:color="auto" w:fill="auto"/>
            <w:vAlign w:val="center"/>
          </w:tcPr>
          <w:p w14:paraId="2E721E5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1.专项支出立项依据是否充分；                                                                      2.支出内容与工作计划是否一一对应；                                                                    3.重点工作重点保障是否遵循轻重缓急、按序保障。</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以上情况均符合，得3分；有不符情况每项扣0.5分，扣完为止。</w:t>
            </w:r>
          </w:p>
        </w:tc>
        <w:tc>
          <w:tcPr>
            <w:tcW w:w="1560" w:type="dxa"/>
            <w:shd w:val="clear" w:color="auto" w:fill="auto"/>
            <w:vAlign w:val="center"/>
          </w:tcPr>
          <w:p w14:paraId="51603AB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匹配</w:t>
            </w:r>
          </w:p>
        </w:tc>
        <w:tc>
          <w:tcPr>
            <w:tcW w:w="1042" w:type="dxa"/>
            <w:shd w:val="clear" w:color="auto" w:fill="auto"/>
            <w:vAlign w:val="center"/>
          </w:tcPr>
          <w:p w14:paraId="0A6D63C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匹配</w:t>
            </w:r>
          </w:p>
        </w:tc>
        <w:tc>
          <w:tcPr>
            <w:tcW w:w="0" w:type="auto"/>
            <w:shd w:val="clear" w:color="auto" w:fill="auto"/>
            <w:vAlign w:val="center"/>
          </w:tcPr>
          <w:p w14:paraId="0DA95BA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3.00 </w:t>
            </w:r>
          </w:p>
        </w:tc>
        <w:tc>
          <w:tcPr>
            <w:tcW w:w="0" w:type="auto"/>
            <w:shd w:val="clear" w:color="auto" w:fill="auto"/>
            <w:vAlign w:val="center"/>
          </w:tcPr>
          <w:p w14:paraId="592265E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3.00 </w:t>
            </w:r>
          </w:p>
        </w:tc>
        <w:tc>
          <w:tcPr>
            <w:tcW w:w="0" w:type="auto"/>
            <w:shd w:val="clear" w:color="auto" w:fill="auto"/>
            <w:vAlign w:val="center"/>
          </w:tcPr>
          <w:p w14:paraId="2FBB52C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r>
      <w:tr w14:paraId="4F38A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gridSpan w:val="3"/>
            <w:shd w:val="clear" w:color="auto" w:fill="auto"/>
            <w:vAlign w:val="center"/>
          </w:tcPr>
          <w:p w14:paraId="058F583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小计</w:t>
            </w:r>
          </w:p>
        </w:tc>
        <w:tc>
          <w:tcPr>
            <w:tcW w:w="0" w:type="auto"/>
            <w:shd w:val="clear" w:color="auto" w:fill="auto"/>
            <w:vAlign w:val="center"/>
          </w:tcPr>
          <w:p w14:paraId="1ECC58CC">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b/>
                <w:bCs/>
                <w:i w:val="0"/>
                <w:iCs w:val="0"/>
                <w:color w:val="000000" w:themeColor="text1"/>
                <w:sz w:val="18"/>
                <w:szCs w:val="18"/>
                <w:u w:val="none"/>
                <w14:textFill>
                  <w14:solidFill>
                    <w14:schemeClr w14:val="tx1"/>
                  </w14:solidFill>
                </w14:textFill>
              </w:rPr>
            </w:pPr>
          </w:p>
        </w:tc>
        <w:tc>
          <w:tcPr>
            <w:tcW w:w="4233" w:type="dxa"/>
            <w:shd w:val="clear" w:color="auto" w:fill="auto"/>
            <w:vAlign w:val="center"/>
          </w:tcPr>
          <w:p w14:paraId="6B92418C">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b/>
                <w:bCs/>
                <w:i w:val="0"/>
                <w:iCs w:val="0"/>
                <w:color w:val="000000" w:themeColor="text1"/>
                <w:sz w:val="18"/>
                <w:szCs w:val="18"/>
                <w:u w:val="none"/>
                <w14:textFill>
                  <w14:solidFill>
                    <w14:schemeClr w14:val="tx1"/>
                  </w14:solidFill>
                </w14:textFill>
              </w:rPr>
            </w:pPr>
          </w:p>
        </w:tc>
        <w:tc>
          <w:tcPr>
            <w:tcW w:w="1560" w:type="dxa"/>
            <w:shd w:val="clear" w:color="auto" w:fill="auto"/>
            <w:vAlign w:val="center"/>
          </w:tcPr>
          <w:p w14:paraId="04B0EAD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bCs/>
                <w:i w:val="0"/>
                <w:iCs w:val="0"/>
                <w:color w:val="000000" w:themeColor="text1"/>
                <w:sz w:val="18"/>
                <w:szCs w:val="18"/>
                <w:u w:val="none"/>
                <w14:textFill>
                  <w14:solidFill>
                    <w14:schemeClr w14:val="tx1"/>
                  </w14:solidFill>
                </w14:textFill>
              </w:rPr>
            </w:pPr>
          </w:p>
        </w:tc>
        <w:tc>
          <w:tcPr>
            <w:tcW w:w="1042" w:type="dxa"/>
            <w:shd w:val="clear" w:color="auto" w:fill="auto"/>
            <w:vAlign w:val="center"/>
          </w:tcPr>
          <w:p w14:paraId="7D80900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bCs/>
                <w:i w:val="0"/>
                <w:iCs w:val="0"/>
                <w:color w:val="000000" w:themeColor="text1"/>
                <w:sz w:val="18"/>
                <w:szCs w:val="18"/>
                <w:u w:val="none"/>
                <w14:textFill>
                  <w14:solidFill>
                    <w14:schemeClr w14:val="tx1"/>
                  </w14:solidFill>
                </w14:textFill>
              </w:rPr>
            </w:pPr>
          </w:p>
        </w:tc>
        <w:tc>
          <w:tcPr>
            <w:tcW w:w="0" w:type="auto"/>
            <w:shd w:val="clear" w:color="auto" w:fill="auto"/>
            <w:vAlign w:val="center"/>
          </w:tcPr>
          <w:p w14:paraId="194EA16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 xml:space="preserve">15.00 </w:t>
            </w:r>
          </w:p>
        </w:tc>
        <w:tc>
          <w:tcPr>
            <w:tcW w:w="0" w:type="auto"/>
            <w:shd w:val="clear" w:color="auto" w:fill="auto"/>
            <w:vAlign w:val="center"/>
          </w:tcPr>
          <w:p w14:paraId="4E9FEB4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 xml:space="preserve">13.00 </w:t>
            </w:r>
          </w:p>
        </w:tc>
        <w:tc>
          <w:tcPr>
            <w:tcW w:w="0" w:type="auto"/>
            <w:shd w:val="clear" w:color="auto" w:fill="auto"/>
            <w:vAlign w:val="center"/>
          </w:tcPr>
          <w:p w14:paraId="75B21A7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86.67%</w:t>
            </w:r>
          </w:p>
        </w:tc>
      </w:tr>
      <w:tr w14:paraId="7F4D6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0" w:type="auto"/>
            <w:vMerge w:val="restart"/>
            <w:shd w:val="clear" w:color="auto" w:fill="auto"/>
            <w:vAlign w:val="center"/>
          </w:tcPr>
          <w:p w14:paraId="3197627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B部门管理</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（25分）</w:t>
            </w:r>
          </w:p>
        </w:tc>
        <w:tc>
          <w:tcPr>
            <w:tcW w:w="0" w:type="auto"/>
            <w:shd w:val="clear" w:color="auto" w:fill="auto"/>
            <w:vAlign w:val="center"/>
          </w:tcPr>
          <w:p w14:paraId="0112E1A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B1制度建设</w:t>
            </w:r>
          </w:p>
        </w:tc>
        <w:tc>
          <w:tcPr>
            <w:tcW w:w="0" w:type="auto"/>
            <w:shd w:val="clear" w:color="auto" w:fill="auto"/>
            <w:vAlign w:val="center"/>
          </w:tcPr>
          <w:p w14:paraId="3255565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B11内部控制制度健全性</w:t>
            </w:r>
          </w:p>
        </w:tc>
        <w:tc>
          <w:tcPr>
            <w:tcW w:w="0" w:type="auto"/>
            <w:shd w:val="clear" w:color="auto" w:fill="auto"/>
            <w:vAlign w:val="center"/>
          </w:tcPr>
          <w:p w14:paraId="045EFD3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考察部门（单位）制定了相应的预算资金、财务管理和预算绩效管理等制度，用以反映部门（单位）的管理制度对其完成主要职责和促进事业发展的保障情况</w:t>
            </w:r>
          </w:p>
        </w:tc>
        <w:tc>
          <w:tcPr>
            <w:tcW w:w="4233" w:type="dxa"/>
            <w:shd w:val="clear" w:color="auto" w:fill="auto"/>
            <w:vAlign w:val="center"/>
          </w:tcPr>
          <w:p w14:paraId="1627CA8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按照财政部要求，建立完善的内部控制制度且能保障主要职责和事业发展的需要，得5分；制度不完整的每个扣0.5分，扣完为止；制度缺失不得分。</w:t>
            </w:r>
          </w:p>
        </w:tc>
        <w:tc>
          <w:tcPr>
            <w:tcW w:w="1560" w:type="dxa"/>
            <w:shd w:val="clear" w:color="auto" w:fill="auto"/>
            <w:vAlign w:val="center"/>
          </w:tcPr>
          <w:p w14:paraId="72EDF61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健全</w:t>
            </w:r>
          </w:p>
        </w:tc>
        <w:tc>
          <w:tcPr>
            <w:tcW w:w="1042" w:type="dxa"/>
            <w:shd w:val="clear" w:color="auto" w:fill="auto"/>
            <w:vAlign w:val="center"/>
          </w:tcPr>
          <w:p w14:paraId="7FE45D7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较健全</w:t>
            </w:r>
          </w:p>
        </w:tc>
        <w:tc>
          <w:tcPr>
            <w:tcW w:w="0" w:type="auto"/>
            <w:shd w:val="clear" w:color="auto" w:fill="auto"/>
            <w:vAlign w:val="center"/>
          </w:tcPr>
          <w:p w14:paraId="226D151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4.00 </w:t>
            </w:r>
          </w:p>
        </w:tc>
        <w:tc>
          <w:tcPr>
            <w:tcW w:w="0" w:type="auto"/>
            <w:shd w:val="clear" w:color="auto" w:fill="auto"/>
            <w:vAlign w:val="center"/>
          </w:tcPr>
          <w:p w14:paraId="3C28B29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3.00 </w:t>
            </w:r>
          </w:p>
        </w:tc>
        <w:tc>
          <w:tcPr>
            <w:tcW w:w="0" w:type="auto"/>
            <w:shd w:val="clear" w:color="auto" w:fill="auto"/>
            <w:vAlign w:val="center"/>
          </w:tcPr>
          <w:p w14:paraId="660463F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75.00%</w:t>
            </w:r>
          </w:p>
        </w:tc>
      </w:tr>
      <w:tr w14:paraId="40397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vMerge w:val="continue"/>
            <w:shd w:val="clear" w:color="auto" w:fill="auto"/>
            <w:vAlign w:val="center"/>
          </w:tcPr>
          <w:p w14:paraId="2390B8B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vMerge w:val="restart"/>
            <w:shd w:val="clear" w:color="auto" w:fill="auto"/>
            <w:vAlign w:val="center"/>
          </w:tcPr>
          <w:p w14:paraId="3AEA890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B2预算管理</w:t>
            </w:r>
          </w:p>
        </w:tc>
        <w:tc>
          <w:tcPr>
            <w:tcW w:w="0" w:type="auto"/>
            <w:shd w:val="clear" w:color="auto" w:fill="auto"/>
            <w:vAlign w:val="center"/>
          </w:tcPr>
          <w:p w14:paraId="5B75E21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B21预算执行率</w:t>
            </w:r>
          </w:p>
        </w:tc>
        <w:tc>
          <w:tcPr>
            <w:tcW w:w="0" w:type="auto"/>
            <w:shd w:val="clear" w:color="auto" w:fill="auto"/>
            <w:vAlign w:val="center"/>
          </w:tcPr>
          <w:p w14:paraId="3D942D7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考察部门预算资金执行情况</w:t>
            </w:r>
          </w:p>
        </w:tc>
        <w:tc>
          <w:tcPr>
            <w:tcW w:w="4233" w:type="dxa"/>
            <w:shd w:val="clear" w:color="auto" w:fill="auto"/>
            <w:vAlign w:val="center"/>
          </w:tcPr>
          <w:p w14:paraId="6735132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支出预算完成率=（支出预算完成数/支出预算下达数） ×100% </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支出预算执行数：部门（单位）本年度实际完成的预算支出数；支出预算数：财政部门批复的本年度部门（单位）预算支出数。</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支出预算执行率100%得满分，每降低1%扣1分，扣完为止。</w:t>
            </w:r>
          </w:p>
        </w:tc>
        <w:tc>
          <w:tcPr>
            <w:tcW w:w="1560" w:type="dxa"/>
            <w:shd w:val="clear" w:color="auto" w:fill="auto"/>
            <w:vAlign w:val="center"/>
          </w:tcPr>
          <w:p w14:paraId="4C4A066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≥95.00%</w:t>
            </w:r>
          </w:p>
        </w:tc>
        <w:tc>
          <w:tcPr>
            <w:tcW w:w="1042" w:type="dxa"/>
            <w:shd w:val="clear" w:color="auto" w:fill="auto"/>
            <w:vAlign w:val="center"/>
          </w:tcPr>
          <w:p w14:paraId="4F8275C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c>
          <w:tcPr>
            <w:tcW w:w="0" w:type="auto"/>
            <w:shd w:val="clear" w:color="auto" w:fill="auto"/>
            <w:vAlign w:val="center"/>
          </w:tcPr>
          <w:p w14:paraId="72522E7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3.00 </w:t>
            </w:r>
          </w:p>
        </w:tc>
        <w:tc>
          <w:tcPr>
            <w:tcW w:w="0" w:type="auto"/>
            <w:shd w:val="clear" w:color="auto" w:fill="auto"/>
            <w:vAlign w:val="center"/>
          </w:tcPr>
          <w:p w14:paraId="3F4AFE5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3.00 </w:t>
            </w:r>
          </w:p>
        </w:tc>
        <w:tc>
          <w:tcPr>
            <w:tcW w:w="0" w:type="auto"/>
            <w:shd w:val="clear" w:color="auto" w:fill="auto"/>
            <w:vAlign w:val="center"/>
          </w:tcPr>
          <w:p w14:paraId="1E08148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r>
      <w:tr w14:paraId="21683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vMerge w:val="continue"/>
            <w:shd w:val="clear" w:color="auto" w:fill="auto"/>
            <w:vAlign w:val="center"/>
          </w:tcPr>
          <w:p w14:paraId="4009684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vMerge w:val="continue"/>
            <w:shd w:val="clear" w:color="auto" w:fill="auto"/>
            <w:vAlign w:val="center"/>
          </w:tcPr>
          <w:p w14:paraId="6747C4A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shd w:val="clear" w:color="auto" w:fill="auto"/>
            <w:vAlign w:val="center"/>
          </w:tcPr>
          <w:p w14:paraId="4A6C0DF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B22预算、决算信息公开</w:t>
            </w:r>
          </w:p>
        </w:tc>
        <w:tc>
          <w:tcPr>
            <w:tcW w:w="0" w:type="auto"/>
            <w:shd w:val="clear" w:color="auto" w:fill="auto"/>
            <w:vAlign w:val="center"/>
          </w:tcPr>
          <w:p w14:paraId="70A86CA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考察预决算信息是否按时公开</w:t>
            </w:r>
          </w:p>
        </w:tc>
        <w:tc>
          <w:tcPr>
            <w:tcW w:w="4233" w:type="dxa"/>
            <w:shd w:val="clear" w:color="auto" w:fill="auto"/>
            <w:vAlign w:val="center"/>
          </w:tcPr>
          <w:p w14:paraId="5C9B620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1.是否按规定内容公开预决算信息，得0.5分；</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2.是否按规定时限公开预决算信息，得0.5分；</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预决算信息是指与部门预算、执行、决算、监督、绩效等管理相关的信息。</w:t>
            </w:r>
          </w:p>
        </w:tc>
        <w:tc>
          <w:tcPr>
            <w:tcW w:w="1560" w:type="dxa"/>
            <w:shd w:val="clear" w:color="auto" w:fill="auto"/>
            <w:vAlign w:val="center"/>
          </w:tcPr>
          <w:p w14:paraId="7A73388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使用合规</w:t>
            </w:r>
          </w:p>
        </w:tc>
        <w:tc>
          <w:tcPr>
            <w:tcW w:w="1042" w:type="dxa"/>
            <w:shd w:val="clear" w:color="auto" w:fill="auto"/>
            <w:vAlign w:val="center"/>
          </w:tcPr>
          <w:p w14:paraId="62AC964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使用合规</w:t>
            </w:r>
          </w:p>
        </w:tc>
        <w:tc>
          <w:tcPr>
            <w:tcW w:w="0" w:type="auto"/>
            <w:shd w:val="clear" w:color="auto" w:fill="auto"/>
            <w:vAlign w:val="center"/>
          </w:tcPr>
          <w:p w14:paraId="370F97F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1.00 </w:t>
            </w:r>
          </w:p>
        </w:tc>
        <w:tc>
          <w:tcPr>
            <w:tcW w:w="0" w:type="auto"/>
            <w:shd w:val="clear" w:color="auto" w:fill="auto"/>
            <w:vAlign w:val="center"/>
          </w:tcPr>
          <w:p w14:paraId="0F9C4EB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1.00 </w:t>
            </w:r>
          </w:p>
        </w:tc>
        <w:tc>
          <w:tcPr>
            <w:tcW w:w="0" w:type="auto"/>
            <w:shd w:val="clear" w:color="auto" w:fill="auto"/>
            <w:vAlign w:val="center"/>
          </w:tcPr>
          <w:p w14:paraId="7728DEF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r>
      <w:tr w14:paraId="63A17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vMerge w:val="continue"/>
            <w:shd w:val="clear" w:color="auto" w:fill="auto"/>
            <w:vAlign w:val="center"/>
          </w:tcPr>
          <w:p w14:paraId="6128CAB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vMerge w:val="restart"/>
            <w:shd w:val="clear" w:color="auto" w:fill="auto"/>
            <w:vAlign w:val="center"/>
          </w:tcPr>
          <w:p w14:paraId="6EFC00C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B3资金管理</w:t>
            </w:r>
          </w:p>
        </w:tc>
        <w:tc>
          <w:tcPr>
            <w:tcW w:w="0" w:type="auto"/>
            <w:shd w:val="clear" w:color="auto" w:fill="auto"/>
            <w:vAlign w:val="center"/>
          </w:tcPr>
          <w:p w14:paraId="70ED84B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B31资金使用合规性</w:t>
            </w:r>
          </w:p>
        </w:tc>
        <w:tc>
          <w:tcPr>
            <w:tcW w:w="0" w:type="auto"/>
            <w:shd w:val="clear" w:color="auto" w:fill="auto"/>
            <w:vAlign w:val="center"/>
          </w:tcPr>
          <w:p w14:paraId="405464F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部门（单位）资金支出规范性，包括资金管理、费用支出等制度是否严格执行；资金调整、调剂是否规范；会计核算是否规范、是否存在支出依据不合规、虚列项目支出的情况；是否存在截留、挤占、挪用项目资金的情况。</w:t>
            </w:r>
          </w:p>
        </w:tc>
        <w:tc>
          <w:tcPr>
            <w:tcW w:w="4233" w:type="dxa"/>
            <w:shd w:val="clear" w:color="auto" w:fill="auto"/>
            <w:vAlign w:val="center"/>
          </w:tcPr>
          <w:p w14:paraId="2B21906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1.是否符合国家财经法规和财务管理制度规定以及有关专项资金管理办法的规定；</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2.资金的支付是否有完整的审批程序和手续；                                        </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3.重大开支是否经过评估论证；                                                               </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4.是否符合部门预算批复的用途；                                                              </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5.是否存在截留、挤占、挪用情况。</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以上评价要点全部合规得5分，一项不符合扣0.5分，扣完为止。有重大违规违纪行为的一票否决。</w:t>
            </w:r>
          </w:p>
        </w:tc>
        <w:tc>
          <w:tcPr>
            <w:tcW w:w="1560" w:type="dxa"/>
            <w:shd w:val="clear" w:color="auto" w:fill="auto"/>
            <w:vAlign w:val="center"/>
          </w:tcPr>
          <w:p w14:paraId="56120FD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合规</w:t>
            </w:r>
          </w:p>
        </w:tc>
        <w:tc>
          <w:tcPr>
            <w:tcW w:w="1042" w:type="dxa"/>
            <w:shd w:val="clear" w:color="auto" w:fill="auto"/>
            <w:vAlign w:val="center"/>
          </w:tcPr>
          <w:p w14:paraId="23A984B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合规</w:t>
            </w:r>
          </w:p>
        </w:tc>
        <w:tc>
          <w:tcPr>
            <w:tcW w:w="0" w:type="auto"/>
            <w:shd w:val="clear" w:color="auto" w:fill="auto"/>
            <w:vAlign w:val="center"/>
          </w:tcPr>
          <w:p w14:paraId="2426A86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4.00 </w:t>
            </w:r>
          </w:p>
        </w:tc>
        <w:tc>
          <w:tcPr>
            <w:tcW w:w="0" w:type="auto"/>
            <w:shd w:val="clear" w:color="auto" w:fill="auto"/>
            <w:vAlign w:val="center"/>
          </w:tcPr>
          <w:p w14:paraId="0D8D055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4.00 </w:t>
            </w:r>
          </w:p>
        </w:tc>
        <w:tc>
          <w:tcPr>
            <w:tcW w:w="0" w:type="auto"/>
            <w:shd w:val="clear" w:color="auto" w:fill="auto"/>
            <w:vAlign w:val="center"/>
          </w:tcPr>
          <w:p w14:paraId="4C269A6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r>
      <w:tr w14:paraId="20847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vMerge w:val="continue"/>
            <w:shd w:val="clear" w:color="auto" w:fill="auto"/>
            <w:vAlign w:val="center"/>
          </w:tcPr>
          <w:p w14:paraId="68460EA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vMerge w:val="continue"/>
            <w:shd w:val="clear" w:color="auto" w:fill="auto"/>
            <w:vAlign w:val="center"/>
          </w:tcPr>
          <w:p w14:paraId="04A9D7A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shd w:val="clear" w:color="auto" w:fill="auto"/>
            <w:vAlign w:val="center"/>
          </w:tcPr>
          <w:p w14:paraId="0E80544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B32政府采购招投标信息公开及时</w:t>
            </w:r>
          </w:p>
        </w:tc>
        <w:tc>
          <w:tcPr>
            <w:tcW w:w="0" w:type="auto"/>
            <w:shd w:val="clear" w:color="auto" w:fill="auto"/>
            <w:vAlign w:val="center"/>
          </w:tcPr>
          <w:p w14:paraId="176899D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考察是否建立健全责任明确的工作机制、简便顺畅的操作流程和集中统一的发布渠道，是否确保政府采购信息发布的及时、完整、准确，实现政府采购信息的全流程公开透明</w:t>
            </w:r>
          </w:p>
        </w:tc>
        <w:tc>
          <w:tcPr>
            <w:tcW w:w="4233" w:type="dxa"/>
            <w:shd w:val="clear" w:color="auto" w:fill="auto"/>
            <w:vAlign w:val="center"/>
          </w:tcPr>
          <w:p w14:paraId="7EF07FF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按照政府采购管理制度有效执行，政府采购招投标信息公开及时，得2分；未按制度执行或存在明显不符情况的，每个扣0.5分，扣完为止。</w:t>
            </w:r>
          </w:p>
        </w:tc>
        <w:tc>
          <w:tcPr>
            <w:tcW w:w="1560" w:type="dxa"/>
            <w:shd w:val="clear" w:color="auto" w:fill="auto"/>
            <w:vAlign w:val="center"/>
          </w:tcPr>
          <w:p w14:paraId="2A8D045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执行且有效</w:t>
            </w:r>
          </w:p>
        </w:tc>
        <w:tc>
          <w:tcPr>
            <w:tcW w:w="1042" w:type="dxa"/>
            <w:shd w:val="clear" w:color="auto" w:fill="auto"/>
            <w:vAlign w:val="center"/>
          </w:tcPr>
          <w:p w14:paraId="0F5224C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执行且有效</w:t>
            </w:r>
          </w:p>
        </w:tc>
        <w:tc>
          <w:tcPr>
            <w:tcW w:w="0" w:type="auto"/>
            <w:shd w:val="clear" w:color="auto" w:fill="auto"/>
            <w:vAlign w:val="center"/>
          </w:tcPr>
          <w:p w14:paraId="664C14E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2.00 </w:t>
            </w:r>
          </w:p>
        </w:tc>
        <w:tc>
          <w:tcPr>
            <w:tcW w:w="0" w:type="auto"/>
            <w:shd w:val="clear" w:color="auto" w:fill="auto"/>
            <w:vAlign w:val="center"/>
          </w:tcPr>
          <w:p w14:paraId="6827225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2.00 </w:t>
            </w:r>
          </w:p>
        </w:tc>
        <w:tc>
          <w:tcPr>
            <w:tcW w:w="0" w:type="auto"/>
            <w:shd w:val="clear" w:color="auto" w:fill="auto"/>
            <w:vAlign w:val="center"/>
          </w:tcPr>
          <w:p w14:paraId="5A16F8C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r>
      <w:tr w14:paraId="48A5EF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vMerge w:val="continue"/>
            <w:shd w:val="clear" w:color="auto" w:fill="auto"/>
            <w:vAlign w:val="center"/>
          </w:tcPr>
          <w:p w14:paraId="6107155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vMerge w:val="restart"/>
            <w:shd w:val="clear" w:color="auto" w:fill="auto"/>
            <w:vAlign w:val="center"/>
          </w:tcPr>
          <w:p w14:paraId="6494FD2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B4资产管理</w:t>
            </w:r>
          </w:p>
        </w:tc>
        <w:tc>
          <w:tcPr>
            <w:tcW w:w="0" w:type="auto"/>
            <w:shd w:val="clear" w:color="auto" w:fill="auto"/>
            <w:vAlign w:val="center"/>
          </w:tcPr>
          <w:p w14:paraId="088AA08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B41固定资产管理规范性</w:t>
            </w:r>
          </w:p>
        </w:tc>
        <w:tc>
          <w:tcPr>
            <w:tcW w:w="0" w:type="auto"/>
            <w:shd w:val="clear" w:color="auto" w:fill="auto"/>
            <w:vAlign w:val="center"/>
          </w:tcPr>
          <w:p w14:paraId="7A9C371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考察部门资产管理制度是否执行有效</w:t>
            </w:r>
          </w:p>
        </w:tc>
        <w:tc>
          <w:tcPr>
            <w:tcW w:w="4233" w:type="dxa"/>
            <w:shd w:val="clear" w:color="auto" w:fill="auto"/>
            <w:vAlign w:val="center"/>
          </w:tcPr>
          <w:p w14:paraId="0D99039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按照资产管理制度，设置资产专人负责，按要求完成资产验收入库、领用登记、资产盘点、清理报废等，得4分；制度执行不到位每项扣0.5分，扣完为止。</w:t>
            </w:r>
          </w:p>
        </w:tc>
        <w:tc>
          <w:tcPr>
            <w:tcW w:w="1560" w:type="dxa"/>
            <w:shd w:val="clear" w:color="auto" w:fill="auto"/>
            <w:vAlign w:val="center"/>
          </w:tcPr>
          <w:p w14:paraId="5F3536B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规范</w:t>
            </w:r>
          </w:p>
        </w:tc>
        <w:tc>
          <w:tcPr>
            <w:tcW w:w="1042" w:type="dxa"/>
            <w:shd w:val="clear" w:color="auto" w:fill="auto"/>
            <w:vAlign w:val="center"/>
          </w:tcPr>
          <w:p w14:paraId="07B8302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规范</w:t>
            </w:r>
          </w:p>
        </w:tc>
        <w:tc>
          <w:tcPr>
            <w:tcW w:w="0" w:type="auto"/>
            <w:shd w:val="clear" w:color="auto" w:fill="auto"/>
            <w:vAlign w:val="center"/>
          </w:tcPr>
          <w:p w14:paraId="64E0C95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4.00 </w:t>
            </w:r>
          </w:p>
        </w:tc>
        <w:tc>
          <w:tcPr>
            <w:tcW w:w="0" w:type="auto"/>
            <w:shd w:val="clear" w:color="auto" w:fill="auto"/>
            <w:vAlign w:val="center"/>
          </w:tcPr>
          <w:p w14:paraId="5ACF15B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4.00 </w:t>
            </w:r>
          </w:p>
        </w:tc>
        <w:tc>
          <w:tcPr>
            <w:tcW w:w="0" w:type="auto"/>
            <w:shd w:val="clear" w:color="auto" w:fill="auto"/>
            <w:vAlign w:val="center"/>
          </w:tcPr>
          <w:p w14:paraId="6B38597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r>
      <w:tr w14:paraId="234BF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0" w:type="auto"/>
            <w:vMerge w:val="continue"/>
            <w:shd w:val="clear" w:color="auto" w:fill="auto"/>
            <w:vAlign w:val="center"/>
          </w:tcPr>
          <w:p w14:paraId="267C126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vMerge w:val="continue"/>
            <w:shd w:val="clear" w:color="auto" w:fill="auto"/>
            <w:vAlign w:val="center"/>
          </w:tcPr>
          <w:p w14:paraId="54EA3FC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shd w:val="clear" w:color="auto" w:fill="auto"/>
            <w:vAlign w:val="center"/>
          </w:tcPr>
          <w:p w14:paraId="25D4B1E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B42固定资产利用率</w:t>
            </w:r>
          </w:p>
        </w:tc>
        <w:tc>
          <w:tcPr>
            <w:tcW w:w="0" w:type="auto"/>
            <w:shd w:val="clear" w:color="auto" w:fill="auto"/>
            <w:vAlign w:val="center"/>
          </w:tcPr>
          <w:p w14:paraId="64B9512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考察部门固定资产是否得到有效利用</w:t>
            </w:r>
          </w:p>
        </w:tc>
        <w:tc>
          <w:tcPr>
            <w:tcW w:w="4233" w:type="dxa"/>
            <w:shd w:val="clear" w:color="auto" w:fill="auto"/>
            <w:vAlign w:val="center"/>
          </w:tcPr>
          <w:p w14:paraId="61EA58E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固定资产利用率大于或等于95%得满分；小于或等于85%，得0分；85%-95%之间的，用公式计算，得分=（部门单位固定资产利用率-85%）/（95%-85%）×该指标分值，扣完为止。</w:t>
            </w:r>
          </w:p>
        </w:tc>
        <w:tc>
          <w:tcPr>
            <w:tcW w:w="1560" w:type="dxa"/>
            <w:shd w:val="clear" w:color="auto" w:fill="auto"/>
            <w:vAlign w:val="center"/>
          </w:tcPr>
          <w:p w14:paraId="540A2FB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≥95.00%</w:t>
            </w:r>
          </w:p>
        </w:tc>
        <w:tc>
          <w:tcPr>
            <w:tcW w:w="1042" w:type="dxa"/>
            <w:shd w:val="clear" w:color="auto" w:fill="auto"/>
            <w:vAlign w:val="center"/>
          </w:tcPr>
          <w:p w14:paraId="6D297CB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c>
          <w:tcPr>
            <w:tcW w:w="0" w:type="auto"/>
            <w:shd w:val="clear" w:color="auto" w:fill="auto"/>
            <w:vAlign w:val="center"/>
          </w:tcPr>
          <w:p w14:paraId="038528A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2.00 </w:t>
            </w:r>
          </w:p>
        </w:tc>
        <w:tc>
          <w:tcPr>
            <w:tcW w:w="0" w:type="auto"/>
            <w:shd w:val="clear" w:color="auto" w:fill="auto"/>
            <w:vAlign w:val="center"/>
          </w:tcPr>
          <w:p w14:paraId="300C005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2.00 </w:t>
            </w:r>
          </w:p>
        </w:tc>
        <w:tc>
          <w:tcPr>
            <w:tcW w:w="0" w:type="auto"/>
            <w:shd w:val="clear" w:color="auto" w:fill="auto"/>
            <w:vAlign w:val="center"/>
          </w:tcPr>
          <w:p w14:paraId="50BAC12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r>
      <w:tr w14:paraId="7C4248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vMerge w:val="continue"/>
            <w:shd w:val="clear" w:color="auto" w:fill="auto"/>
            <w:vAlign w:val="center"/>
          </w:tcPr>
          <w:p w14:paraId="71CD29D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vMerge w:val="restart"/>
            <w:shd w:val="clear" w:color="auto" w:fill="auto"/>
            <w:vAlign w:val="center"/>
          </w:tcPr>
          <w:p w14:paraId="412795B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B5项目管理</w:t>
            </w:r>
          </w:p>
        </w:tc>
        <w:tc>
          <w:tcPr>
            <w:tcW w:w="0" w:type="auto"/>
            <w:shd w:val="clear" w:color="auto" w:fill="auto"/>
            <w:vAlign w:val="center"/>
          </w:tcPr>
          <w:p w14:paraId="00E6365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B51项目绩效达标率</w:t>
            </w:r>
          </w:p>
        </w:tc>
        <w:tc>
          <w:tcPr>
            <w:tcW w:w="0" w:type="auto"/>
            <w:shd w:val="clear" w:color="auto" w:fill="auto"/>
            <w:vAlign w:val="center"/>
          </w:tcPr>
          <w:p w14:paraId="073C24C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考察部门单位考察项目质量达标情况</w:t>
            </w:r>
          </w:p>
        </w:tc>
        <w:tc>
          <w:tcPr>
            <w:tcW w:w="4233" w:type="dxa"/>
            <w:shd w:val="clear" w:color="auto" w:fill="auto"/>
            <w:vAlign w:val="center"/>
          </w:tcPr>
          <w:p w14:paraId="27A8467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项目绩效达标率=项目绩效自评平均分×100%，项目绩效达标率大于等于90%，得满分；项目绩效达标率大于等于80%，小于90%，得2.00分；项目绩效达标率大于等于60%，小于80%，得1.00分，项目绩效达标率低于60%，得0.00分。注：若根据项目绩效自评印证材料发现存在自评不真实，无法印证自评结果的情况，该指标不得分</w:t>
            </w:r>
          </w:p>
        </w:tc>
        <w:tc>
          <w:tcPr>
            <w:tcW w:w="1560" w:type="dxa"/>
            <w:shd w:val="clear" w:color="auto" w:fill="auto"/>
            <w:vAlign w:val="center"/>
          </w:tcPr>
          <w:p w14:paraId="3194F38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≥90.00%</w:t>
            </w:r>
          </w:p>
        </w:tc>
        <w:tc>
          <w:tcPr>
            <w:tcW w:w="1042" w:type="dxa"/>
            <w:shd w:val="clear" w:color="auto" w:fill="auto"/>
            <w:vAlign w:val="center"/>
          </w:tcPr>
          <w:p w14:paraId="69357CC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95.50%</w:t>
            </w:r>
          </w:p>
        </w:tc>
        <w:tc>
          <w:tcPr>
            <w:tcW w:w="0" w:type="auto"/>
            <w:shd w:val="clear" w:color="auto" w:fill="auto"/>
            <w:vAlign w:val="center"/>
          </w:tcPr>
          <w:p w14:paraId="53A3D25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2.00 </w:t>
            </w:r>
          </w:p>
        </w:tc>
        <w:tc>
          <w:tcPr>
            <w:tcW w:w="0" w:type="auto"/>
            <w:shd w:val="clear" w:color="auto" w:fill="auto"/>
            <w:vAlign w:val="center"/>
          </w:tcPr>
          <w:p w14:paraId="13F3176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2.00 </w:t>
            </w:r>
          </w:p>
        </w:tc>
        <w:tc>
          <w:tcPr>
            <w:tcW w:w="0" w:type="auto"/>
            <w:shd w:val="clear" w:color="auto" w:fill="auto"/>
            <w:vAlign w:val="center"/>
          </w:tcPr>
          <w:p w14:paraId="7EA58F2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r>
      <w:tr w14:paraId="3FF05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vMerge w:val="continue"/>
            <w:shd w:val="clear" w:color="auto" w:fill="auto"/>
            <w:vAlign w:val="center"/>
          </w:tcPr>
          <w:p w14:paraId="1984CB5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vMerge w:val="continue"/>
            <w:shd w:val="clear" w:color="auto" w:fill="auto"/>
            <w:vAlign w:val="center"/>
          </w:tcPr>
          <w:p w14:paraId="39E6A61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shd w:val="clear" w:color="auto" w:fill="auto"/>
            <w:vAlign w:val="center"/>
          </w:tcPr>
          <w:p w14:paraId="6C6C982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B52项目支出预算调整率</w:t>
            </w:r>
          </w:p>
        </w:tc>
        <w:tc>
          <w:tcPr>
            <w:tcW w:w="0" w:type="auto"/>
            <w:shd w:val="clear" w:color="auto" w:fill="auto"/>
            <w:vAlign w:val="center"/>
          </w:tcPr>
          <w:p w14:paraId="68A91CE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年度项目支出预算的调整情况，考察预算编制准确性。</w:t>
            </w:r>
          </w:p>
        </w:tc>
        <w:tc>
          <w:tcPr>
            <w:tcW w:w="4233" w:type="dxa"/>
            <w:shd w:val="clear" w:color="auto" w:fill="auto"/>
            <w:vAlign w:val="center"/>
          </w:tcPr>
          <w:p w14:paraId="55C4E95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项目支出预算调整率=（项目预算调整数/项目预算数）×100%；</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预算数：部门在本年度内涉及预算的追加、追减或结构调整的项目资金总和。</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预算调整率在±10%以内，得3分，每增减1%扣0.1分，扣完为止。</w:t>
            </w:r>
          </w:p>
        </w:tc>
        <w:tc>
          <w:tcPr>
            <w:tcW w:w="1560" w:type="dxa"/>
            <w:shd w:val="clear" w:color="auto" w:fill="auto"/>
            <w:vAlign w:val="center"/>
          </w:tcPr>
          <w:p w14:paraId="22CF9FB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±10%以内</w:t>
            </w:r>
          </w:p>
        </w:tc>
        <w:tc>
          <w:tcPr>
            <w:tcW w:w="1042" w:type="dxa"/>
            <w:shd w:val="clear" w:color="auto" w:fill="auto"/>
            <w:vAlign w:val="center"/>
          </w:tcPr>
          <w:p w14:paraId="41281C9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0%</w:t>
            </w:r>
          </w:p>
        </w:tc>
        <w:tc>
          <w:tcPr>
            <w:tcW w:w="0" w:type="auto"/>
            <w:shd w:val="clear" w:color="auto" w:fill="auto"/>
            <w:vAlign w:val="center"/>
          </w:tcPr>
          <w:p w14:paraId="5CF84AD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3.00 </w:t>
            </w:r>
          </w:p>
        </w:tc>
        <w:tc>
          <w:tcPr>
            <w:tcW w:w="0" w:type="auto"/>
            <w:shd w:val="clear" w:color="auto" w:fill="auto"/>
            <w:vAlign w:val="center"/>
          </w:tcPr>
          <w:p w14:paraId="0F8CCA9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3.00 </w:t>
            </w:r>
          </w:p>
        </w:tc>
        <w:tc>
          <w:tcPr>
            <w:tcW w:w="0" w:type="auto"/>
            <w:shd w:val="clear" w:color="auto" w:fill="auto"/>
            <w:vAlign w:val="center"/>
          </w:tcPr>
          <w:p w14:paraId="3DFFF9A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r>
      <w:tr w14:paraId="448EB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0" w:type="auto"/>
            <w:gridSpan w:val="3"/>
            <w:shd w:val="clear" w:color="auto" w:fill="auto"/>
            <w:vAlign w:val="center"/>
          </w:tcPr>
          <w:p w14:paraId="0589EA9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小计</w:t>
            </w:r>
          </w:p>
        </w:tc>
        <w:tc>
          <w:tcPr>
            <w:tcW w:w="0" w:type="auto"/>
            <w:shd w:val="clear" w:color="auto" w:fill="auto"/>
            <w:vAlign w:val="center"/>
          </w:tcPr>
          <w:p w14:paraId="7D879B18">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b/>
                <w:bCs/>
                <w:i w:val="0"/>
                <w:iCs w:val="0"/>
                <w:color w:val="000000" w:themeColor="text1"/>
                <w:sz w:val="18"/>
                <w:szCs w:val="18"/>
                <w:u w:val="none"/>
                <w14:textFill>
                  <w14:solidFill>
                    <w14:schemeClr w14:val="tx1"/>
                  </w14:solidFill>
                </w14:textFill>
              </w:rPr>
            </w:pPr>
          </w:p>
        </w:tc>
        <w:tc>
          <w:tcPr>
            <w:tcW w:w="4233" w:type="dxa"/>
            <w:shd w:val="clear" w:color="auto" w:fill="auto"/>
            <w:vAlign w:val="center"/>
          </w:tcPr>
          <w:p w14:paraId="513B7635">
            <w:pPr>
              <w:keepNext w:val="0"/>
              <w:keepLines w:val="0"/>
              <w:pageBreakBefore w:val="0"/>
              <w:widowControl/>
              <w:kinsoku/>
              <w:wordWrap/>
              <w:overflowPunct/>
              <w:topLinePunct w:val="0"/>
              <w:autoSpaceDE/>
              <w:autoSpaceDN/>
              <w:bidi w:val="0"/>
              <w:adjustRightInd w:val="0"/>
              <w:snapToGrid w:val="0"/>
              <w:spacing w:line="240" w:lineRule="auto"/>
              <w:ind w:firstLine="0" w:firstLineChars="0"/>
              <w:rPr>
                <w:rFonts w:hint="eastAsia" w:ascii="宋体" w:hAnsi="宋体" w:eastAsia="宋体" w:cs="宋体"/>
                <w:b/>
                <w:bCs/>
                <w:i w:val="0"/>
                <w:iCs w:val="0"/>
                <w:color w:val="000000" w:themeColor="text1"/>
                <w:sz w:val="18"/>
                <w:szCs w:val="18"/>
                <w:u w:val="none"/>
                <w14:textFill>
                  <w14:solidFill>
                    <w14:schemeClr w14:val="tx1"/>
                  </w14:solidFill>
                </w14:textFill>
              </w:rPr>
            </w:pPr>
          </w:p>
        </w:tc>
        <w:tc>
          <w:tcPr>
            <w:tcW w:w="1560" w:type="dxa"/>
            <w:shd w:val="clear" w:color="auto" w:fill="auto"/>
            <w:vAlign w:val="center"/>
          </w:tcPr>
          <w:p w14:paraId="5CAEC07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bCs/>
                <w:i w:val="0"/>
                <w:iCs w:val="0"/>
                <w:color w:val="000000" w:themeColor="text1"/>
                <w:sz w:val="18"/>
                <w:szCs w:val="18"/>
                <w:u w:val="none"/>
                <w14:textFill>
                  <w14:solidFill>
                    <w14:schemeClr w14:val="tx1"/>
                  </w14:solidFill>
                </w14:textFill>
              </w:rPr>
            </w:pPr>
          </w:p>
        </w:tc>
        <w:tc>
          <w:tcPr>
            <w:tcW w:w="1042" w:type="dxa"/>
            <w:shd w:val="clear" w:color="auto" w:fill="auto"/>
            <w:vAlign w:val="center"/>
          </w:tcPr>
          <w:p w14:paraId="6E56E01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b/>
                <w:bCs/>
                <w:i w:val="0"/>
                <w:iCs w:val="0"/>
                <w:color w:val="000000" w:themeColor="text1"/>
                <w:sz w:val="18"/>
                <w:szCs w:val="18"/>
                <w:u w:val="none"/>
                <w14:textFill>
                  <w14:solidFill>
                    <w14:schemeClr w14:val="tx1"/>
                  </w14:solidFill>
                </w14:textFill>
              </w:rPr>
            </w:pPr>
          </w:p>
        </w:tc>
        <w:tc>
          <w:tcPr>
            <w:tcW w:w="0" w:type="auto"/>
            <w:shd w:val="clear" w:color="auto" w:fill="auto"/>
            <w:vAlign w:val="center"/>
          </w:tcPr>
          <w:p w14:paraId="6F57DA7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 xml:space="preserve">25.00 </w:t>
            </w:r>
          </w:p>
        </w:tc>
        <w:tc>
          <w:tcPr>
            <w:tcW w:w="0" w:type="auto"/>
            <w:shd w:val="clear" w:color="auto" w:fill="auto"/>
            <w:vAlign w:val="center"/>
          </w:tcPr>
          <w:p w14:paraId="5CE4151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 xml:space="preserve">24.00 </w:t>
            </w:r>
          </w:p>
        </w:tc>
        <w:tc>
          <w:tcPr>
            <w:tcW w:w="0" w:type="auto"/>
            <w:shd w:val="clear" w:color="auto" w:fill="auto"/>
            <w:vAlign w:val="center"/>
          </w:tcPr>
          <w:p w14:paraId="75E4454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96.00%</w:t>
            </w:r>
          </w:p>
        </w:tc>
      </w:tr>
      <w:tr w14:paraId="750756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vMerge w:val="restart"/>
            <w:shd w:val="clear" w:color="auto" w:fill="auto"/>
            <w:vAlign w:val="center"/>
          </w:tcPr>
          <w:p w14:paraId="30E33BB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C部门绩效（60分）</w:t>
            </w:r>
          </w:p>
        </w:tc>
        <w:tc>
          <w:tcPr>
            <w:tcW w:w="0" w:type="auto"/>
            <w:vMerge w:val="restart"/>
            <w:shd w:val="clear" w:color="auto" w:fill="auto"/>
            <w:vAlign w:val="center"/>
          </w:tcPr>
          <w:p w14:paraId="02B4CD0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C1履职效能-全面服务经济发展</w:t>
            </w:r>
          </w:p>
        </w:tc>
        <w:tc>
          <w:tcPr>
            <w:tcW w:w="0" w:type="auto"/>
            <w:shd w:val="clear" w:color="auto" w:fill="auto"/>
            <w:vAlign w:val="center"/>
          </w:tcPr>
          <w:p w14:paraId="7A915A6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C11撰写综合分析报告和专题分析报告数量</w:t>
            </w:r>
          </w:p>
        </w:tc>
        <w:tc>
          <w:tcPr>
            <w:tcW w:w="0" w:type="auto"/>
            <w:shd w:val="clear" w:color="auto" w:fill="auto"/>
            <w:vAlign w:val="center"/>
          </w:tcPr>
          <w:p w14:paraId="06AE855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考察撰写综合分析报告和专题分析报告数量的完成情况</w:t>
            </w:r>
          </w:p>
        </w:tc>
        <w:tc>
          <w:tcPr>
            <w:tcW w:w="4233" w:type="dxa"/>
            <w:shd w:val="clear" w:color="auto" w:fill="auto"/>
            <w:vAlign w:val="center"/>
          </w:tcPr>
          <w:p w14:paraId="1A517A0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实际完成率=实际完成值/标杆值×100%。</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实际完成率符合预期指标值得满分；预期指标未完成，且实际完成率大于60%的，按超过的比重赋分，计算公式为：得分=（实际完成率-60%）/（1-60%）×指标分值；完成率小于60%为不及格，不得分。</w:t>
            </w:r>
          </w:p>
        </w:tc>
        <w:tc>
          <w:tcPr>
            <w:tcW w:w="1560" w:type="dxa"/>
            <w:shd w:val="clear" w:color="auto" w:fill="auto"/>
            <w:vAlign w:val="center"/>
          </w:tcPr>
          <w:p w14:paraId="737B5F3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≥64篇</w:t>
            </w:r>
          </w:p>
        </w:tc>
        <w:tc>
          <w:tcPr>
            <w:tcW w:w="1042" w:type="dxa"/>
            <w:shd w:val="clear" w:color="auto" w:fill="auto"/>
            <w:vAlign w:val="center"/>
          </w:tcPr>
          <w:p w14:paraId="785A004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67篇</w:t>
            </w:r>
          </w:p>
        </w:tc>
        <w:tc>
          <w:tcPr>
            <w:tcW w:w="0" w:type="auto"/>
            <w:shd w:val="clear" w:color="auto" w:fill="auto"/>
            <w:vAlign w:val="center"/>
          </w:tcPr>
          <w:p w14:paraId="7617CC5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6.00 </w:t>
            </w:r>
          </w:p>
        </w:tc>
        <w:tc>
          <w:tcPr>
            <w:tcW w:w="0" w:type="auto"/>
            <w:shd w:val="clear" w:color="auto" w:fill="auto"/>
            <w:vAlign w:val="center"/>
          </w:tcPr>
          <w:p w14:paraId="6F3D8D4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6.00 </w:t>
            </w:r>
          </w:p>
        </w:tc>
        <w:tc>
          <w:tcPr>
            <w:tcW w:w="0" w:type="auto"/>
            <w:shd w:val="clear" w:color="auto" w:fill="auto"/>
            <w:vAlign w:val="center"/>
          </w:tcPr>
          <w:p w14:paraId="2CEE89B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r>
      <w:tr w14:paraId="70F8E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vMerge w:val="continue"/>
            <w:shd w:val="clear" w:color="auto" w:fill="auto"/>
            <w:vAlign w:val="center"/>
          </w:tcPr>
          <w:p w14:paraId="3453EC3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vMerge w:val="continue"/>
            <w:shd w:val="clear" w:color="auto" w:fill="auto"/>
            <w:vAlign w:val="center"/>
          </w:tcPr>
          <w:p w14:paraId="6CA64FF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shd w:val="clear" w:color="auto" w:fill="auto"/>
            <w:vAlign w:val="center"/>
          </w:tcPr>
          <w:p w14:paraId="513273F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C12统计数据质量保障率</w:t>
            </w:r>
          </w:p>
        </w:tc>
        <w:tc>
          <w:tcPr>
            <w:tcW w:w="0" w:type="auto"/>
            <w:shd w:val="clear" w:color="auto" w:fill="auto"/>
            <w:vAlign w:val="center"/>
          </w:tcPr>
          <w:p w14:paraId="3AD0A35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考察统计数据质量保障率的完成情况</w:t>
            </w:r>
          </w:p>
        </w:tc>
        <w:tc>
          <w:tcPr>
            <w:tcW w:w="4233" w:type="dxa"/>
            <w:shd w:val="clear" w:color="auto" w:fill="auto"/>
            <w:vAlign w:val="center"/>
          </w:tcPr>
          <w:p w14:paraId="522818F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实际2024年全县统计数据公布未出现错误，得满分，否则不得分。</w:t>
            </w:r>
          </w:p>
        </w:tc>
        <w:tc>
          <w:tcPr>
            <w:tcW w:w="1560" w:type="dxa"/>
            <w:shd w:val="clear" w:color="auto" w:fill="auto"/>
            <w:vAlign w:val="center"/>
          </w:tcPr>
          <w:p w14:paraId="5319205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c>
          <w:tcPr>
            <w:tcW w:w="1042" w:type="dxa"/>
            <w:shd w:val="clear" w:color="auto" w:fill="auto"/>
            <w:vAlign w:val="center"/>
          </w:tcPr>
          <w:p w14:paraId="52FD19E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c>
          <w:tcPr>
            <w:tcW w:w="0" w:type="auto"/>
            <w:shd w:val="clear" w:color="auto" w:fill="auto"/>
            <w:vAlign w:val="center"/>
          </w:tcPr>
          <w:p w14:paraId="578B9EA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7.00 </w:t>
            </w:r>
          </w:p>
        </w:tc>
        <w:tc>
          <w:tcPr>
            <w:tcW w:w="0" w:type="auto"/>
            <w:shd w:val="clear" w:color="auto" w:fill="auto"/>
            <w:vAlign w:val="center"/>
          </w:tcPr>
          <w:p w14:paraId="7DD6ABB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7.00 </w:t>
            </w:r>
          </w:p>
        </w:tc>
        <w:tc>
          <w:tcPr>
            <w:tcW w:w="0" w:type="auto"/>
            <w:shd w:val="clear" w:color="auto" w:fill="auto"/>
            <w:vAlign w:val="center"/>
          </w:tcPr>
          <w:p w14:paraId="0FFCF6C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r>
      <w:tr w14:paraId="60E2F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0" w:type="auto"/>
            <w:vMerge w:val="continue"/>
            <w:shd w:val="clear" w:color="auto" w:fill="auto"/>
            <w:vAlign w:val="center"/>
          </w:tcPr>
          <w:p w14:paraId="7A54C1C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vMerge w:val="continue"/>
            <w:shd w:val="clear" w:color="auto" w:fill="auto"/>
            <w:vAlign w:val="center"/>
          </w:tcPr>
          <w:p w14:paraId="25AE5E7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shd w:val="clear" w:color="auto" w:fill="auto"/>
            <w:vAlign w:val="center"/>
          </w:tcPr>
          <w:p w14:paraId="144C172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C13统计上门服务完成率</w:t>
            </w:r>
          </w:p>
        </w:tc>
        <w:tc>
          <w:tcPr>
            <w:tcW w:w="0" w:type="auto"/>
            <w:shd w:val="clear" w:color="auto" w:fill="auto"/>
            <w:vAlign w:val="center"/>
          </w:tcPr>
          <w:p w14:paraId="008096D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考察统计上门服务完成率的完成情况</w:t>
            </w:r>
          </w:p>
        </w:tc>
        <w:tc>
          <w:tcPr>
            <w:tcW w:w="4233" w:type="dxa"/>
            <w:shd w:val="clear" w:color="auto" w:fill="auto"/>
            <w:vAlign w:val="center"/>
          </w:tcPr>
          <w:p w14:paraId="3FFBFF3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实际完成率=实际上门户数/标杆值×100%。</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实际完成率符合预期指标值得满分；预期指标未完成，且实际完成率大于60%的，按超过的比重赋分，计算公式为：得分=（实际完成率-60%）/（1-60%）×指标分值；完成率小于60%为不及格，不得分。</w:t>
            </w:r>
          </w:p>
        </w:tc>
        <w:tc>
          <w:tcPr>
            <w:tcW w:w="1560" w:type="dxa"/>
            <w:shd w:val="clear" w:color="auto" w:fill="auto"/>
            <w:vAlign w:val="center"/>
          </w:tcPr>
          <w:p w14:paraId="39FE7CF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c>
          <w:tcPr>
            <w:tcW w:w="1042" w:type="dxa"/>
            <w:shd w:val="clear" w:color="auto" w:fill="auto"/>
            <w:vAlign w:val="center"/>
          </w:tcPr>
          <w:p w14:paraId="5E20E96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c>
          <w:tcPr>
            <w:tcW w:w="0" w:type="auto"/>
            <w:shd w:val="clear" w:color="auto" w:fill="auto"/>
            <w:vAlign w:val="center"/>
          </w:tcPr>
          <w:p w14:paraId="41940B4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6.00 </w:t>
            </w:r>
          </w:p>
        </w:tc>
        <w:tc>
          <w:tcPr>
            <w:tcW w:w="0" w:type="auto"/>
            <w:shd w:val="clear" w:color="auto" w:fill="auto"/>
            <w:vAlign w:val="center"/>
          </w:tcPr>
          <w:p w14:paraId="0FFE78A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6.00 </w:t>
            </w:r>
          </w:p>
        </w:tc>
        <w:tc>
          <w:tcPr>
            <w:tcW w:w="0" w:type="auto"/>
            <w:shd w:val="clear" w:color="auto" w:fill="auto"/>
            <w:vAlign w:val="center"/>
          </w:tcPr>
          <w:p w14:paraId="2C7F691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r>
      <w:tr w14:paraId="69715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vMerge w:val="continue"/>
            <w:shd w:val="clear" w:color="auto" w:fill="auto"/>
            <w:vAlign w:val="center"/>
          </w:tcPr>
          <w:p w14:paraId="763C092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vMerge w:val="restart"/>
            <w:shd w:val="clear" w:color="auto" w:fill="auto"/>
            <w:vAlign w:val="center"/>
          </w:tcPr>
          <w:p w14:paraId="1E663BE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C2履职效能-全面做好经济普查</w:t>
            </w:r>
          </w:p>
        </w:tc>
        <w:tc>
          <w:tcPr>
            <w:tcW w:w="0" w:type="auto"/>
            <w:shd w:val="clear" w:color="auto" w:fill="auto"/>
            <w:vAlign w:val="center"/>
          </w:tcPr>
          <w:p w14:paraId="0139F97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C21第五次全国经济普查共登记一套表单位</w:t>
            </w:r>
          </w:p>
        </w:tc>
        <w:tc>
          <w:tcPr>
            <w:tcW w:w="0" w:type="auto"/>
            <w:shd w:val="clear" w:color="auto" w:fill="auto"/>
            <w:vAlign w:val="center"/>
          </w:tcPr>
          <w:p w14:paraId="71A326B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考察第五次全国经济普查共登记一套表单位的完成情况</w:t>
            </w:r>
          </w:p>
        </w:tc>
        <w:tc>
          <w:tcPr>
            <w:tcW w:w="4233" w:type="dxa"/>
            <w:shd w:val="clear" w:color="auto" w:fill="auto"/>
            <w:vAlign w:val="center"/>
          </w:tcPr>
          <w:p w14:paraId="7BFBF53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实际完成率=实际登记一套表单位完成值/标杆值×100%。</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实际完成率符合预期指标值得满分；预期指标未完成，且实际完成率大于60%的，按超过的比重赋分，计算公式为：得分=（实际完成率-60%）/（1-60%）×指标分值；完成率小于60%为不及格，不得分。</w:t>
            </w:r>
          </w:p>
        </w:tc>
        <w:tc>
          <w:tcPr>
            <w:tcW w:w="1560" w:type="dxa"/>
            <w:shd w:val="clear" w:color="auto" w:fill="auto"/>
            <w:vAlign w:val="center"/>
          </w:tcPr>
          <w:p w14:paraId="3E1673F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≥106家</w:t>
            </w:r>
          </w:p>
        </w:tc>
        <w:tc>
          <w:tcPr>
            <w:tcW w:w="1042" w:type="dxa"/>
            <w:shd w:val="clear" w:color="auto" w:fill="auto"/>
            <w:vAlign w:val="center"/>
          </w:tcPr>
          <w:p w14:paraId="72FC93C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136家</w:t>
            </w:r>
          </w:p>
        </w:tc>
        <w:tc>
          <w:tcPr>
            <w:tcW w:w="0" w:type="auto"/>
            <w:shd w:val="clear" w:color="auto" w:fill="auto"/>
            <w:vAlign w:val="center"/>
          </w:tcPr>
          <w:p w14:paraId="637CB2C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5.00 </w:t>
            </w:r>
          </w:p>
        </w:tc>
        <w:tc>
          <w:tcPr>
            <w:tcW w:w="0" w:type="auto"/>
            <w:shd w:val="clear" w:color="auto" w:fill="auto"/>
            <w:vAlign w:val="center"/>
          </w:tcPr>
          <w:p w14:paraId="0878FD4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5.00 </w:t>
            </w:r>
          </w:p>
        </w:tc>
        <w:tc>
          <w:tcPr>
            <w:tcW w:w="0" w:type="auto"/>
            <w:shd w:val="clear" w:color="auto" w:fill="auto"/>
            <w:vAlign w:val="center"/>
          </w:tcPr>
          <w:p w14:paraId="05B8092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r>
      <w:tr w14:paraId="468C0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vMerge w:val="continue"/>
            <w:shd w:val="clear" w:color="auto" w:fill="auto"/>
            <w:vAlign w:val="center"/>
          </w:tcPr>
          <w:p w14:paraId="2C80066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vMerge w:val="continue"/>
            <w:shd w:val="clear" w:color="auto" w:fill="auto"/>
            <w:vAlign w:val="center"/>
          </w:tcPr>
          <w:p w14:paraId="6BA7E084">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shd w:val="clear" w:color="auto" w:fill="auto"/>
            <w:vAlign w:val="center"/>
          </w:tcPr>
          <w:p w14:paraId="61C2E55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C22第五次全国经济普查上报率</w:t>
            </w:r>
          </w:p>
        </w:tc>
        <w:tc>
          <w:tcPr>
            <w:tcW w:w="0" w:type="auto"/>
            <w:shd w:val="clear" w:color="auto" w:fill="auto"/>
            <w:vAlign w:val="center"/>
          </w:tcPr>
          <w:p w14:paraId="5CD3680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考察第五次全国经济普查上报率的完成情况</w:t>
            </w:r>
          </w:p>
        </w:tc>
        <w:tc>
          <w:tcPr>
            <w:tcW w:w="4233" w:type="dxa"/>
            <w:shd w:val="clear" w:color="auto" w:fill="auto"/>
            <w:vAlign w:val="center"/>
          </w:tcPr>
          <w:p w14:paraId="5EB5065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实际第五次全国经济普按时完成上报得满分，否则不得分</w:t>
            </w:r>
          </w:p>
        </w:tc>
        <w:tc>
          <w:tcPr>
            <w:tcW w:w="1560" w:type="dxa"/>
            <w:shd w:val="clear" w:color="auto" w:fill="auto"/>
            <w:vAlign w:val="center"/>
          </w:tcPr>
          <w:p w14:paraId="577F431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c>
          <w:tcPr>
            <w:tcW w:w="1042" w:type="dxa"/>
            <w:shd w:val="clear" w:color="auto" w:fill="auto"/>
            <w:vAlign w:val="center"/>
          </w:tcPr>
          <w:p w14:paraId="4433DBB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c>
          <w:tcPr>
            <w:tcW w:w="0" w:type="auto"/>
            <w:shd w:val="clear" w:color="auto" w:fill="auto"/>
            <w:vAlign w:val="center"/>
          </w:tcPr>
          <w:p w14:paraId="6B7879B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5.00 </w:t>
            </w:r>
          </w:p>
        </w:tc>
        <w:tc>
          <w:tcPr>
            <w:tcW w:w="0" w:type="auto"/>
            <w:shd w:val="clear" w:color="auto" w:fill="auto"/>
            <w:vAlign w:val="center"/>
          </w:tcPr>
          <w:p w14:paraId="278C30C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5.00 </w:t>
            </w:r>
          </w:p>
        </w:tc>
        <w:tc>
          <w:tcPr>
            <w:tcW w:w="0" w:type="auto"/>
            <w:shd w:val="clear" w:color="auto" w:fill="auto"/>
            <w:vAlign w:val="center"/>
          </w:tcPr>
          <w:p w14:paraId="05059FD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r>
      <w:tr w14:paraId="61696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vMerge w:val="continue"/>
            <w:shd w:val="clear" w:color="auto" w:fill="auto"/>
            <w:vAlign w:val="center"/>
          </w:tcPr>
          <w:p w14:paraId="6838AFA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vMerge w:val="continue"/>
            <w:shd w:val="clear" w:color="auto" w:fill="auto"/>
            <w:vAlign w:val="center"/>
          </w:tcPr>
          <w:p w14:paraId="7FEF583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shd w:val="clear" w:color="auto" w:fill="auto"/>
            <w:vAlign w:val="center"/>
          </w:tcPr>
          <w:p w14:paraId="2E2B464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C23第五次经济普查工作完成及时性</w:t>
            </w:r>
          </w:p>
        </w:tc>
        <w:tc>
          <w:tcPr>
            <w:tcW w:w="0" w:type="auto"/>
            <w:shd w:val="clear" w:color="auto" w:fill="auto"/>
            <w:vAlign w:val="center"/>
          </w:tcPr>
          <w:p w14:paraId="154579D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考察第五次经济普查工作完成及时性的完成及时情况</w:t>
            </w:r>
          </w:p>
        </w:tc>
        <w:tc>
          <w:tcPr>
            <w:tcW w:w="4233" w:type="dxa"/>
            <w:shd w:val="clear" w:color="auto" w:fill="auto"/>
            <w:vAlign w:val="center"/>
          </w:tcPr>
          <w:p w14:paraId="1E879CD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实际完成率=实际完成值/标杆值×100%。</w:t>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实际完成率符合预期指标值得满分；预期指标未完成，且实际完成率大于60%的，按超过的比重赋分，计算公式为：得分=（实际完成率-60%）/（1-60%）×指标分值；完成率小于60%为不及格，不得分。</w:t>
            </w:r>
          </w:p>
        </w:tc>
        <w:tc>
          <w:tcPr>
            <w:tcW w:w="1560" w:type="dxa"/>
            <w:shd w:val="clear" w:color="auto" w:fill="auto"/>
            <w:vAlign w:val="center"/>
          </w:tcPr>
          <w:p w14:paraId="1ED7D2E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c>
          <w:tcPr>
            <w:tcW w:w="1042" w:type="dxa"/>
            <w:shd w:val="clear" w:color="auto" w:fill="auto"/>
            <w:vAlign w:val="center"/>
          </w:tcPr>
          <w:p w14:paraId="3FF8F5D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w:t>
            </w:r>
          </w:p>
        </w:tc>
        <w:tc>
          <w:tcPr>
            <w:tcW w:w="0" w:type="auto"/>
            <w:shd w:val="clear" w:color="auto" w:fill="auto"/>
            <w:vAlign w:val="center"/>
          </w:tcPr>
          <w:p w14:paraId="3ADC7CF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5.00 </w:t>
            </w:r>
          </w:p>
        </w:tc>
        <w:tc>
          <w:tcPr>
            <w:tcW w:w="0" w:type="auto"/>
            <w:shd w:val="clear" w:color="auto" w:fill="auto"/>
            <w:vAlign w:val="center"/>
          </w:tcPr>
          <w:p w14:paraId="29597F7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5.00 </w:t>
            </w:r>
          </w:p>
        </w:tc>
        <w:tc>
          <w:tcPr>
            <w:tcW w:w="0" w:type="auto"/>
            <w:shd w:val="clear" w:color="auto" w:fill="auto"/>
            <w:vAlign w:val="center"/>
          </w:tcPr>
          <w:p w14:paraId="4FB7B55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r>
      <w:tr w14:paraId="1940E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vMerge w:val="continue"/>
            <w:shd w:val="clear" w:color="auto" w:fill="auto"/>
            <w:vAlign w:val="center"/>
          </w:tcPr>
          <w:p w14:paraId="3AD19EF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vMerge w:val="continue"/>
            <w:shd w:val="clear" w:color="auto" w:fill="auto"/>
            <w:vAlign w:val="center"/>
          </w:tcPr>
          <w:p w14:paraId="6AD7FF8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shd w:val="clear" w:color="auto" w:fill="auto"/>
            <w:vAlign w:val="center"/>
          </w:tcPr>
          <w:p w14:paraId="5EB5C32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C24第五次经济普查数据填报综合差错率</w:t>
            </w:r>
          </w:p>
        </w:tc>
        <w:tc>
          <w:tcPr>
            <w:tcW w:w="0" w:type="auto"/>
            <w:shd w:val="clear" w:color="auto" w:fill="auto"/>
            <w:vAlign w:val="center"/>
          </w:tcPr>
          <w:p w14:paraId="6D92824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考察第五次经济普查数据填报综合差错率的完成情况</w:t>
            </w:r>
          </w:p>
        </w:tc>
        <w:tc>
          <w:tcPr>
            <w:tcW w:w="4233" w:type="dxa"/>
            <w:shd w:val="clear" w:color="auto" w:fill="auto"/>
            <w:vAlign w:val="center"/>
          </w:tcPr>
          <w:p w14:paraId="1A4CE7E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实际第五次经济普查数据填报综合差错率符合标准得满分，否则不得分。</w:t>
            </w:r>
          </w:p>
        </w:tc>
        <w:tc>
          <w:tcPr>
            <w:tcW w:w="1560" w:type="dxa"/>
            <w:shd w:val="clear" w:color="auto" w:fill="auto"/>
            <w:vAlign w:val="center"/>
          </w:tcPr>
          <w:p w14:paraId="67C116C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符合标准</w:t>
            </w:r>
          </w:p>
        </w:tc>
        <w:tc>
          <w:tcPr>
            <w:tcW w:w="1042" w:type="dxa"/>
            <w:shd w:val="clear" w:color="auto" w:fill="auto"/>
            <w:vAlign w:val="center"/>
          </w:tcPr>
          <w:p w14:paraId="5160C6C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符合标准</w:t>
            </w:r>
          </w:p>
        </w:tc>
        <w:tc>
          <w:tcPr>
            <w:tcW w:w="0" w:type="auto"/>
            <w:shd w:val="clear" w:color="auto" w:fill="auto"/>
            <w:vAlign w:val="center"/>
          </w:tcPr>
          <w:p w14:paraId="226F390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6.00 </w:t>
            </w:r>
          </w:p>
        </w:tc>
        <w:tc>
          <w:tcPr>
            <w:tcW w:w="0" w:type="auto"/>
            <w:shd w:val="clear" w:color="auto" w:fill="auto"/>
            <w:vAlign w:val="center"/>
          </w:tcPr>
          <w:p w14:paraId="43B31BE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6.00 </w:t>
            </w:r>
          </w:p>
        </w:tc>
        <w:tc>
          <w:tcPr>
            <w:tcW w:w="0" w:type="auto"/>
            <w:shd w:val="clear" w:color="auto" w:fill="auto"/>
            <w:vAlign w:val="center"/>
          </w:tcPr>
          <w:p w14:paraId="1709131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r>
      <w:tr w14:paraId="1CD0F7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vMerge w:val="continue"/>
            <w:shd w:val="clear" w:color="auto" w:fill="auto"/>
            <w:vAlign w:val="center"/>
          </w:tcPr>
          <w:p w14:paraId="628C764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vMerge w:val="restart"/>
            <w:shd w:val="clear" w:color="auto" w:fill="auto"/>
            <w:vAlign w:val="center"/>
          </w:tcPr>
          <w:p w14:paraId="296E30B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C3满意度</w:t>
            </w:r>
          </w:p>
        </w:tc>
        <w:tc>
          <w:tcPr>
            <w:tcW w:w="0" w:type="auto"/>
            <w:shd w:val="clear" w:color="auto" w:fill="auto"/>
            <w:vAlign w:val="center"/>
          </w:tcPr>
          <w:p w14:paraId="504209B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C31受益统计工作人员满意度</w:t>
            </w:r>
          </w:p>
        </w:tc>
        <w:tc>
          <w:tcPr>
            <w:tcW w:w="0" w:type="auto"/>
            <w:shd w:val="clear" w:color="auto" w:fill="auto"/>
            <w:vAlign w:val="center"/>
          </w:tcPr>
          <w:p w14:paraId="26903F6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考察社会公众或服务对象对部门履职工作、服务结果的满意程度。</w:t>
            </w:r>
          </w:p>
        </w:tc>
        <w:tc>
          <w:tcPr>
            <w:tcW w:w="4233" w:type="dxa"/>
            <w:shd w:val="clear" w:color="auto" w:fill="auto"/>
            <w:vAlign w:val="center"/>
          </w:tcPr>
          <w:p w14:paraId="41648F5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据满意度问卷统计情况计算完成比率，指标完成率=∑样本数（“很满意”×1.0+“满意”×0.8+“一 般”×0.6+“不满意”×0.3+“很不满意”×0）/总样本数×100.00%，根据访谈调研情况进行评分，得分大于等于90%，得满分；实际完成率大于60%且小于90%的，按超过的比重赋分，计算公式为：得分=（实际完成率-60%）/（90%-60%）×指标分值；完成率小于60%为不及格，不得分。</w:t>
            </w:r>
          </w:p>
        </w:tc>
        <w:tc>
          <w:tcPr>
            <w:tcW w:w="1560" w:type="dxa"/>
            <w:shd w:val="clear" w:color="auto" w:fill="auto"/>
            <w:vAlign w:val="center"/>
          </w:tcPr>
          <w:p w14:paraId="1C49452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≥90.00%</w:t>
            </w:r>
          </w:p>
        </w:tc>
        <w:tc>
          <w:tcPr>
            <w:tcW w:w="1042" w:type="dxa"/>
            <w:shd w:val="clear" w:color="auto" w:fill="auto"/>
            <w:vAlign w:val="center"/>
          </w:tcPr>
          <w:p w14:paraId="3D99543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73.33%</w:t>
            </w:r>
          </w:p>
        </w:tc>
        <w:tc>
          <w:tcPr>
            <w:tcW w:w="0" w:type="auto"/>
            <w:shd w:val="clear" w:color="auto" w:fill="auto"/>
            <w:vAlign w:val="center"/>
          </w:tcPr>
          <w:p w14:paraId="510EA7F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10.00 </w:t>
            </w:r>
          </w:p>
        </w:tc>
        <w:tc>
          <w:tcPr>
            <w:tcW w:w="0" w:type="auto"/>
            <w:shd w:val="clear" w:color="auto" w:fill="auto"/>
            <w:vAlign w:val="center"/>
          </w:tcPr>
          <w:p w14:paraId="6EB7595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4.17 </w:t>
            </w:r>
          </w:p>
        </w:tc>
        <w:tc>
          <w:tcPr>
            <w:tcW w:w="0" w:type="auto"/>
            <w:shd w:val="clear" w:color="auto" w:fill="auto"/>
            <w:vAlign w:val="center"/>
          </w:tcPr>
          <w:p w14:paraId="6A76FF0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41.68%</w:t>
            </w:r>
          </w:p>
        </w:tc>
      </w:tr>
      <w:tr w14:paraId="5F32D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vMerge w:val="continue"/>
            <w:shd w:val="clear" w:color="auto" w:fill="auto"/>
            <w:vAlign w:val="center"/>
          </w:tcPr>
          <w:p w14:paraId="744A5A4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vMerge w:val="continue"/>
            <w:shd w:val="clear" w:color="auto" w:fill="auto"/>
            <w:vAlign w:val="center"/>
          </w:tcPr>
          <w:p w14:paraId="489E9AE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eastAsia" w:ascii="宋体" w:hAnsi="宋体" w:eastAsia="宋体" w:cs="宋体"/>
                <w:i w:val="0"/>
                <w:iCs w:val="0"/>
                <w:color w:val="000000" w:themeColor="text1"/>
                <w:sz w:val="18"/>
                <w:szCs w:val="18"/>
                <w:u w:val="none"/>
                <w14:textFill>
                  <w14:solidFill>
                    <w14:schemeClr w14:val="tx1"/>
                  </w14:solidFill>
                </w14:textFill>
              </w:rPr>
            </w:pPr>
          </w:p>
        </w:tc>
        <w:tc>
          <w:tcPr>
            <w:tcW w:w="0" w:type="auto"/>
            <w:shd w:val="clear" w:color="auto" w:fill="auto"/>
            <w:vAlign w:val="center"/>
          </w:tcPr>
          <w:p w14:paraId="3BC740F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C32受益纳统企业满意度</w:t>
            </w:r>
          </w:p>
        </w:tc>
        <w:tc>
          <w:tcPr>
            <w:tcW w:w="0" w:type="auto"/>
            <w:shd w:val="clear" w:color="auto" w:fill="auto"/>
            <w:vAlign w:val="center"/>
          </w:tcPr>
          <w:p w14:paraId="388A486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考察社会公众或服务对象对部门履职工作、服务结果的满意程度。</w:t>
            </w:r>
          </w:p>
        </w:tc>
        <w:tc>
          <w:tcPr>
            <w:tcW w:w="4233" w:type="dxa"/>
            <w:shd w:val="clear" w:color="auto" w:fill="auto"/>
            <w:vAlign w:val="center"/>
          </w:tcPr>
          <w:p w14:paraId="3CD12C6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据满意度问卷统计情况计算完成比率，指标完成率=∑样本数（“很满意”×1.0+“满意”×0.8+“一 般”×0.6+“不满意”×0.3+“很不满意”×0）/总样本数×100.00%，根据访谈调研情况进行评分，得分大于等于90%，得满分；实际完成率大于60%且小于90%的，按超过的比重赋分，计算公式为：得分=（实际完成率-60%）/（90%-60%）×指标分值；完成率小于60%为不及格，不得分。</w:t>
            </w:r>
          </w:p>
        </w:tc>
        <w:tc>
          <w:tcPr>
            <w:tcW w:w="1560" w:type="dxa"/>
            <w:shd w:val="clear" w:color="auto" w:fill="auto"/>
            <w:vAlign w:val="center"/>
          </w:tcPr>
          <w:p w14:paraId="7063760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≥90.00%</w:t>
            </w:r>
          </w:p>
        </w:tc>
        <w:tc>
          <w:tcPr>
            <w:tcW w:w="1042" w:type="dxa"/>
            <w:shd w:val="clear" w:color="auto" w:fill="auto"/>
            <w:vAlign w:val="center"/>
          </w:tcPr>
          <w:p w14:paraId="5C948B5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92.96%</w:t>
            </w:r>
          </w:p>
        </w:tc>
        <w:tc>
          <w:tcPr>
            <w:tcW w:w="0" w:type="auto"/>
            <w:shd w:val="clear" w:color="auto" w:fill="auto"/>
            <w:vAlign w:val="center"/>
          </w:tcPr>
          <w:p w14:paraId="0BF508D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10.00 </w:t>
            </w:r>
          </w:p>
        </w:tc>
        <w:tc>
          <w:tcPr>
            <w:tcW w:w="0" w:type="auto"/>
            <w:shd w:val="clear" w:color="auto" w:fill="auto"/>
            <w:vAlign w:val="center"/>
          </w:tcPr>
          <w:p w14:paraId="0759014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 xml:space="preserve">10.00 </w:t>
            </w:r>
          </w:p>
        </w:tc>
        <w:tc>
          <w:tcPr>
            <w:tcW w:w="0" w:type="auto"/>
            <w:shd w:val="clear" w:color="auto" w:fill="auto"/>
            <w:vAlign w:val="center"/>
          </w:tcPr>
          <w:p w14:paraId="390CBA4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themeColor="text1"/>
                <w:sz w:val="18"/>
                <w:szCs w:val="18"/>
                <w:u w:val="none"/>
                <w14:textFill>
                  <w14:solidFill>
                    <w14:schemeClr w14:val="tx1"/>
                  </w14:solidFill>
                </w14:textFill>
              </w:rPr>
            </w:pPr>
            <w:r>
              <w:rPr>
                <w:rFonts w:hint="eastAsia" w:ascii="宋体" w:hAnsi="宋体" w:eastAsia="宋体" w:cs="宋体"/>
                <w:i w:val="0"/>
                <w:iCs w:val="0"/>
                <w:color w:val="000000" w:themeColor="text1"/>
                <w:kern w:val="0"/>
                <w:sz w:val="18"/>
                <w:szCs w:val="18"/>
                <w:u w:val="none"/>
                <w:lang w:val="en-US" w:eastAsia="zh-CN" w:bidi="ar"/>
                <w14:textFill>
                  <w14:solidFill>
                    <w14:schemeClr w14:val="tx1"/>
                  </w14:solidFill>
                </w14:textFill>
              </w:rPr>
              <w:t>100.00%</w:t>
            </w:r>
          </w:p>
        </w:tc>
      </w:tr>
      <w:tr w14:paraId="78030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gridSpan w:val="7"/>
            <w:shd w:val="clear" w:color="auto" w:fill="auto"/>
            <w:vAlign w:val="center"/>
          </w:tcPr>
          <w:p w14:paraId="1B10F1F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小计</w:t>
            </w:r>
          </w:p>
        </w:tc>
        <w:tc>
          <w:tcPr>
            <w:tcW w:w="0" w:type="auto"/>
            <w:shd w:val="clear" w:color="auto" w:fill="auto"/>
            <w:vAlign w:val="center"/>
          </w:tcPr>
          <w:p w14:paraId="7174CFC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 xml:space="preserve">60.00 </w:t>
            </w:r>
          </w:p>
        </w:tc>
        <w:tc>
          <w:tcPr>
            <w:tcW w:w="0" w:type="auto"/>
            <w:shd w:val="clear" w:color="auto" w:fill="auto"/>
            <w:vAlign w:val="center"/>
          </w:tcPr>
          <w:p w14:paraId="3D77D0B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 xml:space="preserve">54.17 </w:t>
            </w:r>
          </w:p>
        </w:tc>
        <w:tc>
          <w:tcPr>
            <w:tcW w:w="0" w:type="auto"/>
            <w:shd w:val="clear" w:color="auto" w:fill="auto"/>
            <w:vAlign w:val="center"/>
          </w:tcPr>
          <w:p w14:paraId="6A595CD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90.28%</w:t>
            </w:r>
          </w:p>
        </w:tc>
      </w:tr>
      <w:tr w14:paraId="7E99C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0" w:type="auto"/>
            <w:gridSpan w:val="7"/>
            <w:shd w:val="clear" w:color="auto" w:fill="auto"/>
            <w:vAlign w:val="center"/>
          </w:tcPr>
          <w:p w14:paraId="1F78819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合计</w:t>
            </w:r>
          </w:p>
        </w:tc>
        <w:tc>
          <w:tcPr>
            <w:tcW w:w="0" w:type="auto"/>
            <w:shd w:val="clear" w:color="auto" w:fill="auto"/>
            <w:vAlign w:val="center"/>
          </w:tcPr>
          <w:p w14:paraId="0B7E46C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 xml:space="preserve">100.00 </w:t>
            </w:r>
          </w:p>
        </w:tc>
        <w:tc>
          <w:tcPr>
            <w:tcW w:w="0" w:type="auto"/>
            <w:shd w:val="clear" w:color="auto" w:fill="auto"/>
            <w:vAlign w:val="center"/>
          </w:tcPr>
          <w:p w14:paraId="1576490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 xml:space="preserve">91.17 </w:t>
            </w:r>
          </w:p>
        </w:tc>
        <w:tc>
          <w:tcPr>
            <w:tcW w:w="0" w:type="auto"/>
            <w:shd w:val="clear" w:color="auto" w:fill="auto"/>
            <w:vAlign w:val="center"/>
          </w:tcPr>
          <w:p w14:paraId="28DD17C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b/>
                <w:bCs/>
                <w:i w:val="0"/>
                <w:iCs w:val="0"/>
                <w:color w:val="000000" w:themeColor="text1"/>
                <w:sz w:val="18"/>
                <w:szCs w:val="18"/>
                <w:u w:val="none"/>
                <w14:textFill>
                  <w14:solidFill>
                    <w14:schemeClr w14:val="tx1"/>
                  </w14:solidFill>
                </w14:textFill>
              </w:rPr>
            </w:pPr>
            <w:r>
              <w:rPr>
                <w:rFonts w:hint="eastAsia" w:ascii="宋体" w:hAnsi="宋体" w:eastAsia="宋体" w:cs="宋体"/>
                <w:b/>
                <w:bCs/>
                <w:i w:val="0"/>
                <w:iCs w:val="0"/>
                <w:color w:val="000000" w:themeColor="text1"/>
                <w:kern w:val="0"/>
                <w:sz w:val="18"/>
                <w:szCs w:val="18"/>
                <w:u w:val="none"/>
                <w:lang w:val="en-US" w:eastAsia="zh-CN" w:bidi="ar"/>
                <w14:textFill>
                  <w14:solidFill>
                    <w14:schemeClr w14:val="tx1"/>
                  </w14:solidFill>
                </w14:textFill>
              </w:rPr>
              <w:t>91.17%</w:t>
            </w:r>
          </w:p>
        </w:tc>
      </w:tr>
    </w:tbl>
    <w:p w14:paraId="272D3E3B">
      <w:pPr>
        <w:ind w:firstLine="506"/>
        <w:jc w:val="center"/>
        <w:rPr>
          <w:b/>
          <w:color w:val="000000" w:themeColor="text1"/>
          <w:spacing w:val="6"/>
          <w:sz w:val="24"/>
          <w:szCs w:val="24"/>
          <w14:textFill>
            <w14:solidFill>
              <w14:schemeClr w14:val="tx1"/>
            </w14:solidFill>
          </w14:textFill>
        </w:rPr>
      </w:pPr>
    </w:p>
    <w:p w14:paraId="119BDBE1">
      <w:pPr>
        <w:widowControl/>
        <w:adjustRightInd/>
        <w:snapToGrid/>
        <w:spacing w:line="240" w:lineRule="auto"/>
        <w:ind w:firstLine="0" w:firstLineChars="0"/>
        <w:jc w:val="left"/>
        <w:rPr>
          <w:bCs/>
          <w:color w:val="000000" w:themeColor="text1"/>
          <w14:textFill>
            <w14:solidFill>
              <w14:schemeClr w14:val="tx1"/>
            </w14:solidFill>
          </w14:textFill>
        </w:rPr>
        <w:sectPr>
          <w:pgSz w:w="16838" w:h="11906" w:orient="landscape"/>
          <w:pgMar w:top="1800" w:right="1440" w:bottom="1800" w:left="1440" w:header="851" w:footer="907" w:gutter="0"/>
          <w:pgNumType w:fmt="decimal"/>
          <w:cols w:space="720" w:num="1"/>
          <w:docGrid w:type="lines" w:linePitch="312" w:charSpace="0"/>
        </w:sectPr>
      </w:pPr>
    </w:p>
    <w:p w14:paraId="049E5016">
      <w:pPr>
        <w:keepNext/>
        <w:keepLines/>
        <w:ind w:firstLine="0" w:firstLineChars="0"/>
        <w:outlineLvl w:val="0"/>
        <w:rPr>
          <w:b/>
          <w:bCs/>
          <w:color w:val="000000" w:themeColor="text1"/>
          <w:kern w:val="44"/>
          <w:sz w:val="24"/>
          <w:szCs w:val="24"/>
          <w14:textFill>
            <w14:solidFill>
              <w14:schemeClr w14:val="tx1"/>
            </w14:solidFill>
          </w14:textFill>
        </w:rPr>
      </w:pPr>
      <w:bookmarkStart w:id="87" w:name="_Toc29915"/>
      <w:r>
        <w:rPr>
          <w:b/>
          <w:bCs/>
          <w:color w:val="000000" w:themeColor="text1"/>
          <w:kern w:val="44"/>
          <w:sz w:val="24"/>
          <w:szCs w:val="24"/>
          <w14:textFill>
            <w14:solidFill>
              <w14:schemeClr w14:val="tx1"/>
            </w14:solidFill>
          </w14:textFill>
        </w:rPr>
        <w:t>附件2：问卷调查分析报告</w:t>
      </w:r>
    </w:p>
    <w:p w14:paraId="02076423">
      <w:pPr>
        <w:keepNext/>
        <w:keepLines/>
        <w:ind w:firstLine="442" w:firstLineChars="200"/>
        <w:outlineLvl w:val="1"/>
        <w:rPr>
          <w:rFonts w:hint="default" w:eastAsia="宋体"/>
          <w:b/>
          <w:bCs/>
          <w:color w:val="000000" w:themeColor="text1"/>
          <w:kern w:val="44"/>
          <w:sz w:val="22"/>
          <w:szCs w:val="22"/>
          <w:lang w:val="en-US" w:eastAsia="zh-CN"/>
          <w14:textFill>
            <w14:solidFill>
              <w14:schemeClr w14:val="tx1"/>
            </w14:solidFill>
          </w14:textFill>
        </w:rPr>
      </w:pPr>
      <w:r>
        <w:rPr>
          <w:rFonts w:hint="eastAsia"/>
          <w:b/>
          <w:bCs/>
          <w:color w:val="000000" w:themeColor="text1"/>
          <w:kern w:val="44"/>
          <w:sz w:val="22"/>
          <w:szCs w:val="22"/>
          <w:lang w:val="en-US" w:eastAsia="zh-CN"/>
          <w14:textFill>
            <w14:solidFill>
              <w14:schemeClr w14:val="tx1"/>
            </w14:solidFill>
          </w14:textFill>
        </w:rPr>
        <w:t>（一）统计工作人员</w:t>
      </w:r>
      <w:bookmarkEnd w:id="87"/>
      <w:r>
        <w:rPr>
          <w:rFonts w:hint="eastAsia"/>
          <w:b/>
          <w:bCs/>
          <w:color w:val="000000" w:themeColor="text1"/>
          <w:kern w:val="44"/>
          <w:sz w:val="22"/>
          <w:szCs w:val="22"/>
          <w:lang w:val="en-US" w:eastAsia="zh-CN"/>
          <w14:textFill>
            <w14:solidFill>
              <w14:schemeClr w14:val="tx1"/>
            </w14:solidFill>
          </w14:textFill>
        </w:rPr>
        <w:t>的满意度分析报告</w:t>
      </w:r>
    </w:p>
    <w:p w14:paraId="4B4268A9">
      <w:pPr>
        <w:ind w:firstLine="420"/>
        <w:rPr>
          <w:color w:val="000000" w:themeColor="text1"/>
          <w14:textFill>
            <w14:solidFill>
              <w14:schemeClr w14:val="tx1"/>
            </w14:solidFill>
          </w14:textFill>
        </w:rPr>
      </w:pPr>
      <w:r>
        <w:rPr>
          <w:color w:val="000000" w:themeColor="text1"/>
          <w14:textFill>
            <w14:solidFill>
              <w14:schemeClr w14:val="tx1"/>
            </w14:solidFill>
          </w14:textFill>
        </w:rPr>
        <w:t>本次绩效评价的对象为吉木萨尔县</w:t>
      </w:r>
      <w:r>
        <w:rPr>
          <w:rFonts w:hint="eastAsia"/>
          <w:color w:val="000000" w:themeColor="text1"/>
          <w:lang w:eastAsia="zh-CN"/>
          <w14:textFill>
            <w14:solidFill>
              <w14:schemeClr w14:val="tx1"/>
            </w14:solidFill>
          </w14:textFill>
        </w:rPr>
        <w:t>统计局</w:t>
      </w:r>
      <w:r>
        <w:rPr>
          <w:color w:val="000000" w:themeColor="text1"/>
          <w14:textFill>
            <w14:solidFill>
              <w14:schemeClr w14:val="tx1"/>
            </w14:solidFill>
          </w14:textFill>
        </w:rPr>
        <w:t>部门整体，为客观评价该部门整体的社会效果，绩效评价小组依据公共支出绩效评价“为顾客服务”原理，引入“群众满意度”等效益指标，了解群众对吉木萨尔县</w:t>
      </w:r>
      <w:r>
        <w:rPr>
          <w:rFonts w:hint="eastAsia"/>
          <w:color w:val="000000" w:themeColor="text1"/>
          <w:lang w:eastAsia="zh-CN"/>
          <w14:textFill>
            <w14:solidFill>
              <w14:schemeClr w14:val="tx1"/>
            </w14:solidFill>
          </w14:textFill>
        </w:rPr>
        <w:t>统计局</w:t>
      </w:r>
      <w:r>
        <w:rPr>
          <w:color w:val="000000" w:themeColor="text1"/>
          <w14:textFill>
            <w14:solidFill>
              <w14:schemeClr w14:val="tx1"/>
            </w14:solidFill>
          </w14:textFill>
        </w:rPr>
        <w:t>的评价情况，对该项目开展满意度问卷调查。问卷调查工作情况如下：</w:t>
      </w:r>
    </w:p>
    <w:p w14:paraId="79C90BD0">
      <w:pPr>
        <w:ind w:firstLine="422"/>
        <w:rPr>
          <w:b/>
          <w:bCs/>
          <w:color w:val="000000" w:themeColor="text1"/>
          <w14:textFill>
            <w14:solidFill>
              <w14:schemeClr w14:val="tx1"/>
            </w14:solidFill>
          </w14:textFill>
        </w:rPr>
      </w:pPr>
      <w:r>
        <w:rPr>
          <w:b/>
          <w:bCs/>
          <w:color w:val="000000" w:themeColor="text1"/>
          <w14:textFill>
            <w14:solidFill>
              <w14:schemeClr w14:val="tx1"/>
            </w14:solidFill>
          </w14:textFill>
        </w:rPr>
        <w:t>1.调查对象</w:t>
      </w:r>
    </w:p>
    <w:p w14:paraId="7EE9AE4B">
      <w:pPr>
        <w:ind w:firstLine="420"/>
        <w:rPr>
          <w:color w:val="000000" w:themeColor="text1"/>
          <w14:textFill>
            <w14:solidFill>
              <w14:schemeClr w14:val="tx1"/>
            </w14:solidFill>
          </w14:textFill>
        </w:rPr>
      </w:pPr>
      <w:r>
        <w:rPr>
          <w:color w:val="000000" w:themeColor="text1"/>
          <w14:textFill>
            <w14:solidFill>
              <w14:schemeClr w14:val="tx1"/>
            </w14:solidFill>
          </w14:textFill>
        </w:rPr>
        <w:t>结合吉木萨尔县</w:t>
      </w:r>
      <w:r>
        <w:rPr>
          <w:rFonts w:hint="eastAsia"/>
          <w:color w:val="000000" w:themeColor="text1"/>
          <w:lang w:eastAsia="zh-CN"/>
          <w14:textFill>
            <w14:solidFill>
              <w14:schemeClr w14:val="tx1"/>
            </w14:solidFill>
          </w14:textFill>
        </w:rPr>
        <w:t>统计局2024</w:t>
      </w:r>
      <w:r>
        <w:rPr>
          <w:color w:val="000000" w:themeColor="text1"/>
          <w14:textFill>
            <w14:solidFill>
              <w14:schemeClr w14:val="tx1"/>
            </w14:solidFill>
          </w14:textFill>
        </w:rPr>
        <w:t>年部门整体工作绩效实施情况及实际问卷调查可操作性，本次满意度问卷旨在考察</w:t>
      </w:r>
      <w:r>
        <w:rPr>
          <w:rFonts w:hint="eastAsia"/>
          <w:color w:val="000000" w:themeColor="text1"/>
          <w:lang w:val="en-US" w:eastAsia="zh-CN"/>
          <w14:textFill>
            <w14:solidFill>
              <w14:schemeClr w14:val="tx1"/>
            </w14:solidFill>
          </w14:textFill>
        </w:rPr>
        <w:t>统计工作人员</w:t>
      </w:r>
      <w:r>
        <w:rPr>
          <w:color w:val="000000" w:themeColor="text1"/>
          <w14:textFill>
            <w14:solidFill>
              <w14:schemeClr w14:val="tx1"/>
            </w14:solidFill>
          </w14:textFill>
        </w:rPr>
        <w:t>对吉木萨尔县</w:t>
      </w:r>
      <w:r>
        <w:rPr>
          <w:rFonts w:hint="eastAsia"/>
          <w:color w:val="000000" w:themeColor="text1"/>
          <w:lang w:eastAsia="zh-CN"/>
          <w14:textFill>
            <w14:solidFill>
              <w14:schemeClr w14:val="tx1"/>
            </w14:solidFill>
          </w14:textFill>
        </w:rPr>
        <w:t>统计局</w:t>
      </w:r>
      <w:r>
        <w:rPr>
          <w:color w:val="000000" w:themeColor="text1"/>
          <w14:textFill>
            <w14:solidFill>
              <w14:schemeClr w14:val="tx1"/>
            </w14:solidFill>
          </w14:textFill>
        </w:rPr>
        <w:t>在</w:t>
      </w:r>
      <w:r>
        <w:rPr>
          <w:rFonts w:hint="eastAsia"/>
          <w:color w:val="000000" w:themeColor="text1"/>
          <w:lang w:val="en-US" w:eastAsia="zh-CN"/>
          <w14:textFill>
            <w14:solidFill>
              <w14:schemeClr w14:val="tx1"/>
            </w14:solidFill>
          </w14:textFill>
        </w:rPr>
        <w:t>第五次全国经济普查</w:t>
      </w:r>
      <w:r>
        <w:rPr>
          <w:color w:val="000000" w:themeColor="text1"/>
          <w14:textFill>
            <w14:solidFill>
              <w14:schemeClr w14:val="tx1"/>
            </w14:solidFill>
          </w14:textFill>
        </w:rPr>
        <w:t>中所体现的规范化、标准化等方面的满意度情况。因此，本次满意度调查的对象为</w:t>
      </w:r>
      <w:r>
        <w:rPr>
          <w:rFonts w:hint="eastAsia"/>
          <w:color w:val="000000" w:themeColor="text1"/>
          <w:lang w:val="en-US" w:eastAsia="zh-CN"/>
          <w14:textFill>
            <w14:solidFill>
              <w14:schemeClr w14:val="tx1"/>
            </w14:solidFill>
          </w14:textFill>
        </w:rPr>
        <w:t>统计工作人员</w:t>
      </w:r>
      <w:r>
        <w:rPr>
          <w:color w:val="000000" w:themeColor="text1"/>
          <w14:textFill>
            <w14:solidFill>
              <w14:schemeClr w14:val="tx1"/>
            </w14:solidFill>
          </w14:textFill>
        </w:rPr>
        <w:t>。</w:t>
      </w:r>
    </w:p>
    <w:p w14:paraId="16074985">
      <w:pPr>
        <w:ind w:firstLine="422"/>
        <w:rPr>
          <w:b/>
          <w:bCs/>
          <w:color w:val="000000" w:themeColor="text1"/>
          <w14:textFill>
            <w14:solidFill>
              <w14:schemeClr w14:val="tx1"/>
            </w14:solidFill>
          </w14:textFill>
        </w:rPr>
      </w:pPr>
      <w:bookmarkStart w:id="88" w:name="_Toc529373555"/>
      <w:bookmarkStart w:id="89" w:name="_Toc529373322"/>
      <w:r>
        <w:rPr>
          <w:b/>
          <w:bCs/>
          <w:color w:val="000000" w:themeColor="text1"/>
          <w14:textFill>
            <w14:solidFill>
              <w14:schemeClr w14:val="tx1"/>
            </w14:solidFill>
          </w14:textFill>
        </w:rPr>
        <w:t>2.调查内容</w:t>
      </w:r>
      <w:bookmarkEnd w:id="88"/>
      <w:bookmarkEnd w:id="89"/>
    </w:p>
    <w:p w14:paraId="507AA9CA">
      <w:pPr>
        <w:ind w:firstLine="420"/>
        <w:rPr>
          <w:color w:val="000000" w:themeColor="text1"/>
          <w14:textFill>
            <w14:solidFill>
              <w14:schemeClr w14:val="tx1"/>
            </w14:solidFill>
          </w14:textFill>
        </w:rPr>
      </w:pPr>
      <w:bookmarkStart w:id="90" w:name="_Toc529373556"/>
      <w:bookmarkStart w:id="91" w:name="_Toc529373323"/>
      <w:r>
        <w:rPr>
          <w:color w:val="000000" w:themeColor="text1"/>
          <w14:textFill>
            <w14:solidFill>
              <w14:schemeClr w14:val="tx1"/>
            </w14:solidFill>
          </w14:textFill>
        </w:rPr>
        <w:t>（1）对吉木萨尔县</w:t>
      </w:r>
      <w:r>
        <w:rPr>
          <w:rFonts w:hint="eastAsia"/>
          <w:color w:val="000000" w:themeColor="text1"/>
          <w:lang w:eastAsia="zh-CN"/>
          <w14:textFill>
            <w14:solidFill>
              <w14:schemeClr w14:val="tx1"/>
            </w14:solidFill>
          </w14:textFill>
        </w:rPr>
        <w:t>统计局2024</w:t>
      </w:r>
      <w:r>
        <w:rPr>
          <w:color w:val="000000" w:themeColor="text1"/>
          <w14:textFill>
            <w14:solidFill>
              <w14:schemeClr w14:val="tx1"/>
            </w14:solidFill>
          </w14:textFill>
        </w:rPr>
        <w:t>年部门整体工作绩效实施情况的满意度，包括对吉木萨尔县</w:t>
      </w:r>
      <w:r>
        <w:rPr>
          <w:rFonts w:hint="eastAsia"/>
          <w:color w:val="000000" w:themeColor="text1"/>
          <w:lang w:eastAsia="zh-CN"/>
          <w14:textFill>
            <w14:solidFill>
              <w14:schemeClr w14:val="tx1"/>
            </w14:solidFill>
          </w14:textFill>
        </w:rPr>
        <w:t>统计局</w:t>
      </w:r>
      <w:r>
        <w:rPr>
          <w:color w:val="000000" w:themeColor="text1"/>
          <w14:textFill>
            <w14:solidFill>
              <w14:schemeClr w14:val="tx1"/>
            </w14:solidFill>
          </w14:textFill>
        </w:rPr>
        <w:t>的工作情况是否满意或较不满意等。</w:t>
      </w:r>
    </w:p>
    <w:p w14:paraId="4B8B7772">
      <w:pPr>
        <w:ind w:firstLine="420"/>
        <w:rPr>
          <w:color w:val="000000" w:themeColor="text1"/>
          <w14:textFill>
            <w14:solidFill>
              <w14:schemeClr w14:val="tx1"/>
            </w14:solidFill>
          </w14:textFill>
        </w:rPr>
      </w:pPr>
      <w:r>
        <w:rPr>
          <w:color w:val="000000" w:themeColor="text1"/>
          <w14:textFill>
            <w14:solidFill>
              <w14:schemeClr w14:val="tx1"/>
            </w14:solidFill>
          </w14:textFill>
        </w:rPr>
        <w:t>（2）对吉木萨尔县</w:t>
      </w:r>
      <w:r>
        <w:rPr>
          <w:rFonts w:hint="eastAsia"/>
          <w:color w:val="000000" w:themeColor="text1"/>
          <w:lang w:eastAsia="zh-CN"/>
          <w14:textFill>
            <w14:solidFill>
              <w14:schemeClr w14:val="tx1"/>
            </w14:solidFill>
          </w14:textFill>
        </w:rPr>
        <w:t>统计局2024</w:t>
      </w:r>
      <w:r>
        <w:rPr>
          <w:color w:val="000000" w:themeColor="text1"/>
          <w14:textFill>
            <w14:solidFill>
              <w14:schemeClr w14:val="tx1"/>
            </w14:solidFill>
          </w14:textFill>
        </w:rPr>
        <w:t>年部门整体工作绩效实施情况的意见和建议，通过开放式问答收集，涵盖各个方面。</w:t>
      </w:r>
    </w:p>
    <w:p w14:paraId="0BECE5C3">
      <w:pPr>
        <w:ind w:firstLine="422"/>
        <w:rPr>
          <w:b/>
          <w:bCs/>
          <w:color w:val="000000" w:themeColor="text1"/>
          <w14:textFill>
            <w14:solidFill>
              <w14:schemeClr w14:val="tx1"/>
            </w14:solidFill>
          </w14:textFill>
        </w:rPr>
      </w:pPr>
      <w:r>
        <w:rPr>
          <w:b/>
          <w:bCs/>
          <w:color w:val="000000" w:themeColor="text1"/>
          <w14:textFill>
            <w14:solidFill>
              <w14:schemeClr w14:val="tx1"/>
            </w14:solidFill>
          </w14:textFill>
        </w:rPr>
        <w:t>3.</w:t>
      </w:r>
      <w:bookmarkEnd w:id="90"/>
      <w:bookmarkEnd w:id="91"/>
      <w:r>
        <w:rPr>
          <w:b/>
          <w:bCs/>
          <w:color w:val="000000" w:themeColor="text1"/>
          <w14:textFill>
            <w14:solidFill>
              <w14:schemeClr w14:val="tx1"/>
            </w14:solidFill>
          </w14:textFill>
        </w:rPr>
        <w:t>抽样方式</w:t>
      </w:r>
    </w:p>
    <w:p w14:paraId="6C7271FC">
      <w:pPr>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本次调研问卷调查采取随机抽样进行</w:t>
      </w:r>
      <w:r>
        <w:rPr>
          <w:color w:val="000000" w:themeColor="text1"/>
          <w14:textFill>
            <w14:solidFill>
              <w14:schemeClr w14:val="tx1"/>
            </w14:solidFill>
          </w14:textFill>
        </w:rPr>
        <w:t>对</w:t>
      </w:r>
      <w:r>
        <w:rPr>
          <w:rFonts w:hint="eastAsia"/>
          <w:color w:val="000000" w:themeColor="text1"/>
          <w14:textFill>
            <w14:solidFill>
              <w14:schemeClr w14:val="tx1"/>
            </w14:solidFill>
          </w14:textFill>
        </w:rPr>
        <w:t>吉木萨尔县统计工作人员</w:t>
      </w:r>
      <w:r>
        <w:rPr>
          <w:rFonts w:hint="eastAsia"/>
          <w:color w:val="000000" w:themeColor="text1"/>
          <w:lang w:eastAsia="zh-CN"/>
          <w14:textFill>
            <w14:solidFill>
              <w14:schemeClr w14:val="tx1"/>
            </w14:solidFill>
          </w14:textFill>
        </w:rPr>
        <w:t>（</w:t>
      </w:r>
      <w:r>
        <w:rPr>
          <w:rFonts w:hint="eastAsia"/>
          <w:color w:val="000000" w:themeColor="text1"/>
          <w:lang w:val="en-US" w:eastAsia="zh-CN"/>
          <w14:textFill>
            <w14:solidFill>
              <w14:schemeClr w14:val="tx1"/>
            </w14:solidFill>
          </w14:textFill>
        </w:rPr>
        <w:t>含各个乡镇统计工作人员</w:t>
      </w:r>
      <w:r>
        <w:rPr>
          <w:rFonts w:hint="eastAsia"/>
          <w:color w:val="000000" w:themeColor="text1"/>
          <w:lang w:eastAsia="zh-CN"/>
          <w14:textFill>
            <w14:solidFill>
              <w14:schemeClr w14:val="tx1"/>
            </w14:solidFill>
          </w14:textFill>
        </w:rPr>
        <w:t>）</w:t>
      </w:r>
      <w:r>
        <w:rPr>
          <w:color w:val="000000" w:themeColor="text1"/>
          <w14:textFill>
            <w14:solidFill>
              <w14:schemeClr w14:val="tx1"/>
            </w14:solidFill>
          </w14:textFill>
        </w:rPr>
        <w:t>随机发放问卷</w:t>
      </w:r>
      <w:r>
        <w:rPr>
          <w:rFonts w:hint="eastAsia"/>
          <w:color w:val="000000" w:themeColor="text1"/>
          <w:lang w:val="en-US" w:eastAsia="zh-CN"/>
          <w14:textFill>
            <w14:solidFill>
              <w14:schemeClr w14:val="tx1"/>
            </w14:solidFill>
          </w14:textFill>
        </w:rPr>
        <w:t>32</w:t>
      </w:r>
      <w:r>
        <w:rPr>
          <w:color w:val="000000" w:themeColor="text1"/>
          <w14:textFill>
            <w14:solidFill>
              <w14:schemeClr w14:val="tx1"/>
            </w14:solidFill>
          </w14:textFill>
        </w:rPr>
        <w:t>份。</w:t>
      </w:r>
    </w:p>
    <w:p w14:paraId="78580E38">
      <w:pPr>
        <w:ind w:firstLine="422"/>
        <w:rPr>
          <w:b/>
          <w:bCs/>
          <w:color w:val="000000" w:themeColor="text1"/>
          <w14:textFill>
            <w14:solidFill>
              <w14:schemeClr w14:val="tx1"/>
            </w14:solidFill>
          </w14:textFill>
        </w:rPr>
      </w:pPr>
      <w:bookmarkStart w:id="92" w:name="_Toc529373558"/>
      <w:bookmarkStart w:id="93" w:name="_Toc529373325"/>
      <w:r>
        <w:rPr>
          <w:b/>
          <w:bCs/>
          <w:color w:val="000000" w:themeColor="text1"/>
          <w14:textFill>
            <w14:solidFill>
              <w14:schemeClr w14:val="tx1"/>
            </w14:solidFill>
          </w14:textFill>
        </w:rPr>
        <w:t>4.问卷的发放和回收</w:t>
      </w:r>
      <w:bookmarkEnd w:id="92"/>
      <w:bookmarkEnd w:id="93"/>
    </w:p>
    <w:p w14:paraId="156ED838">
      <w:pPr>
        <w:ind w:firstLine="420"/>
        <w:jc w:val="left"/>
        <w:rPr>
          <w:color w:val="000000" w:themeColor="text1"/>
          <w14:textFill>
            <w14:solidFill>
              <w14:schemeClr w14:val="tx1"/>
            </w14:solidFill>
          </w14:textFill>
        </w:rPr>
      </w:pPr>
      <w:r>
        <w:rPr>
          <w:color w:val="000000" w:themeColor="text1"/>
          <w14:textFill>
            <w14:solidFill>
              <w14:schemeClr w14:val="tx1"/>
            </w14:solidFill>
          </w14:textFill>
        </w:rPr>
        <w:t>为充分采集调查对象的真实想法，保证问卷调查的公平性和科学性，本次问卷调查不记名，通过电子问卷的形式进行发放与回收。</w:t>
      </w:r>
    </w:p>
    <w:p w14:paraId="708B8A86">
      <w:pPr>
        <w:ind w:left="420" w:leftChars="200" w:firstLine="0" w:firstLineChars="0"/>
        <w:jc w:val="left"/>
        <w:rPr>
          <w:b/>
          <w:bCs/>
          <w:color w:val="000000" w:themeColor="text1"/>
          <w14:textFill>
            <w14:solidFill>
              <w14:schemeClr w14:val="tx1"/>
            </w14:solidFill>
          </w14:textFill>
        </w:rPr>
      </w:pPr>
      <w:r>
        <w:rPr>
          <w:b/>
          <w:bCs/>
          <w:color w:val="000000" w:themeColor="text1"/>
          <w14:textFill>
            <w14:solidFill>
              <w14:schemeClr w14:val="tx1"/>
            </w14:solidFill>
          </w14:textFill>
        </w:rPr>
        <w:t>5.问卷调查分析结果</w:t>
      </w:r>
    </w:p>
    <w:p w14:paraId="3BDB1A1F">
      <w:pPr>
        <w:ind w:firstLine="420"/>
        <w:jc w:val="left"/>
        <w:rPr>
          <w:color w:val="000000" w:themeColor="text1"/>
          <w14:textFill>
            <w14:solidFill>
              <w14:schemeClr w14:val="tx1"/>
            </w14:solidFill>
          </w14:textFill>
        </w:rPr>
      </w:pPr>
      <w:r>
        <w:rPr>
          <w:color w:val="000000" w:themeColor="text1"/>
          <w14:textFill>
            <w14:solidFill>
              <w14:schemeClr w14:val="tx1"/>
            </w14:solidFill>
          </w14:textFill>
        </w:rPr>
        <w:t>本次调研过程中，评价组实际发放问卷</w:t>
      </w:r>
      <w:r>
        <w:rPr>
          <w:rFonts w:hint="eastAsia"/>
          <w:color w:val="000000" w:themeColor="text1"/>
          <w:lang w:val="en-US" w:eastAsia="zh-CN"/>
          <w14:textFill>
            <w14:solidFill>
              <w14:schemeClr w14:val="tx1"/>
            </w14:solidFill>
          </w14:textFill>
        </w:rPr>
        <w:t>32</w:t>
      </w:r>
      <w:r>
        <w:rPr>
          <w:color w:val="000000" w:themeColor="text1"/>
          <w14:textFill>
            <w14:solidFill>
              <w14:schemeClr w14:val="tx1"/>
            </w14:solidFill>
          </w14:textFill>
        </w:rPr>
        <w:t>份，回收问卷</w:t>
      </w:r>
      <w:r>
        <w:rPr>
          <w:rFonts w:hint="eastAsia"/>
          <w:color w:val="000000" w:themeColor="text1"/>
          <w:lang w:val="en-US" w:eastAsia="zh-CN"/>
          <w14:textFill>
            <w14:solidFill>
              <w14:schemeClr w14:val="tx1"/>
            </w14:solidFill>
          </w14:textFill>
        </w:rPr>
        <w:t>32</w:t>
      </w:r>
      <w:r>
        <w:rPr>
          <w:color w:val="000000" w:themeColor="text1"/>
          <w14:textFill>
            <w14:solidFill>
              <w14:schemeClr w14:val="tx1"/>
            </w14:solidFill>
          </w14:textFill>
        </w:rPr>
        <w:t>份，问卷回收率为100%，有效问卷</w:t>
      </w:r>
      <w:r>
        <w:rPr>
          <w:rFonts w:hint="eastAsia"/>
          <w:color w:val="000000" w:themeColor="text1"/>
          <w:lang w:val="en-US" w:eastAsia="zh-CN"/>
          <w14:textFill>
            <w14:solidFill>
              <w14:schemeClr w14:val="tx1"/>
            </w14:solidFill>
          </w14:textFill>
        </w:rPr>
        <w:t>32</w:t>
      </w:r>
      <w:r>
        <w:rPr>
          <w:color w:val="000000" w:themeColor="text1"/>
          <w14:textFill>
            <w14:solidFill>
              <w14:schemeClr w14:val="tx1"/>
            </w14:solidFill>
          </w14:textFill>
        </w:rPr>
        <w:t>份，有效回收率100%，调研问卷总体满意度为</w:t>
      </w:r>
      <w:r>
        <w:rPr>
          <w:rFonts w:hint="eastAsia"/>
          <w:color w:val="000000" w:themeColor="text1"/>
          <w:lang w:val="en-US" w:eastAsia="zh-CN"/>
          <w14:textFill>
            <w14:solidFill>
              <w14:schemeClr w14:val="tx1"/>
            </w14:solidFill>
          </w14:textFill>
        </w:rPr>
        <w:t>73.33</w:t>
      </w:r>
      <w:r>
        <w:rPr>
          <w:color w:val="000000" w:themeColor="text1"/>
          <w14:textFill>
            <w14:solidFill>
              <w14:schemeClr w14:val="tx1"/>
            </w14:solidFill>
          </w14:textFill>
        </w:rPr>
        <w:t>%。根据问卷调查结果反馈，群众对</w:t>
      </w:r>
      <w:r>
        <w:rPr>
          <w:color w:val="000000" w:themeColor="text1"/>
          <w:lang w:bidi="ar"/>
          <w14:textFill>
            <w14:solidFill>
              <w14:schemeClr w14:val="tx1"/>
            </w14:solidFill>
          </w14:textFill>
        </w:rPr>
        <w:t>吉木萨尔县</w:t>
      </w:r>
      <w:r>
        <w:rPr>
          <w:rFonts w:hint="eastAsia"/>
          <w:color w:val="000000" w:themeColor="text1"/>
          <w:lang w:eastAsia="zh-CN" w:bidi="ar"/>
          <w14:textFill>
            <w14:solidFill>
              <w14:schemeClr w14:val="tx1"/>
            </w14:solidFill>
          </w14:textFill>
        </w:rPr>
        <w:t>统计局</w:t>
      </w:r>
      <w:r>
        <w:rPr>
          <w:color w:val="000000" w:themeColor="text1"/>
          <w:lang w:bidi="ar"/>
          <w14:textFill>
            <w14:solidFill>
              <w14:schemeClr w14:val="tx1"/>
            </w14:solidFill>
          </w14:textFill>
        </w:rPr>
        <w:t>服务的评价</w:t>
      </w:r>
      <w:r>
        <w:rPr>
          <w:color w:val="000000" w:themeColor="text1"/>
          <w14:textFill>
            <w14:solidFill>
              <w14:schemeClr w14:val="tx1"/>
            </w14:solidFill>
          </w14:textFill>
        </w:rPr>
        <w:t>总体比较满意，对吉木萨尔县</w:t>
      </w:r>
      <w:r>
        <w:rPr>
          <w:rFonts w:hint="eastAsia"/>
          <w:color w:val="000000" w:themeColor="text1"/>
          <w:lang w:eastAsia="zh-CN"/>
          <w14:textFill>
            <w14:solidFill>
              <w14:schemeClr w14:val="tx1"/>
            </w14:solidFill>
          </w14:textFill>
        </w:rPr>
        <w:t>统计局</w:t>
      </w:r>
      <w:r>
        <w:rPr>
          <w:color w:val="000000" w:themeColor="text1"/>
          <w14:textFill>
            <w14:solidFill>
              <w14:schemeClr w14:val="tx1"/>
            </w14:solidFill>
          </w14:textFill>
        </w:rPr>
        <w:t>在服务流程中所体现的规范化、标准化方面的满意程度一般。本次调研的具体情况如下：</w:t>
      </w:r>
    </w:p>
    <w:tbl>
      <w:tblPr>
        <w:tblStyle w:val="24"/>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5766"/>
        <w:gridCol w:w="1358"/>
        <w:gridCol w:w="1398"/>
      </w:tblGrid>
      <w:tr w14:paraId="1AA3E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5000" w:type="pct"/>
            <w:gridSpan w:val="3"/>
            <w:shd w:val="clear" w:color="auto" w:fill="auto"/>
            <w:noWrap/>
            <w:vAlign w:val="center"/>
          </w:tcPr>
          <w:p w14:paraId="178503D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 您的统计工作年限：</w:t>
            </w:r>
          </w:p>
        </w:tc>
      </w:tr>
      <w:tr w14:paraId="33D10E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7592831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797" w:type="pct"/>
            <w:shd w:val="clear" w:color="auto" w:fill="auto"/>
            <w:vAlign w:val="center"/>
          </w:tcPr>
          <w:p w14:paraId="0455019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8" w:type="pct"/>
            <w:shd w:val="clear" w:color="auto" w:fill="auto"/>
            <w:vAlign w:val="center"/>
          </w:tcPr>
          <w:p w14:paraId="57CF630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2EFD6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77F4B81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1年及以下</w:t>
            </w:r>
          </w:p>
        </w:tc>
        <w:tc>
          <w:tcPr>
            <w:tcW w:w="797" w:type="pct"/>
            <w:shd w:val="clear" w:color="auto" w:fill="auto"/>
            <w:vAlign w:val="center"/>
          </w:tcPr>
          <w:p w14:paraId="2F74473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818" w:type="pct"/>
            <w:shd w:val="clear" w:color="auto" w:fill="auto"/>
            <w:vAlign w:val="center"/>
          </w:tcPr>
          <w:p w14:paraId="751874C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12.50%</w:t>
            </w:r>
          </w:p>
        </w:tc>
      </w:tr>
      <w:tr w14:paraId="43341D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2A11A4F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2-5年</w:t>
            </w:r>
          </w:p>
        </w:tc>
        <w:tc>
          <w:tcPr>
            <w:tcW w:w="797" w:type="pct"/>
            <w:shd w:val="clear" w:color="auto" w:fill="auto"/>
            <w:vAlign w:val="center"/>
          </w:tcPr>
          <w:p w14:paraId="0EF3F2A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w:t>
            </w:r>
          </w:p>
        </w:tc>
        <w:tc>
          <w:tcPr>
            <w:tcW w:w="818" w:type="pct"/>
            <w:shd w:val="clear" w:color="auto" w:fill="auto"/>
            <w:vAlign w:val="center"/>
          </w:tcPr>
          <w:p w14:paraId="0FF22FC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68.75%</w:t>
            </w:r>
          </w:p>
        </w:tc>
      </w:tr>
      <w:tr w14:paraId="57C54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6BF6B24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6-10年</w:t>
            </w:r>
          </w:p>
        </w:tc>
        <w:tc>
          <w:tcPr>
            <w:tcW w:w="797" w:type="pct"/>
            <w:shd w:val="clear" w:color="auto" w:fill="auto"/>
            <w:vAlign w:val="center"/>
          </w:tcPr>
          <w:p w14:paraId="7D05D79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818" w:type="pct"/>
            <w:shd w:val="clear" w:color="auto" w:fill="auto"/>
            <w:vAlign w:val="center"/>
          </w:tcPr>
          <w:p w14:paraId="6937B72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9.38%</w:t>
            </w:r>
          </w:p>
        </w:tc>
      </w:tr>
      <w:tr w14:paraId="60866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383" w:type="pct"/>
            <w:shd w:val="clear" w:color="auto" w:fill="auto"/>
            <w:vAlign w:val="center"/>
          </w:tcPr>
          <w:p w14:paraId="52A2659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11-20年</w:t>
            </w:r>
          </w:p>
        </w:tc>
        <w:tc>
          <w:tcPr>
            <w:tcW w:w="797" w:type="pct"/>
            <w:shd w:val="clear" w:color="auto" w:fill="auto"/>
            <w:vAlign w:val="center"/>
          </w:tcPr>
          <w:p w14:paraId="65AD3E2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18" w:type="pct"/>
            <w:shd w:val="clear" w:color="auto" w:fill="auto"/>
            <w:vAlign w:val="center"/>
          </w:tcPr>
          <w:p w14:paraId="677B67A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6.25%</w:t>
            </w:r>
          </w:p>
        </w:tc>
      </w:tr>
      <w:tr w14:paraId="5178D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383" w:type="pct"/>
            <w:shd w:val="clear" w:color="auto" w:fill="auto"/>
            <w:vAlign w:val="center"/>
          </w:tcPr>
          <w:p w14:paraId="5C9B900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20年以上</w:t>
            </w:r>
          </w:p>
        </w:tc>
        <w:tc>
          <w:tcPr>
            <w:tcW w:w="797" w:type="pct"/>
            <w:shd w:val="clear" w:color="auto" w:fill="auto"/>
            <w:vAlign w:val="center"/>
          </w:tcPr>
          <w:p w14:paraId="3118C8E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18" w:type="pct"/>
            <w:shd w:val="clear" w:color="auto" w:fill="auto"/>
            <w:vAlign w:val="center"/>
          </w:tcPr>
          <w:p w14:paraId="41555D2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3.13%</w:t>
            </w:r>
          </w:p>
        </w:tc>
      </w:tr>
      <w:tr w14:paraId="1262D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5000" w:type="pct"/>
            <w:gridSpan w:val="3"/>
            <w:shd w:val="clear" w:color="auto" w:fill="auto"/>
            <w:noWrap/>
            <w:vAlign w:val="center"/>
          </w:tcPr>
          <w:p w14:paraId="02DC0F4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2.您的主要工作领域：</w:t>
            </w:r>
          </w:p>
        </w:tc>
      </w:tr>
      <w:tr w14:paraId="41705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6A3EC3C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797" w:type="pct"/>
            <w:shd w:val="clear" w:color="auto" w:fill="auto"/>
            <w:vAlign w:val="center"/>
          </w:tcPr>
          <w:p w14:paraId="0DCE3D5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8" w:type="pct"/>
            <w:shd w:val="clear" w:color="auto" w:fill="auto"/>
            <w:vAlign w:val="center"/>
          </w:tcPr>
          <w:p w14:paraId="6CA9FF9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6DC43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383" w:type="pct"/>
            <w:shd w:val="clear" w:color="auto" w:fill="auto"/>
            <w:vAlign w:val="center"/>
          </w:tcPr>
          <w:p w14:paraId="4095B85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政府综合统计</w:t>
            </w:r>
          </w:p>
        </w:tc>
        <w:tc>
          <w:tcPr>
            <w:tcW w:w="797" w:type="pct"/>
            <w:shd w:val="clear" w:color="auto" w:fill="auto"/>
            <w:vAlign w:val="center"/>
          </w:tcPr>
          <w:p w14:paraId="2A1A859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w:t>
            </w:r>
          </w:p>
        </w:tc>
        <w:tc>
          <w:tcPr>
            <w:tcW w:w="818" w:type="pct"/>
            <w:shd w:val="clear" w:color="auto" w:fill="auto"/>
            <w:vAlign w:val="center"/>
          </w:tcPr>
          <w:p w14:paraId="7090C00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65.63%</w:t>
            </w:r>
          </w:p>
        </w:tc>
      </w:tr>
      <w:tr w14:paraId="4075E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7842D35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行业专项统计（如经济、社会、民生等）</w:t>
            </w:r>
          </w:p>
        </w:tc>
        <w:tc>
          <w:tcPr>
            <w:tcW w:w="797" w:type="pct"/>
            <w:shd w:val="clear" w:color="auto" w:fill="auto"/>
            <w:vAlign w:val="center"/>
          </w:tcPr>
          <w:p w14:paraId="757A97F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w:t>
            </w:r>
          </w:p>
        </w:tc>
        <w:tc>
          <w:tcPr>
            <w:tcW w:w="818" w:type="pct"/>
            <w:shd w:val="clear" w:color="auto" w:fill="auto"/>
            <w:vAlign w:val="center"/>
          </w:tcPr>
          <w:p w14:paraId="631D508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21.88%</w:t>
            </w:r>
          </w:p>
        </w:tc>
      </w:tr>
      <w:tr w14:paraId="7C94C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78CE712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企业内部统计</w:t>
            </w:r>
          </w:p>
        </w:tc>
        <w:tc>
          <w:tcPr>
            <w:tcW w:w="797" w:type="pct"/>
            <w:shd w:val="clear" w:color="auto" w:fill="auto"/>
            <w:vAlign w:val="center"/>
          </w:tcPr>
          <w:p w14:paraId="0CA2119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8" w:type="pct"/>
            <w:shd w:val="clear" w:color="auto" w:fill="auto"/>
            <w:vAlign w:val="center"/>
          </w:tcPr>
          <w:p w14:paraId="42664AC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77834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114F882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科研/学术统计</w:t>
            </w:r>
          </w:p>
        </w:tc>
        <w:tc>
          <w:tcPr>
            <w:tcW w:w="797" w:type="pct"/>
            <w:shd w:val="clear" w:color="auto" w:fill="auto"/>
            <w:vAlign w:val="center"/>
          </w:tcPr>
          <w:p w14:paraId="7FCDFDC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8" w:type="pct"/>
            <w:shd w:val="clear" w:color="auto" w:fill="auto"/>
            <w:vAlign w:val="center"/>
          </w:tcPr>
          <w:p w14:paraId="78A511D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34132D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1BD17D8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其他：</w:t>
            </w:r>
          </w:p>
        </w:tc>
        <w:tc>
          <w:tcPr>
            <w:tcW w:w="797" w:type="pct"/>
            <w:shd w:val="clear" w:color="auto" w:fill="auto"/>
            <w:vAlign w:val="center"/>
          </w:tcPr>
          <w:p w14:paraId="1BB557D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818" w:type="pct"/>
            <w:shd w:val="clear" w:color="auto" w:fill="auto"/>
            <w:vAlign w:val="center"/>
          </w:tcPr>
          <w:p w14:paraId="00386EF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12.50%</w:t>
            </w:r>
          </w:p>
        </w:tc>
      </w:tr>
      <w:tr w14:paraId="46559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5000" w:type="pct"/>
            <w:gridSpan w:val="3"/>
            <w:shd w:val="clear" w:color="auto" w:fill="auto"/>
            <w:noWrap/>
            <w:vAlign w:val="center"/>
          </w:tcPr>
          <w:p w14:paraId="44C8BA3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3.您日常工作的核心任务包括（可多选）</w:t>
            </w:r>
          </w:p>
        </w:tc>
      </w:tr>
      <w:tr w14:paraId="54C36F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58FCB12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797" w:type="pct"/>
            <w:shd w:val="clear" w:color="auto" w:fill="auto"/>
            <w:vAlign w:val="center"/>
          </w:tcPr>
          <w:p w14:paraId="0FA62B6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8" w:type="pct"/>
            <w:shd w:val="clear" w:color="auto" w:fill="auto"/>
            <w:vAlign w:val="center"/>
          </w:tcPr>
          <w:p w14:paraId="3B49760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33C4D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0A51A63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数据收集与录入</w:t>
            </w:r>
          </w:p>
        </w:tc>
        <w:tc>
          <w:tcPr>
            <w:tcW w:w="797" w:type="pct"/>
            <w:shd w:val="clear" w:color="auto" w:fill="auto"/>
            <w:vAlign w:val="center"/>
          </w:tcPr>
          <w:p w14:paraId="2057D12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818" w:type="pct"/>
            <w:shd w:val="clear" w:color="auto" w:fill="auto"/>
            <w:vAlign w:val="center"/>
          </w:tcPr>
          <w:p w14:paraId="52C8F30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46.88%</w:t>
            </w:r>
          </w:p>
        </w:tc>
      </w:tr>
      <w:tr w14:paraId="47DD1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2332B65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数据审核与校验</w:t>
            </w:r>
          </w:p>
        </w:tc>
        <w:tc>
          <w:tcPr>
            <w:tcW w:w="797" w:type="pct"/>
            <w:shd w:val="clear" w:color="auto" w:fill="auto"/>
            <w:vAlign w:val="center"/>
          </w:tcPr>
          <w:p w14:paraId="1BA5400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818" w:type="pct"/>
            <w:shd w:val="clear" w:color="auto" w:fill="auto"/>
            <w:vAlign w:val="center"/>
          </w:tcPr>
          <w:p w14:paraId="3B1A39D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25.00%</w:t>
            </w:r>
          </w:p>
        </w:tc>
      </w:tr>
      <w:tr w14:paraId="520E8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383" w:type="pct"/>
            <w:shd w:val="clear" w:color="auto" w:fill="auto"/>
            <w:vAlign w:val="center"/>
          </w:tcPr>
          <w:p w14:paraId="7FD4511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统计报表编制与分析</w:t>
            </w:r>
          </w:p>
        </w:tc>
        <w:tc>
          <w:tcPr>
            <w:tcW w:w="797" w:type="pct"/>
            <w:shd w:val="clear" w:color="auto" w:fill="auto"/>
            <w:vAlign w:val="center"/>
          </w:tcPr>
          <w:p w14:paraId="1CB5E23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818" w:type="pct"/>
            <w:shd w:val="clear" w:color="auto" w:fill="auto"/>
            <w:vAlign w:val="center"/>
          </w:tcPr>
          <w:p w14:paraId="261867B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12.50%</w:t>
            </w:r>
          </w:p>
        </w:tc>
      </w:tr>
      <w:tr w14:paraId="249814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383" w:type="pct"/>
            <w:shd w:val="clear" w:color="auto" w:fill="auto"/>
            <w:vAlign w:val="center"/>
          </w:tcPr>
          <w:p w14:paraId="68FDF9A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指标解读与政策对接</w:t>
            </w:r>
          </w:p>
        </w:tc>
        <w:tc>
          <w:tcPr>
            <w:tcW w:w="797" w:type="pct"/>
            <w:shd w:val="clear" w:color="auto" w:fill="auto"/>
            <w:vAlign w:val="center"/>
          </w:tcPr>
          <w:p w14:paraId="27B5DCC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8" w:type="pct"/>
            <w:shd w:val="clear" w:color="auto" w:fill="auto"/>
            <w:vAlign w:val="center"/>
          </w:tcPr>
          <w:p w14:paraId="6367A60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1B422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6D64001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数据平台维护</w:t>
            </w:r>
          </w:p>
        </w:tc>
        <w:tc>
          <w:tcPr>
            <w:tcW w:w="797" w:type="pct"/>
            <w:shd w:val="clear" w:color="auto" w:fill="auto"/>
            <w:vAlign w:val="center"/>
          </w:tcPr>
          <w:p w14:paraId="4B0586F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18" w:type="pct"/>
            <w:shd w:val="clear" w:color="auto" w:fill="auto"/>
            <w:vAlign w:val="center"/>
          </w:tcPr>
          <w:p w14:paraId="081AC23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3.13%</w:t>
            </w:r>
          </w:p>
        </w:tc>
      </w:tr>
      <w:tr w14:paraId="6F35E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187DF9E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其他：</w:t>
            </w:r>
          </w:p>
        </w:tc>
        <w:tc>
          <w:tcPr>
            <w:tcW w:w="797" w:type="pct"/>
            <w:shd w:val="clear" w:color="auto" w:fill="auto"/>
            <w:vAlign w:val="center"/>
          </w:tcPr>
          <w:p w14:paraId="39CA387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818" w:type="pct"/>
            <w:shd w:val="clear" w:color="auto" w:fill="auto"/>
            <w:vAlign w:val="center"/>
          </w:tcPr>
          <w:p w14:paraId="250D7A3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12.50%</w:t>
            </w:r>
          </w:p>
        </w:tc>
      </w:tr>
      <w:tr w14:paraId="3294D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5000" w:type="pct"/>
            <w:gridSpan w:val="3"/>
            <w:shd w:val="clear" w:color="auto" w:fill="auto"/>
            <w:noWrap/>
            <w:vAlign w:val="center"/>
          </w:tcPr>
          <w:p w14:paraId="508181E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4.您认为当前工作任务量是否合理？</w:t>
            </w:r>
          </w:p>
        </w:tc>
      </w:tr>
      <w:tr w14:paraId="40C05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5575732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797" w:type="pct"/>
            <w:shd w:val="clear" w:color="auto" w:fill="auto"/>
            <w:vAlign w:val="center"/>
          </w:tcPr>
          <w:p w14:paraId="0C13088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8" w:type="pct"/>
            <w:shd w:val="clear" w:color="auto" w:fill="auto"/>
            <w:vAlign w:val="center"/>
          </w:tcPr>
          <w:p w14:paraId="16C2327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2A0E8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0597667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非常轻松，任务量不足</w:t>
            </w:r>
          </w:p>
        </w:tc>
        <w:tc>
          <w:tcPr>
            <w:tcW w:w="797" w:type="pct"/>
            <w:shd w:val="clear" w:color="auto" w:fill="auto"/>
            <w:vAlign w:val="center"/>
          </w:tcPr>
          <w:p w14:paraId="79C535C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18" w:type="pct"/>
            <w:shd w:val="clear" w:color="auto" w:fill="auto"/>
            <w:vAlign w:val="center"/>
          </w:tcPr>
          <w:p w14:paraId="4063622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3.13%</w:t>
            </w:r>
          </w:p>
        </w:tc>
      </w:tr>
      <w:tr w14:paraId="6E791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0C092EB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比较合理，能从容完成</w:t>
            </w:r>
          </w:p>
        </w:tc>
        <w:tc>
          <w:tcPr>
            <w:tcW w:w="797" w:type="pct"/>
            <w:shd w:val="clear" w:color="auto" w:fill="auto"/>
            <w:vAlign w:val="center"/>
          </w:tcPr>
          <w:p w14:paraId="4C1F90E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818" w:type="pct"/>
            <w:shd w:val="clear" w:color="auto" w:fill="auto"/>
            <w:vAlign w:val="center"/>
          </w:tcPr>
          <w:p w14:paraId="25764EC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9.38%</w:t>
            </w:r>
          </w:p>
        </w:tc>
      </w:tr>
      <w:tr w14:paraId="5CD6E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4782474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基本合理，但偶尔加班</w:t>
            </w:r>
          </w:p>
        </w:tc>
        <w:tc>
          <w:tcPr>
            <w:tcW w:w="797" w:type="pct"/>
            <w:shd w:val="clear" w:color="auto" w:fill="auto"/>
            <w:vAlign w:val="center"/>
          </w:tcPr>
          <w:p w14:paraId="10C35EA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20</w:t>
            </w:r>
          </w:p>
        </w:tc>
        <w:tc>
          <w:tcPr>
            <w:tcW w:w="818" w:type="pct"/>
            <w:shd w:val="clear" w:color="auto" w:fill="auto"/>
            <w:vAlign w:val="center"/>
          </w:tcPr>
          <w:p w14:paraId="5E8EFF5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62.50%</w:t>
            </w:r>
          </w:p>
        </w:tc>
      </w:tr>
      <w:tr w14:paraId="33646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4ADFD64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任务繁重，经常需要大量加班</w:t>
            </w:r>
          </w:p>
        </w:tc>
        <w:tc>
          <w:tcPr>
            <w:tcW w:w="797" w:type="pct"/>
            <w:shd w:val="clear" w:color="auto" w:fill="auto"/>
            <w:noWrap/>
            <w:vAlign w:val="center"/>
          </w:tcPr>
          <w:p w14:paraId="726C5AB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818" w:type="pct"/>
            <w:shd w:val="clear" w:color="auto" w:fill="auto"/>
            <w:vAlign w:val="center"/>
          </w:tcPr>
          <w:p w14:paraId="5653E79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25.00%</w:t>
            </w:r>
          </w:p>
        </w:tc>
      </w:tr>
      <w:tr w14:paraId="405813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383" w:type="pct"/>
            <w:shd w:val="clear" w:color="auto" w:fill="auto"/>
            <w:vAlign w:val="center"/>
          </w:tcPr>
          <w:p w14:paraId="11AAA10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超负荷，难以完成</w:t>
            </w:r>
          </w:p>
        </w:tc>
        <w:tc>
          <w:tcPr>
            <w:tcW w:w="797" w:type="pct"/>
            <w:shd w:val="clear" w:color="auto" w:fill="auto"/>
            <w:vAlign w:val="center"/>
          </w:tcPr>
          <w:p w14:paraId="2DF75C1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8" w:type="pct"/>
            <w:shd w:val="clear" w:color="auto" w:fill="auto"/>
            <w:vAlign w:val="center"/>
          </w:tcPr>
          <w:p w14:paraId="5FC7275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13995E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5000" w:type="pct"/>
            <w:gridSpan w:val="3"/>
            <w:shd w:val="clear" w:color="auto" w:fill="auto"/>
            <w:vAlign w:val="center"/>
          </w:tcPr>
          <w:p w14:paraId="233C3FC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5.工作中让您感到压力较大的环节是（可多选）</w:t>
            </w:r>
          </w:p>
        </w:tc>
      </w:tr>
      <w:tr w14:paraId="7FC32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0BEF2D5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797" w:type="pct"/>
            <w:shd w:val="clear" w:color="auto" w:fill="auto"/>
            <w:vAlign w:val="center"/>
          </w:tcPr>
          <w:p w14:paraId="2F4749B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8" w:type="pct"/>
            <w:shd w:val="clear" w:color="auto" w:fill="auto"/>
            <w:vAlign w:val="center"/>
          </w:tcPr>
          <w:p w14:paraId="5109017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4C471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780AA46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数据时效性要求高，时间紧迫</w:t>
            </w:r>
          </w:p>
        </w:tc>
        <w:tc>
          <w:tcPr>
            <w:tcW w:w="797" w:type="pct"/>
            <w:shd w:val="clear" w:color="auto" w:fill="auto"/>
            <w:vAlign w:val="center"/>
          </w:tcPr>
          <w:p w14:paraId="0644215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w:t>
            </w:r>
          </w:p>
        </w:tc>
        <w:tc>
          <w:tcPr>
            <w:tcW w:w="818" w:type="pct"/>
            <w:shd w:val="clear" w:color="auto" w:fill="auto"/>
            <w:vAlign w:val="center"/>
          </w:tcPr>
          <w:p w14:paraId="44D0670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25.76%</w:t>
            </w:r>
          </w:p>
        </w:tc>
      </w:tr>
      <w:tr w14:paraId="469F6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383" w:type="pct"/>
            <w:shd w:val="clear" w:color="auto" w:fill="auto"/>
            <w:vAlign w:val="center"/>
          </w:tcPr>
          <w:p w14:paraId="60C46F6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数据来源复杂，审核难度大</w:t>
            </w:r>
          </w:p>
        </w:tc>
        <w:tc>
          <w:tcPr>
            <w:tcW w:w="797" w:type="pct"/>
            <w:shd w:val="clear" w:color="auto" w:fill="auto"/>
            <w:vAlign w:val="center"/>
          </w:tcPr>
          <w:p w14:paraId="38E0410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w:t>
            </w:r>
          </w:p>
        </w:tc>
        <w:tc>
          <w:tcPr>
            <w:tcW w:w="818" w:type="pct"/>
            <w:shd w:val="clear" w:color="auto" w:fill="auto"/>
            <w:vAlign w:val="center"/>
          </w:tcPr>
          <w:p w14:paraId="41BB928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34.85%</w:t>
            </w:r>
          </w:p>
        </w:tc>
      </w:tr>
      <w:tr w14:paraId="2BEA2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383" w:type="pct"/>
            <w:shd w:val="clear" w:color="auto" w:fill="auto"/>
            <w:vAlign w:val="center"/>
          </w:tcPr>
          <w:p w14:paraId="0FEF553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指标体系频繁调整，适应成本高</w:t>
            </w:r>
          </w:p>
        </w:tc>
        <w:tc>
          <w:tcPr>
            <w:tcW w:w="797" w:type="pct"/>
            <w:shd w:val="clear" w:color="auto" w:fill="auto"/>
            <w:vAlign w:val="center"/>
          </w:tcPr>
          <w:p w14:paraId="1605F64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818" w:type="pct"/>
            <w:shd w:val="clear" w:color="auto" w:fill="auto"/>
            <w:vAlign w:val="center"/>
          </w:tcPr>
          <w:p w14:paraId="44B3962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15.15%</w:t>
            </w:r>
          </w:p>
        </w:tc>
      </w:tr>
      <w:tr w14:paraId="6AD84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53DA37F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多头报送任务重复，效率低</w:t>
            </w:r>
          </w:p>
        </w:tc>
        <w:tc>
          <w:tcPr>
            <w:tcW w:w="797" w:type="pct"/>
            <w:shd w:val="clear" w:color="auto" w:fill="auto"/>
            <w:vAlign w:val="center"/>
          </w:tcPr>
          <w:p w14:paraId="7C8A8A4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w:t>
            </w:r>
          </w:p>
        </w:tc>
        <w:tc>
          <w:tcPr>
            <w:tcW w:w="818" w:type="pct"/>
            <w:shd w:val="clear" w:color="auto" w:fill="auto"/>
            <w:vAlign w:val="center"/>
          </w:tcPr>
          <w:p w14:paraId="5E00050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18.18%</w:t>
            </w:r>
          </w:p>
        </w:tc>
      </w:tr>
      <w:tr w14:paraId="0FD76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6B0A91E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其他：</w:t>
            </w:r>
          </w:p>
        </w:tc>
        <w:tc>
          <w:tcPr>
            <w:tcW w:w="797" w:type="pct"/>
            <w:shd w:val="clear" w:color="auto" w:fill="auto"/>
            <w:vAlign w:val="center"/>
          </w:tcPr>
          <w:p w14:paraId="34D5866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818" w:type="pct"/>
            <w:shd w:val="clear" w:color="auto" w:fill="auto"/>
            <w:vAlign w:val="center"/>
          </w:tcPr>
          <w:p w14:paraId="4D3AB2F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6.06%</w:t>
            </w:r>
          </w:p>
        </w:tc>
      </w:tr>
      <w:tr w14:paraId="7ABC0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5000" w:type="pct"/>
            <w:gridSpan w:val="3"/>
            <w:shd w:val="clear" w:color="auto" w:fill="auto"/>
            <w:vAlign w:val="center"/>
          </w:tcPr>
          <w:p w14:paraId="06EC62C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6.您对自身当前的统计专业能力（如方法应用、工具使用等）满意度如何？</w:t>
            </w:r>
          </w:p>
        </w:tc>
      </w:tr>
      <w:tr w14:paraId="798E07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383" w:type="pct"/>
            <w:shd w:val="clear" w:color="auto" w:fill="auto"/>
            <w:vAlign w:val="center"/>
          </w:tcPr>
          <w:p w14:paraId="451D849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797" w:type="pct"/>
            <w:shd w:val="clear" w:color="auto" w:fill="auto"/>
            <w:vAlign w:val="center"/>
          </w:tcPr>
          <w:p w14:paraId="0ABE102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8" w:type="pct"/>
            <w:shd w:val="clear" w:color="auto" w:fill="auto"/>
            <w:vAlign w:val="center"/>
          </w:tcPr>
          <w:p w14:paraId="5DED6AF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1A5F8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478E023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非常满意</w:t>
            </w:r>
          </w:p>
        </w:tc>
        <w:tc>
          <w:tcPr>
            <w:tcW w:w="797" w:type="pct"/>
            <w:shd w:val="clear" w:color="auto" w:fill="auto"/>
            <w:vAlign w:val="center"/>
          </w:tcPr>
          <w:p w14:paraId="74DA792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818" w:type="pct"/>
            <w:shd w:val="clear" w:color="auto" w:fill="auto"/>
            <w:vAlign w:val="center"/>
          </w:tcPr>
          <w:p w14:paraId="0DF04A7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9.38%</w:t>
            </w:r>
          </w:p>
        </w:tc>
      </w:tr>
      <w:tr w14:paraId="3E63C4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7B6F3C3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满意</w:t>
            </w:r>
          </w:p>
        </w:tc>
        <w:tc>
          <w:tcPr>
            <w:tcW w:w="797" w:type="pct"/>
            <w:shd w:val="clear" w:color="auto" w:fill="auto"/>
            <w:vAlign w:val="center"/>
          </w:tcPr>
          <w:p w14:paraId="1DFDCA1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818" w:type="pct"/>
            <w:shd w:val="clear" w:color="auto" w:fill="auto"/>
            <w:vAlign w:val="center"/>
          </w:tcPr>
          <w:p w14:paraId="2939EBC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31.25%</w:t>
            </w:r>
          </w:p>
        </w:tc>
      </w:tr>
      <w:tr w14:paraId="7C861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383" w:type="pct"/>
            <w:shd w:val="clear" w:color="auto" w:fill="auto"/>
            <w:vAlign w:val="center"/>
          </w:tcPr>
          <w:p w14:paraId="6244EBF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一般</w:t>
            </w:r>
          </w:p>
        </w:tc>
        <w:tc>
          <w:tcPr>
            <w:tcW w:w="797" w:type="pct"/>
            <w:shd w:val="clear" w:color="auto" w:fill="auto"/>
            <w:vAlign w:val="center"/>
          </w:tcPr>
          <w:p w14:paraId="3D384BA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w:t>
            </w:r>
          </w:p>
        </w:tc>
        <w:tc>
          <w:tcPr>
            <w:tcW w:w="818" w:type="pct"/>
            <w:shd w:val="clear" w:color="auto" w:fill="auto"/>
            <w:vAlign w:val="center"/>
          </w:tcPr>
          <w:p w14:paraId="35D1DB3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56.25%</w:t>
            </w:r>
          </w:p>
        </w:tc>
      </w:tr>
      <w:tr w14:paraId="54544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4CD5A8E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不满意</w:t>
            </w:r>
          </w:p>
        </w:tc>
        <w:tc>
          <w:tcPr>
            <w:tcW w:w="797" w:type="pct"/>
            <w:shd w:val="clear" w:color="auto" w:fill="auto"/>
            <w:vAlign w:val="center"/>
          </w:tcPr>
          <w:p w14:paraId="6A74805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18" w:type="pct"/>
            <w:shd w:val="clear" w:color="auto" w:fill="auto"/>
            <w:vAlign w:val="center"/>
          </w:tcPr>
          <w:p w14:paraId="4FB8461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3.13%</w:t>
            </w:r>
          </w:p>
        </w:tc>
      </w:tr>
      <w:tr w14:paraId="4C4D3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427463E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非常不满意</w:t>
            </w:r>
          </w:p>
        </w:tc>
        <w:tc>
          <w:tcPr>
            <w:tcW w:w="797" w:type="pct"/>
            <w:shd w:val="clear" w:color="auto" w:fill="auto"/>
            <w:vAlign w:val="center"/>
          </w:tcPr>
          <w:p w14:paraId="1D4C324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8" w:type="pct"/>
            <w:shd w:val="clear" w:color="auto" w:fill="auto"/>
            <w:vAlign w:val="center"/>
          </w:tcPr>
          <w:p w14:paraId="7084F97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24925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5000" w:type="pct"/>
            <w:gridSpan w:val="3"/>
            <w:shd w:val="clear" w:color="auto" w:fill="auto"/>
            <w:vAlign w:val="center"/>
          </w:tcPr>
          <w:p w14:paraId="433E24E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7.您是否能及时获取所需的统计制度、标准或政策解读？</w:t>
            </w:r>
          </w:p>
        </w:tc>
      </w:tr>
      <w:tr w14:paraId="131188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0D168AC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797" w:type="pct"/>
            <w:shd w:val="clear" w:color="auto" w:fill="auto"/>
            <w:vAlign w:val="center"/>
          </w:tcPr>
          <w:p w14:paraId="362F954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8" w:type="pct"/>
            <w:shd w:val="clear" w:color="auto" w:fill="auto"/>
            <w:vAlign w:val="center"/>
          </w:tcPr>
          <w:p w14:paraId="75AD7A3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53FB3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3B5ED67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完全能，资源充足且更新及时</w:t>
            </w:r>
          </w:p>
        </w:tc>
        <w:tc>
          <w:tcPr>
            <w:tcW w:w="797" w:type="pct"/>
            <w:shd w:val="clear" w:color="auto" w:fill="auto"/>
            <w:vAlign w:val="center"/>
          </w:tcPr>
          <w:p w14:paraId="00F9D39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w:t>
            </w:r>
          </w:p>
        </w:tc>
        <w:tc>
          <w:tcPr>
            <w:tcW w:w="818" w:type="pct"/>
            <w:shd w:val="clear" w:color="auto" w:fill="auto"/>
            <w:vAlign w:val="center"/>
          </w:tcPr>
          <w:p w14:paraId="0F2D5A5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34.38%</w:t>
            </w:r>
          </w:p>
        </w:tc>
      </w:tr>
      <w:tr w14:paraId="352C4F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672F20D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基本能，但偶尔滞后</w:t>
            </w:r>
          </w:p>
        </w:tc>
        <w:tc>
          <w:tcPr>
            <w:tcW w:w="797" w:type="pct"/>
            <w:shd w:val="clear" w:color="auto" w:fill="auto"/>
            <w:vAlign w:val="center"/>
          </w:tcPr>
          <w:p w14:paraId="09E3C04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w:t>
            </w:r>
          </w:p>
        </w:tc>
        <w:tc>
          <w:tcPr>
            <w:tcW w:w="818" w:type="pct"/>
            <w:shd w:val="clear" w:color="auto" w:fill="auto"/>
            <w:vAlign w:val="center"/>
          </w:tcPr>
          <w:p w14:paraId="329EEA9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56.25%</w:t>
            </w:r>
          </w:p>
        </w:tc>
      </w:tr>
      <w:tr w14:paraId="54E58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71EFC85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部分能，关键信息获取困难</w:t>
            </w:r>
          </w:p>
        </w:tc>
        <w:tc>
          <w:tcPr>
            <w:tcW w:w="797" w:type="pct"/>
            <w:shd w:val="clear" w:color="auto" w:fill="auto"/>
            <w:vAlign w:val="center"/>
          </w:tcPr>
          <w:p w14:paraId="03BF61B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818" w:type="pct"/>
            <w:shd w:val="clear" w:color="auto" w:fill="auto"/>
            <w:vAlign w:val="center"/>
          </w:tcPr>
          <w:p w14:paraId="0C9D514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9.38%</w:t>
            </w:r>
          </w:p>
        </w:tc>
      </w:tr>
      <w:tr w14:paraId="28EF4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17B8F4C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很少能，依赖自行摸索</w:t>
            </w:r>
          </w:p>
        </w:tc>
        <w:tc>
          <w:tcPr>
            <w:tcW w:w="797" w:type="pct"/>
            <w:shd w:val="clear" w:color="auto" w:fill="auto"/>
            <w:vAlign w:val="center"/>
          </w:tcPr>
          <w:p w14:paraId="33FC42E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8" w:type="pct"/>
            <w:shd w:val="clear" w:color="auto" w:fill="auto"/>
            <w:vAlign w:val="center"/>
          </w:tcPr>
          <w:p w14:paraId="3850EA8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4C46CF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6CD1BFF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完全不能</w:t>
            </w:r>
          </w:p>
        </w:tc>
        <w:tc>
          <w:tcPr>
            <w:tcW w:w="797" w:type="pct"/>
            <w:shd w:val="clear" w:color="auto" w:fill="auto"/>
            <w:vAlign w:val="center"/>
          </w:tcPr>
          <w:p w14:paraId="6F15A5F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8" w:type="pct"/>
            <w:shd w:val="clear" w:color="auto" w:fill="auto"/>
            <w:vAlign w:val="center"/>
          </w:tcPr>
          <w:p w14:paraId="107845C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7F216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5000" w:type="pct"/>
            <w:gridSpan w:val="3"/>
            <w:shd w:val="clear" w:color="auto" w:fill="auto"/>
            <w:vAlign w:val="center"/>
          </w:tcPr>
          <w:p w14:paraId="042A784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8.您对目前使用的统计软件/工具（如Excel、SPSS、统计平台等）的适用性评价：</w:t>
            </w:r>
          </w:p>
        </w:tc>
      </w:tr>
      <w:tr w14:paraId="29925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4C2E863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797" w:type="pct"/>
            <w:shd w:val="clear" w:color="auto" w:fill="auto"/>
            <w:vAlign w:val="center"/>
          </w:tcPr>
          <w:p w14:paraId="6AC4D07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8" w:type="pct"/>
            <w:shd w:val="clear" w:color="auto" w:fill="auto"/>
            <w:vAlign w:val="center"/>
          </w:tcPr>
          <w:p w14:paraId="39641F0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2779A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2B1E6F2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非常适用，高效便捷</w:t>
            </w:r>
          </w:p>
        </w:tc>
        <w:tc>
          <w:tcPr>
            <w:tcW w:w="797" w:type="pct"/>
            <w:shd w:val="clear" w:color="auto" w:fill="auto"/>
            <w:vAlign w:val="center"/>
          </w:tcPr>
          <w:p w14:paraId="4B83FC6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w:t>
            </w:r>
          </w:p>
        </w:tc>
        <w:tc>
          <w:tcPr>
            <w:tcW w:w="818" w:type="pct"/>
            <w:shd w:val="clear" w:color="auto" w:fill="auto"/>
            <w:vAlign w:val="center"/>
          </w:tcPr>
          <w:p w14:paraId="011255F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15.63%</w:t>
            </w:r>
          </w:p>
        </w:tc>
      </w:tr>
      <w:tr w14:paraId="1CEB5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7A67FE7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基本适用，能满足需求</w:t>
            </w:r>
          </w:p>
        </w:tc>
        <w:tc>
          <w:tcPr>
            <w:tcW w:w="797" w:type="pct"/>
            <w:shd w:val="clear" w:color="auto" w:fill="auto"/>
            <w:vAlign w:val="center"/>
          </w:tcPr>
          <w:p w14:paraId="48FDA1F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w:t>
            </w:r>
          </w:p>
        </w:tc>
        <w:tc>
          <w:tcPr>
            <w:tcW w:w="818" w:type="pct"/>
            <w:shd w:val="clear" w:color="auto" w:fill="auto"/>
            <w:vAlign w:val="center"/>
          </w:tcPr>
          <w:p w14:paraId="7E825E1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56.25%</w:t>
            </w:r>
          </w:p>
        </w:tc>
      </w:tr>
      <w:tr w14:paraId="5C9F7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387BFFD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一般，部分功能不足</w:t>
            </w:r>
          </w:p>
        </w:tc>
        <w:tc>
          <w:tcPr>
            <w:tcW w:w="797" w:type="pct"/>
            <w:shd w:val="clear" w:color="auto" w:fill="auto"/>
            <w:vAlign w:val="center"/>
          </w:tcPr>
          <w:p w14:paraId="443CEBC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818" w:type="pct"/>
            <w:shd w:val="clear" w:color="auto" w:fill="auto"/>
            <w:vAlign w:val="center"/>
          </w:tcPr>
          <w:p w14:paraId="7D4BFFE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25.00%</w:t>
            </w:r>
          </w:p>
        </w:tc>
      </w:tr>
      <w:tr w14:paraId="495127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564671C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不太适用，影响效率</w:t>
            </w:r>
          </w:p>
        </w:tc>
        <w:tc>
          <w:tcPr>
            <w:tcW w:w="797" w:type="pct"/>
            <w:shd w:val="clear" w:color="auto" w:fill="auto"/>
            <w:vAlign w:val="center"/>
          </w:tcPr>
          <w:p w14:paraId="1EE2E08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18" w:type="pct"/>
            <w:shd w:val="clear" w:color="auto" w:fill="auto"/>
            <w:vAlign w:val="center"/>
          </w:tcPr>
          <w:p w14:paraId="58247E7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3.13%</w:t>
            </w:r>
          </w:p>
        </w:tc>
      </w:tr>
      <w:tr w14:paraId="0ED2F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6516EE6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完全不适用，严重制约工作</w:t>
            </w:r>
          </w:p>
        </w:tc>
        <w:tc>
          <w:tcPr>
            <w:tcW w:w="797" w:type="pct"/>
            <w:shd w:val="clear" w:color="auto" w:fill="auto"/>
            <w:vAlign w:val="center"/>
          </w:tcPr>
          <w:p w14:paraId="7246197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8" w:type="pct"/>
            <w:shd w:val="clear" w:color="auto" w:fill="auto"/>
            <w:vAlign w:val="center"/>
          </w:tcPr>
          <w:p w14:paraId="58903D0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37685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5000" w:type="pct"/>
            <w:gridSpan w:val="3"/>
            <w:shd w:val="clear" w:color="auto" w:fill="auto"/>
            <w:vAlign w:val="center"/>
          </w:tcPr>
          <w:p w14:paraId="79F6D91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 2024年您对当前的工作沟通协作环境（如部门配合、跨单位对接等）满意度如何？</w:t>
            </w:r>
          </w:p>
        </w:tc>
      </w:tr>
      <w:tr w14:paraId="75847C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04C9B72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797" w:type="pct"/>
            <w:shd w:val="clear" w:color="auto" w:fill="auto"/>
            <w:vAlign w:val="center"/>
          </w:tcPr>
          <w:p w14:paraId="6F61F2C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8" w:type="pct"/>
            <w:shd w:val="clear" w:color="auto" w:fill="auto"/>
            <w:vAlign w:val="center"/>
          </w:tcPr>
          <w:p w14:paraId="2604580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190AD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3F6D20E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非常满意</w:t>
            </w:r>
          </w:p>
        </w:tc>
        <w:tc>
          <w:tcPr>
            <w:tcW w:w="797" w:type="pct"/>
            <w:shd w:val="clear" w:color="auto" w:fill="auto"/>
            <w:noWrap/>
            <w:vAlign w:val="center"/>
          </w:tcPr>
          <w:p w14:paraId="404EDC3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818" w:type="pct"/>
            <w:shd w:val="clear" w:color="auto" w:fill="auto"/>
            <w:vAlign w:val="center"/>
          </w:tcPr>
          <w:p w14:paraId="670BAFE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12.50%</w:t>
            </w:r>
          </w:p>
        </w:tc>
      </w:tr>
      <w:tr w14:paraId="25AF0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48C7F6B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满意</w:t>
            </w:r>
          </w:p>
        </w:tc>
        <w:tc>
          <w:tcPr>
            <w:tcW w:w="797" w:type="pct"/>
            <w:shd w:val="clear" w:color="auto" w:fill="auto"/>
            <w:noWrap/>
            <w:vAlign w:val="center"/>
          </w:tcPr>
          <w:p w14:paraId="616BDC0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w:t>
            </w:r>
          </w:p>
        </w:tc>
        <w:tc>
          <w:tcPr>
            <w:tcW w:w="818" w:type="pct"/>
            <w:shd w:val="clear" w:color="auto" w:fill="auto"/>
            <w:vAlign w:val="center"/>
          </w:tcPr>
          <w:p w14:paraId="1111FA4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37.50%</w:t>
            </w:r>
          </w:p>
        </w:tc>
      </w:tr>
      <w:tr w14:paraId="15AC8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6F3B6BF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一般</w:t>
            </w:r>
          </w:p>
        </w:tc>
        <w:tc>
          <w:tcPr>
            <w:tcW w:w="797" w:type="pct"/>
            <w:shd w:val="clear" w:color="auto" w:fill="auto"/>
            <w:noWrap/>
            <w:vAlign w:val="center"/>
          </w:tcPr>
          <w:p w14:paraId="32AF0B4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w:t>
            </w:r>
          </w:p>
        </w:tc>
        <w:tc>
          <w:tcPr>
            <w:tcW w:w="818" w:type="pct"/>
            <w:shd w:val="clear" w:color="auto" w:fill="auto"/>
            <w:vAlign w:val="center"/>
          </w:tcPr>
          <w:p w14:paraId="469AFDA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43.75%</w:t>
            </w:r>
          </w:p>
        </w:tc>
      </w:tr>
      <w:tr w14:paraId="5AABB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0BD49BB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不满意</w:t>
            </w:r>
          </w:p>
        </w:tc>
        <w:tc>
          <w:tcPr>
            <w:tcW w:w="797" w:type="pct"/>
            <w:shd w:val="clear" w:color="auto" w:fill="auto"/>
            <w:noWrap/>
            <w:vAlign w:val="center"/>
          </w:tcPr>
          <w:p w14:paraId="1D5C976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18" w:type="pct"/>
            <w:shd w:val="clear" w:color="auto" w:fill="auto"/>
            <w:vAlign w:val="center"/>
          </w:tcPr>
          <w:p w14:paraId="6D7FAE6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6.25%</w:t>
            </w:r>
          </w:p>
        </w:tc>
      </w:tr>
      <w:tr w14:paraId="371E70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2D3A606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非常不满意</w:t>
            </w:r>
          </w:p>
        </w:tc>
        <w:tc>
          <w:tcPr>
            <w:tcW w:w="797" w:type="pct"/>
            <w:shd w:val="clear" w:color="auto" w:fill="auto"/>
            <w:noWrap/>
            <w:vAlign w:val="center"/>
          </w:tcPr>
          <w:p w14:paraId="149C051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8" w:type="pct"/>
            <w:shd w:val="clear" w:color="auto" w:fill="auto"/>
            <w:vAlign w:val="center"/>
          </w:tcPr>
          <w:p w14:paraId="5D9ED55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24201E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5000" w:type="pct"/>
            <w:gridSpan w:val="3"/>
            <w:shd w:val="clear" w:color="auto" w:fill="auto"/>
            <w:vAlign w:val="center"/>
          </w:tcPr>
          <w:p w14:paraId="6C7A460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 2024年您是否获得过足够的专业培训机会（如统计技能、新政策培训等）？</w:t>
            </w:r>
          </w:p>
        </w:tc>
      </w:tr>
      <w:tr w14:paraId="67AFE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383" w:type="pct"/>
            <w:shd w:val="clear" w:color="auto" w:fill="auto"/>
            <w:vAlign w:val="center"/>
          </w:tcPr>
          <w:p w14:paraId="137489A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797" w:type="pct"/>
            <w:shd w:val="clear" w:color="auto" w:fill="auto"/>
            <w:vAlign w:val="center"/>
          </w:tcPr>
          <w:p w14:paraId="0ABF8E0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8" w:type="pct"/>
            <w:shd w:val="clear" w:color="auto" w:fill="auto"/>
            <w:vAlign w:val="center"/>
          </w:tcPr>
          <w:p w14:paraId="349563F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56FD0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6956052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非常充足，针对性强</w:t>
            </w:r>
          </w:p>
        </w:tc>
        <w:tc>
          <w:tcPr>
            <w:tcW w:w="797" w:type="pct"/>
            <w:shd w:val="clear" w:color="auto" w:fill="auto"/>
            <w:noWrap/>
            <w:vAlign w:val="center"/>
          </w:tcPr>
          <w:p w14:paraId="7FDE8EF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w:t>
            </w:r>
          </w:p>
        </w:tc>
        <w:tc>
          <w:tcPr>
            <w:tcW w:w="818" w:type="pct"/>
            <w:shd w:val="clear" w:color="auto" w:fill="auto"/>
            <w:vAlign w:val="center"/>
          </w:tcPr>
          <w:p w14:paraId="4BE7162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34.38%</w:t>
            </w:r>
          </w:p>
        </w:tc>
      </w:tr>
      <w:tr w14:paraId="6B84F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2F841BA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比较充足，能满足基本需求</w:t>
            </w:r>
          </w:p>
        </w:tc>
        <w:tc>
          <w:tcPr>
            <w:tcW w:w="797" w:type="pct"/>
            <w:shd w:val="clear" w:color="auto" w:fill="auto"/>
            <w:noWrap/>
            <w:vAlign w:val="center"/>
          </w:tcPr>
          <w:p w14:paraId="1512CB0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w:t>
            </w:r>
          </w:p>
        </w:tc>
        <w:tc>
          <w:tcPr>
            <w:tcW w:w="818" w:type="pct"/>
            <w:shd w:val="clear" w:color="auto" w:fill="auto"/>
            <w:vAlign w:val="center"/>
          </w:tcPr>
          <w:p w14:paraId="416CAAF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56.25%</w:t>
            </w:r>
          </w:p>
        </w:tc>
      </w:tr>
      <w:tr w14:paraId="1F47E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3185C34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一般，培训频率较低</w:t>
            </w:r>
          </w:p>
        </w:tc>
        <w:tc>
          <w:tcPr>
            <w:tcW w:w="797" w:type="pct"/>
            <w:shd w:val="clear" w:color="auto" w:fill="auto"/>
            <w:noWrap/>
            <w:vAlign w:val="center"/>
          </w:tcPr>
          <w:p w14:paraId="553F391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18" w:type="pct"/>
            <w:shd w:val="clear" w:color="auto" w:fill="auto"/>
            <w:vAlign w:val="center"/>
          </w:tcPr>
          <w:p w14:paraId="0182BC5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3.13%</w:t>
            </w:r>
          </w:p>
        </w:tc>
      </w:tr>
      <w:tr w14:paraId="65EF27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001799F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不足，缺乏系统性培训</w:t>
            </w:r>
          </w:p>
        </w:tc>
        <w:tc>
          <w:tcPr>
            <w:tcW w:w="797" w:type="pct"/>
            <w:shd w:val="clear" w:color="auto" w:fill="auto"/>
            <w:noWrap/>
            <w:vAlign w:val="center"/>
          </w:tcPr>
          <w:p w14:paraId="2A6D149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18" w:type="pct"/>
            <w:shd w:val="clear" w:color="auto" w:fill="auto"/>
            <w:vAlign w:val="center"/>
          </w:tcPr>
          <w:p w14:paraId="252A8B4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6.25%</w:t>
            </w:r>
          </w:p>
        </w:tc>
      </w:tr>
      <w:tr w14:paraId="46C2B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260CE9A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完全没有培训机会</w:t>
            </w:r>
          </w:p>
        </w:tc>
        <w:tc>
          <w:tcPr>
            <w:tcW w:w="797" w:type="pct"/>
            <w:shd w:val="clear" w:color="auto" w:fill="auto"/>
            <w:noWrap/>
            <w:vAlign w:val="center"/>
          </w:tcPr>
          <w:p w14:paraId="482A425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8" w:type="pct"/>
            <w:shd w:val="clear" w:color="auto" w:fill="auto"/>
            <w:vAlign w:val="center"/>
          </w:tcPr>
          <w:p w14:paraId="7247202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63C04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5000" w:type="pct"/>
            <w:gridSpan w:val="3"/>
            <w:shd w:val="clear" w:color="auto" w:fill="auto"/>
            <w:noWrap/>
            <w:vAlign w:val="center"/>
          </w:tcPr>
          <w:p w14:paraId="17AA94F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 xml:space="preserve">11. </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总体而言，您对当前</w:t>
            </w:r>
            <w:r>
              <w:rPr>
                <w:rStyle w:val="65"/>
                <w:rFonts w:eastAsia="宋体"/>
                <w:color w:val="000000" w:themeColor="text1"/>
                <w:sz w:val="21"/>
                <w:szCs w:val="21"/>
                <w:lang w:val="en-US" w:eastAsia="zh-CN" w:bidi="ar"/>
                <w14:textFill>
                  <w14:solidFill>
                    <w14:schemeClr w14:val="tx1"/>
                  </w14:solidFill>
                </w14:textFill>
              </w:rPr>
              <w:t>2024</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年统计工作的整体满意度为：</w:t>
            </w:r>
          </w:p>
        </w:tc>
      </w:tr>
      <w:tr w14:paraId="4EAE1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3B94B2A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797" w:type="pct"/>
            <w:shd w:val="clear" w:color="auto" w:fill="auto"/>
            <w:vAlign w:val="center"/>
          </w:tcPr>
          <w:p w14:paraId="4AED1F3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8" w:type="pct"/>
            <w:shd w:val="clear" w:color="auto" w:fill="auto"/>
            <w:vAlign w:val="center"/>
          </w:tcPr>
          <w:p w14:paraId="66D8CF9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2C09C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3D8D630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非常满意</w:t>
            </w:r>
          </w:p>
        </w:tc>
        <w:tc>
          <w:tcPr>
            <w:tcW w:w="797" w:type="pct"/>
            <w:shd w:val="clear" w:color="auto" w:fill="auto"/>
            <w:noWrap/>
            <w:vAlign w:val="center"/>
          </w:tcPr>
          <w:p w14:paraId="65C508B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w:t>
            </w:r>
          </w:p>
        </w:tc>
        <w:tc>
          <w:tcPr>
            <w:tcW w:w="818" w:type="pct"/>
            <w:shd w:val="clear" w:color="auto" w:fill="auto"/>
            <w:vAlign w:val="center"/>
          </w:tcPr>
          <w:p w14:paraId="18FB917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37.50%</w:t>
            </w:r>
          </w:p>
        </w:tc>
      </w:tr>
      <w:tr w14:paraId="1149B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51348C7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满意</w:t>
            </w:r>
          </w:p>
        </w:tc>
        <w:tc>
          <w:tcPr>
            <w:tcW w:w="797" w:type="pct"/>
            <w:shd w:val="clear" w:color="auto" w:fill="auto"/>
            <w:noWrap/>
            <w:vAlign w:val="center"/>
          </w:tcPr>
          <w:p w14:paraId="7F87518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w:t>
            </w:r>
          </w:p>
        </w:tc>
        <w:tc>
          <w:tcPr>
            <w:tcW w:w="818" w:type="pct"/>
            <w:shd w:val="clear" w:color="auto" w:fill="auto"/>
            <w:vAlign w:val="center"/>
          </w:tcPr>
          <w:p w14:paraId="70A12BD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50.00%</w:t>
            </w:r>
          </w:p>
        </w:tc>
      </w:tr>
      <w:tr w14:paraId="249FA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70A6EDD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一般</w:t>
            </w:r>
          </w:p>
        </w:tc>
        <w:tc>
          <w:tcPr>
            <w:tcW w:w="797" w:type="pct"/>
            <w:shd w:val="clear" w:color="auto" w:fill="auto"/>
            <w:noWrap/>
            <w:vAlign w:val="center"/>
          </w:tcPr>
          <w:p w14:paraId="2601919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818" w:type="pct"/>
            <w:shd w:val="clear" w:color="auto" w:fill="auto"/>
            <w:vAlign w:val="center"/>
          </w:tcPr>
          <w:p w14:paraId="683914B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12.50%</w:t>
            </w:r>
          </w:p>
        </w:tc>
      </w:tr>
      <w:tr w14:paraId="353FD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3D6F15D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不满意</w:t>
            </w:r>
          </w:p>
        </w:tc>
        <w:tc>
          <w:tcPr>
            <w:tcW w:w="797" w:type="pct"/>
            <w:shd w:val="clear" w:color="auto" w:fill="auto"/>
            <w:noWrap/>
            <w:vAlign w:val="center"/>
          </w:tcPr>
          <w:p w14:paraId="11E59FC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8" w:type="pct"/>
            <w:shd w:val="clear" w:color="auto" w:fill="auto"/>
            <w:vAlign w:val="center"/>
          </w:tcPr>
          <w:p w14:paraId="0A903D3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15AF9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144BE8D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非常不满意</w:t>
            </w:r>
          </w:p>
        </w:tc>
        <w:tc>
          <w:tcPr>
            <w:tcW w:w="797" w:type="pct"/>
            <w:shd w:val="clear" w:color="auto" w:fill="auto"/>
            <w:noWrap/>
            <w:vAlign w:val="center"/>
          </w:tcPr>
          <w:p w14:paraId="2CAC70F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8" w:type="pct"/>
            <w:shd w:val="clear" w:color="auto" w:fill="auto"/>
            <w:vAlign w:val="center"/>
          </w:tcPr>
          <w:p w14:paraId="492AA69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01FA1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5000" w:type="pct"/>
            <w:gridSpan w:val="3"/>
            <w:shd w:val="clear" w:color="auto" w:fill="auto"/>
            <w:noWrap/>
            <w:vAlign w:val="center"/>
          </w:tcPr>
          <w:p w14:paraId="41716F0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 xml:space="preserve">12. </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您认为目前工作中最需要改善的方面是（可多选）：</w:t>
            </w:r>
          </w:p>
        </w:tc>
      </w:tr>
      <w:tr w14:paraId="2AE64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vAlign w:val="center"/>
          </w:tcPr>
          <w:p w14:paraId="6F33D4F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797" w:type="pct"/>
            <w:shd w:val="clear" w:color="auto" w:fill="auto"/>
            <w:vAlign w:val="center"/>
          </w:tcPr>
          <w:p w14:paraId="6A83272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8" w:type="pct"/>
            <w:shd w:val="clear" w:color="auto" w:fill="auto"/>
            <w:vAlign w:val="center"/>
          </w:tcPr>
          <w:p w14:paraId="11F0C61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04FFE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613EF8C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减少重复劳动，优化工作流程</w:t>
            </w:r>
          </w:p>
        </w:tc>
        <w:tc>
          <w:tcPr>
            <w:tcW w:w="797" w:type="pct"/>
            <w:shd w:val="clear" w:color="auto" w:fill="auto"/>
            <w:noWrap/>
            <w:vAlign w:val="center"/>
          </w:tcPr>
          <w:p w14:paraId="511D570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w:t>
            </w:r>
          </w:p>
        </w:tc>
        <w:tc>
          <w:tcPr>
            <w:tcW w:w="818" w:type="pct"/>
            <w:shd w:val="clear" w:color="auto" w:fill="auto"/>
            <w:vAlign w:val="center"/>
          </w:tcPr>
          <w:p w14:paraId="48601DA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29.11%</w:t>
            </w:r>
          </w:p>
        </w:tc>
      </w:tr>
      <w:tr w14:paraId="0A649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12098D9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加强专业培训与指导</w:t>
            </w:r>
          </w:p>
        </w:tc>
        <w:tc>
          <w:tcPr>
            <w:tcW w:w="797" w:type="pct"/>
            <w:shd w:val="clear" w:color="auto" w:fill="auto"/>
            <w:noWrap/>
            <w:vAlign w:val="center"/>
          </w:tcPr>
          <w:p w14:paraId="1263F49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w:t>
            </w:r>
          </w:p>
        </w:tc>
        <w:tc>
          <w:tcPr>
            <w:tcW w:w="818" w:type="pct"/>
            <w:shd w:val="clear" w:color="auto" w:fill="auto"/>
            <w:vAlign w:val="center"/>
          </w:tcPr>
          <w:p w14:paraId="02B1296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21.52%</w:t>
            </w:r>
          </w:p>
        </w:tc>
      </w:tr>
      <w:tr w14:paraId="0DBCF7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591C447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升级统计工具</w:t>
            </w:r>
            <w:r>
              <w:rPr>
                <w:rStyle w:val="65"/>
                <w:rFonts w:eastAsia="宋体"/>
                <w:color w:val="000000" w:themeColor="text1"/>
                <w:sz w:val="21"/>
                <w:szCs w:val="21"/>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系统</w:t>
            </w:r>
          </w:p>
        </w:tc>
        <w:tc>
          <w:tcPr>
            <w:tcW w:w="797" w:type="pct"/>
            <w:shd w:val="clear" w:color="auto" w:fill="auto"/>
            <w:noWrap/>
            <w:vAlign w:val="center"/>
          </w:tcPr>
          <w:p w14:paraId="52B484F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w:t>
            </w:r>
          </w:p>
        </w:tc>
        <w:tc>
          <w:tcPr>
            <w:tcW w:w="818" w:type="pct"/>
            <w:shd w:val="clear" w:color="auto" w:fill="auto"/>
            <w:vAlign w:val="center"/>
          </w:tcPr>
          <w:p w14:paraId="68B4809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16.46%</w:t>
            </w:r>
          </w:p>
        </w:tc>
      </w:tr>
      <w:tr w14:paraId="76B9AD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765696C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明确职业发展路径</w:t>
            </w:r>
          </w:p>
        </w:tc>
        <w:tc>
          <w:tcPr>
            <w:tcW w:w="797" w:type="pct"/>
            <w:shd w:val="clear" w:color="auto" w:fill="auto"/>
            <w:noWrap/>
            <w:vAlign w:val="center"/>
          </w:tcPr>
          <w:p w14:paraId="6753CFA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818" w:type="pct"/>
            <w:shd w:val="clear" w:color="auto" w:fill="auto"/>
            <w:vAlign w:val="center"/>
          </w:tcPr>
          <w:p w14:paraId="0D02EAF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7.59%</w:t>
            </w:r>
          </w:p>
        </w:tc>
      </w:tr>
      <w:tr w14:paraId="3D53D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05EC525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提高跨部门协作效率</w:t>
            </w:r>
          </w:p>
        </w:tc>
        <w:tc>
          <w:tcPr>
            <w:tcW w:w="797" w:type="pct"/>
            <w:shd w:val="clear" w:color="auto" w:fill="auto"/>
            <w:noWrap/>
            <w:vAlign w:val="center"/>
          </w:tcPr>
          <w:p w14:paraId="59B7793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w:t>
            </w:r>
          </w:p>
        </w:tc>
        <w:tc>
          <w:tcPr>
            <w:tcW w:w="818" w:type="pct"/>
            <w:shd w:val="clear" w:color="auto" w:fill="auto"/>
            <w:vAlign w:val="center"/>
          </w:tcPr>
          <w:p w14:paraId="23C109C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21.52%</w:t>
            </w:r>
          </w:p>
        </w:tc>
      </w:tr>
      <w:tr w14:paraId="33E286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3383" w:type="pct"/>
            <w:shd w:val="clear" w:color="auto" w:fill="auto"/>
            <w:noWrap/>
            <w:vAlign w:val="center"/>
          </w:tcPr>
          <w:p w14:paraId="0C14A2A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其他：</w:t>
            </w:r>
            <w:r>
              <w:rPr>
                <w:rStyle w:val="65"/>
                <w:rFonts w:eastAsia="宋体"/>
                <w:color w:val="000000" w:themeColor="text1"/>
                <w:sz w:val="21"/>
                <w:szCs w:val="21"/>
                <w:lang w:val="en-US" w:eastAsia="zh-CN" w:bidi="ar"/>
                <w14:textFill>
                  <w14:solidFill>
                    <w14:schemeClr w14:val="tx1"/>
                  </w14:solidFill>
                </w14:textFill>
              </w:rPr>
              <w:t>________</w:t>
            </w:r>
          </w:p>
        </w:tc>
        <w:tc>
          <w:tcPr>
            <w:tcW w:w="797" w:type="pct"/>
            <w:shd w:val="clear" w:color="auto" w:fill="auto"/>
            <w:noWrap/>
            <w:vAlign w:val="center"/>
          </w:tcPr>
          <w:p w14:paraId="2B2FB04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818" w:type="pct"/>
            <w:shd w:val="clear" w:color="auto" w:fill="auto"/>
            <w:vAlign w:val="center"/>
          </w:tcPr>
          <w:p w14:paraId="02CD681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3.80%</w:t>
            </w:r>
          </w:p>
        </w:tc>
      </w:tr>
      <w:tr w14:paraId="72F70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5000" w:type="pct"/>
            <w:gridSpan w:val="3"/>
            <w:shd w:val="clear" w:color="auto" w:fill="auto"/>
            <w:vAlign w:val="center"/>
          </w:tcPr>
          <w:p w14:paraId="796EEAC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Calibri" w:hAnsi="Calibri" w:eastAsia="宋体" w:cs="Calibri"/>
                <w:i w:val="0"/>
                <w:iCs w:val="0"/>
                <w:color w:val="000000" w:themeColor="text1"/>
                <w:sz w:val="21"/>
                <w:szCs w:val="21"/>
                <w:u w:val="none"/>
                <w14:textFill>
                  <w14:solidFill>
                    <w14:schemeClr w14:val="tx1"/>
                  </w14:solidFill>
                </w14:textFill>
              </w:rPr>
            </w:pP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1</w:t>
            </w:r>
            <w:r>
              <w:rPr>
                <w:rFonts w:hint="eastAsia" w:ascii="Calibri" w:hAnsi="Calibri" w:eastAsia="宋体" w:cs="Calibri"/>
                <w:i w:val="0"/>
                <w:iCs w:val="0"/>
                <w:color w:val="000000" w:themeColor="text1"/>
                <w:kern w:val="0"/>
                <w:sz w:val="21"/>
                <w:szCs w:val="21"/>
                <w:u w:val="none"/>
                <w:lang w:val="en-US" w:eastAsia="zh-CN" w:bidi="ar"/>
                <w14:textFill>
                  <w14:solidFill>
                    <w14:schemeClr w14:val="tx1"/>
                  </w14:solidFill>
                </w14:textFill>
              </w:rPr>
              <w:t>3</w:t>
            </w:r>
            <w:r>
              <w:rPr>
                <w:rFonts w:hint="default" w:ascii="Calibri" w:hAnsi="Calibri" w:eastAsia="宋体" w:cs="Calibri"/>
                <w:i w:val="0"/>
                <w:iCs w:val="0"/>
                <w:color w:val="000000" w:themeColor="text1"/>
                <w:kern w:val="0"/>
                <w:sz w:val="21"/>
                <w:szCs w:val="21"/>
                <w:u w:val="none"/>
                <w:lang w:val="en-US" w:eastAsia="zh-CN" w:bidi="ar"/>
                <w14:textFill>
                  <w14:solidFill>
                    <w14:schemeClr w14:val="tx1"/>
                  </w14:solidFill>
                </w14:textFill>
              </w:rPr>
              <w:t xml:space="preserve">. </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您对提升统计工作体验或支持保障有其他建议吗？调研结束，再次感谢您的参与！</w:t>
            </w:r>
          </w:p>
        </w:tc>
      </w:tr>
      <w:tr w14:paraId="63592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5000" w:type="pct"/>
            <w:gridSpan w:val="3"/>
            <w:vMerge w:val="restart"/>
            <w:shd w:val="clear" w:color="auto" w:fill="auto"/>
            <w:vAlign w:val="center"/>
          </w:tcPr>
          <w:p w14:paraId="7791979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1.部分工作乡镇无法完成，如增加样本户收入，替样本户要欠账等一些工作。</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2.精简报表，县级部门多多给予支持，减少检查。</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3.建议增加人员编制，统计工作越来越重要，工作越来越精细化，工作任务越来越重，但是人员编制一直未增加，目前的人员已远远不能满足现有的工作量，势必影响数据质量</w:t>
            </w:r>
            <w:r>
              <w:rPr>
                <w:rFonts w:hint="eastAsia" w:ascii="宋体" w:hAnsi="宋体" w:cs="宋体"/>
                <w:i w:val="0"/>
                <w:iCs w:val="0"/>
                <w:color w:val="000000" w:themeColor="text1"/>
                <w:kern w:val="0"/>
                <w:sz w:val="21"/>
                <w:szCs w:val="21"/>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4.强化培训，推进现代化手段运用与投资票据审核！</w:t>
            </w:r>
          </w:p>
        </w:tc>
      </w:tr>
      <w:tr w14:paraId="638137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5000" w:type="pct"/>
            <w:gridSpan w:val="3"/>
            <w:vMerge w:val="continue"/>
            <w:shd w:val="clear" w:color="auto" w:fill="auto"/>
            <w:vAlign w:val="center"/>
          </w:tcPr>
          <w:p w14:paraId="4154428A">
            <w:pPr>
              <w:keepNext w:val="0"/>
              <w:keepLines w:val="0"/>
              <w:pageBreakBefore w:val="0"/>
              <w:widowControl/>
              <w:kinsoku/>
              <w:wordWrap/>
              <w:overflowPunct/>
              <w:topLinePunct w:val="0"/>
              <w:autoSpaceDE/>
              <w:autoSpaceDN/>
              <w:bidi w:val="0"/>
              <w:spacing w:line="240" w:lineRule="auto"/>
              <w:ind w:firstLine="0" w:firstLineChars="0"/>
              <w:jc w:val="left"/>
              <w:rPr>
                <w:rFonts w:hint="eastAsia" w:ascii="宋体" w:hAnsi="宋体" w:eastAsia="宋体" w:cs="宋体"/>
                <w:i w:val="0"/>
                <w:iCs w:val="0"/>
                <w:color w:val="000000" w:themeColor="text1"/>
                <w:sz w:val="21"/>
                <w:szCs w:val="21"/>
                <w:u w:val="none"/>
                <w14:textFill>
                  <w14:solidFill>
                    <w14:schemeClr w14:val="tx1"/>
                  </w14:solidFill>
                </w14:textFill>
              </w:rPr>
            </w:pPr>
          </w:p>
        </w:tc>
      </w:tr>
      <w:tr w14:paraId="2DAA4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jc w:val="center"/>
        </w:trPr>
        <w:tc>
          <w:tcPr>
            <w:tcW w:w="5000" w:type="pct"/>
            <w:gridSpan w:val="3"/>
            <w:vMerge w:val="continue"/>
            <w:shd w:val="clear" w:color="auto" w:fill="auto"/>
            <w:vAlign w:val="center"/>
          </w:tcPr>
          <w:p w14:paraId="00EDECF3">
            <w:pPr>
              <w:keepNext w:val="0"/>
              <w:keepLines w:val="0"/>
              <w:pageBreakBefore w:val="0"/>
              <w:widowControl/>
              <w:kinsoku/>
              <w:wordWrap/>
              <w:overflowPunct/>
              <w:topLinePunct w:val="0"/>
              <w:autoSpaceDE/>
              <w:autoSpaceDN/>
              <w:bidi w:val="0"/>
              <w:spacing w:line="240" w:lineRule="auto"/>
              <w:ind w:firstLine="0" w:firstLineChars="0"/>
              <w:jc w:val="left"/>
              <w:rPr>
                <w:rFonts w:hint="eastAsia" w:ascii="宋体" w:hAnsi="宋体" w:eastAsia="宋体" w:cs="宋体"/>
                <w:i w:val="0"/>
                <w:iCs w:val="0"/>
                <w:color w:val="000000" w:themeColor="text1"/>
                <w:sz w:val="21"/>
                <w:szCs w:val="21"/>
                <w:u w:val="none"/>
                <w14:textFill>
                  <w14:solidFill>
                    <w14:schemeClr w14:val="tx1"/>
                  </w14:solidFill>
                </w14:textFill>
              </w:rPr>
            </w:pPr>
          </w:p>
        </w:tc>
      </w:tr>
      <w:tr w14:paraId="6666A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5000" w:type="pct"/>
            <w:gridSpan w:val="3"/>
            <w:vMerge w:val="continue"/>
            <w:shd w:val="clear" w:color="auto" w:fill="auto"/>
            <w:vAlign w:val="center"/>
          </w:tcPr>
          <w:p w14:paraId="54CCC5ED">
            <w:pPr>
              <w:keepNext w:val="0"/>
              <w:keepLines w:val="0"/>
              <w:pageBreakBefore w:val="0"/>
              <w:widowControl/>
              <w:kinsoku/>
              <w:wordWrap/>
              <w:overflowPunct/>
              <w:topLinePunct w:val="0"/>
              <w:autoSpaceDE/>
              <w:autoSpaceDN/>
              <w:bidi w:val="0"/>
              <w:spacing w:line="240" w:lineRule="auto"/>
              <w:ind w:firstLine="0" w:firstLineChars="0"/>
              <w:jc w:val="left"/>
              <w:rPr>
                <w:rFonts w:hint="eastAsia" w:ascii="宋体" w:hAnsi="宋体" w:eastAsia="宋体" w:cs="宋体"/>
                <w:i w:val="0"/>
                <w:iCs w:val="0"/>
                <w:color w:val="000000" w:themeColor="text1"/>
                <w:sz w:val="21"/>
                <w:szCs w:val="21"/>
                <w:u w:val="none"/>
                <w14:textFill>
                  <w14:solidFill>
                    <w14:schemeClr w14:val="tx1"/>
                  </w14:solidFill>
                </w14:textFill>
              </w:rPr>
            </w:pPr>
          </w:p>
        </w:tc>
      </w:tr>
      <w:tr w14:paraId="4CD617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5000" w:type="pct"/>
            <w:gridSpan w:val="3"/>
            <w:vMerge w:val="continue"/>
            <w:shd w:val="clear" w:color="auto" w:fill="auto"/>
            <w:vAlign w:val="center"/>
          </w:tcPr>
          <w:p w14:paraId="7AE5A638">
            <w:pPr>
              <w:keepNext w:val="0"/>
              <w:keepLines w:val="0"/>
              <w:pageBreakBefore w:val="0"/>
              <w:widowControl/>
              <w:kinsoku/>
              <w:wordWrap/>
              <w:overflowPunct/>
              <w:topLinePunct w:val="0"/>
              <w:autoSpaceDE/>
              <w:autoSpaceDN/>
              <w:bidi w:val="0"/>
              <w:spacing w:line="240" w:lineRule="auto"/>
              <w:ind w:firstLine="0" w:firstLineChars="0"/>
              <w:jc w:val="left"/>
              <w:rPr>
                <w:rFonts w:hint="eastAsia" w:ascii="宋体" w:hAnsi="宋体" w:eastAsia="宋体" w:cs="宋体"/>
                <w:i w:val="0"/>
                <w:iCs w:val="0"/>
                <w:color w:val="000000" w:themeColor="text1"/>
                <w:sz w:val="21"/>
                <w:szCs w:val="21"/>
                <w:u w:val="none"/>
                <w14:textFill>
                  <w14:solidFill>
                    <w14:schemeClr w14:val="tx1"/>
                  </w14:solidFill>
                </w14:textFill>
              </w:rPr>
            </w:pPr>
          </w:p>
        </w:tc>
      </w:tr>
    </w:tbl>
    <w:p w14:paraId="46FCD39A">
      <w:pPr>
        <w:ind w:firstLine="420"/>
        <w:rPr>
          <w:color w:val="000000" w:themeColor="text1"/>
          <w14:textFill>
            <w14:solidFill>
              <w14:schemeClr w14:val="tx1"/>
            </w14:solidFill>
          </w14:textFill>
        </w:rPr>
        <w:sectPr>
          <w:pgSz w:w="11906" w:h="16838"/>
          <w:pgMar w:top="1440" w:right="1800" w:bottom="1440" w:left="1800" w:header="851" w:footer="907" w:gutter="0"/>
          <w:pgNumType w:fmt="decimal"/>
          <w:cols w:space="720" w:num="1"/>
          <w:docGrid w:type="lines" w:linePitch="312" w:charSpace="0"/>
        </w:sectPr>
      </w:pPr>
    </w:p>
    <w:p w14:paraId="05E3CA12">
      <w:pPr>
        <w:keepNext/>
        <w:keepLines/>
        <w:ind w:firstLine="442" w:firstLineChars="200"/>
        <w:outlineLvl w:val="1"/>
        <w:rPr>
          <w:rFonts w:hint="default" w:eastAsia="宋体"/>
          <w:b/>
          <w:bCs/>
          <w:color w:val="000000" w:themeColor="text1"/>
          <w:kern w:val="44"/>
          <w:sz w:val="22"/>
          <w:szCs w:val="22"/>
          <w:lang w:val="en-US" w:eastAsia="zh-CN"/>
          <w14:textFill>
            <w14:solidFill>
              <w14:schemeClr w14:val="tx1"/>
            </w14:solidFill>
          </w14:textFill>
        </w:rPr>
      </w:pPr>
      <w:bookmarkStart w:id="94" w:name="_Toc29169"/>
      <w:bookmarkStart w:id="95" w:name="_Toc4052"/>
      <w:r>
        <w:rPr>
          <w:rFonts w:hint="eastAsia"/>
          <w:b/>
          <w:bCs/>
          <w:color w:val="000000" w:themeColor="text1"/>
          <w:kern w:val="44"/>
          <w:sz w:val="22"/>
          <w:szCs w:val="22"/>
          <w:lang w:val="en-US" w:eastAsia="zh-CN"/>
          <w14:textFill>
            <w14:solidFill>
              <w14:schemeClr w14:val="tx1"/>
            </w14:solidFill>
          </w14:textFill>
        </w:rPr>
        <w:t>（二）企业的满意度分析报告</w:t>
      </w:r>
    </w:p>
    <w:bookmarkEnd w:id="94"/>
    <w:bookmarkEnd w:id="95"/>
    <w:p w14:paraId="03095B27">
      <w:pPr>
        <w:ind w:firstLine="420"/>
        <w:rPr>
          <w:color w:val="000000" w:themeColor="text1"/>
          <w14:textFill>
            <w14:solidFill>
              <w14:schemeClr w14:val="tx1"/>
            </w14:solidFill>
          </w14:textFill>
        </w:rPr>
      </w:pPr>
      <w:r>
        <w:rPr>
          <w:color w:val="000000" w:themeColor="text1"/>
          <w14:textFill>
            <w14:solidFill>
              <w14:schemeClr w14:val="tx1"/>
            </w14:solidFill>
          </w14:textFill>
        </w:rPr>
        <w:t>本次绩效评价的对象为吉木萨尔县</w:t>
      </w:r>
      <w:r>
        <w:rPr>
          <w:rFonts w:hint="eastAsia"/>
          <w:color w:val="000000" w:themeColor="text1"/>
          <w:lang w:eastAsia="zh-CN"/>
          <w14:textFill>
            <w14:solidFill>
              <w14:schemeClr w14:val="tx1"/>
            </w14:solidFill>
          </w14:textFill>
        </w:rPr>
        <w:t>统计局</w:t>
      </w:r>
      <w:r>
        <w:rPr>
          <w:color w:val="000000" w:themeColor="text1"/>
          <w14:textFill>
            <w14:solidFill>
              <w14:schemeClr w14:val="tx1"/>
            </w14:solidFill>
          </w14:textFill>
        </w:rPr>
        <w:t>部门整体，为客观评价该部门整体的社会效果，绩效评价小组依据公共支出绩效评价“为顾客服务”原理，引入“商户满意度”等效益指标，了解企业对吉木萨尔县</w:t>
      </w:r>
      <w:r>
        <w:rPr>
          <w:rFonts w:hint="eastAsia"/>
          <w:color w:val="000000" w:themeColor="text1"/>
          <w:lang w:eastAsia="zh-CN"/>
          <w14:textFill>
            <w14:solidFill>
              <w14:schemeClr w14:val="tx1"/>
            </w14:solidFill>
          </w14:textFill>
        </w:rPr>
        <w:t>统计局</w:t>
      </w:r>
      <w:r>
        <w:rPr>
          <w:color w:val="000000" w:themeColor="text1"/>
          <w14:textFill>
            <w14:solidFill>
              <w14:schemeClr w14:val="tx1"/>
            </w14:solidFill>
          </w14:textFill>
        </w:rPr>
        <w:t>的评价情况，对该项目开展满意度问卷调查。问卷调查工作情况如下：</w:t>
      </w:r>
    </w:p>
    <w:p w14:paraId="0FAFB522">
      <w:pPr>
        <w:ind w:firstLine="422"/>
        <w:rPr>
          <w:b/>
          <w:bCs/>
          <w:color w:val="000000" w:themeColor="text1"/>
          <w14:textFill>
            <w14:solidFill>
              <w14:schemeClr w14:val="tx1"/>
            </w14:solidFill>
          </w14:textFill>
        </w:rPr>
      </w:pPr>
      <w:bookmarkStart w:id="96" w:name="_Toc529373321"/>
      <w:bookmarkStart w:id="97" w:name="_Toc529373554"/>
      <w:r>
        <w:rPr>
          <w:b/>
          <w:bCs/>
          <w:color w:val="000000" w:themeColor="text1"/>
          <w14:textFill>
            <w14:solidFill>
              <w14:schemeClr w14:val="tx1"/>
            </w14:solidFill>
          </w14:textFill>
        </w:rPr>
        <w:t>1.调查对象</w:t>
      </w:r>
      <w:bookmarkEnd w:id="96"/>
      <w:bookmarkEnd w:id="97"/>
    </w:p>
    <w:p w14:paraId="5F8AAA61">
      <w:pPr>
        <w:ind w:firstLine="420"/>
        <w:rPr>
          <w:color w:val="000000" w:themeColor="text1"/>
          <w14:textFill>
            <w14:solidFill>
              <w14:schemeClr w14:val="tx1"/>
            </w14:solidFill>
          </w14:textFill>
        </w:rPr>
      </w:pPr>
      <w:r>
        <w:rPr>
          <w:color w:val="000000" w:themeColor="text1"/>
          <w14:textFill>
            <w14:solidFill>
              <w14:schemeClr w14:val="tx1"/>
            </w14:solidFill>
          </w14:textFill>
        </w:rPr>
        <w:t>结合吉木萨尔县</w:t>
      </w:r>
      <w:r>
        <w:rPr>
          <w:rFonts w:hint="eastAsia"/>
          <w:color w:val="000000" w:themeColor="text1"/>
          <w:lang w:eastAsia="zh-CN"/>
          <w14:textFill>
            <w14:solidFill>
              <w14:schemeClr w14:val="tx1"/>
            </w14:solidFill>
          </w14:textFill>
        </w:rPr>
        <w:t>统计局2024</w:t>
      </w:r>
      <w:r>
        <w:rPr>
          <w:color w:val="000000" w:themeColor="text1"/>
          <w14:textFill>
            <w14:solidFill>
              <w14:schemeClr w14:val="tx1"/>
            </w14:solidFill>
          </w14:textFill>
        </w:rPr>
        <w:t>年部门整体工作绩效实施情况及实际问卷调查可操作性，本次满意度问卷旨在考察吉木萨尔县</w:t>
      </w:r>
      <w:r>
        <w:rPr>
          <w:rFonts w:hint="eastAsia"/>
          <w:color w:val="000000" w:themeColor="text1"/>
          <w:lang w:eastAsia="zh-CN"/>
          <w14:textFill>
            <w14:solidFill>
              <w14:schemeClr w14:val="tx1"/>
            </w14:solidFill>
          </w14:textFill>
        </w:rPr>
        <w:t>统计局对</w:t>
      </w:r>
      <w:r>
        <w:rPr>
          <w:rFonts w:hint="eastAsia"/>
          <w:color w:val="000000" w:themeColor="text1"/>
          <w:lang w:val="en-US" w:eastAsia="zh-CN"/>
          <w14:textFill>
            <w14:solidFill>
              <w14:schemeClr w14:val="tx1"/>
            </w14:solidFill>
          </w14:textFill>
        </w:rPr>
        <w:t>2024年完成全国第五次经济普查的纳统企业进行抽样</w:t>
      </w:r>
      <w:r>
        <w:rPr>
          <w:color w:val="000000" w:themeColor="text1"/>
          <w14:textFill>
            <w14:solidFill>
              <w14:schemeClr w14:val="tx1"/>
            </w14:solidFill>
          </w14:textFill>
        </w:rPr>
        <w:t>，</w:t>
      </w:r>
      <w:r>
        <w:rPr>
          <w:rFonts w:hint="eastAsia"/>
          <w:color w:val="000000" w:themeColor="text1"/>
          <w:lang w:val="en-US" w:eastAsia="zh-CN"/>
          <w14:textFill>
            <w14:solidFill>
              <w14:schemeClr w14:val="tx1"/>
            </w14:solidFill>
          </w14:textFill>
        </w:rPr>
        <w:t>就</w:t>
      </w:r>
      <w:r>
        <w:rPr>
          <w:color w:val="000000" w:themeColor="text1"/>
          <w14:textFill>
            <w14:solidFill>
              <w14:schemeClr w14:val="tx1"/>
            </w14:solidFill>
          </w14:textFill>
        </w:rPr>
        <w:t>吉木萨尔县</w:t>
      </w:r>
      <w:r>
        <w:rPr>
          <w:rFonts w:hint="eastAsia"/>
          <w:color w:val="000000" w:themeColor="text1"/>
          <w:lang w:eastAsia="zh-CN"/>
          <w14:textFill>
            <w14:solidFill>
              <w14:schemeClr w14:val="tx1"/>
            </w14:solidFill>
          </w14:textFill>
        </w:rPr>
        <w:t>统计局</w:t>
      </w:r>
      <w:r>
        <w:rPr>
          <w:color w:val="000000" w:themeColor="text1"/>
          <w14:textFill>
            <w14:solidFill>
              <w14:schemeClr w14:val="tx1"/>
            </w14:solidFill>
          </w14:textFill>
        </w:rPr>
        <w:t>对吉木萨尔县</w:t>
      </w:r>
      <w:r>
        <w:rPr>
          <w:rFonts w:hint="eastAsia"/>
          <w:color w:val="000000" w:themeColor="text1"/>
          <w:lang w:val="en-US" w:eastAsia="zh-CN"/>
          <w14:textFill>
            <w14:solidFill>
              <w14:schemeClr w14:val="tx1"/>
            </w14:solidFill>
          </w14:textFill>
        </w:rPr>
        <w:t>纳统企业</w:t>
      </w:r>
      <w:r>
        <w:rPr>
          <w:color w:val="000000" w:themeColor="text1"/>
          <w14:textFill>
            <w14:solidFill>
              <w14:schemeClr w14:val="tx1"/>
            </w14:solidFill>
          </w14:textFill>
        </w:rPr>
        <w:t>在</w:t>
      </w:r>
      <w:r>
        <w:rPr>
          <w:rFonts w:hint="eastAsia"/>
          <w:color w:val="000000" w:themeColor="text1"/>
          <w:lang w:val="en-US" w:eastAsia="zh-CN"/>
          <w14:textFill>
            <w14:solidFill>
              <w14:schemeClr w14:val="tx1"/>
            </w14:solidFill>
          </w14:textFill>
        </w:rPr>
        <w:t>统计</w:t>
      </w:r>
      <w:r>
        <w:rPr>
          <w:color w:val="000000" w:themeColor="text1"/>
          <w14:textFill>
            <w14:solidFill>
              <w14:schemeClr w14:val="tx1"/>
            </w14:solidFill>
          </w14:textFill>
        </w:rPr>
        <w:t>服务流程中所体现的规范化、标准化等方面的满意度情况。因此，本次满意度调查的对象为吉木萨尔县</w:t>
      </w:r>
      <w:r>
        <w:rPr>
          <w:rFonts w:hint="eastAsia"/>
          <w:color w:val="000000" w:themeColor="text1"/>
          <w:lang w:val="en-US" w:eastAsia="zh-CN"/>
          <w14:textFill>
            <w14:solidFill>
              <w14:schemeClr w14:val="tx1"/>
            </w14:solidFill>
          </w14:textFill>
        </w:rPr>
        <w:t>纳统企业</w:t>
      </w:r>
      <w:r>
        <w:rPr>
          <w:color w:val="000000" w:themeColor="text1"/>
          <w14:textFill>
            <w14:solidFill>
              <w14:schemeClr w14:val="tx1"/>
            </w14:solidFill>
          </w14:textFill>
        </w:rPr>
        <w:t>。</w:t>
      </w:r>
    </w:p>
    <w:p w14:paraId="394B1AB8">
      <w:pPr>
        <w:ind w:firstLine="422"/>
        <w:rPr>
          <w:b/>
          <w:bCs/>
          <w:color w:val="000000" w:themeColor="text1"/>
          <w14:textFill>
            <w14:solidFill>
              <w14:schemeClr w14:val="tx1"/>
            </w14:solidFill>
          </w14:textFill>
        </w:rPr>
      </w:pPr>
      <w:r>
        <w:rPr>
          <w:b/>
          <w:bCs/>
          <w:color w:val="000000" w:themeColor="text1"/>
          <w14:textFill>
            <w14:solidFill>
              <w14:schemeClr w14:val="tx1"/>
            </w14:solidFill>
          </w14:textFill>
        </w:rPr>
        <w:t>2.调查内容</w:t>
      </w:r>
    </w:p>
    <w:p w14:paraId="5007D123">
      <w:pPr>
        <w:ind w:firstLine="420"/>
        <w:rPr>
          <w:color w:val="000000" w:themeColor="text1"/>
          <w14:textFill>
            <w14:solidFill>
              <w14:schemeClr w14:val="tx1"/>
            </w14:solidFill>
          </w14:textFill>
        </w:rPr>
      </w:pPr>
      <w:r>
        <w:rPr>
          <w:color w:val="000000" w:themeColor="text1"/>
          <w14:textFill>
            <w14:solidFill>
              <w14:schemeClr w14:val="tx1"/>
            </w14:solidFill>
          </w14:textFill>
        </w:rPr>
        <w:t>（1）对吉木萨尔县</w:t>
      </w:r>
      <w:r>
        <w:rPr>
          <w:rFonts w:hint="eastAsia"/>
          <w:color w:val="000000" w:themeColor="text1"/>
          <w:lang w:eastAsia="zh-CN"/>
          <w14:textFill>
            <w14:solidFill>
              <w14:schemeClr w14:val="tx1"/>
            </w14:solidFill>
          </w14:textFill>
        </w:rPr>
        <w:t>统计局2024</w:t>
      </w:r>
      <w:r>
        <w:rPr>
          <w:color w:val="000000" w:themeColor="text1"/>
          <w14:textFill>
            <w14:solidFill>
              <w14:schemeClr w14:val="tx1"/>
            </w14:solidFill>
          </w14:textFill>
        </w:rPr>
        <w:t>年部门整体工作绩效实施情况的满意度，包括对吉木萨尔县</w:t>
      </w:r>
      <w:r>
        <w:rPr>
          <w:rFonts w:hint="eastAsia"/>
          <w:color w:val="000000" w:themeColor="text1"/>
          <w:lang w:eastAsia="zh-CN"/>
          <w14:textFill>
            <w14:solidFill>
              <w14:schemeClr w14:val="tx1"/>
            </w14:solidFill>
          </w14:textFill>
        </w:rPr>
        <w:t>统计局</w:t>
      </w:r>
      <w:r>
        <w:rPr>
          <w:color w:val="000000" w:themeColor="text1"/>
          <w14:textFill>
            <w14:solidFill>
              <w14:schemeClr w14:val="tx1"/>
            </w14:solidFill>
          </w14:textFill>
        </w:rPr>
        <w:t>的工作情况是否满意或较不满意等。</w:t>
      </w:r>
    </w:p>
    <w:p w14:paraId="1EC91A15">
      <w:pPr>
        <w:ind w:firstLine="420"/>
        <w:rPr>
          <w:color w:val="000000" w:themeColor="text1"/>
          <w14:textFill>
            <w14:solidFill>
              <w14:schemeClr w14:val="tx1"/>
            </w14:solidFill>
          </w14:textFill>
        </w:rPr>
      </w:pPr>
      <w:r>
        <w:rPr>
          <w:color w:val="000000" w:themeColor="text1"/>
          <w14:textFill>
            <w14:solidFill>
              <w14:schemeClr w14:val="tx1"/>
            </w14:solidFill>
          </w14:textFill>
        </w:rPr>
        <w:t>（2）对吉木萨尔县</w:t>
      </w:r>
      <w:r>
        <w:rPr>
          <w:rFonts w:hint="eastAsia"/>
          <w:color w:val="000000" w:themeColor="text1"/>
          <w:lang w:eastAsia="zh-CN"/>
          <w14:textFill>
            <w14:solidFill>
              <w14:schemeClr w14:val="tx1"/>
            </w14:solidFill>
          </w14:textFill>
        </w:rPr>
        <w:t>统计局2024</w:t>
      </w:r>
      <w:r>
        <w:rPr>
          <w:color w:val="000000" w:themeColor="text1"/>
          <w14:textFill>
            <w14:solidFill>
              <w14:schemeClr w14:val="tx1"/>
            </w14:solidFill>
          </w14:textFill>
        </w:rPr>
        <w:t>年部门整体工作绩效实施情况的意见和建议，通过开放式问答收集，涵盖各个方面。</w:t>
      </w:r>
    </w:p>
    <w:p w14:paraId="565050EB">
      <w:pPr>
        <w:ind w:firstLine="422"/>
        <w:rPr>
          <w:b/>
          <w:bCs/>
          <w:color w:val="000000" w:themeColor="text1"/>
          <w14:textFill>
            <w14:solidFill>
              <w14:schemeClr w14:val="tx1"/>
            </w14:solidFill>
          </w14:textFill>
        </w:rPr>
      </w:pPr>
      <w:r>
        <w:rPr>
          <w:b/>
          <w:bCs/>
          <w:color w:val="000000" w:themeColor="text1"/>
          <w14:textFill>
            <w14:solidFill>
              <w14:schemeClr w14:val="tx1"/>
            </w14:solidFill>
          </w14:textFill>
        </w:rPr>
        <w:t>3.抽样方式</w:t>
      </w:r>
    </w:p>
    <w:p w14:paraId="1764CC86">
      <w:pPr>
        <w:ind w:firstLine="420"/>
        <w:rPr>
          <w:color w:val="000000" w:themeColor="text1"/>
          <w14:textFill>
            <w14:solidFill>
              <w14:schemeClr w14:val="tx1"/>
            </w14:solidFill>
          </w14:textFill>
        </w:rPr>
      </w:pPr>
      <w:r>
        <w:rPr>
          <w:rFonts w:hint="eastAsia"/>
          <w:color w:val="000000" w:themeColor="text1"/>
          <w14:textFill>
            <w14:solidFill>
              <w14:schemeClr w14:val="tx1"/>
            </w14:solidFill>
          </w14:textFill>
        </w:rPr>
        <w:t>本次调研问卷调查采取随机抽样方式</w:t>
      </w:r>
      <w:r>
        <w:rPr>
          <w:color w:val="000000" w:themeColor="text1"/>
          <w14:textFill>
            <w14:solidFill>
              <w14:schemeClr w14:val="tx1"/>
            </w14:solidFill>
          </w14:textFill>
        </w:rPr>
        <w:t>对</w:t>
      </w:r>
      <w:r>
        <w:rPr>
          <w:rFonts w:hint="eastAsia"/>
          <w:color w:val="000000" w:themeColor="text1"/>
          <w14:textFill>
            <w14:solidFill>
              <w14:schemeClr w14:val="tx1"/>
            </w14:solidFill>
          </w14:textFill>
        </w:rPr>
        <w:t>在</w:t>
      </w:r>
      <w:r>
        <w:rPr>
          <w:color w:val="000000" w:themeColor="text1"/>
          <w14:textFill>
            <w14:solidFill>
              <w14:schemeClr w14:val="tx1"/>
            </w14:solidFill>
          </w14:textFill>
        </w:rPr>
        <w:t>吉木萨尔县</w:t>
      </w:r>
      <w:r>
        <w:rPr>
          <w:rFonts w:hint="eastAsia"/>
          <w:color w:val="000000" w:themeColor="text1"/>
          <w:lang w:val="en-US" w:eastAsia="zh-CN"/>
          <w14:textFill>
            <w14:solidFill>
              <w14:schemeClr w14:val="tx1"/>
            </w14:solidFill>
          </w14:textFill>
        </w:rPr>
        <w:t>纳统企业</w:t>
      </w:r>
      <w:r>
        <w:rPr>
          <w:color w:val="000000" w:themeColor="text1"/>
          <w14:textFill>
            <w14:solidFill>
              <w14:schemeClr w14:val="tx1"/>
            </w14:solidFill>
          </w14:textFill>
        </w:rPr>
        <w:t>随机发放问卷</w:t>
      </w:r>
      <w:r>
        <w:rPr>
          <w:rFonts w:hint="eastAsia"/>
          <w:color w:val="000000" w:themeColor="text1"/>
          <w:lang w:val="en-US" w:eastAsia="zh-CN"/>
          <w14:textFill>
            <w14:solidFill>
              <w14:schemeClr w14:val="tx1"/>
            </w14:solidFill>
          </w14:textFill>
        </w:rPr>
        <w:t>63</w:t>
      </w:r>
      <w:r>
        <w:rPr>
          <w:color w:val="000000" w:themeColor="text1"/>
          <w14:textFill>
            <w14:solidFill>
              <w14:schemeClr w14:val="tx1"/>
            </w14:solidFill>
          </w14:textFill>
        </w:rPr>
        <w:t>份。</w:t>
      </w:r>
    </w:p>
    <w:p w14:paraId="7069A02F">
      <w:pPr>
        <w:ind w:firstLine="422"/>
        <w:rPr>
          <w:b/>
          <w:bCs/>
          <w:color w:val="000000" w:themeColor="text1"/>
          <w14:textFill>
            <w14:solidFill>
              <w14:schemeClr w14:val="tx1"/>
            </w14:solidFill>
          </w14:textFill>
        </w:rPr>
      </w:pPr>
      <w:r>
        <w:rPr>
          <w:b/>
          <w:bCs/>
          <w:color w:val="000000" w:themeColor="text1"/>
          <w14:textFill>
            <w14:solidFill>
              <w14:schemeClr w14:val="tx1"/>
            </w14:solidFill>
          </w14:textFill>
        </w:rPr>
        <w:t>4.问卷的发放和回收</w:t>
      </w:r>
    </w:p>
    <w:p w14:paraId="02B23FC8">
      <w:pPr>
        <w:ind w:firstLine="420"/>
        <w:rPr>
          <w:color w:val="000000" w:themeColor="text1"/>
          <w14:textFill>
            <w14:solidFill>
              <w14:schemeClr w14:val="tx1"/>
            </w14:solidFill>
          </w14:textFill>
        </w:rPr>
      </w:pPr>
      <w:r>
        <w:rPr>
          <w:color w:val="000000" w:themeColor="text1"/>
          <w14:textFill>
            <w14:solidFill>
              <w14:schemeClr w14:val="tx1"/>
            </w14:solidFill>
          </w14:textFill>
        </w:rPr>
        <w:t>为充分采集调查对象的真实想法，保证问卷调查的公平性和科学性，本次问卷调查不记名，通过电子问卷形式进行发放与回收。</w:t>
      </w:r>
    </w:p>
    <w:p w14:paraId="681E661E">
      <w:pPr>
        <w:ind w:left="420" w:leftChars="200" w:firstLine="0" w:firstLineChars="0"/>
        <w:jc w:val="left"/>
        <w:rPr>
          <w:b/>
          <w:bCs/>
          <w:color w:val="000000" w:themeColor="text1"/>
          <w14:textFill>
            <w14:solidFill>
              <w14:schemeClr w14:val="tx1"/>
            </w14:solidFill>
          </w14:textFill>
        </w:rPr>
      </w:pPr>
      <w:r>
        <w:rPr>
          <w:b/>
          <w:bCs/>
          <w:color w:val="000000" w:themeColor="text1"/>
          <w14:textFill>
            <w14:solidFill>
              <w14:schemeClr w14:val="tx1"/>
            </w14:solidFill>
          </w14:textFill>
        </w:rPr>
        <w:t>5.问卷调查分析结果</w:t>
      </w:r>
    </w:p>
    <w:p w14:paraId="5112C4A6">
      <w:pPr>
        <w:ind w:firstLine="420"/>
        <w:rPr>
          <w:color w:val="000000" w:themeColor="text1"/>
          <w14:textFill>
            <w14:solidFill>
              <w14:schemeClr w14:val="tx1"/>
            </w14:solidFill>
          </w14:textFill>
        </w:rPr>
      </w:pPr>
      <w:r>
        <w:rPr>
          <w:color w:val="000000" w:themeColor="text1"/>
          <w14:textFill>
            <w14:solidFill>
              <w14:schemeClr w14:val="tx1"/>
            </w14:solidFill>
          </w14:textFill>
        </w:rPr>
        <w:t>本次调研过程中，评价组实际发放问卷</w:t>
      </w:r>
      <w:r>
        <w:rPr>
          <w:rFonts w:hint="eastAsia"/>
          <w:color w:val="000000" w:themeColor="text1"/>
          <w:lang w:val="en-US" w:eastAsia="zh-CN"/>
          <w14:textFill>
            <w14:solidFill>
              <w14:schemeClr w14:val="tx1"/>
            </w14:solidFill>
          </w14:textFill>
        </w:rPr>
        <w:t>63</w:t>
      </w:r>
      <w:r>
        <w:rPr>
          <w:color w:val="000000" w:themeColor="text1"/>
          <w14:textFill>
            <w14:solidFill>
              <w14:schemeClr w14:val="tx1"/>
            </w14:solidFill>
          </w14:textFill>
        </w:rPr>
        <w:t>份，回收问卷</w:t>
      </w:r>
      <w:r>
        <w:rPr>
          <w:rFonts w:hint="eastAsia"/>
          <w:color w:val="000000" w:themeColor="text1"/>
          <w:lang w:val="en-US" w:eastAsia="zh-CN"/>
          <w14:textFill>
            <w14:solidFill>
              <w14:schemeClr w14:val="tx1"/>
            </w14:solidFill>
          </w14:textFill>
        </w:rPr>
        <w:t>63</w:t>
      </w:r>
      <w:r>
        <w:rPr>
          <w:color w:val="000000" w:themeColor="text1"/>
          <w14:textFill>
            <w14:solidFill>
              <w14:schemeClr w14:val="tx1"/>
            </w14:solidFill>
          </w14:textFill>
        </w:rPr>
        <w:t>份，问卷回收率为100%，有效问卷</w:t>
      </w:r>
      <w:r>
        <w:rPr>
          <w:rFonts w:hint="eastAsia"/>
          <w:color w:val="000000" w:themeColor="text1"/>
          <w:lang w:val="en-US" w:eastAsia="zh-CN"/>
          <w14:textFill>
            <w14:solidFill>
              <w14:schemeClr w14:val="tx1"/>
            </w14:solidFill>
          </w14:textFill>
        </w:rPr>
        <w:t>63</w:t>
      </w:r>
      <w:r>
        <w:rPr>
          <w:color w:val="000000" w:themeColor="text1"/>
          <w14:textFill>
            <w14:solidFill>
              <w14:schemeClr w14:val="tx1"/>
            </w14:solidFill>
          </w14:textFill>
        </w:rPr>
        <w:t>份，有效</w:t>
      </w:r>
      <w:r>
        <w:rPr>
          <w:color w:val="000000" w:themeColor="text1"/>
          <w:lang w:bidi="ar"/>
          <w14:textFill>
            <w14:solidFill>
              <w14:schemeClr w14:val="tx1"/>
            </w14:solidFill>
          </w14:textFill>
        </w:rPr>
        <w:t>回收率</w:t>
      </w:r>
      <w:r>
        <w:rPr>
          <w:color w:val="000000" w:themeColor="text1"/>
          <w14:textFill>
            <w14:solidFill>
              <w14:schemeClr w14:val="tx1"/>
            </w14:solidFill>
          </w14:textFill>
        </w:rPr>
        <w:t>100%，调研问卷总体满意度为</w:t>
      </w:r>
      <w:r>
        <w:rPr>
          <w:rFonts w:hint="eastAsia"/>
          <w:color w:val="000000" w:themeColor="text1"/>
          <w:lang w:val="en-US" w:eastAsia="zh-CN"/>
          <w14:textFill>
            <w14:solidFill>
              <w14:schemeClr w14:val="tx1"/>
            </w14:solidFill>
          </w14:textFill>
        </w:rPr>
        <w:t>92.96</w:t>
      </w:r>
      <w:r>
        <w:rPr>
          <w:color w:val="000000" w:themeColor="text1"/>
          <w14:textFill>
            <w14:solidFill>
              <w14:schemeClr w14:val="tx1"/>
            </w14:solidFill>
          </w14:textFill>
        </w:rPr>
        <w:t>%。本次调研的具体情况如下：</w:t>
      </w:r>
    </w:p>
    <w:tbl>
      <w:tblPr>
        <w:tblStyle w:val="2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81"/>
        <w:gridCol w:w="1449"/>
        <w:gridCol w:w="1392"/>
      </w:tblGrid>
      <w:tr w14:paraId="1B00B2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63"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B7BB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bookmarkStart w:id="98" w:name="_Toc12827"/>
            <w:bookmarkEnd w:id="98"/>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 您所在企业的行业类型：</w:t>
            </w:r>
          </w:p>
        </w:tc>
      </w:tr>
      <w:tr w14:paraId="2038F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9132C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2F31D9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51214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64EB9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5E611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制造业</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E92AB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51169B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22.22%</w:t>
            </w:r>
          </w:p>
        </w:tc>
      </w:tr>
      <w:tr w14:paraId="442F03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80A2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服务业（如金融、商贸、物流等）</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CF1E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30D1D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19.05%</w:t>
            </w:r>
          </w:p>
        </w:tc>
      </w:tr>
      <w:tr w14:paraId="5F40B9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5AE6F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建筑业</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F891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EBBD4E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9.52%</w:t>
            </w:r>
          </w:p>
        </w:tc>
      </w:tr>
      <w:tr w14:paraId="260E2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B06DE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农业</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F55A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CC044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6.35%</w:t>
            </w:r>
          </w:p>
        </w:tc>
      </w:tr>
      <w:tr w14:paraId="20F62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D761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其他：________</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9E388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27</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26968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42.86%</w:t>
            </w:r>
          </w:p>
        </w:tc>
      </w:tr>
      <w:tr w14:paraId="3FEB1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2A5E6">
            <w:pPr>
              <w:keepNext w:val="0"/>
              <w:keepLines w:val="0"/>
              <w:pageBreakBefore w:val="0"/>
              <w:widowControl/>
              <w:kinsoku/>
              <w:wordWrap/>
              <w:overflowPunct/>
              <w:topLinePunct w:val="0"/>
              <w:autoSpaceDE/>
              <w:autoSpaceDN/>
              <w:bidi w:val="0"/>
              <w:spacing w:line="240" w:lineRule="auto"/>
              <w:ind w:firstLine="0" w:firstLineChars="0"/>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 企业纳入统计工作的年限：</w:t>
            </w:r>
          </w:p>
        </w:tc>
      </w:tr>
      <w:tr w14:paraId="6567C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501E0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AD026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E75BA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63FA66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5D88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1年及以下</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BA701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A011D2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15.87%</w:t>
            </w:r>
          </w:p>
        </w:tc>
      </w:tr>
      <w:tr w14:paraId="234103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3B3F8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2-5年</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4BE2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34</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296DFB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53.97%</w:t>
            </w:r>
          </w:p>
        </w:tc>
      </w:tr>
      <w:tr w14:paraId="138CE5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8B3F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6-10年</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D214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85C9A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17.46%</w:t>
            </w:r>
          </w:p>
        </w:tc>
      </w:tr>
      <w:tr w14:paraId="207E6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B5BB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11年以上</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D0A1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22A38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12.70%</w:t>
            </w:r>
          </w:p>
        </w:tc>
      </w:tr>
      <w:tr w14:paraId="25615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F8679">
            <w:pPr>
              <w:keepNext w:val="0"/>
              <w:keepLines w:val="0"/>
              <w:pageBreakBefore w:val="0"/>
              <w:widowControl/>
              <w:kinsoku/>
              <w:wordWrap/>
              <w:overflowPunct/>
              <w:topLinePunct w:val="0"/>
              <w:autoSpaceDE/>
              <w:autoSpaceDN/>
              <w:bidi w:val="0"/>
              <w:spacing w:line="240" w:lineRule="auto"/>
              <w:ind w:firstLine="0" w:firstLineChars="0"/>
              <w:jc w:val="left"/>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 您在企业中负责统计相关工作的角色：</w:t>
            </w:r>
          </w:p>
        </w:tc>
      </w:tr>
      <w:tr w14:paraId="140550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7E21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F56F3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04D99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26F216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4EBC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企业负责人</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B549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F22681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3.70%</w:t>
            </w:r>
          </w:p>
        </w:tc>
      </w:tr>
      <w:tr w14:paraId="6F2CDD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2FDD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专职统计人员</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A47F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3F19F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1.85%</w:t>
            </w:r>
          </w:p>
        </w:tc>
      </w:tr>
      <w:tr w14:paraId="18D4C7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7018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兼职统计人员（如财务、行政兼任）</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0C7B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49</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923290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90.74%</w:t>
            </w:r>
          </w:p>
        </w:tc>
      </w:tr>
      <w:tr w14:paraId="6A519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B7EE3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其他：________</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1848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5AC3A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3.70%</w:t>
            </w:r>
          </w:p>
        </w:tc>
      </w:tr>
      <w:tr w14:paraId="4AD7C0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5D338">
            <w:pPr>
              <w:keepNext w:val="0"/>
              <w:keepLines w:val="0"/>
              <w:pageBreakBefore w:val="0"/>
              <w:widowControl/>
              <w:kinsoku/>
              <w:wordWrap/>
              <w:overflowPunct/>
              <w:topLinePunct w:val="0"/>
              <w:autoSpaceDE/>
              <w:autoSpaceDN/>
              <w:bidi w:val="0"/>
              <w:spacing w:line="240" w:lineRule="auto"/>
              <w:ind w:firstLine="0" w:firstLineChars="0"/>
              <w:jc w:val="left"/>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 您认为统计报表的填报流程是否清晰易懂？</w:t>
            </w:r>
          </w:p>
        </w:tc>
      </w:tr>
      <w:tr w14:paraId="5015C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9E54C1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DAA6BD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03F5D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18F2E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664D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非常清晰，无需额外指导</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3F74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19</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84A79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30.16%</w:t>
            </w:r>
          </w:p>
        </w:tc>
      </w:tr>
      <w:tr w14:paraId="122DD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CFF4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比较清晰，偶有疑问可自行解决</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0E8B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37</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88367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58.73%</w:t>
            </w:r>
          </w:p>
        </w:tc>
      </w:tr>
      <w:tr w14:paraId="62FEE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04F6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一般，需咨询后才能完成</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7939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B77A2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9.52%</w:t>
            </w:r>
          </w:p>
        </w:tc>
      </w:tr>
      <w:tr w14:paraId="41459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9A04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不够清晰，易出现填报错误</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3433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3C608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1.59%</w:t>
            </w:r>
          </w:p>
        </w:tc>
      </w:tr>
      <w:tr w14:paraId="3F5972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9A6E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混乱难懂，严重影响效率</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56CAC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76287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23868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CC302">
            <w:pPr>
              <w:keepNext w:val="0"/>
              <w:keepLines w:val="0"/>
              <w:pageBreakBefore w:val="0"/>
              <w:widowControl/>
              <w:kinsoku/>
              <w:wordWrap/>
              <w:overflowPunct/>
              <w:topLinePunct w:val="0"/>
              <w:autoSpaceDE/>
              <w:autoSpaceDN/>
              <w:bidi w:val="0"/>
              <w:spacing w:line="240" w:lineRule="auto"/>
              <w:ind w:firstLine="0" w:firstLineChars="0"/>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 统计报表的报送频率与时限设置是否合理？</w:t>
            </w:r>
          </w:p>
        </w:tc>
      </w:tr>
      <w:tr w14:paraId="49F92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05DAB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016781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BA6E3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4C6BDA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187C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比较合理，基本无压力</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6072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45</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72AAA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71.43%</w:t>
            </w:r>
          </w:p>
        </w:tc>
      </w:tr>
      <w:tr w14:paraId="11788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0D11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一般，偶尔需加班完成</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DE3D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04ABF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23.81%</w:t>
            </w:r>
          </w:p>
        </w:tc>
      </w:tr>
      <w:tr w14:paraId="0D517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14DA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不太合理，频繁报送压力大</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DA142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B816B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4.76%</w:t>
            </w:r>
          </w:p>
        </w:tc>
      </w:tr>
      <w:tr w14:paraId="5E70E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0B173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极不合理，无法按时完成</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AA0B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D830E0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27063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87AE0A">
            <w:pPr>
              <w:keepNext w:val="0"/>
              <w:keepLines w:val="0"/>
              <w:pageBreakBefore w:val="0"/>
              <w:widowControl/>
              <w:kinsoku/>
              <w:wordWrap/>
              <w:overflowPunct/>
              <w:topLinePunct w:val="0"/>
              <w:autoSpaceDE/>
              <w:autoSpaceDN/>
              <w:bidi w:val="0"/>
              <w:spacing w:line="240" w:lineRule="auto"/>
              <w:ind w:firstLine="0" w:firstLineChars="0"/>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 您对统计报送平台/系统的操作便捷性满意度如何？</w:t>
            </w:r>
          </w:p>
        </w:tc>
      </w:tr>
      <w:tr w14:paraId="6D793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1F066E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FB675E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F3FAC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27BD5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D970C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非常满意，高效流畅</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ABEF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36</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CA7E2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57.14%</w:t>
            </w:r>
          </w:p>
        </w:tc>
      </w:tr>
      <w:tr w14:paraId="4945F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BF0E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满意，基本无技术问题</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000A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9E356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38.10%</w:t>
            </w:r>
          </w:p>
        </w:tc>
      </w:tr>
      <w:tr w14:paraId="5B13B9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1C49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一般，偶尔卡顿或故障</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13E6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6DCCA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4.76%</w:t>
            </w:r>
          </w:p>
        </w:tc>
      </w:tr>
      <w:tr w14:paraId="569AD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C080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不满意，操作复杂且故障频发</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02C8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54D34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1F5CD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8A3D0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非常不满意，严重影响报送</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8171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3F647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1C9495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7B49BF">
            <w:pPr>
              <w:keepNext w:val="0"/>
              <w:keepLines w:val="0"/>
              <w:pageBreakBefore w:val="0"/>
              <w:widowControl/>
              <w:kinsoku/>
              <w:wordWrap/>
              <w:overflowPunct/>
              <w:topLinePunct w:val="0"/>
              <w:autoSpaceDE/>
              <w:autoSpaceDN/>
              <w:bidi w:val="0"/>
              <w:spacing w:line="240" w:lineRule="auto"/>
              <w:ind w:firstLine="0" w:firstLineChars="0"/>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 统计部门对指标解释、填报要求的说明是否清晰？</w:t>
            </w:r>
          </w:p>
        </w:tc>
      </w:tr>
      <w:tr w14:paraId="09ED0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21044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B7CA1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DD8E5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02DBD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A36D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非常清晰，易于理解</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5BC6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36</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F52173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57.14%</w:t>
            </w:r>
          </w:p>
        </w:tc>
      </w:tr>
      <w:tr w14:paraId="3E928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5CD02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比较清晰，基本能掌握</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E621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7C474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39.68%</w:t>
            </w:r>
          </w:p>
        </w:tc>
      </w:tr>
      <w:tr w14:paraId="495FF2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635C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一般，部分指标需反复确认</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325B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CBCC64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3.17%</w:t>
            </w:r>
          </w:p>
        </w:tc>
      </w:tr>
      <w:tr w14:paraId="23096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BFFA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不够清晰，易产生误解</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B84E5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E071D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0B48C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9B8C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完全不清晰，无法准确把握</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E55B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6A58EA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13D99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C6158B">
            <w:pPr>
              <w:keepNext w:val="0"/>
              <w:keepLines w:val="0"/>
              <w:pageBreakBefore w:val="0"/>
              <w:widowControl/>
              <w:kinsoku/>
              <w:wordWrap/>
              <w:overflowPunct/>
              <w:topLinePunct w:val="0"/>
              <w:autoSpaceDE/>
              <w:autoSpaceDN/>
              <w:bidi w:val="0"/>
              <w:spacing w:line="240" w:lineRule="auto"/>
              <w:ind w:firstLine="0" w:firstLineChars="0"/>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 当您遇到统计问题时，统计工作人员是否能及时提供指导帮助？</w:t>
            </w:r>
          </w:p>
        </w:tc>
      </w:tr>
      <w:tr w14:paraId="128721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18311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BBC2F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4EA5AA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0374B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D30EF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响应迅速，解答专业</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AB19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52</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59DE4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82.54%</w:t>
            </w:r>
          </w:p>
        </w:tc>
      </w:tr>
      <w:tr w14:paraId="11687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EAADB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响应及时，解答基本有效</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C32E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E475E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15.87%</w:t>
            </w:r>
          </w:p>
        </w:tc>
      </w:tr>
      <w:tr w14:paraId="066CAA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B3E3B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响应较慢，但能解决问题</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54D5B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09320C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1.59%</w:t>
            </w:r>
          </w:p>
        </w:tc>
      </w:tr>
      <w:tr w14:paraId="5B5915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BB0B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响应迟缓，解答不明确</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21B10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D63850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50AA93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94DC0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未响应或无法解答</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48EF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E2DC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6B30A9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29B79">
            <w:pPr>
              <w:keepNext w:val="0"/>
              <w:keepLines w:val="0"/>
              <w:pageBreakBefore w:val="0"/>
              <w:widowControl/>
              <w:kinsoku/>
              <w:wordWrap/>
              <w:overflowPunct/>
              <w:topLinePunct w:val="0"/>
              <w:autoSpaceDE/>
              <w:autoSpaceDN/>
              <w:bidi w:val="0"/>
              <w:spacing w:line="240" w:lineRule="auto"/>
              <w:ind w:firstLine="0" w:firstLineChars="0"/>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9. 您对统计部门组织的培训或政策解读活动满意度如何？</w:t>
            </w:r>
          </w:p>
        </w:tc>
      </w:tr>
      <w:tr w14:paraId="4697D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DD47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D66C0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17C04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26D6E7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23E4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非常满意，内容实用、针对性强</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5E2F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41</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56A4D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65.08%</w:t>
            </w:r>
          </w:p>
        </w:tc>
      </w:tr>
      <w:tr w14:paraId="0A8559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6F3C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满意，能满足基本需求</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353F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70380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34.92%</w:t>
            </w:r>
          </w:p>
        </w:tc>
      </w:tr>
      <w:tr w14:paraId="21C13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68AA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一般，内容较基础或缺乏重点</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1F50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5D9D5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74ABB4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2462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不满意，培训质量低、频次少</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19CC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02549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6F249A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B889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非常不满意，未参加过有效培训</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7906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311CF3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7B7AEC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B0AE95">
            <w:pPr>
              <w:keepNext w:val="0"/>
              <w:keepLines w:val="0"/>
              <w:pageBreakBefore w:val="0"/>
              <w:widowControl/>
              <w:kinsoku/>
              <w:wordWrap/>
              <w:overflowPunct/>
              <w:topLinePunct w:val="0"/>
              <w:autoSpaceDE/>
              <w:autoSpaceDN/>
              <w:bidi w:val="0"/>
              <w:spacing w:line="240" w:lineRule="auto"/>
              <w:ind w:firstLine="0" w:firstLineChars="0"/>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 统计部门对企业报送数据的审核反馈是否及时明确？</w:t>
            </w:r>
          </w:p>
        </w:tc>
      </w:tr>
      <w:tr w14:paraId="330AC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915ED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A8B020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C5ED7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0CB2A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DFE1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非常及时，问题标注清晰</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159E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46</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E556E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73.02%</w:t>
            </w:r>
          </w:p>
        </w:tc>
      </w:tr>
      <w:tr w14:paraId="75ED5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BADD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比较及时，问题说明明确</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6EEA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798A76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25.40%</w:t>
            </w:r>
          </w:p>
        </w:tc>
      </w:tr>
      <w:tr w14:paraId="7A98F9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17C7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一般，反馈有延迟但能理解</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B7BD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2BEDF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1.59%</w:t>
            </w:r>
          </w:p>
        </w:tc>
      </w:tr>
      <w:tr w14:paraId="1891C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A514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不及时，问题解释模糊</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1E0F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095E94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4526B1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48CB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无反馈，不清楚数据是否合格</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8C7F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D05684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3F71D2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E8104">
            <w:pPr>
              <w:keepNext w:val="0"/>
              <w:keepLines w:val="0"/>
              <w:pageBreakBefore w:val="0"/>
              <w:widowControl/>
              <w:kinsoku/>
              <w:wordWrap/>
              <w:overflowPunct/>
              <w:topLinePunct w:val="0"/>
              <w:autoSpaceDE/>
              <w:autoSpaceDN/>
              <w:bidi w:val="0"/>
              <w:spacing w:line="240" w:lineRule="auto"/>
              <w:ind w:firstLine="0" w:firstLineChars="0"/>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 您认为统计部门对企业数据的隐私保护与安全管理是否到位？</w:t>
            </w:r>
          </w:p>
        </w:tc>
      </w:tr>
      <w:tr w14:paraId="1BA131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47CCF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C925F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9E6197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542CE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FCFF5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非常到位，完全放心</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B7844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43</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47632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68.25%</w:t>
            </w:r>
          </w:p>
        </w:tc>
      </w:tr>
      <w:tr w14:paraId="778072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891F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比较到位，基本无担忧</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FBCB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18</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06B89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28.57%</w:t>
            </w:r>
          </w:p>
        </w:tc>
      </w:tr>
      <w:tr w14:paraId="0B547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C977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一般，存在轻微顾虑</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950D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B60C5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3.17%</w:t>
            </w:r>
          </w:p>
        </w:tc>
      </w:tr>
      <w:tr w14:paraId="22AA30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B74D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不够到位，有信息泄露风险</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5C63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1100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405A8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4283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严重不到位，隐私无保障</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C625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BC2AD9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0.00%</w:t>
            </w:r>
          </w:p>
        </w:tc>
      </w:tr>
      <w:tr w14:paraId="37F217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7325D5">
            <w:pPr>
              <w:keepNext w:val="0"/>
              <w:keepLines w:val="0"/>
              <w:pageBreakBefore w:val="0"/>
              <w:widowControl/>
              <w:kinsoku/>
              <w:wordWrap/>
              <w:overflowPunct/>
              <w:topLinePunct w:val="0"/>
              <w:autoSpaceDE/>
              <w:autoSpaceDN/>
              <w:bidi w:val="0"/>
              <w:spacing w:line="240" w:lineRule="auto"/>
              <w:ind w:firstLine="0" w:firstLineChars="0"/>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 总体而言，您对企业参与统计工作的整体满意度为：</w:t>
            </w:r>
          </w:p>
        </w:tc>
      </w:tr>
      <w:tr w14:paraId="575DD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1FA0CF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C0088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C02E9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042F5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D272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非常满意</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2409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42</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6918A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66.67%</w:t>
            </w:r>
          </w:p>
        </w:tc>
      </w:tr>
      <w:tr w14:paraId="2D9AC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EA88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满意</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44ADB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582F0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25.40%</w:t>
            </w:r>
          </w:p>
        </w:tc>
      </w:tr>
      <w:tr w14:paraId="2C3BA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82EA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一般</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6B3D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19F64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4.76%</w:t>
            </w:r>
          </w:p>
        </w:tc>
      </w:tr>
      <w:tr w14:paraId="337D0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1A59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不满意</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F4DB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69F7B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1.59%</w:t>
            </w:r>
          </w:p>
        </w:tc>
      </w:tr>
      <w:tr w14:paraId="45196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03A6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非常不满意</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493F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CFDF6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1.59%</w:t>
            </w:r>
          </w:p>
        </w:tc>
      </w:tr>
      <w:tr w14:paraId="2F194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426ED">
            <w:pPr>
              <w:keepNext w:val="0"/>
              <w:keepLines w:val="0"/>
              <w:pageBreakBefore w:val="0"/>
              <w:widowControl/>
              <w:kinsoku/>
              <w:wordWrap/>
              <w:overflowPunct/>
              <w:topLinePunct w:val="0"/>
              <w:autoSpaceDE/>
              <w:autoSpaceDN/>
              <w:bidi w:val="0"/>
              <w:spacing w:line="240" w:lineRule="auto"/>
              <w:ind w:firstLine="0" w:firstLineChars="0"/>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13. 您认为统计部门在哪些方面做得较好？（可多选）</w:t>
            </w:r>
          </w:p>
        </w:tc>
      </w:tr>
      <w:tr w14:paraId="07DC7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40F46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3FD64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B7025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4C399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9A41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流程简化与便捷性</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FC27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40</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CBABE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24.39%</w:t>
            </w:r>
          </w:p>
        </w:tc>
      </w:tr>
      <w:tr w14:paraId="49F993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A186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指导服务与沟通支持</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6D91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50</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D595E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30.49%</w:t>
            </w:r>
          </w:p>
        </w:tc>
      </w:tr>
      <w:tr w14:paraId="76EFE1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53CA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培训活动质量</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AF84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21</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36CA2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12.80%</w:t>
            </w:r>
          </w:p>
        </w:tc>
      </w:tr>
      <w:tr w14:paraId="24323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2F849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平台系统稳定性</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2E7B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24</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042167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14.63%</w:t>
            </w:r>
          </w:p>
        </w:tc>
      </w:tr>
      <w:tr w14:paraId="23712B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4C15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数据审核反馈效率</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0DAE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28</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EC5384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17.07%</w:t>
            </w:r>
          </w:p>
        </w:tc>
      </w:tr>
      <w:tr w14:paraId="40E05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8BDA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其他（请注明）：________</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3CEA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F354A8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0.81%</w:t>
            </w:r>
          </w:p>
        </w:tc>
      </w:tr>
      <w:tr w14:paraId="003ED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56106">
            <w:pPr>
              <w:keepNext w:val="0"/>
              <w:keepLines w:val="0"/>
              <w:pageBreakBefore w:val="0"/>
              <w:widowControl/>
              <w:kinsoku/>
              <w:wordWrap/>
              <w:overflowPunct/>
              <w:topLinePunct w:val="0"/>
              <w:autoSpaceDE/>
              <w:autoSpaceDN/>
              <w:bidi w:val="0"/>
              <w:spacing w:line="240" w:lineRule="auto"/>
              <w:ind w:firstLine="0" w:firstLineChars="0"/>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 您认为统计工作需要在哪些方面改进？（可多选）</w:t>
            </w:r>
          </w:p>
        </w:tc>
      </w:tr>
      <w:tr w14:paraId="488D9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945F9F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选项</w:t>
            </w:r>
          </w:p>
        </w:tc>
        <w:tc>
          <w:tcPr>
            <w:tcW w:w="8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7F4E62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反馈数量</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E1124B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占比</w:t>
            </w:r>
          </w:p>
        </w:tc>
      </w:tr>
      <w:tr w14:paraId="3B762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46AC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简化报表内容，减少重复填报</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3197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37</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429B7B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34.58%</w:t>
            </w:r>
          </w:p>
        </w:tc>
      </w:tr>
      <w:tr w14:paraId="0B6699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16DDE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优化报送平台功能</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AD797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22</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BC14BC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20.56%</w:t>
            </w:r>
          </w:p>
        </w:tc>
      </w:tr>
      <w:tr w14:paraId="2B8254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1B9D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加强个性化指导服务</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63F1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16</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E26422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14.95%</w:t>
            </w:r>
          </w:p>
        </w:tc>
      </w:tr>
      <w:tr w14:paraId="75AA6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B469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合理调整报送时限与频率</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5D1F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17</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71FFD5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15.89%</w:t>
            </w:r>
          </w:p>
        </w:tc>
      </w:tr>
      <w:tr w14:paraId="6B1C4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6C4C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增加针对性培训</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032D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11</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96C91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10.28%</w:t>
            </w:r>
          </w:p>
        </w:tc>
      </w:tr>
      <w:tr w14:paraId="656AED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3" w:hRule="atLeast"/>
        </w:trPr>
        <w:tc>
          <w:tcPr>
            <w:tcW w:w="333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3927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其他（请注明）：________</w:t>
            </w:r>
          </w:p>
        </w:tc>
        <w:tc>
          <w:tcPr>
            <w:tcW w:w="85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05AF9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4</w:t>
            </w:r>
          </w:p>
        </w:tc>
        <w:tc>
          <w:tcPr>
            <w:tcW w:w="81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464C41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3.74%</w:t>
            </w:r>
          </w:p>
        </w:tc>
      </w:tr>
      <w:tr w14:paraId="7AA9E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131C7B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 xml:space="preserve">15. 您对提升企业统计工作体验有其他建议吗？调研结束，再次感谢您的参与！ </w:t>
            </w:r>
          </w:p>
        </w:tc>
      </w:tr>
      <w:tr w14:paraId="6A4574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3" w:hRule="atLeast"/>
        </w:trPr>
        <w:tc>
          <w:tcPr>
            <w:tcW w:w="5000"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BE8450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themeColor="text1"/>
                <w:sz w:val="21"/>
                <w:szCs w:val="21"/>
                <w:u w:val="none"/>
                <w14:textFill>
                  <w14:solidFill>
                    <w14:schemeClr w14:val="tx1"/>
                  </w14:solidFill>
                </w14:textFill>
              </w:rPr>
            </w:pP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①如有培训请集中组织；</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②统计上报时间调整至月中10号左右。填报时间过短，报送时限不合理，每次节假日都得加班报送；</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③对基础数据做明确提示，比如哪些数据填含税数据，哪些数据填不含税数据；</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④完整统计表格内容；</w:t>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1"/>
                <w:szCs w:val="21"/>
                <w:u w:val="none"/>
                <w:lang w:val="en-US" w:eastAsia="zh-CN" w:bidi="ar"/>
                <w14:textFill>
                  <w14:solidFill>
                    <w14:schemeClr w14:val="tx1"/>
                  </w14:solidFill>
                </w14:textFill>
              </w:rPr>
              <w:t>⑤提高审核提出问题专业度。</w:t>
            </w:r>
          </w:p>
        </w:tc>
      </w:tr>
    </w:tbl>
    <w:p w14:paraId="54E26107">
      <w:pPr>
        <w:rPr>
          <w:b/>
          <w:bCs/>
          <w:color w:val="000000" w:themeColor="text1"/>
          <w:kern w:val="44"/>
          <w:sz w:val="24"/>
          <w:szCs w:val="24"/>
          <w14:textFill>
            <w14:solidFill>
              <w14:schemeClr w14:val="tx1"/>
            </w14:solidFill>
          </w14:textFill>
        </w:rPr>
      </w:pPr>
      <w:r>
        <w:rPr>
          <w:b/>
          <w:bCs/>
          <w:color w:val="000000" w:themeColor="text1"/>
          <w:kern w:val="44"/>
          <w:sz w:val="24"/>
          <w:szCs w:val="24"/>
          <w14:textFill>
            <w14:solidFill>
              <w14:schemeClr w14:val="tx1"/>
            </w14:solidFill>
          </w14:textFill>
        </w:rPr>
        <w:br w:type="page"/>
      </w:r>
    </w:p>
    <w:p w14:paraId="05B2162E">
      <w:pPr>
        <w:keepNext/>
        <w:keepLines/>
        <w:ind w:firstLine="0" w:firstLineChars="0"/>
        <w:outlineLvl w:val="0"/>
        <w:rPr>
          <w:b/>
          <w:bCs/>
          <w:color w:val="000000" w:themeColor="text1"/>
          <w:kern w:val="44"/>
          <w:sz w:val="24"/>
          <w:szCs w:val="24"/>
          <w14:textFill>
            <w14:solidFill>
              <w14:schemeClr w14:val="tx1"/>
            </w14:solidFill>
          </w14:textFill>
        </w:rPr>
      </w:pPr>
      <w:bookmarkStart w:id="99" w:name="_Toc31402"/>
      <w:r>
        <w:rPr>
          <w:b/>
          <w:bCs/>
          <w:color w:val="000000" w:themeColor="text1"/>
          <w:kern w:val="44"/>
          <w:sz w:val="24"/>
          <w:szCs w:val="24"/>
          <w14:textFill>
            <w14:solidFill>
              <w14:schemeClr w14:val="tx1"/>
            </w14:solidFill>
          </w14:textFill>
        </w:rPr>
        <w:t>附件</w:t>
      </w:r>
      <w:r>
        <w:rPr>
          <w:rFonts w:hint="eastAsia"/>
          <w:b/>
          <w:bCs/>
          <w:color w:val="000000" w:themeColor="text1"/>
          <w:kern w:val="44"/>
          <w:sz w:val="24"/>
          <w:szCs w:val="24"/>
          <w:lang w:val="en-US" w:eastAsia="zh-CN"/>
          <w14:textFill>
            <w14:solidFill>
              <w14:schemeClr w14:val="tx1"/>
            </w14:solidFill>
          </w14:textFill>
        </w:rPr>
        <w:t>3</w:t>
      </w:r>
      <w:r>
        <w:rPr>
          <w:b/>
          <w:bCs/>
          <w:color w:val="000000" w:themeColor="text1"/>
          <w:kern w:val="44"/>
          <w:sz w:val="24"/>
          <w:szCs w:val="24"/>
          <w14:textFill>
            <w14:solidFill>
              <w14:schemeClr w14:val="tx1"/>
            </w14:solidFill>
          </w14:textFill>
        </w:rPr>
        <w:t>：绩效评价报告意见反馈结果</w:t>
      </w:r>
      <w:bookmarkEnd w:id="99"/>
    </w:p>
    <w:p w14:paraId="12F0AC69">
      <w:pPr>
        <w:ind w:firstLine="420"/>
        <w:rPr>
          <w:rFonts w:hint="eastAsia" w:eastAsia="宋体"/>
          <w:color w:val="000000" w:themeColor="text1"/>
          <w:lang w:eastAsia="zh-CN"/>
          <w14:textFill>
            <w14:solidFill>
              <w14:schemeClr w14:val="tx1"/>
            </w14:solidFill>
          </w14:textFill>
        </w:rPr>
      </w:pPr>
    </w:p>
    <w:p w14:paraId="297FC313">
      <w:pPr>
        <w:rPr>
          <w:rFonts w:hint="eastAsia" w:eastAsia="宋体"/>
          <w:color w:val="000000" w:themeColor="text1"/>
          <w:lang w:eastAsia="zh-CN"/>
          <w14:textFill>
            <w14:solidFill>
              <w14:schemeClr w14:val="tx1"/>
            </w14:solidFill>
          </w14:textFill>
        </w:rPr>
      </w:pPr>
      <w:r>
        <w:rPr>
          <w:rFonts w:hint="eastAsia" w:eastAsia="宋体"/>
          <w:color w:val="000000" w:themeColor="text1"/>
          <w:lang w:eastAsia="zh-CN"/>
          <w14:textFill>
            <w14:solidFill>
              <w14:schemeClr w14:val="tx1"/>
            </w14:solidFill>
          </w14:textFill>
        </w:rPr>
        <w:drawing>
          <wp:inline distT="0" distB="0" distL="114300" distR="114300">
            <wp:extent cx="4954270" cy="6883400"/>
            <wp:effectExtent l="0" t="0" r="11430" b="0"/>
            <wp:docPr id="4" name="图片 4" descr="33030386e40a2c6bec62130e093597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33030386e40a2c6bec62130e09359782"/>
                    <pic:cNvPicPr>
                      <a:picLocks noChangeAspect="1"/>
                    </pic:cNvPicPr>
                  </pic:nvPicPr>
                  <pic:blipFill>
                    <a:blip r:embed="rId22"/>
                    <a:srcRect t="7797" b="14301"/>
                    <a:stretch>
                      <a:fillRect/>
                    </a:stretch>
                  </pic:blipFill>
                  <pic:spPr>
                    <a:xfrm>
                      <a:off x="0" y="0"/>
                      <a:ext cx="4954270" cy="6883400"/>
                    </a:xfrm>
                    <a:prstGeom prst="rect">
                      <a:avLst/>
                    </a:prstGeom>
                  </pic:spPr>
                </pic:pic>
              </a:graphicData>
            </a:graphic>
          </wp:inline>
        </w:drawing>
      </w:r>
      <w:r>
        <w:rPr>
          <w:rFonts w:hint="eastAsia" w:eastAsia="宋体"/>
          <w:color w:val="000000" w:themeColor="text1"/>
          <w:lang w:eastAsia="zh-CN"/>
          <w14:textFill>
            <w14:solidFill>
              <w14:schemeClr w14:val="tx1"/>
            </w14:solidFill>
          </w14:textFill>
        </w:rPr>
        <w:br w:type="page"/>
      </w:r>
    </w:p>
    <w:p w14:paraId="004522AA">
      <w:pPr>
        <w:ind w:firstLine="420"/>
        <w:rPr>
          <w:rFonts w:hint="eastAsia" w:eastAsia="宋体"/>
          <w:color w:val="000000" w:themeColor="text1"/>
          <w:lang w:eastAsia="zh-CN"/>
          <w14:textFill>
            <w14:solidFill>
              <w14:schemeClr w14:val="tx1"/>
            </w14:solidFill>
          </w14:textFill>
        </w:rPr>
      </w:pPr>
      <w:bookmarkStart w:id="100" w:name="_GoBack"/>
      <w:r>
        <w:rPr>
          <w:rFonts w:hint="eastAsia" w:eastAsia="宋体"/>
          <w:color w:val="000000" w:themeColor="text1"/>
          <w:lang w:eastAsia="zh-CN"/>
          <w14:textFill>
            <w14:solidFill>
              <w14:schemeClr w14:val="tx1"/>
            </w14:solidFill>
          </w14:textFill>
        </w:rPr>
        <w:drawing>
          <wp:anchor distT="0" distB="0" distL="114300" distR="114300" simplePos="0" relativeHeight="251659264" behindDoc="0" locked="0" layoutInCell="1" allowOverlap="1">
            <wp:simplePos x="0" y="0"/>
            <wp:positionH relativeFrom="column">
              <wp:posOffset>266700</wp:posOffset>
            </wp:positionH>
            <wp:positionV relativeFrom="paragraph">
              <wp:posOffset>0</wp:posOffset>
            </wp:positionV>
            <wp:extent cx="5273675" cy="7247255"/>
            <wp:effectExtent l="0" t="0" r="9525" b="4445"/>
            <wp:wrapSquare wrapText="bothSides"/>
            <wp:docPr id="5" name="图片 5" descr="绩效评价反馈表_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绩效评价反馈表_05"/>
                    <pic:cNvPicPr>
                      <a:picLocks noChangeAspect="1"/>
                    </pic:cNvPicPr>
                  </pic:nvPicPr>
                  <pic:blipFill>
                    <a:blip r:embed="rId23"/>
                    <a:stretch>
                      <a:fillRect/>
                    </a:stretch>
                  </pic:blipFill>
                  <pic:spPr>
                    <a:xfrm>
                      <a:off x="0" y="0"/>
                      <a:ext cx="5273675" cy="7247255"/>
                    </a:xfrm>
                    <a:prstGeom prst="rect">
                      <a:avLst/>
                    </a:prstGeom>
                  </pic:spPr>
                </pic:pic>
              </a:graphicData>
            </a:graphic>
          </wp:anchor>
        </w:drawing>
      </w:r>
      <w:bookmarkEnd w:id="100"/>
    </w:p>
    <w:sectPr>
      <w:footerReference r:id="rId20" w:type="default"/>
      <w:pgSz w:w="11906" w:h="16838"/>
      <w:pgMar w:top="1440" w:right="1800" w:bottom="1440" w:left="1800" w:header="851" w:footer="907" w:gutter="0"/>
      <w:pgNumType w:fmt="decimal"/>
      <w:cols w:space="425" w:num="1"/>
      <w:docGrid w:type="lines" w:linePitch="312"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冯延萍" w:date="2025-09-05T15:11:28Z" w:initials="">
    <w:p w14:paraId="10ED4253">
      <w:pPr>
        <w:pStyle w:val="8"/>
        <w:rPr>
          <w:rFonts w:hint="default" w:eastAsia="仿宋"/>
          <w:lang w:val="en-US" w:eastAsia="zh-CN"/>
        </w:rPr>
      </w:pPr>
      <w:r>
        <w:rPr>
          <w:rFonts w:hint="eastAsia"/>
          <w:lang w:val="en-US" w:eastAsia="zh-CN"/>
        </w:rPr>
        <w:t>见摘要</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10ED425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仿宋_GBK">
    <w:panose1 w:val="02000000000000000000"/>
    <w:charset w:val="86"/>
    <w:family w:val="auto"/>
    <w:pitch w:val="default"/>
    <w:sig w:usb0="00000001" w:usb1="080E0000" w:usb2="00000000" w:usb3="00000000" w:csb0="00040000" w:csb1="00000000"/>
  </w:font>
  <w:font w:name="Arial Unicode MS">
    <w:panose1 w:val="020B0604020202020204"/>
    <w:charset w:val="86"/>
    <w:family w:val="swiss"/>
    <w:pitch w:val="default"/>
    <w:sig w:usb0="FFFFFFFF" w:usb1="E9FFFFFF" w:usb2="0000003F" w:usb3="00000000" w:csb0="603F01FF" w:csb1="FFFF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668AD5">
    <w:pPr>
      <w:pStyle w:val="15"/>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C448E7">
    <w:pPr>
      <w:pStyle w:val="1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6B1258">
    <w:pPr>
      <w:pStyle w:val="1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4370020"/>
    </w:sdtPr>
    <w:sdtContent>
      <w:p w14:paraId="4D92F95D">
        <w:pPr>
          <w:pStyle w:val="15"/>
          <w:ind w:firstLine="360"/>
          <w:jc w:val="center"/>
        </w:pPr>
        <w:r>
          <w:fldChar w:fldCharType="begin"/>
        </w:r>
        <w:r>
          <w:instrText xml:space="preserve">PAGE   \* MERGEFORMAT</w:instrText>
        </w:r>
        <w:r>
          <w:fldChar w:fldCharType="separate"/>
        </w:r>
        <w:r>
          <w:rPr>
            <w:lang w:val="zh-CN"/>
          </w:rPr>
          <w:t>IV</w:t>
        </w:r>
        <w:r>
          <w:fldChar w:fldCharType="end"/>
        </w:r>
      </w:p>
    </w:sdtContent>
  </w:sdt>
  <w:p w14:paraId="5A28E8A8">
    <w:pPr>
      <w:pStyle w:val="15"/>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2B178">
    <w:pPr>
      <w:pStyle w:val="15"/>
      <w:ind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CE6264">
    <w:pPr>
      <w:pStyle w:val="15"/>
      <w:ind w:firstLine="360"/>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66704"/>
                          </w:sdtPr>
                          <w:sdtContent>
                            <w:p w14:paraId="2651A46D">
                              <w:pPr>
                                <w:pStyle w:val="15"/>
                                <w:ind w:firstLine="360"/>
                                <w:jc w:val="center"/>
                              </w:pPr>
                              <w:r>
                                <w:fldChar w:fldCharType="begin"/>
                              </w:r>
                              <w:r>
                                <w:instrText xml:space="preserve">PAGE   \* MERGEFORMAT</w:instrText>
                              </w:r>
                              <w:r>
                                <w:fldChar w:fldCharType="separate"/>
                              </w:r>
                              <w:r>
                                <w:rPr>
                                  <w:lang w:val="zh-CN"/>
                                </w:rPr>
                                <w:t>IV</w:t>
                              </w:r>
                              <w:r>
                                <w:fldChar w:fldCharType="end"/>
                              </w:r>
                            </w:p>
                          </w:sdtContent>
                        </w:sdt>
                        <w:p w14:paraId="3BBF38B3"/>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sdt>
                    <w:sdtPr>
                      <w:id w:val="147466704"/>
                    </w:sdtPr>
                    <w:sdtContent>
                      <w:p w14:paraId="2651A46D">
                        <w:pPr>
                          <w:pStyle w:val="15"/>
                          <w:ind w:firstLine="360"/>
                          <w:jc w:val="center"/>
                        </w:pPr>
                        <w:r>
                          <w:fldChar w:fldCharType="begin"/>
                        </w:r>
                        <w:r>
                          <w:instrText xml:space="preserve">PAGE   \* MERGEFORMAT</w:instrText>
                        </w:r>
                        <w:r>
                          <w:fldChar w:fldCharType="separate"/>
                        </w:r>
                        <w:r>
                          <w:rPr>
                            <w:lang w:val="zh-CN"/>
                          </w:rPr>
                          <w:t>IV</w:t>
                        </w:r>
                        <w:r>
                          <w:fldChar w:fldCharType="end"/>
                        </w:r>
                      </w:p>
                    </w:sdtContent>
                  </w:sdt>
                  <w:p w14:paraId="3BBF38B3"/>
                </w:txbxContent>
              </v:textbox>
            </v:shape>
          </w:pict>
        </mc:Fallback>
      </mc:AlternateContent>
    </w:r>
  </w:p>
  <w:p w14:paraId="1DD04921">
    <w:pPr>
      <w:pStyle w:val="15"/>
      <w:ind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1D103C">
    <w:pPr>
      <w:pStyle w:val="15"/>
      <w:ind w:firstLine="0" w:firstLineChars="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20650" cy="20828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20650" cy="20828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8B76EF">
                          <w:pPr>
                            <w:pStyle w:val="15"/>
                            <w:spacing w:line="240" w:lineRule="auto"/>
                            <w:ind w:firstLine="0" w:firstLineChars="0"/>
                          </w:pPr>
                          <w:r>
                            <w:fldChar w:fldCharType="begin"/>
                          </w:r>
                          <w:r>
                            <w:instrText xml:space="preserve"> PAGE  \* MERGEFORMAT </w:instrText>
                          </w:r>
                          <w:r>
                            <w:fldChar w:fldCharType="separate"/>
                          </w:r>
                          <w:r>
                            <w:t>23</w:t>
                          </w:r>
                          <w: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16.4pt;width:9.5pt;mso-position-horizontal:center;mso-position-horizontal-relative:margin;z-index:251660288;mso-width-relative:page;mso-height-relative:page;" filled="f" stroked="f" coordsize="21600,21600" o:gfxdata="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KKqr47SAAAAAwEAAA8AAAAAAAAAAQAgAAAAIgAAAGRycy9kb3ducmV2LnhtbFBLAQIUABQA&#10;AAAIAIdO4kBPxUfnLwIAAFUEAAAOAAAAAAAAAAEAIAAAACEBAABkcnMvZTJvRG9jLnhtbFBLBQYA&#10;AAAABgAGAFkBAADCBQAAAAA=&#10;">
              <v:fill on="f" focussize="0,0"/>
              <v:stroke on="f" weight="0.5pt"/>
              <v:imagedata o:title=""/>
              <o:lock v:ext="edit" aspectratio="f"/>
              <v:textbox inset="0mm,0mm,0mm,0mm">
                <w:txbxContent>
                  <w:p w14:paraId="728B76EF">
                    <w:pPr>
                      <w:pStyle w:val="15"/>
                      <w:spacing w:line="240" w:lineRule="auto"/>
                      <w:ind w:firstLine="0" w:firstLineChars="0"/>
                    </w:pPr>
                    <w:r>
                      <w:fldChar w:fldCharType="begin"/>
                    </w:r>
                    <w:r>
                      <w:instrText xml:space="preserve"> PAGE  \* MERGEFORMAT </w:instrText>
                    </w:r>
                    <w:r>
                      <w:fldChar w:fldCharType="separate"/>
                    </w:r>
                    <w:r>
                      <w:t>23</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9C868A">
    <w:pPr>
      <w:pStyle w:val="15"/>
      <w:ind w:firstLine="0" w:firstLineChars="0"/>
      <w:jc w:val="center"/>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067985">
                          <w:pPr>
                            <w:pStyle w:val="15"/>
                            <w:spacing w:line="240" w:lineRule="auto"/>
                            <w:ind w:firstLine="0" w:firstLineChars="0"/>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0O3bcsAgAAV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vQ7dtywCAABVBAAADgAAAAAAAAABACAAAAAfAQAAZHJzL2Uyb0RvYy54bWxQSwUGAAAAAAYA&#10;BgBZAQAAvQUAAAAA&#10;">
              <v:fill on="f" focussize="0,0"/>
              <v:stroke on="f" weight="0.5pt"/>
              <v:imagedata o:title=""/>
              <o:lock v:ext="edit" aspectratio="f"/>
              <v:textbox inset="0mm,0mm,0mm,0mm" style="mso-fit-shape-to-text:t;">
                <w:txbxContent>
                  <w:p w14:paraId="07067985">
                    <w:pPr>
                      <w:pStyle w:val="15"/>
                      <w:spacing w:line="240" w:lineRule="auto"/>
                      <w:ind w:firstLine="0" w:firstLineChars="0"/>
                    </w:pPr>
                    <w:r>
                      <w:fldChar w:fldCharType="begin"/>
                    </w:r>
                    <w:r>
                      <w:instrText xml:space="preserve"> PAGE  \* MERGEFORMAT </w:instrText>
                    </w:r>
                    <w:r>
                      <w:fldChar w:fldCharType="separate"/>
                    </w:r>
                    <w:r>
                      <w:t>41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E13358">
    <w:pPr>
      <w:pStyle w:val="16"/>
      <w:pBdr>
        <w:bottom w:val="none" w:color="auto" w:sz="0" w:space="1"/>
      </w:pBdr>
      <w:wordWrap w:val="0"/>
      <w:ind w:right="630" w:firstLine="0" w:firstLineChars="0"/>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497490">
    <w:pPr>
      <w:pStyle w:val="1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4F3B0F">
    <w:pPr>
      <w:pStyle w:val="16"/>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CA220E">
    <w:pPr>
      <w:pStyle w:val="16"/>
      <w:pBdr>
        <w:bottom w:val="single" w:color="auto" w:sz="6" w:space="0"/>
      </w:pBdr>
      <w:ind w:firstLine="320"/>
      <w:jc w:val="right"/>
    </w:pPr>
    <w:r>
      <w:rPr>
        <w:rFonts w:hint="eastAsia" w:ascii="黑体" w:hAnsi="黑体" w:eastAsia="黑体" w:cs="黑体"/>
        <w:sz w:val="16"/>
        <w:szCs w:val="16"/>
        <w:lang w:eastAsia="zh-CN"/>
      </w:rPr>
      <w:t>吉木萨尔县统计局</w:t>
    </w:r>
    <w:r>
      <w:rPr>
        <w:rFonts w:hint="eastAsia" w:ascii="黑体" w:hAnsi="黑体" w:eastAsia="黑体" w:cs="黑体"/>
        <w:sz w:val="16"/>
        <w:szCs w:val="16"/>
      </w:rPr>
      <w:t>部门整体支出绩效评价报告</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9E3B68">
    <w:pPr>
      <w:pStyle w:val="16"/>
      <w:pBdr>
        <w:bottom w:val="single" w:color="auto" w:sz="6" w:space="0"/>
      </w:pBdr>
      <w:ind w:firstLine="320"/>
      <w:jc w:val="right"/>
    </w:pPr>
    <w:r>
      <w:rPr>
        <w:rFonts w:hint="eastAsia" w:ascii="黑体" w:hAnsi="黑体" w:eastAsia="黑体" w:cs="黑体"/>
        <w:sz w:val="16"/>
        <w:szCs w:val="16"/>
        <w:lang w:eastAsia="zh-CN"/>
      </w:rPr>
      <w:t>吉木萨尔县统计局</w:t>
    </w:r>
    <w:r>
      <w:rPr>
        <w:rFonts w:hint="eastAsia" w:ascii="黑体" w:hAnsi="黑体" w:eastAsia="黑体" w:cs="黑体"/>
        <w:sz w:val="16"/>
        <w:szCs w:val="16"/>
      </w:rPr>
      <w:t>部门整体支出绩效评价报告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D8B39B">
    <w:pPr>
      <w:pStyle w:val="16"/>
      <w:pBdr>
        <w:bottom w:val="single" w:color="auto" w:sz="6" w:space="0"/>
      </w:pBdr>
      <w:ind w:firstLine="320"/>
      <w:jc w:val="right"/>
    </w:pPr>
    <w:r>
      <w:rPr>
        <w:rFonts w:hint="eastAsia" w:ascii="黑体" w:hAnsi="黑体" w:eastAsia="黑体" w:cs="黑体"/>
        <w:sz w:val="16"/>
        <w:szCs w:val="16"/>
        <w:lang w:eastAsia="zh-CN"/>
      </w:rPr>
      <w:t>吉木萨尔县统计局</w:t>
    </w:r>
    <w:r>
      <w:rPr>
        <w:rFonts w:hint="eastAsia" w:ascii="黑体" w:hAnsi="黑体" w:eastAsia="黑体" w:cs="黑体"/>
        <w:sz w:val="16"/>
        <w:szCs w:val="16"/>
      </w:rPr>
      <w:t>部门整体支出绩效评价报告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806CCF"/>
    <w:multiLevelType w:val="singleLevel"/>
    <w:tmpl w:val="24806CCF"/>
    <w:lvl w:ilvl="0" w:tentative="0">
      <w:start w:val="2"/>
      <w:numFmt w:val="chineseCounting"/>
      <w:suff w:val="nothing"/>
      <w:lvlText w:val="（%1）"/>
      <w:lvlJc w:val="left"/>
      <w:rPr>
        <w:rFonts w:hint="eastAsia"/>
      </w:rPr>
    </w:lvl>
  </w:abstractNum>
  <w:abstractNum w:abstractNumId="1">
    <w:nsid w:val="50534B87"/>
    <w:multiLevelType w:val="multilevel"/>
    <w:tmpl w:val="50534B87"/>
    <w:lvl w:ilvl="0" w:tentative="0">
      <w:start w:val="1"/>
      <w:numFmt w:val="bullet"/>
      <w:lvlText w:val=""/>
      <w:lvlJc w:val="left"/>
      <w:pPr>
        <w:tabs>
          <w:tab w:val="left" w:pos="420"/>
        </w:tabs>
        <w:ind w:left="840" w:hanging="420"/>
      </w:pPr>
      <w:rPr>
        <w:rFonts w:hint="default" w:ascii="Wingdings" w:hAnsi="Wingding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 w:numId="2">
    <w:abstractNumId w:val="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冯延萍">
    <w15:presenceInfo w15:providerId="WPS Office" w15:userId="648276524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5ODI3OTZlMjJmZjZkNDhjY2NkNTZiNTU2ZmRkMGYifQ=="/>
  </w:docVars>
  <w:rsids>
    <w:rsidRoot w:val="00A03703"/>
    <w:rsid w:val="0008307E"/>
    <w:rsid w:val="000B7E42"/>
    <w:rsid w:val="000E61D9"/>
    <w:rsid w:val="00144E57"/>
    <w:rsid w:val="001450E9"/>
    <w:rsid w:val="001E3CC4"/>
    <w:rsid w:val="0020458F"/>
    <w:rsid w:val="00207014"/>
    <w:rsid w:val="00212973"/>
    <w:rsid w:val="002550B3"/>
    <w:rsid w:val="00351E37"/>
    <w:rsid w:val="003E4FDB"/>
    <w:rsid w:val="0041395F"/>
    <w:rsid w:val="00426245"/>
    <w:rsid w:val="00511E3B"/>
    <w:rsid w:val="00514D22"/>
    <w:rsid w:val="006951EE"/>
    <w:rsid w:val="006C6562"/>
    <w:rsid w:val="00837A57"/>
    <w:rsid w:val="0087085D"/>
    <w:rsid w:val="00876185"/>
    <w:rsid w:val="008E353A"/>
    <w:rsid w:val="00904CCC"/>
    <w:rsid w:val="00913BCE"/>
    <w:rsid w:val="00976622"/>
    <w:rsid w:val="00A03703"/>
    <w:rsid w:val="00AC59D9"/>
    <w:rsid w:val="00AF0374"/>
    <w:rsid w:val="00B60B2D"/>
    <w:rsid w:val="00B81569"/>
    <w:rsid w:val="00C21558"/>
    <w:rsid w:val="00C31C36"/>
    <w:rsid w:val="00C32FFE"/>
    <w:rsid w:val="00C42F14"/>
    <w:rsid w:val="00CA14B6"/>
    <w:rsid w:val="00CC1228"/>
    <w:rsid w:val="00D002E7"/>
    <w:rsid w:val="00D50A30"/>
    <w:rsid w:val="00DC7AA9"/>
    <w:rsid w:val="00E82802"/>
    <w:rsid w:val="00EF0BBE"/>
    <w:rsid w:val="00F77621"/>
    <w:rsid w:val="00FA6E06"/>
    <w:rsid w:val="00FE029B"/>
    <w:rsid w:val="01C9417B"/>
    <w:rsid w:val="022630E3"/>
    <w:rsid w:val="02A209F3"/>
    <w:rsid w:val="02D33668"/>
    <w:rsid w:val="030F6914"/>
    <w:rsid w:val="03252445"/>
    <w:rsid w:val="03351F76"/>
    <w:rsid w:val="034B4237"/>
    <w:rsid w:val="04542819"/>
    <w:rsid w:val="066630D6"/>
    <w:rsid w:val="06CB2FB4"/>
    <w:rsid w:val="07247C28"/>
    <w:rsid w:val="07342561"/>
    <w:rsid w:val="08A81393"/>
    <w:rsid w:val="08E95FA8"/>
    <w:rsid w:val="091514E3"/>
    <w:rsid w:val="09E65C14"/>
    <w:rsid w:val="0AEE5971"/>
    <w:rsid w:val="0B346F3F"/>
    <w:rsid w:val="0B901D30"/>
    <w:rsid w:val="0BBD444B"/>
    <w:rsid w:val="0C69230C"/>
    <w:rsid w:val="0D216439"/>
    <w:rsid w:val="0D26649A"/>
    <w:rsid w:val="0DCB52A1"/>
    <w:rsid w:val="0E9438E5"/>
    <w:rsid w:val="0EA06BE9"/>
    <w:rsid w:val="0EC86014"/>
    <w:rsid w:val="0FD8127B"/>
    <w:rsid w:val="1172701D"/>
    <w:rsid w:val="11C83272"/>
    <w:rsid w:val="12371157"/>
    <w:rsid w:val="123E14E1"/>
    <w:rsid w:val="127415E0"/>
    <w:rsid w:val="13A13C78"/>
    <w:rsid w:val="13DD2C5B"/>
    <w:rsid w:val="15193E4A"/>
    <w:rsid w:val="16A20B69"/>
    <w:rsid w:val="16C24454"/>
    <w:rsid w:val="16DA0303"/>
    <w:rsid w:val="17F67953"/>
    <w:rsid w:val="1821504C"/>
    <w:rsid w:val="18251A52"/>
    <w:rsid w:val="1882140F"/>
    <w:rsid w:val="18B63758"/>
    <w:rsid w:val="19C75570"/>
    <w:rsid w:val="1A1D2807"/>
    <w:rsid w:val="1A3D3C22"/>
    <w:rsid w:val="1BDB5505"/>
    <w:rsid w:val="1C646FED"/>
    <w:rsid w:val="1CD43572"/>
    <w:rsid w:val="1D626461"/>
    <w:rsid w:val="1D733CF7"/>
    <w:rsid w:val="1E0F11DA"/>
    <w:rsid w:val="1EC71AB5"/>
    <w:rsid w:val="203B291D"/>
    <w:rsid w:val="208800D4"/>
    <w:rsid w:val="20BE301F"/>
    <w:rsid w:val="20ED7BF3"/>
    <w:rsid w:val="21EE6B50"/>
    <w:rsid w:val="237D0F54"/>
    <w:rsid w:val="23B14FE2"/>
    <w:rsid w:val="23B34FAC"/>
    <w:rsid w:val="23D6362E"/>
    <w:rsid w:val="245F13C9"/>
    <w:rsid w:val="24D7549E"/>
    <w:rsid w:val="25AF6319"/>
    <w:rsid w:val="267F6E5D"/>
    <w:rsid w:val="26D80608"/>
    <w:rsid w:val="287538B5"/>
    <w:rsid w:val="28D73ED4"/>
    <w:rsid w:val="292B7B62"/>
    <w:rsid w:val="2A0A1A58"/>
    <w:rsid w:val="2A635237"/>
    <w:rsid w:val="2AAD1304"/>
    <w:rsid w:val="2C4F1275"/>
    <w:rsid w:val="2CD07DE1"/>
    <w:rsid w:val="2D0C4766"/>
    <w:rsid w:val="2D6873AB"/>
    <w:rsid w:val="2D825759"/>
    <w:rsid w:val="2D9C62A0"/>
    <w:rsid w:val="2E544A25"/>
    <w:rsid w:val="2E5C636E"/>
    <w:rsid w:val="2F2345B2"/>
    <w:rsid w:val="30E64F71"/>
    <w:rsid w:val="32D870DF"/>
    <w:rsid w:val="32FD04CD"/>
    <w:rsid w:val="33484DD4"/>
    <w:rsid w:val="33BD2240"/>
    <w:rsid w:val="34533E1A"/>
    <w:rsid w:val="3514407B"/>
    <w:rsid w:val="35D6612D"/>
    <w:rsid w:val="37256F21"/>
    <w:rsid w:val="37732382"/>
    <w:rsid w:val="37823126"/>
    <w:rsid w:val="38FE09B6"/>
    <w:rsid w:val="398D26CB"/>
    <w:rsid w:val="3AD36B98"/>
    <w:rsid w:val="3AEF3BB8"/>
    <w:rsid w:val="3B1E53B3"/>
    <w:rsid w:val="3BD27E25"/>
    <w:rsid w:val="3C166650"/>
    <w:rsid w:val="3C3755DF"/>
    <w:rsid w:val="3D7026D9"/>
    <w:rsid w:val="3DAF0D3F"/>
    <w:rsid w:val="3DB50D85"/>
    <w:rsid w:val="3E3A640A"/>
    <w:rsid w:val="3FDF2842"/>
    <w:rsid w:val="4006564F"/>
    <w:rsid w:val="40E73596"/>
    <w:rsid w:val="419E624E"/>
    <w:rsid w:val="42C45840"/>
    <w:rsid w:val="433A1161"/>
    <w:rsid w:val="4366591E"/>
    <w:rsid w:val="4557299B"/>
    <w:rsid w:val="45B938C4"/>
    <w:rsid w:val="46911EDD"/>
    <w:rsid w:val="46A83419"/>
    <w:rsid w:val="476615BC"/>
    <w:rsid w:val="48FC103C"/>
    <w:rsid w:val="49516307"/>
    <w:rsid w:val="49736BEB"/>
    <w:rsid w:val="4997582F"/>
    <w:rsid w:val="49E95843"/>
    <w:rsid w:val="4A5259EC"/>
    <w:rsid w:val="4AC806FE"/>
    <w:rsid w:val="4B193A89"/>
    <w:rsid w:val="4BED3CC4"/>
    <w:rsid w:val="4C3954F1"/>
    <w:rsid w:val="4CE840E6"/>
    <w:rsid w:val="4DB668AF"/>
    <w:rsid w:val="4E063CAE"/>
    <w:rsid w:val="4E606D65"/>
    <w:rsid w:val="4E716E50"/>
    <w:rsid w:val="4E801C3E"/>
    <w:rsid w:val="4F3B5664"/>
    <w:rsid w:val="4F5057E1"/>
    <w:rsid w:val="4F7838B7"/>
    <w:rsid w:val="4FAB15AD"/>
    <w:rsid w:val="502A3A06"/>
    <w:rsid w:val="502E73F3"/>
    <w:rsid w:val="51B7267B"/>
    <w:rsid w:val="520C3494"/>
    <w:rsid w:val="52177174"/>
    <w:rsid w:val="52A35472"/>
    <w:rsid w:val="536E5A80"/>
    <w:rsid w:val="53D17DBD"/>
    <w:rsid w:val="546C1980"/>
    <w:rsid w:val="556A04C9"/>
    <w:rsid w:val="558570B1"/>
    <w:rsid w:val="55A94069"/>
    <w:rsid w:val="56312D95"/>
    <w:rsid w:val="563A75D5"/>
    <w:rsid w:val="56794E67"/>
    <w:rsid w:val="56F75D8C"/>
    <w:rsid w:val="586536CF"/>
    <w:rsid w:val="58DE2219"/>
    <w:rsid w:val="58DF5388"/>
    <w:rsid w:val="593F3897"/>
    <w:rsid w:val="5AB50438"/>
    <w:rsid w:val="5BEB0407"/>
    <w:rsid w:val="5C075F07"/>
    <w:rsid w:val="5C6B645D"/>
    <w:rsid w:val="5CE429F9"/>
    <w:rsid w:val="5D0B7F8F"/>
    <w:rsid w:val="5D382BE7"/>
    <w:rsid w:val="5DEE6DAA"/>
    <w:rsid w:val="5E636688"/>
    <w:rsid w:val="5F6057FE"/>
    <w:rsid w:val="608C23F6"/>
    <w:rsid w:val="61A87F9E"/>
    <w:rsid w:val="61BE37B7"/>
    <w:rsid w:val="627626A2"/>
    <w:rsid w:val="633D149A"/>
    <w:rsid w:val="6356208C"/>
    <w:rsid w:val="637C2F7A"/>
    <w:rsid w:val="64723C6F"/>
    <w:rsid w:val="64FF2692"/>
    <w:rsid w:val="652A2392"/>
    <w:rsid w:val="66C832A1"/>
    <w:rsid w:val="672728A6"/>
    <w:rsid w:val="685B61AD"/>
    <w:rsid w:val="687F7DF0"/>
    <w:rsid w:val="68AF4FD2"/>
    <w:rsid w:val="68D511B8"/>
    <w:rsid w:val="693469CC"/>
    <w:rsid w:val="6A780DD8"/>
    <w:rsid w:val="6A847CD6"/>
    <w:rsid w:val="6AA63AD9"/>
    <w:rsid w:val="6AAF4400"/>
    <w:rsid w:val="6ABD159F"/>
    <w:rsid w:val="6BA27F58"/>
    <w:rsid w:val="6BE77884"/>
    <w:rsid w:val="6BE83BBD"/>
    <w:rsid w:val="6C214491"/>
    <w:rsid w:val="6C2B2308"/>
    <w:rsid w:val="6D3E3986"/>
    <w:rsid w:val="6D716441"/>
    <w:rsid w:val="6D8E15BD"/>
    <w:rsid w:val="6D9644C5"/>
    <w:rsid w:val="7210062A"/>
    <w:rsid w:val="72BB7597"/>
    <w:rsid w:val="730816B4"/>
    <w:rsid w:val="73A776A3"/>
    <w:rsid w:val="73BA7967"/>
    <w:rsid w:val="73CE6C44"/>
    <w:rsid w:val="74035ADB"/>
    <w:rsid w:val="75A84EC3"/>
    <w:rsid w:val="75D51537"/>
    <w:rsid w:val="75F90949"/>
    <w:rsid w:val="77C631AF"/>
    <w:rsid w:val="780E0369"/>
    <w:rsid w:val="78D4396D"/>
    <w:rsid w:val="7A441693"/>
    <w:rsid w:val="7A641B08"/>
    <w:rsid w:val="7A9C6F90"/>
    <w:rsid w:val="7AA97D8A"/>
    <w:rsid w:val="7BF267D8"/>
    <w:rsid w:val="7D181D93"/>
    <w:rsid w:val="7DB87120"/>
    <w:rsid w:val="7E4731C7"/>
    <w:rsid w:val="7EB04601"/>
    <w:rsid w:val="7F654ABA"/>
    <w:rsid w:val="7FD82D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99" w:semiHidden="0" w:name="toc 1"/>
    <w:lsdException w:qFormat="1" w:uiPriority="99" w:name="toc 2"/>
    <w:lsdException w:uiPriority="39" w:name="toc 3"/>
    <w:lsdException w:qFormat="1" w:unhideWhenUsed="0" w:uiPriority="99" w:semiHidden="0"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99" w:semiHidden="0" w:name="Body Text First Indent 2"/>
    <w:lsdException w:uiPriority="99" w:name="Note Heading"/>
    <w:lsdException w:qFormat="1" w:unhideWhenUsed="0" w:uiPriority="99"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883" w:firstLineChars="200"/>
      <w:jc w:val="both"/>
    </w:pPr>
    <w:rPr>
      <w:rFonts w:ascii="Times New Roman" w:hAnsi="Times New Roman" w:eastAsia="宋体" w:cs="Times New Roman"/>
      <w:sz w:val="21"/>
      <w:szCs w:val="21"/>
      <w:lang w:val="en-US" w:eastAsia="zh-CN" w:bidi="ar-SA"/>
    </w:rPr>
  </w:style>
  <w:style w:type="paragraph" w:styleId="2">
    <w:name w:val="heading 1"/>
    <w:basedOn w:val="1"/>
    <w:next w:val="1"/>
    <w:link w:val="51"/>
    <w:qFormat/>
    <w:uiPriority w:val="99"/>
    <w:pPr>
      <w:keepNext/>
      <w:keepLines/>
      <w:outlineLvl w:val="0"/>
    </w:pPr>
    <w:rPr>
      <w:rFonts w:ascii="黑体" w:hAnsi="黑体"/>
      <w:b/>
      <w:bCs/>
      <w:kern w:val="44"/>
      <w:sz w:val="24"/>
      <w:szCs w:val="44"/>
    </w:rPr>
  </w:style>
  <w:style w:type="paragraph" w:styleId="3">
    <w:name w:val="heading 2"/>
    <w:basedOn w:val="1"/>
    <w:next w:val="1"/>
    <w:link w:val="52"/>
    <w:qFormat/>
    <w:uiPriority w:val="99"/>
    <w:pPr>
      <w:keepNext/>
      <w:keepLines/>
      <w:jc w:val="left"/>
      <w:outlineLvl w:val="1"/>
    </w:pPr>
    <w:rPr>
      <w:rFonts w:ascii="Cambria" w:hAnsi="Cambria"/>
      <w:b/>
      <w:bCs/>
      <w:szCs w:val="32"/>
    </w:rPr>
  </w:style>
  <w:style w:type="paragraph" w:styleId="4">
    <w:name w:val="heading 3"/>
    <w:basedOn w:val="1"/>
    <w:next w:val="5"/>
    <w:link w:val="53"/>
    <w:qFormat/>
    <w:uiPriority w:val="99"/>
    <w:pPr>
      <w:keepNext/>
      <w:keepLines/>
      <w:outlineLvl w:val="2"/>
    </w:pPr>
    <w:rPr>
      <w:rFonts w:ascii="仿宋_GB2312" w:hAnsi="仿宋_GB2312"/>
      <w:b/>
      <w:bCs/>
      <w:szCs w:val="32"/>
    </w:rPr>
  </w:style>
  <w:style w:type="paragraph" w:styleId="7">
    <w:name w:val="heading 4"/>
    <w:basedOn w:val="1"/>
    <w:next w:val="1"/>
    <w:unhideWhenUsed/>
    <w:qFormat/>
    <w:uiPriority w:val="9"/>
    <w:pPr>
      <w:keepNext/>
      <w:keepLines/>
      <w:ind w:firstLine="0" w:firstLineChars="0"/>
      <w:jc w:val="center"/>
      <w:outlineLvl w:val="3"/>
    </w:pPr>
    <w:rPr>
      <w:rFonts w:ascii="Arial" w:hAnsi="Arial" w:eastAsia="黑体"/>
      <w:b/>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99"/>
    <w:pPr>
      <w:ind w:firstLine="420"/>
    </w:pPr>
  </w:style>
  <w:style w:type="paragraph" w:styleId="6">
    <w:name w:val="toc 4"/>
    <w:basedOn w:val="1"/>
    <w:next w:val="1"/>
    <w:qFormat/>
    <w:uiPriority w:val="99"/>
    <w:pPr>
      <w:ind w:left="1260" w:leftChars="600"/>
    </w:pPr>
  </w:style>
  <w:style w:type="paragraph" w:styleId="8">
    <w:name w:val="annotation text"/>
    <w:basedOn w:val="1"/>
    <w:link w:val="48"/>
    <w:unhideWhenUsed/>
    <w:qFormat/>
    <w:uiPriority w:val="99"/>
    <w:rPr>
      <w:rFonts w:ascii="Calibri" w:hAnsi="Calibri" w:eastAsia="仿宋"/>
      <w:sz w:val="24"/>
      <w:szCs w:val="20"/>
    </w:rPr>
  </w:style>
  <w:style w:type="paragraph" w:styleId="9">
    <w:name w:val="Body Text"/>
    <w:basedOn w:val="1"/>
    <w:next w:val="10"/>
    <w:link w:val="58"/>
    <w:qFormat/>
    <w:uiPriority w:val="99"/>
  </w:style>
  <w:style w:type="paragraph" w:styleId="10">
    <w:name w:val="Body Text First Indent"/>
    <w:basedOn w:val="9"/>
    <w:qFormat/>
    <w:uiPriority w:val="0"/>
  </w:style>
  <w:style w:type="paragraph" w:styleId="11">
    <w:name w:val="Body Text Indent"/>
    <w:basedOn w:val="1"/>
    <w:next w:val="12"/>
    <w:link w:val="57"/>
    <w:qFormat/>
    <w:uiPriority w:val="99"/>
    <w:pPr>
      <w:ind w:firstLine="570"/>
    </w:pPr>
    <w:rPr>
      <w:sz w:val="24"/>
    </w:rPr>
  </w:style>
  <w:style w:type="paragraph" w:styleId="12">
    <w:name w:val="Normal (Web)"/>
    <w:basedOn w:val="1"/>
    <w:semiHidden/>
    <w:unhideWhenUsed/>
    <w:qFormat/>
    <w:uiPriority w:val="99"/>
    <w:pPr>
      <w:spacing w:beforeAutospacing="1" w:afterAutospacing="1"/>
      <w:jc w:val="left"/>
    </w:pPr>
    <w:rPr>
      <w:sz w:val="24"/>
    </w:rPr>
  </w:style>
  <w:style w:type="paragraph" w:styleId="13">
    <w:name w:val="Plain Text"/>
    <w:basedOn w:val="1"/>
    <w:qFormat/>
    <w:uiPriority w:val="0"/>
    <w:pPr>
      <w:spacing w:line="240" w:lineRule="atLeast"/>
    </w:pPr>
    <w:rPr>
      <w:rFonts w:ascii="宋体" w:hAnsi="Courier New"/>
      <w:sz w:val="24"/>
      <w:szCs w:val="20"/>
    </w:rPr>
  </w:style>
  <w:style w:type="paragraph" w:styleId="14">
    <w:name w:val="Balloon Text"/>
    <w:basedOn w:val="1"/>
    <w:link w:val="50"/>
    <w:semiHidden/>
    <w:unhideWhenUsed/>
    <w:qFormat/>
    <w:uiPriority w:val="99"/>
    <w:pPr>
      <w:spacing w:line="240" w:lineRule="auto"/>
    </w:pPr>
    <w:rPr>
      <w:sz w:val="18"/>
      <w:szCs w:val="18"/>
    </w:rPr>
  </w:style>
  <w:style w:type="paragraph" w:styleId="15">
    <w:name w:val="footer"/>
    <w:basedOn w:val="1"/>
    <w:link w:val="37"/>
    <w:unhideWhenUsed/>
    <w:qFormat/>
    <w:uiPriority w:val="99"/>
    <w:pPr>
      <w:tabs>
        <w:tab w:val="center" w:pos="4153"/>
        <w:tab w:val="right" w:pos="8306"/>
      </w:tabs>
      <w:jc w:val="left"/>
    </w:pPr>
    <w:rPr>
      <w:sz w:val="18"/>
      <w:szCs w:val="18"/>
    </w:rPr>
  </w:style>
  <w:style w:type="paragraph" w:styleId="16">
    <w:name w:val="header"/>
    <w:basedOn w:val="1"/>
    <w:link w:val="36"/>
    <w:unhideWhenUsed/>
    <w:qFormat/>
    <w:uiPriority w:val="99"/>
    <w:pPr>
      <w:pBdr>
        <w:bottom w:val="single" w:color="auto" w:sz="6" w:space="1"/>
      </w:pBdr>
      <w:tabs>
        <w:tab w:val="center" w:pos="4153"/>
        <w:tab w:val="right" w:pos="8306"/>
      </w:tabs>
      <w:jc w:val="center"/>
    </w:pPr>
    <w:rPr>
      <w:sz w:val="18"/>
      <w:szCs w:val="18"/>
    </w:rPr>
  </w:style>
  <w:style w:type="paragraph" w:styleId="17">
    <w:name w:val="toc 1"/>
    <w:basedOn w:val="1"/>
    <w:next w:val="1"/>
    <w:qFormat/>
    <w:uiPriority w:val="99"/>
    <w:pPr>
      <w:tabs>
        <w:tab w:val="right" w:leader="dot" w:pos="9356"/>
      </w:tabs>
      <w:ind w:firstLine="0" w:firstLineChars="0"/>
    </w:pPr>
    <w:rPr>
      <w:rFonts w:ascii="黑体" w:hAnsi="黑体" w:cs="仿宋_GB2312" w:eastAsiaTheme="minorEastAsia"/>
      <w:bCs/>
      <w:color w:val="000000"/>
      <w:sz w:val="28"/>
      <w:szCs w:val="28"/>
    </w:rPr>
  </w:style>
  <w:style w:type="paragraph" w:styleId="18">
    <w:name w:val="footnote text"/>
    <w:basedOn w:val="1"/>
    <w:next w:val="19"/>
    <w:qFormat/>
    <w:uiPriority w:val="0"/>
    <w:pPr>
      <w:jc w:val="left"/>
    </w:pPr>
    <w:rPr>
      <w:sz w:val="18"/>
      <w:szCs w:val="18"/>
    </w:rPr>
  </w:style>
  <w:style w:type="paragraph" w:styleId="19">
    <w:name w:val="Body Text First Indent 2"/>
    <w:basedOn w:val="11"/>
    <w:next w:val="11"/>
    <w:link w:val="56"/>
    <w:qFormat/>
    <w:uiPriority w:val="99"/>
    <w:pPr>
      <w:ind w:firstLine="420"/>
    </w:pPr>
  </w:style>
  <w:style w:type="paragraph" w:styleId="20">
    <w:name w:val="toc 2"/>
    <w:basedOn w:val="1"/>
    <w:next w:val="1"/>
    <w:semiHidden/>
    <w:unhideWhenUsed/>
    <w:qFormat/>
    <w:uiPriority w:val="99"/>
    <w:pPr>
      <w:ind w:firstLine="663" w:firstLineChars="150"/>
    </w:pPr>
    <w:rPr>
      <w:sz w:val="24"/>
    </w:rPr>
  </w:style>
  <w:style w:type="paragraph" w:styleId="21">
    <w:name w:val="Body Text 2"/>
    <w:basedOn w:val="1"/>
    <w:link w:val="54"/>
    <w:qFormat/>
    <w:uiPriority w:val="99"/>
    <w:pPr>
      <w:spacing w:after="120" w:line="480" w:lineRule="auto"/>
    </w:pPr>
  </w:style>
  <w:style w:type="paragraph" w:styleId="22">
    <w:name w:val="HTML Preformatted"/>
    <w:basedOn w:val="1"/>
    <w:semiHidden/>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sz w:val="24"/>
      <w:szCs w:val="24"/>
    </w:rPr>
  </w:style>
  <w:style w:type="paragraph" w:styleId="23">
    <w:name w:val="annotation subject"/>
    <w:basedOn w:val="8"/>
    <w:next w:val="8"/>
    <w:link w:val="49"/>
    <w:semiHidden/>
    <w:unhideWhenUsed/>
    <w:qFormat/>
    <w:uiPriority w:val="99"/>
    <w:pPr>
      <w:jc w:val="left"/>
    </w:pPr>
    <w:rPr>
      <w:rFonts w:ascii="宋体" w:hAnsi="宋体" w:eastAsia="方正仿宋_GBK" w:cs="宋体"/>
      <w:b/>
      <w:bCs/>
      <w:sz w:val="32"/>
      <w:szCs w:val="21"/>
    </w:rPr>
  </w:style>
  <w:style w:type="table" w:styleId="25">
    <w:name w:val="Table Grid"/>
    <w:basedOn w:val="2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7">
    <w:name w:val="Strong"/>
    <w:basedOn w:val="26"/>
    <w:qFormat/>
    <w:uiPriority w:val="0"/>
    <w:rPr>
      <w:b/>
      <w:bCs/>
    </w:rPr>
  </w:style>
  <w:style w:type="character" w:styleId="28">
    <w:name w:val="page number"/>
    <w:basedOn w:val="26"/>
    <w:qFormat/>
    <w:uiPriority w:val="0"/>
  </w:style>
  <w:style w:type="character" w:styleId="29">
    <w:name w:val="FollowedHyperlink"/>
    <w:basedOn w:val="26"/>
    <w:unhideWhenUsed/>
    <w:qFormat/>
    <w:uiPriority w:val="99"/>
    <w:rPr>
      <w:color w:val="800080"/>
      <w:u w:val="single"/>
    </w:rPr>
  </w:style>
  <w:style w:type="character" w:styleId="30">
    <w:name w:val="Hyperlink"/>
    <w:basedOn w:val="26"/>
    <w:unhideWhenUsed/>
    <w:qFormat/>
    <w:uiPriority w:val="99"/>
    <w:rPr>
      <w:color w:val="0000FF"/>
      <w:u w:val="single"/>
    </w:rPr>
  </w:style>
  <w:style w:type="character" w:styleId="31">
    <w:name w:val="annotation reference"/>
    <w:basedOn w:val="26"/>
    <w:semiHidden/>
    <w:unhideWhenUsed/>
    <w:qFormat/>
    <w:uiPriority w:val="99"/>
    <w:rPr>
      <w:sz w:val="21"/>
      <w:szCs w:val="21"/>
    </w:rPr>
  </w:style>
  <w:style w:type="paragraph" w:customStyle="1" w:styleId="32">
    <w:name w:val="正文首行缩进 21"/>
    <w:basedOn w:val="33"/>
    <w:qFormat/>
    <w:uiPriority w:val="0"/>
    <w:pPr>
      <w:ind w:firstLine="420" w:firstLineChars="200"/>
    </w:pPr>
  </w:style>
  <w:style w:type="paragraph" w:customStyle="1" w:styleId="33">
    <w:name w:val="正文文本缩进1"/>
    <w:basedOn w:val="1"/>
    <w:qFormat/>
    <w:uiPriority w:val="0"/>
    <w:pPr>
      <w:ind w:left="420" w:leftChars="200"/>
    </w:pPr>
  </w:style>
  <w:style w:type="paragraph" w:customStyle="1" w:styleId="34">
    <w:name w:val="text-tag"/>
    <w:basedOn w:val="1"/>
    <w:qFormat/>
    <w:uiPriority w:val="0"/>
    <w:pPr>
      <w:widowControl/>
      <w:spacing w:before="100" w:beforeAutospacing="1" w:after="100" w:afterAutospacing="1"/>
      <w:jc w:val="left"/>
    </w:pPr>
    <w:rPr>
      <w:sz w:val="24"/>
      <w:szCs w:val="24"/>
    </w:rPr>
  </w:style>
  <w:style w:type="paragraph" w:customStyle="1" w:styleId="35">
    <w:name w:val="0"/>
    <w:basedOn w:val="1"/>
    <w:qFormat/>
    <w:uiPriority w:val="0"/>
    <w:pPr>
      <w:widowControl/>
      <w:spacing w:line="365" w:lineRule="atLeast"/>
      <w:ind w:left="1"/>
    </w:pPr>
    <w:rPr>
      <w:sz w:val="20"/>
      <w:szCs w:val="20"/>
    </w:rPr>
  </w:style>
  <w:style w:type="character" w:customStyle="1" w:styleId="36">
    <w:name w:val="页眉 Char"/>
    <w:basedOn w:val="26"/>
    <w:link w:val="16"/>
    <w:qFormat/>
    <w:uiPriority w:val="99"/>
    <w:rPr>
      <w:sz w:val="18"/>
      <w:szCs w:val="18"/>
    </w:rPr>
  </w:style>
  <w:style w:type="character" w:customStyle="1" w:styleId="37">
    <w:name w:val="页脚 Char"/>
    <w:basedOn w:val="26"/>
    <w:link w:val="15"/>
    <w:qFormat/>
    <w:uiPriority w:val="99"/>
    <w:rPr>
      <w:sz w:val="18"/>
      <w:szCs w:val="18"/>
    </w:rPr>
  </w:style>
  <w:style w:type="paragraph" w:customStyle="1" w:styleId="38">
    <w:name w:val="闻政-正文二级标题"/>
    <w:basedOn w:val="3"/>
    <w:next w:val="39"/>
    <w:qFormat/>
    <w:uiPriority w:val="3"/>
    <w:pPr>
      <w:spacing w:before="120" w:after="60" w:line="500" w:lineRule="exact"/>
      <w:ind w:left="200" w:leftChars="200" w:firstLine="0" w:firstLineChars="0"/>
    </w:pPr>
    <w:rPr>
      <w:rFonts w:ascii="Times New Roman" w:hAnsi="Times New Roman"/>
      <w:sz w:val="28"/>
    </w:rPr>
  </w:style>
  <w:style w:type="paragraph" w:customStyle="1" w:styleId="39">
    <w:name w:val="闻政-正文段落文字"/>
    <w:basedOn w:val="1"/>
    <w:qFormat/>
    <w:uiPriority w:val="3"/>
    <w:pPr>
      <w:spacing w:line="500" w:lineRule="exact"/>
      <w:ind w:firstLine="200"/>
    </w:pPr>
    <w:rPr>
      <w:szCs w:val="28"/>
    </w:rPr>
  </w:style>
  <w:style w:type="paragraph" w:customStyle="1" w:styleId="40">
    <w:name w:val="闻政-正文一级标题"/>
    <w:basedOn w:val="4"/>
    <w:next w:val="39"/>
    <w:qFormat/>
    <w:uiPriority w:val="3"/>
    <w:pPr>
      <w:spacing w:before="120" w:after="60" w:line="500" w:lineRule="exact"/>
      <w:ind w:firstLine="0" w:firstLineChars="0"/>
      <w:outlineLvl w:val="0"/>
    </w:pPr>
    <w:rPr>
      <w:rFonts w:ascii="黑体" w:hAnsi="黑体" w:eastAsia="黑体"/>
    </w:rPr>
  </w:style>
  <w:style w:type="paragraph" w:styleId="41">
    <w:name w:val="List Paragraph"/>
    <w:basedOn w:val="1"/>
    <w:qFormat/>
    <w:uiPriority w:val="34"/>
    <w:pPr>
      <w:ind w:firstLine="420"/>
    </w:pPr>
  </w:style>
  <w:style w:type="paragraph" w:customStyle="1" w:styleId="42">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 w:type="paragraph" w:customStyle="1" w:styleId="43">
    <w:name w:val="WPSOffice手动目录 1"/>
    <w:qFormat/>
    <w:uiPriority w:val="0"/>
    <w:rPr>
      <w:rFonts w:ascii="Times New Roman" w:hAnsi="Times New Roman" w:eastAsia="宋体" w:cs="Times New Roman"/>
      <w:lang w:val="en-US" w:eastAsia="zh-CN" w:bidi="ar-SA"/>
    </w:rPr>
  </w:style>
  <w:style w:type="paragraph" w:customStyle="1" w:styleId="4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45">
    <w:name w:val="无间隔1"/>
    <w:qFormat/>
    <w:uiPriority w:val="1"/>
    <w:pPr>
      <w:widowControl w:val="0"/>
      <w:spacing w:line="660" w:lineRule="exact"/>
      <w:ind w:firstLine="560" w:firstLineChars="200"/>
    </w:pPr>
    <w:rPr>
      <w:rFonts w:ascii="仿宋_GB2312" w:hAnsi="Calibri" w:eastAsia="仿宋_GB2312" w:cs="Times New Roman"/>
      <w:kern w:val="10"/>
      <w:sz w:val="28"/>
      <w:szCs w:val="28"/>
      <w:lang w:val="en-US" w:eastAsia="zh-CN" w:bidi="en-US"/>
    </w:rPr>
  </w:style>
  <w:style w:type="character" w:customStyle="1" w:styleId="46">
    <w:name w:val="font01"/>
    <w:basedOn w:val="26"/>
    <w:qFormat/>
    <w:uiPriority w:val="0"/>
    <w:rPr>
      <w:rFonts w:hint="eastAsia" w:ascii="宋体" w:hAnsi="宋体" w:eastAsia="宋体" w:cs="宋体"/>
      <w:color w:val="000000"/>
      <w:sz w:val="20"/>
      <w:szCs w:val="20"/>
      <w:u w:val="none"/>
    </w:rPr>
  </w:style>
  <w:style w:type="character" w:customStyle="1" w:styleId="47">
    <w:name w:val="font41"/>
    <w:basedOn w:val="26"/>
    <w:qFormat/>
    <w:uiPriority w:val="0"/>
    <w:rPr>
      <w:rFonts w:hint="eastAsia" w:ascii="宋体" w:hAnsi="宋体" w:eastAsia="宋体" w:cs="宋体"/>
      <w:color w:val="000000"/>
      <w:sz w:val="20"/>
      <w:szCs w:val="20"/>
      <w:u w:val="none"/>
    </w:rPr>
  </w:style>
  <w:style w:type="character" w:customStyle="1" w:styleId="48">
    <w:name w:val="批注文字 Char"/>
    <w:basedOn w:val="26"/>
    <w:link w:val="8"/>
    <w:qFormat/>
    <w:uiPriority w:val="99"/>
    <w:rPr>
      <w:rFonts w:ascii="Calibri" w:hAnsi="Calibri" w:eastAsia="仿宋"/>
      <w:sz w:val="24"/>
    </w:rPr>
  </w:style>
  <w:style w:type="character" w:customStyle="1" w:styleId="49">
    <w:name w:val="批注主题 Char"/>
    <w:basedOn w:val="48"/>
    <w:link w:val="23"/>
    <w:semiHidden/>
    <w:qFormat/>
    <w:uiPriority w:val="99"/>
    <w:rPr>
      <w:rFonts w:ascii="宋体" w:hAnsi="宋体" w:eastAsia="方正仿宋_GBK" w:cs="宋体"/>
      <w:b/>
      <w:bCs/>
      <w:sz w:val="32"/>
      <w:szCs w:val="21"/>
    </w:rPr>
  </w:style>
  <w:style w:type="character" w:customStyle="1" w:styleId="50">
    <w:name w:val="批注框文本 Char"/>
    <w:basedOn w:val="26"/>
    <w:link w:val="14"/>
    <w:semiHidden/>
    <w:qFormat/>
    <w:uiPriority w:val="99"/>
    <w:rPr>
      <w:rFonts w:ascii="宋体" w:hAnsi="宋体" w:eastAsia="方正仿宋_GBK" w:cs="宋体"/>
      <w:sz w:val="18"/>
      <w:szCs w:val="18"/>
    </w:rPr>
  </w:style>
  <w:style w:type="character" w:customStyle="1" w:styleId="51">
    <w:name w:val="标题 1 Char"/>
    <w:basedOn w:val="26"/>
    <w:link w:val="2"/>
    <w:qFormat/>
    <w:uiPriority w:val="99"/>
    <w:rPr>
      <w:rFonts w:ascii="黑体" w:hAnsi="黑体"/>
      <w:b/>
      <w:bCs/>
      <w:kern w:val="44"/>
      <w:sz w:val="24"/>
      <w:szCs w:val="44"/>
    </w:rPr>
  </w:style>
  <w:style w:type="character" w:customStyle="1" w:styleId="52">
    <w:name w:val="标题 2 Char"/>
    <w:basedOn w:val="26"/>
    <w:link w:val="3"/>
    <w:qFormat/>
    <w:uiPriority w:val="99"/>
    <w:rPr>
      <w:rFonts w:ascii="Cambria" w:hAnsi="Cambria"/>
      <w:b/>
      <w:bCs/>
      <w:sz w:val="21"/>
      <w:szCs w:val="32"/>
    </w:rPr>
  </w:style>
  <w:style w:type="character" w:customStyle="1" w:styleId="53">
    <w:name w:val="标题 3 Char"/>
    <w:basedOn w:val="26"/>
    <w:link w:val="4"/>
    <w:qFormat/>
    <w:uiPriority w:val="99"/>
    <w:rPr>
      <w:rFonts w:ascii="仿宋_GB2312" w:hAnsi="仿宋_GB2312"/>
      <w:b/>
      <w:bCs/>
      <w:sz w:val="21"/>
      <w:szCs w:val="32"/>
    </w:rPr>
  </w:style>
  <w:style w:type="character" w:customStyle="1" w:styleId="54">
    <w:name w:val="正文文本 2 Char"/>
    <w:basedOn w:val="26"/>
    <w:link w:val="21"/>
    <w:qFormat/>
    <w:uiPriority w:val="99"/>
    <w:rPr>
      <w:sz w:val="21"/>
      <w:szCs w:val="21"/>
    </w:rPr>
  </w:style>
  <w:style w:type="character" w:customStyle="1" w:styleId="55">
    <w:name w:val="正文文本缩进 Char"/>
    <w:basedOn w:val="26"/>
    <w:qFormat/>
    <w:uiPriority w:val="99"/>
    <w:rPr>
      <w:sz w:val="21"/>
      <w:szCs w:val="21"/>
    </w:rPr>
  </w:style>
  <w:style w:type="character" w:customStyle="1" w:styleId="56">
    <w:name w:val="正文首行缩进 2 Char"/>
    <w:basedOn w:val="55"/>
    <w:link w:val="19"/>
    <w:qFormat/>
    <w:uiPriority w:val="99"/>
    <w:rPr>
      <w:sz w:val="24"/>
      <w:szCs w:val="21"/>
    </w:rPr>
  </w:style>
  <w:style w:type="character" w:customStyle="1" w:styleId="57">
    <w:name w:val="正文文本缩进 Char1"/>
    <w:basedOn w:val="26"/>
    <w:link w:val="11"/>
    <w:qFormat/>
    <w:uiPriority w:val="99"/>
    <w:rPr>
      <w:sz w:val="24"/>
      <w:szCs w:val="21"/>
    </w:rPr>
  </w:style>
  <w:style w:type="character" w:customStyle="1" w:styleId="58">
    <w:name w:val="正文文本 Char"/>
    <w:basedOn w:val="26"/>
    <w:link w:val="9"/>
    <w:qFormat/>
    <w:uiPriority w:val="99"/>
    <w:rPr>
      <w:sz w:val="21"/>
      <w:szCs w:val="21"/>
    </w:rPr>
  </w:style>
  <w:style w:type="character" w:customStyle="1" w:styleId="59">
    <w:name w:val="NormalCharacter"/>
    <w:qFormat/>
    <w:uiPriority w:val="0"/>
    <w:rPr>
      <w:rFonts w:ascii="Times New Roman" w:hAnsi="Times New Roman" w:eastAsia="宋体" w:cs="Times New Roman"/>
      <w:sz w:val="21"/>
      <w:szCs w:val="21"/>
      <w:lang w:val="en-US" w:eastAsia="zh-CN" w:bidi="ar-SA"/>
    </w:rPr>
  </w:style>
  <w:style w:type="paragraph" w:customStyle="1" w:styleId="60">
    <w:name w:val="TOC 标题1"/>
    <w:basedOn w:val="2"/>
    <w:next w:val="1"/>
    <w:qFormat/>
    <w:uiPriority w:val="0"/>
    <w:pPr>
      <w:spacing w:before="480" w:line="276" w:lineRule="auto"/>
      <w:outlineLvl w:val="9"/>
    </w:pPr>
    <w:rPr>
      <w:rFonts w:ascii="仿宋" w:eastAsia="仿宋"/>
      <w:color w:val="000000"/>
      <w:kern w:val="0"/>
      <w:szCs w:val="32"/>
    </w:rPr>
  </w:style>
  <w:style w:type="character" w:customStyle="1" w:styleId="61">
    <w:name w:val="font11"/>
    <w:basedOn w:val="26"/>
    <w:qFormat/>
    <w:uiPriority w:val="0"/>
    <w:rPr>
      <w:rFonts w:hint="default" w:ascii="Times New Roman" w:hAnsi="Times New Roman" w:cs="Times New Roman"/>
      <w:color w:val="FF0000"/>
      <w:sz w:val="21"/>
      <w:szCs w:val="21"/>
      <w:u w:val="none"/>
    </w:rPr>
  </w:style>
  <w:style w:type="character" w:customStyle="1" w:styleId="62">
    <w:name w:val="font21"/>
    <w:basedOn w:val="26"/>
    <w:qFormat/>
    <w:uiPriority w:val="0"/>
    <w:rPr>
      <w:rFonts w:hint="eastAsia" w:ascii="宋体" w:hAnsi="宋体" w:eastAsia="宋体" w:cs="宋体"/>
      <w:color w:val="FF0000"/>
      <w:sz w:val="21"/>
      <w:szCs w:val="21"/>
      <w:u w:val="none"/>
    </w:rPr>
  </w:style>
  <w:style w:type="paragraph" w:customStyle="1" w:styleId="63">
    <w:name w:val="p0"/>
    <w:basedOn w:val="1"/>
    <w:qFormat/>
    <w:uiPriority w:val="0"/>
    <w:pPr>
      <w:widowControl/>
      <w:spacing w:before="100" w:beforeAutospacing="1" w:after="100" w:afterAutospacing="1"/>
      <w:jc w:val="left"/>
    </w:pPr>
    <w:rPr>
      <w:rFonts w:ascii="宋体" w:hAnsi="宋体" w:cs="宋体"/>
      <w:sz w:val="24"/>
    </w:rPr>
  </w:style>
  <w:style w:type="character" w:customStyle="1" w:styleId="64">
    <w:name w:val="font71"/>
    <w:basedOn w:val="26"/>
    <w:qFormat/>
    <w:uiPriority w:val="0"/>
    <w:rPr>
      <w:rFonts w:hint="eastAsia" w:ascii="宋体" w:hAnsi="宋体" w:eastAsia="宋体" w:cs="宋体"/>
      <w:color w:val="000000"/>
      <w:sz w:val="21"/>
      <w:szCs w:val="21"/>
      <w:u w:val="none"/>
    </w:rPr>
  </w:style>
  <w:style w:type="character" w:customStyle="1" w:styleId="65">
    <w:name w:val="font31"/>
    <w:basedOn w:val="26"/>
    <w:qFormat/>
    <w:uiPriority w:val="0"/>
    <w:rPr>
      <w:rFonts w:hint="default" w:ascii="Calibri" w:hAnsi="Calibri" w:cs="Calibri"/>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7" Type="http://schemas.microsoft.com/office/2011/relationships/people" Target="people.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2.jpeg"/><Relationship Id="rId22" Type="http://schemas.openxmlformats.org/officeDocument/2006/relationships/image" Target="media/image1.jpeg"/><Relationship Id="rId21" Type="http://schemas.openxmlformats.org/officeDocument/2006/relationships/theme" Target="theme/theme1.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6.xml"/><Relationship Id="rId17" Type="http://schemas.openxmlformats.org/officeDocument/2006/relationships/footer" Target="footer6.xml"/><Relationship Id="rId16" Type="http://schemas.openxmlformats.org/officeDocument/2006/relationships/header" Target="header5.xml"/><Relationship Id="rId15" Type="http://schemas.openxmlformats.org/officeDocument/2006/relationships/footer" Target="footer5.xml"/><Relationship Id="rId14" Type="http://schemas.openxmlformats.org/officeDocument/2006/relationships/footer" Target="footer4.xml"/><Relationship Id="rId13" Type="http://schemas.openxmlformats.org/officeDocument/2006/relationships/header" Target="header4.xml"/><Relationship Id="rId12" Type="http://schemas.openxmlformats.org/officeDocument/2006/relationships/footer" Target="footer3.xml"/><Relationship Id="rId11" Type="http://schemas.openxmlformats.org/officeDocument/2006/relationships/footer" Target="footer2.xml"/><Relationship Id="rId10" Type="http://schemas.openxmlformats.org/officeDocument/2006/relationships/footer" Target="footer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44</Pages>
  <Words>31918</Words>
  <Characters>35964</Characters>
  <Lines>310</Lines>
  <Paragraphs>87</Paragraphs>
  <TotalTime>2</TotalTime>
  <ScaleCrop>false</ScaleCrop>
  <LinksUpToDate>false</LinksUpToDate>
  <CharactersWithSpaces>36824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2020-09-22T07:41:00Z</dcterms:created>
  <dc:creator>Lenovo</dc:creator>
  <cp:lastModifiedBy>HH</cp:lastModifiedBy>
  <dcterms:modified xsi:type="dcterms:W3CDTF">2025-09-10T04:44:49Z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23BA84E9964040FA9D4B43E2A47380EB_13</vt:lpwstr>
  </property>
  <property fmtid="{D5CDD505-2E9C-101B-9397-08002B2CF9AE}" pid="4" name="KSOTemplateDocerSaveRecord">
    <vt:lpwstr>eyJoZGlkIjoiZDU5ODI3OTZlMjJmZjZkNDhjY2NkNTZiNTU2ZmRkMGYiLCJ1c2VySWQiOiI0OTM4NDcxMDAifQ==</vt:lpwstr>
  </property>
</Properties>
</file>