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9B7A9B9">
      <w:pPr>
        <w:adjustRightInd/>
        <w:spacing w:line="240" w:lineRule="auto"/>
        <w:ind w:firstLine="0" w:firstLineChars="0"/>
        <w:jc w:val="center"/>
        <w:rPr>
          <w:rFonts w:eastAsia="黑体"/>
          <w:color w:val="auto"/>
          <w:sz w:val="30"/>
          <w:szCs w:val="30"/>
        </w:rPr>
      </w:pPr>
    </w:p>
    <w:p w14:paraId="535CCBB5">
      <w:pPr>
        <w:pBdr>
          <w:bottom w:val="dotDotDash" w:color="auto" w:sz="24" w:space="10"/>
        </w:pBdr>
        <w:adjustRightInd/>
        <w:spacing w:before="312" w:beforeLines="100" w:after="312" w:afterLines="100" w:line="240" w:lineRule="auto"/>
        <w:ind w:firstLine="0" w:firstLineChars="0"/>
        <w:jc w:val="center"/>
        <w:rPr>
          <w:rFonts w:eastAsia="黑体"/>
          <w:b/>
          <w:color w:val="auto"/>
          <w:sz w:val="30"/>
          <w:szCs w:val="30"/>
        </w:rPr>
      </w:pPr>
    </w:p>
    <w:p w14:paraId="7D1F2977">
      <w:pPr>
        <w:pBdr>
          <w:bottom w:val="dotDotDash" w:color="auto" w:sz="24" w:space="10"/>
        </w:pBdr>
        <w:adjustRightInd/>
        <w:spacing w:before="312" w:beforeLines="100" w:after="312" w:afterLines="100" w:line="240" w:lineRule="auto"/>
        <w:ind w:firstLine="0" w:firstLineChars="0"/>
        <w:jc w:val="center"/>
        <w:rPr>
          <w:rFonts w:eastAsia="黑体"/>
          <w:b/>
          <w:color w:val="auto"/>
          <w:sz w:val="30"/>
          <w:szCs w:val="30"/>
        </w:rPr>
      </w:pPr>
    </w:p>
    <w:p w14:paraId="7FE4BD98">
      <w:pPr>
        <w:pBdr>
          <w:bottom w:val="dotDotDash" w:color="auto" w:sz="24" w:space="10"/>
        </w:pBdr>
        <w:adjustRightInd/>
        <w:spacing w:before="312" w:beforeLines="100" w:after="312" w:afterLines="100" w:line="240" w:lineRule="auto"/>
        <w:ind w:firstLine="0" w:firstLineChars="0"/>
        <w:jc w:val="center"/>
        <w:rPr>
          <w:rFonts w:eastAsia="黑体"/>
          <w:b/>
          <w:color w:val="auto"/>
          <w:sz w:val="30"/>
          <w:szCs w:val="30"/>
        </w:rPr>
      </w:pPr>
    </w:p>
    <w:p w14:paraId="136C8637">
      <w:pPr>
        <w:widowControl/>
        <w:pBdr>
          <w:bottom w:val="dotDotDash" w:color="auto" w:sz="24" w:space="10"/>
        </w:pBdr>
        <w:adjustRightInd/>
        <w:spacing w:before="156" w:beforeLines="50" w:after="312" w:afterLines="100" w:line="240" w:lineRule="auto"/>
        <w:ind w:firstLine="0" w:firstLineChars="0"/>
        <w:jc w:val="center"/>
        <w:textAlignment w:val="center"/>
        <w:rPr>
          <w:rFonts w:hint="default" w:eastAsia="黑体"/>
          <w:b/>
          <w:color w:val="auto"/>
          <w:sz w:val="44"/>
          <w:szCs w:val="22"/>
        </w:rPr>
      </w:pPr>
      <w:r>
        <w:rPr>
          <w:rFonts w:hint="default" w:eastAsia="黑体"/>
          <w:b/>
          <w:color w:val="auto"/>
          <w:sz w:val="44"/>
          <w:szCs w:val="22"/>
          <w:lang w:val="en-US" w:eastAsia="zh-CN"/>
        </w:rPr>
        <w:t>吉木萨尔中等职业技术</w:t>
      </w:r>
      <w:r>
        <w:rPr>
          <w:rFonts w:hint="default" w:eastAsia="黑体"/>
          <w:b/>
          <w:color w:val="auto"/>
          <w:sz w:val="44"/>
          <w:szCs w:val="22"/>
        </w:rPr>
        <w:t>学校</w:t>
      </w:r>
    </w:p>
    <w:p w14:paraId="19CDBD70">
      <w:pPr>
        <w:widowControl/>
        <w:pBdr>
          <w:bottom w:val="dotDotDash" w:color="auto" w:sz="24" w:space="10"/>
        </w:pBdr>
        <w:adjustRightInd/>
        <w:spacing w:before="156" w:beforeLines="50" w:after="312" w:afterLines="100" w:line="240" w:lineRule="auto"/>
        <w:ind w:firstLine="0" w:firstLineChars="0"/>
        <w:jc w:val="center"/>
        <w:textAlignment w:val="center"/>
        <w:rPr>
          <w:rFonts w:hint="default" w:eastAsia="黑体"/>
          <w:b/>
          <w:color w:val="auto"/>
          <w:sz w:val="44"/>
          <w:szCs w:val="22"/>
          <w:lang w:val="en-US" w:eastAsia="zh-CN"/>
        </w:rPr>
      </w:pPr>
      <w:r>
        <w:rPr>
          <w:rFonts w:hint="default" w:eastAsia="黑体"/>
          <w:b/>
          <w:color w:val="auto"/>
          <w:sz w:val="44"/>
          <w:szCs w:val="22"/>
        </w:rPr>
        <w:t>2024年中央现代职业教育质量提升计划资金</w:t>
      </w:r>
      <w:r>
        <w:rPr>
          <w:rFonts w:hint="default" w:eastAsia="黑体"/>
          <w:b/>
          <w:color w:val="auto"/>
          <w:sz w:val="44"/>
          <w:szCs w:val="22"/>
          <w:lang w:val="en-US" w:eastAsia="zh-CN"/>
        </w:rPr>
        <w:t>项目</w:t>
      </w:r>
    </w:p>
    <w:p w14:paraId="01E0851E">
      <w:pPr>
        <w:widowControl/>
        <w:adjustRightInd/>
        <w:snapToGrid/>
        <w:ind w:firstLine="0" w:firstLineChars="0"/>
        <w:jc w:val="center"/>
        <w:rPr>
          <w:rFonts w:eastAsia="黑体"/>
          <w:bCs/>
          <w:color w:val="auto"/>
          <w:sz w:val="44"/>
          <w:szCs w:val="22"/>
        </w:rPr>
      </w:pPr>
      <w:r>
        <w:rPr>
          <w:rFonts w:eastAsia="黑体"/>
          <w:bCs/>
          <w:color w:val="auto"/>
          <w:sz w:val="44"/>
          <w:szCs w:val="22"/>
        </w:rPr>
        <w:t>绩效评价报告</w:t>
      </w:r>
    </w:p>
    <w:p w14:paraId="1EE5B756">
      <w:pPr>
        <w:adjustRightInd/>
        <w:ind w:firstLine="0" w:firstLineChars="0"/>
        <w:jc w:val="center"/>
        <w:rPr>
          <w:color w:val="auto"/>
        </w:rPr>
      </w:pPr>
      <w:r>
        <w:rPr>
          <w:color w:val="auto"/>
        </w:rPr>
        <w:t>驰天会咨字[202</w:t>
      </w:r>
      <w:r>
        <w:rPr>
          <w:rFonts w:hint="default"/>
          <w:color w:val="auto"/>
          <w:lang w:val="en-US" w:eastAsia="zh-CN"/>
        </w:rPr>
        <w:t>5</w:t>
      </w:r>
      <w:r>
        <w:rPr>
          <w:color w:val="auto"/>
        </w:rPr>
        <w:t>]1-0</w:t>
      </w:r>
      <w:r>
        <w:rPr>
          <w:rFonts w:hint="default"/>
          <w:color w:val="auto"/>
          <w:lang w:val="en-US" w:eastAsia="zh-CN"/>
        </w:rPr>
        <w:t>145</w:t>
      </w:r>
      <w:r>
        <w:rPr>
          <w:color w:val="auto"/>
        </w:rPr>
        <w:t>号</w:t>
      </w:r>
    </w:p>
    <w:p w14:paraId="7F0E8A09">
      <w:pPr>
        <w:adjustRightInd/>
        <w:ind w:firstLine="0" w:firstLineChars="0"/>
        <w:jc w:val="center"/>
        <w:rPr>
          <w:b/>
          <w:color w:val="auto"/>
          <w:sz w:val="32"/>
          <w:szCs w:val="22"/>
        </w:rPr>
      </w:pPr>
    </w:p>
    <w:p w14:paraId="074D1B80">
      <w:pPr>
        <w:adjustRightInd/>
        <w:ind w:firstLine="0" w:firstLineChars="0"/>
        <w:jc w:val="center"/>
        <w:rPr>
          <w:b/>
          <w:color w:val="auto"/>
          <w:sz w:val="32"/>
          <w:szCs w:val="22"/>
        </w:rPr>
      </w:pPr>
    </w:p>
    <w:p w14:paraId="7A3884BC">
      <w:pPr>
        <w:adjustRightInd/>
        <w:ind w:firstLine="0" w:firstLineChars="0"/>
        <w:jc w:val="center"/>
        <w:rPr>
          <w:b/>
          <w:color w:val="auto"/>
          <w:sz w:val="32"/>
          <w:szCs w:val="22"/>
        </w:rPr>
      </w:pPr>
    </w:p>
    <w:p w14:paraId="6A260EF5">
      <w:pPr>
        <w:adjustRightInd/>
        <w:ind w:firstLine="0" w:firstLineChars="0"/>
        <w:jc w:val="center"/>
        <w:rPr>
          <w:b/>
          <w:color w:val="auto"/>
          <w:sz w:val="32"/>
          <w:szCs w:val="22"/>
        </w:rPr>
      </w:pPr>
    </w:p>
    <w:p w14:paraId="7890687F">
      <w:pPr>
        <w:adjustRightInd/>
        <w:ind w:firstLine="0" w:firstLineChars="0"/>
        <w:jc w:val="center"/>
        <w:rPr>
          <w:b/>
          <w:color w:val="auto"/>
          <w:sz w:val="32"/>
          <w:szCs w:val="22"/>
        </w:rPr>
      </w:pPr>
    </w:p>
    <w:p w14:paraId="0879D168">
      <w:pPr>
        <w:adjustRightInd/>
        <w:ind w:firstLine="0" w:firstLineChars="0"/>
        <w:jc w:val="center"/>
        <w:rPr>
          <w:b/>
          <w:color w:val="auto"/>
          <w:sz w:val="32"/>
          <w:szCs w:val="22"/>
        </w:rPr>
      </w:pPr>
    </w:p>
    <w:p w14:paraId="461E3948">
      <w:pPr>
        <w:adjustRightInd/>
        <w:ind w:firstLine="0" w:firstLineChars="0"/>
        <w:jc w:val="center"/>
        <w:rPr>
          <w:b/>
          <w:color w:val="auto"/>
          <w:sz w:val="32"/>
          <w:szCs w:val="22"/>
        </w:rPr>
      </w:pPr>
    </w:p>
    <w:p w14:paraId="1BD92067">
      <w:pPr>
        <w:adjustRightInd/>
        <w:ind w:firstLine="0" w:firstLineChars="0"/>
        <w:jc w:val="center"/>
        <w:rPr>
          <w:b/>
          <w:color w:val="auto"/>
          <w:sz w:val="32"/>
          <w:szCs w:val="22"/>
        </w:rPr>
      </w:pPr>
    </w:p>
    <w:p w14:paraId="62D0B032">
      <w:pPr>
        <w:adjustRightInd/>
        <w:ind w:firstLine="0" w:firstLineChars="0"/>
        <w:jc w:val="center"/>
        <w:rPr>
          <w:b/>
          <w:color w:val="auto"/>
          <w:sz w:val="32"/>
          <w:szCs w:val="22"/>
        </w:rPr>
      </w:pPr>
    </w:p>
    <w:p w14:paraId="75936573">
      <w:pPr>
        <w:pStyle w:val="9"/>
        <w:ind w:firstLine="0" w:firstLineChars="0"/>
        <w:rPr>
          <w:b/>
          <w:color w:val="auto"/>
          <w:sz w:val="32"/>
          <w:szCs w:val="22"/>
        </w:rPr>
      </w:pPr>
    </w:p>
    <w:p w14:paraId="0B46562B">
      <w:pPr>
        <w:pStyle w:val="16"/>
        <w:ind w:firstLine="420"/>
        <w:rPr>
          <w:color w:val="auto"/>
        </w:rPr>
      </w:pPr>
    </w:p>
    <w:p w14:paraId="1EC68202">
      <w:pPr>
        <w:pageBreakBefore w:val="0"/>
        <w:kinsoku/>
        <w:wordWrap/>
        <w:overflowPunct/>
        <w:topLinePunct w:val="0"/>
        <w:autoSpaceDE/>
        <w:autoSpaceDN/>
        <w:bidi w:val="0"/>
        <w:adjustRightInd/>
        <w:snapToGrid w:val="0"/>
        <w:spacing w:line="360" w:lineRule="auto"/>
        <w:ind w:firstLine="0" w:firstLineChars="0"/>
        <w:jc w:val="center"/>
        <w:rPr>
          <w:b/>
          <w:color w:val="auto"/>
          <w:sz w:val="32"/>
          <w:szCs w:val="22"/>
        </w:rPr>
      </w:pPr>
      <w:r>
        <w:rPr>
          <w:b/>
          <w:color w:val="auto"/>
          <w:sz w:val="32"/>
          <w:szCs w:val="22"/>
        </w:rPr>
        <w:t>新疆驰远天合有限责任会计师事务所</w:t>
      </w:r>
    </w:p>
    <w:p w14:paraId="517D1E4B">
      <w:pPr>
        <w:pageBreakBefore w:val="0"/>
        <w:kinsoku/>
        <w:wordWrap/>
        <w:overflowPunct/>
        <w:topLinePunct w:val="0"/>
        <w:autoSpaceDE/>
        <w:autoSpaceDN/>
        <w:bidi w:val="0"/>
        <w:adjustRightInd/>
        <w:snapToGrid w:val="0"/>
        <w:spacing w:line="360" w:lineRule="auto"/>
        <w:ind w:firstLine="0" w:firstLineChars="0"/>
        <w:jc w:val="center"/>
        <w:rPr>
          <w:rFonts w:eastAsia="等线"/>
          <w:b/>
          <w:color w:val="auto"/>
          <w:sz w:val="28"/>
          <w:szCs w:val="28"/>
        </w:rPr>
      </w:pPr>
      <w:r>
        <w:rPr>
          <w:rFonts w:eastAsia="等线"/>
          <w:b/>
          <w:color w:val="auto"/>
          <w:sz w:val="28"/>
          <w:szCs w:val="28"/>
        </w:rPr>
        <w:t>XIN JIANG CHI YUAN TIAN HE</w:t>
      </w:r>
    </w:p>
    <w:p w14:paraId="633F607C">
      <w:pPr>
        <w:pageBreakBefore w:val="0"/>
        <w:kinsoku/>
        <w:wordWrap/>
        <w:overflowPunct/>
        <w:topLinePunct w:val="0"/>
        <w:autoSpaceDE/>
        <w:autoSpaceDN/>
        <w:bidi w:val="0"/>
        <w:adjustRightInd/>
        <w:snapToGrid w:val="0"/>
        <w:spacing w:line="360" w:lineRule="auto"/>
        <w:ind w:firstLine="0" w:firstLineChars="0"/>
        <w:jc w:val="center"/>
        <w:rPr>
          <w:rFonts w:eastAsia="黑体"/>
          <w:b/>
          <w:color w:val="auto"/>
          <w:sz w:val="44"/>
          <w:szCs w:val="44"/>
        </w:rPr>
      </w:pPr>
      <w:r>
        <w:rPr>
          <w:rFonts w:eastAsia="等线"/>
          <w:b/>
          <w:color w:val="auto"/>
        </w:rPr>
        <w:t>Certified Public Accountants Co.,Ltd.</w:t>
      </w:r>
    </w:p>
    <w:p w14:paraId="6A66B0C4">
      <w:pPr>
        <w:ind w:firstLine="0" w:firstLineChars="0"/>
        <w:rPr>
          <w:rFonts w:hint="default" w:eastAsia="黑体"/>
          <w:bCs/>
          <w:color w:val="auto"/>
          <w:sz w:val="24"/>
          <w:szCs w:val="24"/>
          <w:lang w:eastAsia="zh-CN"/>
        </w:rPr>
      </w:pPr>
      <w:r>
        <w:rPr>
          <w:rFonts w:eastAsia="黑体"/>
          <w:bCs/>
          <w:color w:val="auto"/>
          <w:sz w:val="24"/>
          <w:szCs w:val="24"/>
        </w:rPr>
        <w:t>项目名称：</w:t>
      </w:r>
      <w:r>
        <w:rPr>
          <w:rFonts w:hint="default" w:eastAsia="黑体"/>
          <w:bCs/>
          <w:color w:val="auto"/>
          <w:sz w:val="24"/>
          <w:szCs w:val="24"/>
          <w:lang w:eastAsia="zh-CN"/>
        </w:rPr>
        <w:t>2024年中央现代职业教育质量提升计划资金</w:t>
      </w:r>
      <w:r>
        <w:rPr>
          <w:rFonts w:hint="default" w:eastAsia="黑体"/>
          <w:bCs/>
          <w:color w:val="auto"/>
          <w:sz w:val="24"/>
          <w:szCs w:val="24"/>
          <w:lang w:val="en-US" w:eastAsia="zh-CN"/>
        </w:rPr>
        <w:t>项目</w:t>
      </w:r>
    </w:p>
    <w:p w14:paraId="71FF82E9">
      <w:pPr>
        <w:widowControl/>
        <w:ind w:firstLine="0" w:firstLineChars="0"/>
        <w:rPr>
          <w:rFonts w:eastAsia="黑体"/>
          <w:bCs/>
          <w:color w:val="auto"/>
          <w:sz w:val="24"/>
          <w:szCs w:val="24"/>
        </w:rPr>
      </w:pPr>
      <w:r>
        <w:rPr>
          <w:rFonts w:eastAsia="黑体"/>
          <w:bCs/>
          <w:color w:val="auto"/>
          <w:sz w:val="24"/>
          <w:szCs w:val="24"/>
        </w:rPr>
        <w:t>委托单位：</w:t>
      </w:r>
      <w:r>
        <w:rPr>
          <w:rFonts w:hint="default" w:eastAsia="黑体"/>
          <w:bCs/>
          <w:color w:val="auto"/>
          <w:sz w:val="24"/>
          <w:szCs w:val="24"/>
          <w:lang w:eastAsia="zh-CN"/>
        </w:rPr>
        <w:t>吉木萨尔县</w:t>
      </w:r>
      <w:r>
        <w:rPr>
          <w:rFonts w:eastAsia="黑体"/>
          <w:bCs/>
          <w:color w:val="auto"/>
          <w:sz w:val="24"/>
          <w:szCs w:val="24"/>
        </w:rPr>
        <w:t>财政局</w:t>
      </w:r>
    </w:p>
    <w:p w14:paraId="4DE2D513">
      <w:pPr>
        <w:widowControl/>
        <w:ind w:firstLine="0" w:firstLineChars="0"/>
        <w:rPr>
          <w:rFonts w:eastAsia="黑体"/>
          <w:bCs/>
          <w:color w:val="auto"/>
          <w:sz w:val="24"/>
          <w:szCs w:val="24"/>
        </w:rPr>
      </w:pPr>
      <w:r>
        <w:rPr>
          <w:rFonts w:eastAsia="黑体"/>
          <w:bCs/>
          <w:color w:val="auto"/>
          <w:sz w:val="24"/>
          <w:szCs w:val="24"/>
        </w:rPr>
        <w:t>评价机构：新疆驰远天合有限责任会计师事务所</w:t>
      </w:r>
    </w:p>
    <w:p w14:paraId="73460430">
      <w:pPr>
        <w:widowControl/>
        <w:ind w:firstLine="0" w:firstLineChars="0"/>
        <w:rPr>
          <w:rFonts w:eastAsia="黑体"/>
          <w:bCs/>
          <w:color w:val="auto"/>
          <w:sz w:val="24"/>
          <w:szCs w:val="24"/>
        </w:rPr>
      </w:pPr>
      <w:r>
        <w:rPr>
          <w:rFonts w:eastAsia="黑体"/>
          <w:bCs/>
          <w:color w:val="auto"/>
          <w:sz w:val="24"/>
          <w:szCs w:val="24"/>
        </w:rPr>
        <w:t>机构负责人：孙卫红</w:t>
      </w:r>
    </w:p>
    <w:p w14:paraId="1DA3DF40">
      <w:pPr>
        <w:widowControl/>
        <w:ind w:firstLine="0" w:firstLineChars="0"/>
        <w:rPr>
          <w:rFonts w:eastAsia="黑体"/>
          <w:bCs/>
          <w:color w:val="auto"/>
          <w:sz w:val="24"/>
          <w:szCs w:val="24"/>
        </w:rPr>
      </w:pPr>
      <w:r>
        <w:rPr>
          <w:rFonts w:eastAsia="黑体"/>
          <w:bCs/>
          <w:color w:val="auto"/>
          <w:sz w:val="24"/>
          <w:szCs w:val="24"/>
        </w:rPr>
        <w:t>联系方式：0991-2835917、0991-2831583</w:t>
      </w:r>
    </w:p>
    <w:p w14:paraId="2650A6A8">
      <w:pPr>
        <w:widowControl/>
        <w:ind w:firstLine="0" w:firstLineChars="0"/>
        <w:rPr>
          <w:rFonts w:eastAsia="黑体"/>
          <w:bCs/>
          <w:color w:val="auto"/>
          <w:sz w:val="24"/>
          <w:szCs w:val="24"/>
        </w:rPr>
      </w:pPr>
      <w:r>
        <w:rPr>
          <w:rFonts w:eastAsia="黑体"/>
          <w:bCs/>
          <w:color w:val="auto"/>
          <w:sz w:val="24"/>
          <w:szCs w:val="24"/>
        </w:rPr>
        <w:t>通讯地址：新疆乌鲁木齐市天山区新华南路9号汇源大厦13楼</w:t>
      </w:r>
    </w:p>
    <w:p w14:paraId="68D8022A">
      <w:pPr>
        <w:widowControl/>
        <w:ind w:firstLine="0" w:firstLineChars="0"/>
        <w:rPr>
          <w:rFonts w:eastAsia="黑体"/>
          <w:bCs/>
          <w:color w:val="auto"/>
          <w:sz w:val="24"/>
          <w:szCs w:val="24"/>
        </w:rPr>
      </w:pPr>
      <w:r>
        <w:rPr>
          <w:rFonts w:eastAsia="黑体"/>
          <w:bCs/>
          <w:color w:val="auto"/>
          <w:sz w:val="24"/>
          <w:szCs w:val="24"/>
        </w:rPr>
        <w:t>邮政编码：830004</w:t>
      </w:r>
    </w:p>
    <w:p w14:paraId="02EBB4D9">
      <w:pPr>
        <w:widowControl/>
        <w:spacing w:line="560" w:lineRule="exact"/>
        <w:ind w:firstLine="0" w:firstLineChars="0"/>
        <w:rPr>
          <w:rFonts w:eastAsia="黑体"/>
          <w:bCs/>
          <w:color w:val="auto"/>
          <w:sz w:val="24"/>
          <w:szCs w:val="24"/>
        </w:rPr>
      </w:pPr>
    </w:p>
    <w:p w14:paraId="164414FE">
      <w:pPr>
        <w:widowControl/>
        <w:spacing w:line="560" w:lineRule="exact"/>
        <w:ind w:firstLine="0" w:firstLineChars="0"/>
        <w:rPr>
          <w:rFonts w:eastAsia="黑体"/>
          <w:bCs/>
          <w:color w:val="auto"/>
          <w:sz w:val="24"/>
          <w:szCs w:val="24"/>
        </w:rPr>
      </w:pPr>
    </w:p>
    <w:p w14:paraId="155D46CA">
      <w:pPr>
        <w:widowControl/>
        <w:spacing w:line="440" w:lineRule="exact"/>
        <w:ind w:firstLine="0" w:firstLineChars="0"/>
        <w:rPr>
          <w:rFonts w:eastAsia="黑体"/>
          <w:bCs/>
          <w:color w:val="auto"/>
          <w:sz w:val="24"/>
          <w:szCs w:val="24"/>
        </w:rPr>
      </w:pPr>
      <w:r>
        <w:rPr>
          <w:rFonts w:eastAsia="黑体"/>
          <w:bCs/>
          <w:color w:val="auto"/>
          <w:sz w:val="24"/>
          <w:szCs w:val="24"/>
        </w:rPr>
        <w:t>项目评价小组成员：</w:t>
      </w:r>
    </w:p>
    <w:p w14:paraId="7F9AE56E">
      <w:pPr>
        <w:widowControl/>
        <w:spacing w:line="240" w:lineRule="auto"/>
        <w:ind w:firstLine="480"/>
        <w:rPr>
          <w:rFonts w:eastAsia="黑体"/>
          <w:bCs/>
          <w:color w:val="auto"/>
          <w:sz w:val="24"/>
          <w:szCs w:val="24"/>
        </w:rPr>
      </w:pPr>
    </w:p>
    <w:p w14:paraId="32DDAD97">
      <w:pPr>
        <w:pageBreakBefore w:val="0"/>
        <w:widowControl/>
        <w:kinsoku/>
        <w:wordWrap/>
        <w:overflowPunct/>
        <w:topLinePunct w:val="0"/>
        <w:autoSpaceDE/>
        <w:autoSpaceDN/>
        <w:bidi w:val="0"/>
        <w:snapToGrid w:val="0"/>
        <w:spacing w:line="360" w:lineRule="auto"/>
        <w:ind w:firstLine="480"/>
        <w:rPr>
          <w:rFonts w:eastAsia="黑体"/>
          <w:bCs/>
          <w:color w:val="auto"/>
          <w:sz w:val="24"/>
          <w:szCs w:val="24"/>
        </w:rPr>
      </w:pPr>
      <w:r>
        <w:rPr>
          <w:rFonts w:hint="default" w:eastAsia="黑体"/>
          <w:bCs/>
          <w:color w:val="auto"/>
          <w:sz w:val="24"/>
          <w:szCs w:val="24"/>
        </w:rPr>
        <w:t>项目</w:t>
      </w:r>
      <w:r>
        <w:rPr>
          <w:rFonts w:eastAsia="黑体"/>
          <w:bCs/>
          <w:color w:val="auto"/>
          <w:sz w:val="24"/>
          <w:szCs w:val="24"/>
        </w:rPr>
        <w:t>主评人：</w:t>
      </w:r>
      <w:r>
        <w:rPr>
          <w:rFonts w:hint="default" w:eastAsia="黑体"/>
          <w:bCs/>
          <w:color w:val="auto"/>
          <w:sz w:val="24"/>
          <w:szCs w:val="24"/>
        </w:rPr>
        <w:t>冯延萍  注册会计师、注册评估师</w:t>
      </w:r>
    </w:p>
    <w:p w14:paraId="471ACDA8">
      <w:pPr>
        <w:pageBreakBefore w:val="0"/>
        <w:widowControl/>
        <w:kinsoku/>
        <w:wordWrap/>
        <w:overflowPunct/>
        <w:topLinePunct w:val="0"/>
        <w:autoSpaceDE/>
        <w:autoSpaceDN/>
        <w:bidi w:val="0"/>
        <w:snapToGrid w:val="0"/>
        <w:spacing w:line="360" w:lineRule="auto"/>
        <w:ind w:firstLine="480"/>
        <w:rPr>
          <w:rFonts w:hint="default" w:eastAsia="黑体"/>
          <w:bCs/>
          <w:color w:val="auto"/>
          <w:sz w:val="24"/>
          <w:szCs w:val="24"/>
          <w:lang w:val="en-US" w:eastAsia="zh-CN"/>
        </w:rPr>
      </w:pPr>
      <w:r>
        <w:rPr>
          <w:rFonts w:hint="default" w:eastAsia="黑体"/>
          <w:bCs/>
          <w:color w:val="auto"/>
          <w:sz w:val="24"/>
          <w:szCs w:val="24"/>
        </w:rPr>
        <w:t>报告</w:t>
      </w:r>
      <w:r>
        <w:rPr>
          <w:rFonts w:eastAsia="黑体"/>
          <w:bCs/>
          <w:color w:val="auto"/>
          <w:sz w:val="24"/>
          <w:szCs w:val="24"/>
        </w:rPr>
        <w:t>复核人：</w:t>
      </w:r>
      <w:r>
        <w:rPr>
          <w:rFonts w:hint="default" w:eastAsia="黑体"/>
          <w:bCs/>
          <w:color w:val="auto"/>
          <w:sz w:val="24"/>
          <w:szCs w:val="24"/>
        </w:rPr>
        <w:t xml:space="preserve">腊晓林  </w:t>
      </w:r>
      <w:r>
        <w:rPr>
          <w:rFonts w:hint="default" w:eastAsia="黑体"/>
          <w:bCs/>
          <w:color w:val="auto"/>
          <w:sz w:val="24"/>
          <w:szCs w:val="24"/>
          <w:lang w:val="en-US" w:eastAsia="zh-CN"/>
        </w:rPr>
        <w:t>咨询工程师</w:t>
      </w:r>
    </w:p>
    <w:p w14:paraId="23491384">
      <w:pPr>
        <w:pageBreakBefore w:val="0"/>
        <w:widowControl/>
        <w:kinsoku/>
        <w:wordWrap/>
        <w:overflowPunct/>
        <w:topLinePunct w:val="0"/>
        <w:autoSpaceDE/>
        <w:autoSpaceDN/>
        <w:bidi w:val="0"/>
        <w:snapToGrid w:val="0"/>
        <w:spacing w:line="360" w:lineRule="auto"/>
        <w:ind w:firstLine="480"/>
        <w:rPr>
          <w:rFonts w:eastAsia="黑体"/>
          <w:bCs/>
          <w:color w:val="auto"/>
          <w:sz w:val="24"/>
          <w:szCs w:val="24"/>
        </w:rPr>
      </w:pPr>
      <w:r>
        <w:rPr>
          <w:rFonts w:hint="default" w:eastAsia="黑体"/>
          <w:bCs/>
          <w:color w:val="auto"/>
          <w:sz w:val="24"/>
          <w:szCs w:val="24"/>
        </w:rPr>
        <w:t>项目负责人</w:t>
      </w:r>
      <w:r>
        <w:rPr>
          <w:rFonts w:eastAsia="黑体"/>
          <w:bCs/>
          <w:color w:val="auto"/>
          <w:sz w:val="24"/>
          <w:szCs w:val="24"/>
        </w:rPr>
        <w:t>：</w:t>
      </w:r>
      <w:r>
        <w:rPr>
          <w:rFonts w:hint="default" w:eastAsia="黑体"/>
          <w:bCs/>
          <w:color w:val="auto"/>
          <w:sz w:val="24"/>
          <w:szCs w:val="24"/>
        </w:rPr>
        <w:t>郝</w:t>
      </w:r>
      <w:r>
        <w:rPr>
          <w:rFonts w:hint="default" w:eastAsia="黑体"/>
          <w:bCs/>
          <w:color w:val="auto"/>
          <w:sz w:val="24"/>
          <w:szCs w:val="24"/>
          <w:lang w:val="en-US" w:eastAsia="zh-CN"/>
        </w:rPr>
        <w:t xml:space="preserve">  </w:t>
      </w:r>
      <w:r>
        <w:rPr>
          <w:rFonts w:hint="default" w:eastAsia="黑体"/>
          <w:bCs/>
          <w:color w:val="auto"/>
          <w:sz w:val="24"/>
          <w:szCs w:val="24"/>
        </w:rPr>
        <w:t>欢</w:t>
      </w:r>
    </w:p>
    <w:p w14:paraId="0F355C6D">
      <w:pPr>
        <w:pageBreakBefore w:val="0"/>
        <w:widowControl/>
        <w:kinsoku/>
        <w:wordWrap/>
        <w:overflowPunct/>
        <w:topLinePunct w:val="0"/>
        <w:autoSpaceDE/>
        <w:autoSpaceDN/>
        <w:bidi w:val="0"/>
        <w:snapToGrid w:val="0"/>
        <w:spacing w:line="360" w:lineRule="auto"/>
        <w:ind w:firstLine="480"/>
        <w:rPr>
          <w:rFonts w:hint="default" w:eastAsia="黑体"/>
          <w:bCs/>
          <w:color w:val="auto"/>
          <w:sz w:val="24"/>
          <w:szCs w:val="24"/>
          <w:lang w:val="en-US" w:eastAsia="zh-CN"/>
        </w:rPr>
      </w:pPr>
      <w:r>
        <w:rPr>
          <w:rFonts w:hint="default" w:eastAsia="黑体"/>
          <w:bCs/>
          <w:color w:val="auto"/>
          <w:sz w:val="24"/>
          <w:szCs w:val="24"/>
        </w:rPr>
        <w:t>项目组成员</w:t>
      </w:r>
      <w:r>
        <w:rPr>
          <w:rFonts w:eastAsia="黑体"/>
          <w:bCs/>
          <w:color w:val="auto"/>
          <w:sz w:val="24"/>
          <w:szCs w:val="24"/>
        </w:rPr>
        <w:t>：</w:t>
      </w:r>
      <w:r>
        <w:rPr>
          <w:rFonts w:hint="default" w:eastAsia="黑体"/>
          <w:bCs/>
          <w:color w:val="auto"/>
          <w:sz w:val="24"/>
          <w:szCs w:val="24"/>
          <w:lang w:val="en-US" w:eastAsia="zh-CN"/>
        </w:rPr>
        <w:t>石俊宇</w:t>
      </w:r>
    </w:p>
    <w:p w14:paraId="1E42809D">
      <w:pPr>
        <w:keepNext/>
        <w:keepLines/>
        <w:adjustRightInd/>
        <w:ind w:firstLine="0" w:firstLineChars="0"/>
        <w:rPr>
          <w:rFonts w:ascii="Times New Roman" w:hAnsi="Times New Roman" w:eastAsia="黑体" w:cs="Times New Roman"/>
          <w:bCs/>
          <w:color w:val="auto"/>
          <w:sz w:val="24"/>
          <w:szCs w:val="24"/>
        </w:rPr>
        <w:sectPr>
          <w:headerReference r:id="rId5" w:type="default"/>
          <w:footerReference r:id="rId6" w:type="default"/>
          <w:pgSz w:w="11906" w:h="16838"/>
          <w:pgMar w:top="1440" w:right="1797" w:bottom="1440" w:left="1797" w:header="851" w:footer="992" w:gutter="0"/>
          <w:pgNumType w:fmt="upperRoman" w:start="1"/>
          <w:cols w:space="720" w:num="1"/>
          <w:docGrid w:type="lines" w:linePitch="312" w:charSpace="0"/>
        </w:sectPr>
      </w:pPr>
    </w:p>
    <w:p w14:paraId="120E7987">
      <w:pPr>
        <w:pStyle w:val="2"/>
        <w:spacing w:line="360" w:lineRule="auto"/>
        <w:ind w:firstLine="0" w:firstLineChars="0"/>
        <w:jc w:val="center"/>
        <w:rPr>
          <w:rFonts w:ascii="Times New Roman" w:hAnsi="Times New Roman"/>
          <w:color w:val="auto"/>
        </w:rPr>
      </w:pPr>
      <w:bookmarkStart w:id="0" w:name="_Toc26414"/>
      <w:bookmarkStart w:id="1" w:name="_Toc459"/>
      <w:bookmarkStart w:id="2" w:name="_Toc26712"/>
      <w:bookmarkStart w:id="3" w:name="_Toc11191"/>
      <w:bookmarkStart w:id="4" w:name="_Toc16666"/>
      <w:bookmarkStart w:id="5" w:name="_Toc13486"/>
      <w:bookmarkStart w:id="6" w:name="_Toc10292"/>
      <w:bookmarkStart w:id="7" w:name="_Toc5920"/>
      <w:bookmarkStart w:id="8" w:name="_Toc5593"/>
      <w:bookmarkStart w:id="9" w:name="_Toc29498"/>
      <w:bookmarkStart w:id="10" w:name="_Toc17859"/>
      <w:r>
        <w:rPr>
          <w:rFonts w:ascii="Times New Roman" w:hAnsi="Times New Roman"/>
          <w:color w:val="auto"/>
          <w:szCs w:val="32"/>
        </w:rPr>
        <w:t>报告摘要</w:t>
      </w:r>
      <w:bookmarkEnd w:id="0"/>
      <w:bookmarkEnd w:id="1"/>
      <w:bookmarkEnd w:id="2"/>
      <w:bookmarkEnd w:id="3"/>
      <w:bookmarkEnd w:id="4"/>
      <w:bookmarkEnd w:id="5"/>
      <w:bookmarkEnd w:id="6"/>
      <w:bookmarkEnd w:id="7"/>
      <w:bookmarkEnd w:id="8"/>
      <w:bookmarkEnd w:id="9"/>
      <w:bookmarkEnd w:id="10"/>
    </w:p>
    <w:p w14:paraId="692F7962">
      <w:pPr>
        <w:ind w:firstLine="420"/>
        <w:rPr>
          <w:color w:val="auto"/>
        </w:rPr>
      </w:pPr>
      <w:r>
        <w:rPr>
          <w:color w:val="auto"/>
        </w:rPr>
        <w:t>受</w:t>
      </w:r>
      <w:r>
        <w:rPr>
          <w:rFonts w:hint="default"/>
          <w:color w:val="auto"/>
          <w:lang w:eastAsia="zh-CN"/>
        </w:rPr>
        <w:t>吉木萨尔县</w:t>
      </w:r>
      <w:r>
        <w:rPr>
          <w:rFonts w:hint="default"/>
          <w:color w:val="auto"/>
        </w:rPr>
        <w:t>财政局</w:t>
      </w:r>
      <w:r>
        <w:rPr>
          <w:color w:val="auto"/>
        </w:rPr>
        <w:t>委托，新疆驰远天合有限责任会计师事务所以第三方社会评价机构的身份，对</w:t>
      </w:r>
      <w:r>
        <w:rPr>
          <w:rFonts w:hint="default"/>
          <w:color w:val="auto"/>
          <w:lang w:eastAsia="zh-CN"/>
        </w:rPr>
        <w:t>吉木萨尔中等职业技术学校</w:t>
      </w:r>
      <w:r>
        <w:rPr>
          <w:color w:val="auto"/>
        </w:rPr>
        <w:t>实施的</w:t>
      </w:r>
      <w:r>
        <w:rPr>
          <w:rFonts w:hint="default"/>
          <w:color w:val="auto"/>
          <w:lang w:val="en-US" w:eastAsia="zh-CN"/>
        </w:rPr>
        <w:t>2024</w:t>
      </w:r>
      <w:r>
        <w:rPr>
          <w:color w:val="auto"/>
        </w:rPr>
        <w:t>年</w:t>
      </w:r>
      <w:r>
        <w:rPr>
          <w:rFonts w:hint="default"/>
          <w:color w:val="auto"/>
          <w:lang w:eastAsia="zh-CN"/>
        </w:rPr>
        <w:t>中央现代职业教育质量提升计划资金</w:t>
      </w:r>
      <w:r>
        <w:rPr>
          <w:rFonts w:hint="default"/>
          <w:color w:val="auto"/>
          <w:lang w:val="en-US" w:eastAsia="zh-CN"/>
        </w:rPr>
        <w:t>项目</w:t>
      </w:r>
      <w:r>
        <w:rPr>
          <w:color w:val="auto"/>
        </w:rPr>
        <w:t>开展了绩效评价工作并形成绩效评价报告，评价情况如下：</w:t>
      </w:r>
    </w:p>
    <w:p w14:paraId="2F158412">
      <w:pPr>
        <w:ind w:firstLine="482"/>
        <w:rPr>
          <w:b/>
          <w:bCs/>
          <w:color w:val="auto"/>
          <w:sz w:val="24"/>
          <w:szCs w:val="28"/>
        </w:rPr>
      </w:pPr>
      <w:r>
        <w:rPr>
          <w:b/>
          <w:bCs/>
          <w:color w:val="auto"/>
          <w:sz w:val="24"/>
          <w:szCs w:val="28"/>
        </w:rPr>
        <w:t>一、基本情况</w:t>
      </w:r>
    </w:p>
    <w:p w14:paraId="4A65EA48">
      <w:pPr>
        <w:ind w:firstLine="422"/>
        <w:rPr>
          <w:b/>
          <w:bCs/>
          <w:color w:val="auto"/>
        </w:rPr>
      </w:pPr>
      <w:r>
        <w:rPr>
          <w:b/>
          <w:bCs/>
          <w:color w:val="auto"/>
        </w:rPr>
        <w:t>（一）项目</w:t>
      </w:r>
      <w:r>
        <w:rPr>
          <w:rFonts w:hint="default"/>
          <w:b/>
          <w:bCs/>
          <w:color w:val="auto"/>
        </w:rPr>
        <w:t>背景</w:t>
      </w:r>
    </w:p>
    <w:p w14:paraId="07B788E2">
      <w:pPr>
        <w:widowControl/>
        <w:ind w:firstLine="420"/>
        <w:jc w:val="left"/>
        <w:rPr>
          <w:color w:val="auto"/>
        </w:rPr>
      </w:pPr>
      <w:r>
        <w:rPr>
          <w:color w:val="auto"/>
        </w:rPr>
        <w:t>2019年1月24日，国务院正式印发《国家职业教育改革实施方案》，</w:t>
      </w:r>
      <w:r>
        <w:rPr>
          <w:rFonts w:hint="default"/>
          <w:color w:val="auto"/>
        </w:rPr>
        <w:t>提出</w:t>
      </w:r>
      <w:r>
        <w:rPr>
          <w:color w:val="auto"/>
        </w:rPr>
        <w:t>推动职业教育由规模扩张向提高质量转变。《中华人民共和国国民经济和社会发展第十四个五年规划和2035年远景目标纲要》提</w:t>
      </w:r>
      <w:r>
        <w:rPr>
          <w:rFonts w:hint="default"/>
          <w:color w:val="auto"/>
        </w:rPr>
        <w:t>到</w:t>
      </w:r>
      <w:r>
        <w:rPr>
          <w:color w:val="auto"/>
        </w:rPr>
        <w:t>要突出职业技术（技工）教育类型特色，深入推进改革创新，优化结构与布局，大力培养技术技能人才。中共中央办公厅、国务院办公厅印发《关于推动现代职业教育高质量发展的意见》进一步提出</w:t>
      </w:r>
      <w:r>
        <w:rPr>
          <w:rFonts w:hint="default"/>
          <w:color w:val="auto"/>
        </w:rPr>
        <w:t>，</w:t>
      </w:r>
      <w:r>
        <w:rPr>
          <w:color w:val="auto"/>
        </w:rPr>
        <w:t>鼓励丰富职业学校办学形态，推动职业学校在企业设立实习实训基地、企业在职业学校建设培养培训基地。</w:t>
      </w:r>
      <w:r>
        <w:rPr>
          <w:rFonts w:hint="default"/>
          <w:color w:val="auto"/>
          <w:lang w:eastAsia="zh-CN"/>
        </w:rPr>
        <w:t>吉木萨尔中等职业技术学校</w:t>
      </w:r>
      <w:r>
        <w:rPr>
          <w:color w:val="auto"/>
        </w:rPr>
        <w:t>基于政策要求，结合实际需求，申请开展</w:t>
      </w:r>
      <w:r>
        <w:rPr>
          <w:rFonts w:hint="default"/>
          <w:color w:val="auto"/>
          <w:lang w:eastAsia="zh-CN"/>
        </w:rPr>
        <w:t>2024年中央现代职业教育质量提升计划资金</w:t>
      </w:r>
      <w:r>
        <w:rPr>
          <w:rFonts w:hint="default"/>
          <w:color w:val="auto"/>
          <w:lang w:val="en-US" w:eastAsia="zh-CN"/>
        </w:rPr>
        <w:t>项目</w:t>
      </w:r>
      <w:r>
        <w:rPr>
          <w:color w:val="auto"/>
        </w:rPr>
        <w:t>，</w:t>
      </w:r>
      <w:r>
        <w:rPr>
          <w:rFonts w:hint="default"/>
          <w:color w:val="auto"/>
        </w:rPr>
        <w:t>旨在提高学校在校</w:t>
      </w:r>
      <w:r>
        <w:rPr>
          <w:color w:val="auto"/>
        </w:rPr>
        <w:t>学生</w:t>
      </w:r>
      <w:r>
        <w:rPr>
          <w:rFonts w:hint="default"/>
          <w:color w:val="auto"/>
        </w:rPr>
        <w:t>以及培训人员的</w:t>
      </w:r>
      <w:r>
        <w:rPr>
          <w:color w:val="auto"/>
        </w:rPr>
        <w:t>动手操作能力和专业技术水平，推进校企深度合作，不断改善提高教师队伍建设情况。</w:t>
      </w:r>
    </w:p>
    <w:p w14:paraId="200507A9">
      <w:pPr>
        <w:ind w:firstLine="422"/>
        <w:rPr>
          <w:b/>
          <w:bCs/>
          <w:color w:val="auto"/>
        </w:rPr>
      </w:pPr>
      <w:r>
        <w:rPr>
          <w:b/>
          <w:bCs/>
          <w:color w:val="auto"/>
        </w:rPr>
        <w:t>（二）</w:t>
      </w:r>
      <w:r>
        <w:rPr>
          <w:rFonts w:hint="default"/>
          <w:b/>
          <w:bCs/>
          <w:color w:val="auto"/>
        </w:rPr>
        <w:t>项目概况</w:t>
      </w:r>
    </w:p>
    <w:p w14:paraId="11209882">
      <w:pPr>
        <w:ind w:firstLine="420"/>
        <w:rPr>
          <w:color w:val="auto"/>
        </w:rPr>
      </w:pPr>
      <w:r>
        <w:rPr>
          <w:color w:val="auto"/>
        </w:rPr>
        <w:t>项目名称：</w:t>
      </w:r>
      <w:r>
        <w:rPr>
          <w:rFonts w:hint="default"/>
          <w:color w:val="auto"/>
          <w:lang w:eastAsia="zh-CN"/>
        </w:rPr>
        <w:t>2024年中央现代职业教育质量提升计划资金</w:t>
      </w:r>
      <w:r>
        <w:rPr>
          <w:rFonts w:hint="default"/>
          <w:color w:val="auto"/>
          <w:lang w:val="en-US" w:eastAsia="zh-CN"/>
        </w:rPr>
        <w:t>项目</w:t>
      </w:r>
      <w:r>
        <w:rPr>
          <w:rFonts w:eastAsia="宋体"/>
          <w:color w:val="auto"/>
        </w:rPr>
        <w:t>（以下简称</w:t>
      </w:r>
      <w:r>
        <w:rPr>
          <w:rFonts w:hint="default" w:eastAsia="宋体"/>
          <w:color w:val="auto"/>
        </w:rPr>
        <w:t>“</w:t>
      </w:r>
      <w:r>
        <w:rPr>
          <w:rFonts w:eastAsia="宋体"/>
          <w:color w:val="auto"/>
        </w:rPr>
        <w:t>该项目</w:t>
      </w:r>
      <w:r>
        <w:rPr>
          <w:rFonts w:hint="default" w:eastAsia="宋体"/>
          <w:color w:val="auto"/>
        </w:rPr>
        <w:t>”</w:t>
      </w:r>
      <w:r>
        <w:rPr>
          <w:rFonts w:eastAsia="宋体"/>
          <w:color w:val="auto"/>
        </w:rPr>
        <w:t>或</w:t>
      </w:r>
      <w:r>
        <w:rPr>
          <w:rFonts w:hint="default" w:eastAsia="宋体"/>
          <w:color w:val="auto"/>
        </w:rPr>
        <w:t>“</w:t>
      </w:r>
      <w:r>
        <w:rPr>
          <w:rFonts w:eastAsia="宋体"/>
          <w:color w:val="auto"/>
        </w:rPr>
        <w:t>项目</w:t>
      </w:r>
      <w:r>
        <w:rPr>
          <w:rFonts w:hint="default" w:eastAsia="宋体"/>
          <w:color w:val="auto"/>
        </w:rPr>
        <w:t>”</w:t>
      </w:r>
      <w:r>
        <w:rPr>
          <w:rFonts w:eastAsia="宋体"/>
          <w:color w:val="auto"/>
        </w:rPr>
        <w:t>）</w:t>
      </w:r>
    </w:p>
    <w:p w14:paraId="264B9A90">
      <w:pPr>
        <w:ind w:firstLine="420"/>
        <w:rPr>
          <w:rFonts w:hint="default" w:eastAsiaTheme="minorEastAsia"/>
          <w:color w:val="auto"/>
          <w:lang w:eastAsia="zh-CN"/>
        </w:rPr>
      </w:pPr>
      <w:r>
        <w:rPr>
          <w:rFonts w:hint="default"/>
          <w:color w:val="auto"/>
        </w:rPr>
        <w:t>项目实施主体：</w:t>
      </w:r>
      <w:r>
        <w:rPr>
          <w:rFonts w:hint="default"/>
          <w:color w:val="auto"/>
          <w:lang w:eastAsia="zh-CN"/>
        </w:rPr>
        <w:t>吉木萨尔中等职业技术学校</w:t>
      </w:r>
    </w:p>
    <w:p w14:paraId="75A66BB1">
      <w:pPr>
        <w:ind w:firstLine="420"/>
        <w:rPr>
          <w:color w:val="auto"/>
          <w:lang w:eastAsia="zh-Hans"/>
        </w:rPr>
      </w:pPr>
      <w:r>
        <w:rPr>
          <w:color w:val="auto"/>
          <w:lang w:eastAsia="zh-Hans"/>
        </w:rPr>
        <w:t>项目内容：</w:t>
      </w:r>
      <w:r>
        <w:rPr>
          <w:rFonts w:hint="default"/>
          <w:color w:val="auto"/>
          <w:lang w:val="en-US" w:eastAsia="zh-CN"/>
        </w:rPr>
        <w:t>一是为化工及化工安全实训</w:t>
      </w:r>
      <w:r>
        <w:rPr>
          <w:rFonts w:hint="default"/>
          <w:color w:val="auto"/>
          <w:lang w:eastAsia="zh-CN"/>
        </w:rPr>
        <w:t>基地</w:t>
      </w:r>
      <w:r>
        <w:rPr>
          <w:color w:val="auto"/>
          <w:lang w:eastAsia="zh-Hans"/>
        </w:rPr>
        <w:t>购置教学及实训所需的软件及硬件设备</w:t>
      </w:r>
      <w:r>
        <w:rPr>
          <w:rFonts w:hint="default"/>
          <w:color w:val="auto"/>
          <w:lang w:val="en-US" w:eastAsia="zh-CN"/>
        </w:rPr>
        <w:t>，二是为</w:t>
      </w:r>
      <w:r>
        <w:rPr>
          <w:rFonts w:hint="default"/>
          <w:color w:val="auto"/>
          <w:lang w:eastAsia="zh-CN"/>
        </w:rPr>
        <w:t>电商及直播运营实训基地</w:t>
      </w:r>
      <w:r>
        <w:rPr>
          <w:color w:val="auto"/>
          <w:lang w:eastAsia="zh-Hans"/>
        </w:rPr>
        <w:t>购置教学及实训所需的软件及硬件设备等。</w:t>
      </w:r>
    </w:p>
    <w:p w14:paraId="13BD087A">
      <w:pPr>
        <w:ind w:firstLine="420"/>
        <w:rPr>
          <w:rFonts w:hint="default" w:eastAsiaTheme="minorEastAsia"/>
          <w:color w:val="auto"/>
          <w:lang w:val="en-US" w:eastAsia="zh-CN"/>
        </w:rPr>
      </w:pPr>
      <w:r>
        <w:rPr>
          <w:rFonts w:hint="default"/>
          <w:color w:val="auto"/>
          <w:lang w:val="en-US" w:eastAsia="zh-CN"/>
        </w:rPr>
        <w:t>项目计划实施周期：</w:t>
      </w:r>
      <w:r>
        <w:rPr>
          <w:rFonts w:hint="default"/>
          <w:lang w:val="en-US" w:eastAsia="zh-CN"/>
        </w:rPr>
        <w:t>2024年1月-2024年12月</w:t>
      </w:r>
    </w:p>
    <w:p w14:paraId="60A7ED80">
      <w:pPr>
        <w:ind w:firstLine="420"/>
        <w:rPr>
          <w:color w:val="auto"/>
        </w:rPr>
      </w:pPr>
      <w:r>
        <w:rPr>
          <w:rFonts w:hint="default"/>
          <w:b/>
          <w:bCs/>
          <w:color w:val="auto"/>
          <w:lang w:eastAsia="zh-CN"/>
        </w:rPr>
        <w:t>（</w:t>
      </w:r>
      <w:r>
        <w:rPr>
          <w:rFonts w:hint="default"/>
          <w:b/>
          <w:bCs/>
          <w:color w:val="auto"/>
          <w:lang w:val="en-US" w:eastAsia="zh-CN"/>
        </w:rPr>
        <w:t>三</w:t>
      </w:r>
      <w:r>
        <w:rPr>
          <w:rFonts w:hint="default"/>
          <w:b/>
          <w:bCs/>
          <w:color w:val="auto"/>
          <w:lang w:eastAsia="zh-CN"/>
        </w:rPr>
        <w:t>）</w:t>
      </w:r>
      <w:r>
        <w:rPr>
          <w:b/>
          <w:bCs/>
          <w:color w:val="auto"/>
        </w:rPr>
        <w:t>资金投入和使用情况</w:t>
      </w:r>
    </w:p>
    <w:p w14:paraId="472FDAB1">
      <w:pPr>
        <w:ind w:firstLine="420"/>
        <w:rPr>
          <w:rFonts w:hint="default"/>
          <w:color w:val="auto"/>
          <w:lang w:eastAsia="zh-CN"/>
        </w:rPr>
      </w:pPr>
      <w:r>
        <w:rPr>
          <w:color w:val="auto"/>
        </w:rPr>
        <w:t>该项目预算资金总额为</w:t>
      </w:r>
      <w:r>
        <w:rPr>
          <w:rFonts w:hint="default"/>
          <w:color w:val="auto"/>
          <w:lang w:eastAsia="zh-CN"/>
        </w:rPr>
        <w:t>700</w:t>
      </w:r>
      <w:r>
        <w:rPr>
          <w:color w:val="auto"/>
        </w:rPr>
        <w:t>.00万元，</w:t>
      </w:r>
      <w:r>
        <w:rPr>
          <w:rFonts w:hint="default"/>
          <w:color w:val="auto"/>
        </w:rPr>
        <w:t>拟申请现代职业教育质量提升资金</w:t>
      </w:r>
      <w:r>
        <w:rPr>
          <w:rFonts w:hint="default"/>
          <w:color w:val="auto"/>
          <w:lang w:eastAsia="zh-CN"/>
        </w:rPr>
        <w:t>，</w:t>
      </w:r>
      <w:r>
        <w:rPr>
          <w:rFonts w:hint="default"/>
          <w:color w:val="auto"/>
          <w:lang w:val="en-US" w:eastAsia="zh-CN"/>
        </w:rPr>
        <w:t>其中：化工及化工安全实训基地建设预算资金500.00万元，电商及直播运营实训基地建设预算资金200.00万元</w:t>
      </w:r>
      <w:r>
        <w:rPr>
          <w:color w:val="auto"/>
        </w:rPr>
        <w:t>；</w:t>
      </w:r>
      <w:r>
        <w:rPr>
          <w:rFonts w:hint="default"/>
          <w:color w:val="auto"/>
          <w:lang w:eastAsia="zh-CN"/>
        </w:rPr>
        <w:t>2024</w:t>
      </w:r>
      <w:r>
        <w:rPr>
          <w:rFonts w:hint="default"/>
          <w:color w:val="auto"/>
        </w:rPr>
        <w:t>年度</w:t>
      </w:r>
      <w:r>
        <w:rPr>
          <w:color w:val="auto"/>
        </w:rPr>
        <w:t>实际到位</w:t>
      </w:r>
      <w:r>
        <w:rPr>
          <w:rFonts w:hint="default"/>
          <w:color w:val="auto"/>
        </w:rPr>
        <w:t>现代职业教育质量提升计划专项</w:t>
      </w:r>
      <w:r>
        <w:rPr>
          <w:color w:val="auto"/>
        </w:rPr>
        <w:t>资金</w:t>
      </w:r>
      <w:r>
        <w:rPr>
          <w:rFonts w:hint="default"/>
          <w:color w:val="auto"/>
          <w:lang w:eastAsia="zh-CN"/>
        </w:rPr>
        <w:t>700</w:t>
      </w:r>
      <w:r>
        <w:rPr>
          <w:color w:val="auto"/>
        </w:rPr>
        <w:t>.00万元，资金到位率为100.00%</w:t>
      </w:r>
      <w:r>
        <w:rPr>
          <w:rFonts w:hint="default"/>
          <w:color w:val="auto"/>
          <w:lang w:eastAsia="zh-CN"/>
        </w:rPr>
        <w:t>，</w:t>
      </w:r>
      <w:r>
        <w:rPr>
          <w:rFonts w:hint="default"/>
          <w:color w:val="auto"/>
          <w:lang w:val="en-US" w:eastAsia="zh-CN"/>
        </w:rPr>
        <w:t>其中：化工及化工安全实训基地建设资金到位500.00万元，电商及直播运营实训基地建设到位资金200.00万元</w:t>
      </w:r>
      <w:r>
        <w:rPr>
          <w:rFonts w:hint="default"/>
          <w:color w:val="auto"/>
          <w:lang w:eastAsia="zh-CN"/>
        </w:rPr>
        <w:t>。</w:t>
      </w:r>
    </w:p>
    <w:p w14:paraId="41DADA56">
      <w:pPr>
        <w:ind w:firstLine="420"/>
        <w:rPr>
          <w:color w:val="auto"/>
        </w:rPr>
      </w:pPr>
      <w:r>
        <w:rPr>
          <w:rFonts w:hint="default"/>
          <w:color w:val="auto"/>
          <w:lang w:val="en-US" w:eastAsia="zh-CN"/>
        </w:rPr>
        <w:t>截至</w:t>
      </w:r>
      <w:r>
        <w:rPr>
          <w:rFonts w:hint="default"/>
          <w:color w:val="auto"/>
          <w:lang w:eastAsia="zh-CN"/>
        </w:rPr>
        <w:t>2024</w:t>
      </w:r>
      <w:r>
        <w:rPr>
          <w:rFonts w:hint="default"/>
          <w:color w:val="auto"/>
        </w:rPr>
        <w:t>年</w:t>
      </w:r>
      <w:r>
        <w:rPr>
          <w:rFonts w:hint="default"/>
          <w:color w:val="auto"/>
          <w:lang w:val="en-US" w:eastAsia="zh-CN"/>
        </w:rPr>
        <w:t>12月31日，项目资金</w:t>
      </w:r>
      <w:r>
        <w:rPr>
          <w:color w:val="auto"/>
        </w:rPr>
        <w:t>实际支出</w:t>
      </w:r>
      <w:r>
        <w:rPr>
          <w:rFonts w:hint="default"/>
          <w:color w:val="auto"/>
          <w:lang w:val="en-US" w:eastAsia="zh-CN"/>
        </w:rPr>
        <w:t>700.00</w:t>
      </w:r>
      <w:r>
        <w:rPr>
          <w:color w:val="auto"/>
        </w:rPr>
        <w:t>万元，预算资金执行率为</w:t>
      </w:r>
      <w:r>
        <w:rPr>
          <w:rFonts w:hint="default"/>
          <w:color w:val="auto"/>
          <w:lang w:val="en-US" w:eastAsia="zh-CN"/>
        </w:rPr>
        <w:t>100.00</w:t>
      </w:r>
      <w:r>
        <w:rPr>
          <w:color w:val="auto"/>
        </w:rPr>
        <w:t>%</w:t>
      </w:r>
      <w:r>
        <w:rPr>
          <w:rFonts w:hint="default"/>
          <w:color w:val="auto"/>
          <w:lang w:eastAsia="zh-CN"/>
        </w:rPr>
        <w:t>，</w:t>
      </w:r>
      <w:r>
        <w:rPr>
          <w:rFonts w:hint="default"/>
          <w:color w:val="auto"/>
          <w:lang w:val="en-US" w:eastAsia="zh-CN"/>
        </w:rPr>
        <w:t>其中：化工及化工安全实训基地建设支出500.00万元，电商及直播运营实训基地建设支出200.00万元</w:t>
      </w:r>
      <w:r>
        <w:rPr>
          <w:color w:val="auto"/>
        </w:rPr>
        <w:t>。</w:t>
      </w:r>
    </w:p>
    <w:p w14:paraId="05ECCFFA">
      <w:pPr>
        <w:ind w:firstLine="482"/>
        <w:rPr>
          <w:b/>
          <w:bCs/>
          <w:color w:val="auto"/>
          <w:sz w:val="24"/>
          <w:szCs w:val="28"/>
        </w:rPr>
      </w:pPr>
      <w:r>
        <w:rPr>
          <w:b/>
          <w:bCs/>
          <w:color w:val="auto"/>
          <w:sz w:val="24"/>
          <w:szCs w:val="28"/>
        </w:rPr>
        <w:t>二、评价结论</w:t>
      </w:r>
    </w:p>
    <w:p w14:paraId="1C7FBC00">
      <w:pPr>
        <w:pageBreakBefore w:val="0"/>
        <w:kinsoku/>
        <w:wordWrap/>
        <w:overflowPunct/>
        <w:topLinePunct w:val="0"/>
        <w:autoSpaceDE/>
        <w:autoSpaceDN/>
        <w:bidi w:val="0"/>
        <w:snapToGrid w:val="0"/>
        <w:spacing w:line="360" w:lineRule="auto"/>
        <w:ind w:firstLine="420"/>
        <w:rPr>
          <w:color w:val="auto"/>
          <w:lang w:val="zh-TW" w:eastAsia="zh-TW"/>
        </w:rPr>
      </w:pPr>
      <w:r>
        <w:rPr>
          <w:color w:val="auto"/>
          <w:lang w:val="zh-TW" w:eastAsia="zh-TW"/>
        </w:rPr>
        <w:t>通过调研、数据分析、访谈等方式，根据工作方案确定的指标体系及评分标准，对“</w:t>
      </w:r>
      <w:r>
        <w:rPr>
          <w:rFonts w:hint="default"/>
          <w:color w:val="auto"/>
          <w:lang w:val="zh-TW" w:eastAsia="zh-TW"/>
        </w:rPr>
        <w:t>2024年中央现代职业教育质量提升计划资金</w:t>
      </w:r>
      <w:r>
        <w:rPr>
          <w:rFonts w:hint="default"/>
          <w:color w:val="auto"/>
          <w:lang w:val="en-US" w:eastAsia="zh-CN"/>
        </w:rPr>
        <w:t>项目</w:t>
      </w:r>
      <w:r>
        <w:rPr>
          <w:color w:val="auto"/>
          <w:lang w:val="zh-TW" w:eastAsia="zh-TW"/>
        </w:rPr>
        <w:t>”绩效进行客观评价，</w:t>
      </w:r>
      <w:r>
        <w:rPr>
          <w:rFonts w:hint="default"/>
          <w:color w:val="auto"/>
          <w:lang w:val="en-US" w:eastAsia="zh-CN"/>
        </w:rPr>
        <w:t>该</w:t>
      </w:r>
      <w:r>
        <w:rPr>
          <w:color w:val="auto"/>
          <w:lang w:val="zh-TW" w:eastAsia="zh-TW"/>
        </w:rPr>
        <w:t>项目最终得分为</w:t>
      </w:r>
      <w:r>
        <w:rPr>
          <w:rFonts w:hint="default"/>
          <w:color w:val="auto"/>
          <w:lang w:val="en-US" w:eastAsia="zh-CN"/>
        </w:rPr>
        <w:t>91.50</w:t>
      </w:r>
      <w:r>
        <w:rPr>
          <w:color w:val="auto"/>
          <w:lang w:val="zh-TW" w:eastAsia="zh-TW"/>
        </w:rPr>
        <w:t>分，评价级别属于“</w:t>
      </w:r>
      <w:r>
        <w:rPr>
          <w:rFonts w:hint="default"/>
          <w:color w:val="auto"/>
          <w:lang w:val="en-US" w:eastAsia="zh-CN"/>
        </w:rPr>
        <w:t>优</w:t>
      </w:r>
      <w:r>
        <w:rPr>
          <w:color w:val="auto"/>
          <w:lang w:val="zh-TW" w:eastAsia="zh-TW"/>
        </w:rPr>
        <w:t>”。</w:t>
      </w:r>
      <w:r>
        <w:rPr>
          <w:rFonts w:hint="default"/>
          <w:color w:val="auto"/>
          <w:lang w:val="zh-TW" w:eastAsia="zh-TW"/>
        </w:rPr>
        <w:t>各部分权重和绩效分值如下表：</w:t>
      </w:r>
    </w:p>
    <w:p w14:paraId="32173E25">
      <w:pPr>
        <w:ind w:firstLine="0" w:firstLineChars="0"/>
        <w:jc w:val="center"/>
        <w:rPr>
          <w:rFonts w:hAnsi="Times New Roman" w:eastAsia="黑体" w:cs="Times New Roman"/>
          <w:bCs/>
          <w:color w:val="auto"/>
          <w:sz w:val="21"/>
          <w:szCs w:val="21"/>
        </w:rPr>
      </w:pPr>
      <w:r>
        <w:rPr>
          <w:rFonts w:hint="default" w:hAnsi="Times New Roman" w:eastAsia="黑体" w:cs="Times New Roman"/>
          <w:bCs/>
          <w:color w:val="auto"/>
          <w:sz w:val="21"/>
          <w:szCs w:val="21"/>
          <w:lang w:val="zh-TW" w:eastAsia="zh-CN"/>
        </w:rPr>
        <w:t>2024年中央现代职业教育质量提升计划资金</w:t>
      </w:r>
      <w:r>
        <w:rPr>
          <w:rFonts w:hint="default" w:eastAsia="黑体" w:cs="Times New Roman"/>
          <w:bCs/>
          <w:color w:val="auto"/>
          <w:sz w:val="21"/>
          <w:szCs w:val="21"/>
          <w:lang w:val="en-US" w:eastAsia="zh-CN"/>
        </w:rPr>
        <w:t>项目</w:t>
      </w:r>
      <w:r>
        <w:rPr>
          <w:rFonts w:hAnsi="Times New Roman" w:eastAsia="黑体" w:cs="Times New Roman"/>
          <w:bCs/>
          <w:color w:val="auto"/>
          <w:sz w:val="21"/>
          <w:szCs w:val="21"/>
          <w:lang w:val="zh-TW"/>
        </w:rPr>
        <w:t>得分表</w:t>
      </w:r>
    </w:p>
    <w:tbl>
      <w:tblPr>
        <w:tblStyle w:val="21"/>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82"/>
        <w:gridCol w:w="1614"/>
        <w:gridCol w:w="1614"/>
        <w:gridCol w:w="1614"/>
        <w:gridCol w:w="1614"/>
        <w:gridCol w:w="1131"/>
      </w:tblGrid>
      <w:tr w14:paraId="70B5C8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520"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768EB03">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指标</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644A3A2">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项目决策类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5E3EA49">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项目</w:t>
            </w:r>
            <w:r>
              <w:rPr>
                <w:rFonts w:hAnsi="Times New Roman" w:eastAsia="宋体" w:cs="Times New Roman"/>
                <w:b/>
                <w:bCs/>
                <w:color w:val="auto"/>
                <w:sz w:val="21"/>
                <w:szCs w:val="21"/>
              </w:rPr>
              <w:t>过程</w:t>
            </w:r>
            <w:r>
              <w:rPr>
                <w:rFonts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2039E30">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项目</w:t>
            </w:r>
            <w:r>
              <w:rPr>
                <w:rFonts w:hAnsi="Times New Roman" w:eastAsia="宋体" w:cs="Times New Roman"/>
                <w:b/>
                <w:bCs/>
                <w:color w:val="auto"/>
                <w:sz w:val="21"/>
                <w:szCs w:val="21"/>
              </w:rPr>
              <w:t>产出</w:t>
            </w:r>
            <w:r>
              <w:rPr>
                <w:rFonts w:hAnsi="Times New Roman" w:eastAsia="宋体" w:cs="Times New Roman"/>
                <w:b/>
                <w:bCs/>
                <w:color w:val="auto"/>
                <w:sz w:val="21"/>
                <w:szCs w:val="21"/>
                <w:lang w:val="zh-TW" w:eastAsia="zh-TW"/>
              </w:rPr>
              <w:t>类</w:t>
            </w:r>
          </w:p>
        </w:tc>
        <w:tc>
          <w:tcPr>
            <w:tcW w:w="952"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C9D08E1">
            <w:pPr>
              <w:pStyle w:val="33"/>
              <w:snapToGrid w:val="0"/>
              <w:spacing w:before="0" w:after="0" w:line="240" w:lineRule="auto"/>
              <w:jc w:val="center"/>
              <w:rPr>
                <w:rFonts w:hAnsi="Times New Roman" w:eastAsia="宋体" w:cs="Times New Roman"/>
                <w:b/>
                <w:bCs/>
                <w:color w:val="auto"/>
                <w:sz w:val="21"/>
                <w:szCs w:val="21"/>
                <w:lang w:val="zh-TW" w:eastAsia="zh-TW"/>
              </w:rPr>
            </w:pPr>
            <w:r>
              <w:rPr>
                <w:rFonts w:hAnsi="Times New Roman" w:eastAsia="宋体" w:cs="Times New Roman"/>
                <w:b/>
                <w:bCs/>
                <w:color w:val="auto"/>
                <w:sz w:val="21"/>
                <w:szCs w:val="21"/>
                <w:lang w:val="zh-TW" w:eastAsia="zh-TW"/>
              </w:rPr>
              <w:t>项目</w:t>
            </w:r>
            <w:r>
              <w:rPr>
                <w:rFonts w:hAnsi="Times New Roman" w:eastAsia="宋体" w:cs="Times New Roman"/>
                <w:b/>
                <w:bCs/>
                <w:color w:val="auto"/>
                <w:sz w:val="21"/>
                <w:szCs w:val="21"/>
              </w:rPr>
              <w:t>效益</w:t>
            </w:r>
            <w:r>
              <w:rPr>
                <w:rFonts w:hAnsi="Times New Roman" w:eastAsia="宋体" w:cs="Times New Roman"/>
                <w:b/>
                <w:bCs/>
                <w:color w:val="auto"/>
                <w:sz w:val="21"/>
                <w:szCs w:val="21"/>
                <w:lang w:val="zh-TW" w:eastAsia="zh-TW"/>
              </w:rPr>
              <w:t>类</w:t>
            </w:r>
          </w:p>
        </w:tc>
        <w:tc>
          <w:tcPr>
            <w:tcW w:w="667"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9DF6815">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合计分值</w:t>
            </w:r>
          </w:p>
        </w:tc>
      </w:tr>
      <w:tr w14:paraId="678D5D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3" w:hRule="atLeast"/>
        </w:trPr>
        <w:tc>
          <w:tcPr>
            <w:tcW w:w="520"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3E9171D1">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lang w:val="zh-TW" w:eastAsia="zh-TW"/>
              </w:rPr>
              <w:t>权重</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38987302">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10.00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738EC9A9">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25.00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D7ECF27">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30.00 </w:t>
            </w:r>
          </w:p>
        </w:tc>
        <w:tc>
          <w:tcPr>
            <w:tcW w:w="1614"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2501E5E4">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35.00 </w:t>
            </w:r>
          </w:p>
        </w:tc>
        <w:tc>
          <w:tcPr>
            <w:tcW w:w="1131"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11296D1D">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100.00 </w:t>
            </w:r>
          </w:p>
        </w:tc>
      </w:tr>
      <w:tr w14:paraId="360378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20"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011CEE2">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rPr>
              <w:t>得分</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179B1FCC">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8.50 </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0C2C090A">
            <w:pPr>
              <w:pStyle w:val="33"/>
              <w:snapToGrid w:val="0"/>
              <w:spacing w:before="0" w:after="0" w:line="240" w:lineRule="auto"/>
              <w:jc w:val="center"/>
              <w:rPr>
                <w:rFonts w:hint="default" w:hAnsi="Times New Roman" w:eastAsia="宋体" w:cs="Times New Roman"/>
                <w:b w:val="0"/>
                <w:bCs w:val="0"/>
                <w:color w:val="auto"/>
                <w:sz w:val="21"/>
                <w:szCs w:val="21"/>
                <w:lang w:val="en-US" w:eastAsia="zh-CN"/>
              </w:rPr>
            </w:pPr>
            <w:r>
              <w:rPr>
                <w:rFonts w:hint="default" w:hAnsi="Times New Roman" w:eastAsia="宋体" w:cs="Times New Roman"/>
                <w:b w:val="0"/>
                <w:bCs w:val="0"/>
                <w:color w:val="auto"/>
                <w:sz w:val="21"/>
                <w:szCs w:val="21"/>
                <w:highlight w:val="none"/>
                <w:lang w:val="en-US" w:eastAsia="zh-CN"/>
              </w:rPr>
              <w:t xml:space="preserve">22.00 </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0DF0618E">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29.00 </w:t>
            </w:r>
          </w:p>
        </w:tc>
        <w:tc>
          <w:tcPr>
            <w:tcW w:w="1614"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0A412569">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32.00 </w:t>
            </w:r>
          </w:p>
        </w:tc>
        <w:tc>
          <w:tcPr>
            <w:tcW w:w="1131"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5E57BD8">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 xml:space="preserve">91.50 </w:t>
            </w:r>
          </w:p>
        </w:tc>
      </w:tr>
      <w:tr w14:paraId="00923C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1" w:hRule="atLeast"/>
        </w:trPr>
        <w:tc>
          <w:tcPr>
            <w:tcW w:w="520"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A1E586E">
            <w:pPr>
              <w:pStyle w:val="33"/>
              <w:snapToGrid w:val="0"/>
              <w:spacing w:before="0" w:after="0" w:line="240" w:lineRule="auto"/>
              <w:jc w:val="center"/>
              <w:rPr>
                <w:rFonts w:hAnsi="Times New Roman" w:eastAsia="宋体" w:cs="Times New Roman"/>
                <w:b/>
                <w:bCs/>
                <w:color w:val="auto"/>
                <w:sz w:val="21"/>
                <w:szCs w:val="21"/>
              </w:rPr>
            </w:pPr>
            <w:r>
              <w:rPr>
                <w:rFonts w:hAnsi="Times New Roman" w:eastAsia="宋体" w:cs="Times New Roman"/>
                <w:b/>
                <w:bCs/>
                <w:color w:val="auto"/>
                <w:sz w:val="21"/>
                <w:szCs w:val="21"/>
              </w:rPr>
              <w:t>得分率</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1B3E61B9">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85.00%</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005B22B7">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88.00%</w:t>
            </w:r>
          </w:p>
        </w:tc>
        <w:tc>
          <w:tcPr>
            <w:tcW w:w="1614"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55B43F67">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96.67%</w:t>
            </w:r>
          </w:p>
        </w:tc>
        <w:tc>
          <w:tcPr>
            <w:tcW w:w="1614"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033E5ED">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91.43%</w:t>
            </w:r>
          </w:p>
        </w:tc>
        <w:tc>
          <w:tcPr>
            <w:tcW w:w="1131"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7F39117">
            <w:pPr>
              <w:pStyle w:val="33"/>
              <w:snapToGrid w:val="0"/>
              <w:spacing w:before="0" w:after="0" w:line="240" w:lineRule="auto"/>
              <w:jc w:val="center"/>
              <w:rPr>
                <w:rFonts w:hAnsi="Times New Roman" w:eastAsia="宋体" w:cs="Times New Roman"/>
                <w:b w:val="0"/>
                <w:bCs w:val="0"/>
                <w:color w:val="auto"/>
                <w:sz w:val="21"/>
                <w:szCs w:val="21"/>
              </w:rPr>
            </w:pPr>
            <w:r>
              <w:rPr>
                <w:rFonts w:hint="default" w:hAnsi="Times New Roman" w:eastAsia="宋体" w:cs="Times New Roman"/>
                <w:b w:val="0"/>
                <w:bCs w:val="0"/>
                <w:color w:val="auto"/>
                <w:sz w:val="21"/>
                <w:szCs w:val="21"/>
                <w:highlight w:val="none"/>
                <w:lang w:val="en-US" w:eastAsia="zh-CN"/>
              </w:rPr>
              <w:t>91.50%</w:t>
            </w:r>
          </w:p>
        </w:tc>
      </w:tr>
    </w:tbl>
    <w:p w14:paraId="7BAA7F04">
      <w:pPr>
        <w:ind w:firstLine="482"/>
        <w:rPr>
          <w:b/>
          <w:bCs/>
          <w:color w:val="auto"/>
          <w:sz w:val="24"/>
          <w:szCs w:val="28"/>
        </w:rPr>
      </w:pPr>
    </w:p>
    <w:p w14:paraId="20A307BC">
      <w:pPr>
        <w:ind w:firstLine="482"/>
        <w:rPr>
          <w:color w:val="auto"/>
          <w:sz w:val="24"/>
          <w:szCs w:val="28"/>
        </w:rPr>
      </w:pPr>
      <w:r>
        <w:rPr>
          <w:b/>
          <w:bCs/>
          <w:color w:val="auto"/>
          <w:sz w:val="24"/>
          <w:szCs w:val="28"/>
        </w:rPr>
        <w:t>三、取得的业绩、存在的问题和改进的建议</w:t>
      </w:r>
    </w:p>
    <w:p w14:paraId="1BBB7A31">
      <w:pPr>
        <w:ind w:firstLine="422"/>
        <w:rPr>
          <w:b/>
          <w:bCs/>
          <w:color w:val="auto"/>
        </w:rPr>
      </w:pPr>
      <w:r>
        <w:rPr>
          <w:b/>
          <w:bCs/>
          <w:color w:val="auto"/>
        </w:rPr>
        <w:t>（一）主要经验及做法</w:t>
      </w:r>
    </w:p>
    <w:p w14:paraId="1006DD39">
      <w:pPr>
        <w:ind w:firstLine="420"/>
        <w:rPr>
          <w:rFonts w:hint="default"/>
          <w:color w:val="auto"/>
        </w:rPr>
      </w:pPr>
      <w:r>
        <w:rPr>
          <w:rFonts w:hint="eastAsia"/>
          <w:color w:val="auto"/>
          <w:lang w:val="en-US" w:eastAsia="zh-CN"/>
        </w:rPr>
        <w:t>一是项目立项阶段，</w:t>
      </w:r>
      <w:r>
        <w:rPr>
          <w:rFonts w:hint="default"/>
          <w:color w:val="auto"/>
          <w:lang w:val="en-US" w:eastAsia="zh-CN"/>
        </w:rPr>
        <w:t>吉木萨尔县中等职业技术学校根据</w:t>
      </w:r>
      <w:r>
        <w:rPr>
          <w:color w:val="auto"/>
        </w:rPr>
        <w:t>《关于推动现代职业教育高质量发展的意见》</w:t>
      </w:r>
      <w:r>
        <w:rPr>
          <w:rFonts w:hint="default"/>
          <w:color w:val="auto"/>
          <w:lang w:val="en-US" w:eastAsia="zh-CN"/>
        </w:rPr>
        <w:t>要求</w:t>
      </w:r>
      <w:r>
        <w:rPr>
          <w:rFonts w:hint="default"/>
          <w:color w:val="auto"/>
        </w:rPr>
        <w:t>，联合</w:t>
      </w:r>
      <w:r>
        <w:rPr>
          <w:rFonts w:hint="default"/>
          <w:color w:val="auto"/>
          <w:lang w:val="en-US" w:eastAsia="zh-CN"/>
        </w:rPr>
        <w:t>县</w:t>
      </w:r>
      <w:r>
        <w:rPr>
          <w:rFonts w:hint="default"/>
          <w:color w:val="auto"/>
        </w:rPr>
        <w:t>发改、</w:t>
      </w:r>
      <w:r>
        <w:rPr>
          <w:rFonts w:hint="eastAsia"/>
          <w:color w:val="auto"/>
          <w:lang w:eastAsia="zh-CN"/>
        </w:rPr>
        <w:t>工业</w:t>
      </w:r>
      <w:r>
        <w:rPr>
          <w:rFonts w:hint="default"/>
          <w:color w:val="auto"/>
        </w:rPr>
        <w:t>园区深入调研油气煤化工、跨境电商产业链，</w:t>
      </w:r>
      <w:r>
        <w:rPr>
          <w:rFonts w:hint="eastAsia"/>
          <w:color w:val="auto"/>
          <w:lang w:val="en-US" w:eastAsia="zh-CN"/>
        </w:rPr>
        <w:t>为满足</w:t>
      </w:r>
      <w:r>
        <w:rPr>
          <w:rFonts w:hint="default"/>
          <w:color w:val="auto"/>
        </w:rPr>
        <w:t>紧缺岗位技能</w:t>
      </w:r>
      <w:r>
        <w:rPr>
          <w:rFonts w:hint="eastAsia"/>
          <w:color w:val="auto"/>
          <w:lang w:val="en-US" w:eastAsia="zh-CN"/>
        </w:rPr>
        <w:t>需要</w:t>
      </w:r>
      <w:r>
        <w:rPr>
          <w:rFonts w:hint="default"/>
          <w:color w:val="auto"/>
        </w:rPr>
        <w:t>，把实训基地立项为</w:t>
      </w:r>
      <w:r>
        <w:rPr>
          <w:rFonts w:hint="eastAsia"/>
          <w:color w:val="auto"/>
          <w:lang w:val="en-US" w:eastAsia="zh-CN"/>
        </w:rPr>
        <w:t>电商和化工专业</w:t>
      </w:r>
      <w:r>
        <w:rPr>
          <w:rFonts w:hint="default"/>
          <w:color w:val="auto"/>
        </w:rPr>
        <w:t>，</w:t>
      </w:r>
      <w:r>
        <w:rPr>
          <w:color w:val="auto"/>
        </w:rPr>
        <w:t>推进校企深度合作，</w:t>
      </w:r>
      <w:r>
        <w:rPr>
          <w:rFonts w:hint="eastAsia"/>
          <w:color w:val="auto"/>
          <w:lang w:val="en-US" w:eastAsia="zh-CN"/>
        </w:rPr>
        <w:t>推动</w:t>
      </w:r>
      <w:r>
        <w:rPr>
          <w:color w:val="auto"/>
        </w:rPr>
        <w:t>现代职业教育高质量发展</w:t>
      </w:r>
      <w:r>
        <w:rPr>
          <w:rFonts w:hint="default"/>
          <w:color w:val="auto"/>
        </w:rPr>
        <w:t>。</w:t>
      </w:r>
      <w:r>
        <w:rPr>
          <w:rFonts w:hint="eastAsia"/>
          <w:color w:val="auto"/>
          <w:lang w:val="en-US" w:eastAsia="zh-CN"/>
        </w:rPr>
        <w:t>二</w:t>
      </w:r>
      <w:r>
        <w:rPr>
          <w:rFonts w:hint="default"/>
          <w:color w:val="auto"/>
          <w:lang w:val="en-US" w:eastAsia="zh-CN"/>
        </w:rPr>
        <w:t>是</w:t>
      </w:r>
      <w:r>
        <w:rPr>
          <w:rFonts w:hint="eastAsia"/>
          <w:color w:val="auto"/>
          <w:lang w:val="en-US" w:eastAsia="zh-CN"/>
        </w:rPr>
        <w:t>单位</w:t>
      </w:r>
      <w:r>
        <w:rPr>
          <w:rFonts w:hint="default"/>
          <w:color w:val="auto"/>
          <w:lang w:val="en-US" w:eastAsia="zh-CN"/>
        </w:rPr>
        <w:t>加强组织领导，项目实施单位明确责任分工，严格按照政府采购制度完成采购计划申报、采购、合同签订、验收及调试工作</w:t>
      </w:r>
      <w:r>
        <w:rPr>
          <w:rFonts w:hint="eastAsia"/>
          <w:color w:val="auto"/>
          <w:lang w:val="en-US" w:eastAsia="zh-CN"/>
        </w:rPr>
        <w:t>，保障项目目标如期实现</w:t>
      </w:r>
      <w:r>
        <w:rPr>
          <w:rFonts w:hint="default"/>
          <w:color w:val="auto"/>
          <w:lang w:val="en-US" w:eastAsia="zh-CN"/>
        </w:rPr>
        <w:t>。</w:t>
      </w:r>
      <w:r>
        <w:rPr>
          <w:rFonts w:hint="eastAsia"/>
          <w:color w:val="auto"/>
          <w:lang w:val="en-US" w:eastAsia="zh-CN"/>
        </w:rPr>
        <w:t>三</w:t>
      </w:r>
      <w:r>
        <w:rPr>
          <w:rFonts w:hint="default"/>
          <w:color w:val="auto"/>
          <w:lang w:val="en-US" w:eastAsia="zh-CN"/>
        </w:rPr>
        <w:t>是项目实施单位组织单位工作人员对专用设备及软件系统进行培训，使该项目所涉工作人员能全面地了解设备，增强维护和使用设备的技能，使管理和使用设备的人员不仅对设备有足够的认识，且能胜任平常的维护以及解决常见故障的工作，确保设备安全可靠地运行</w:t>
      </w:r>
      <w:r>
        <w:rPr>
          <w:rFonts w:hint="eastAsia"/>
          <w:color w:val="auto"/>
          <w:lang w:val="en-US" w:eastAsia="zh-CN"/>
        </w:rPr>
        <w:t>。</w:t>
      </w:r>
    </w:p>
    <w:p w14:paraId="1A9AFA65">
      <w:pPr>
        <w:ind w:firstLine="422"/>
        <w:rPr>
          <w:b/>
          <w:bCs/>
          <w:color w:val="auto"/>
        </w:rPr>
      </w:pPr>
      <w:r>
        <w:rPr>
          <w:b/>
          <w:bCs/>
          <w:color w:val="auto"/>
        </w:rPr>
        <w:t>（二）存在的问题</w:t>
      </w:r>
    </w:p>
    <w:p w14:paraId="1076AE62">
      <w:pPr>
        <w:ind w:firstLine="422"/>
        <w:rPr>
          <w:b/>
          <w:bCs/>
          <w:color w:val="auto"/>
        </w:rPr>
      </w:pPr>
      <w:r>
        <w:rPr>
          <w:b/>
          <w:bCs/>
          <w:color w:val="auto"/>
        </w:rPr>
        <w:t>1.</w:t>
      </w:r>
      <w:r>
        <w:rPr>
          <w:rFonts w:hint="default"/>
          <w:b/>
          <w:bCs/>
          <w:color w:val="auto"/>
        </w:rPr>
        <w:t>项目采购</w:t>
      </w:r>
      <w:r>
        <w:rPr>
          <w:rFonts w:hint="default"/>
          <w:b/>
          <w:bCs/>
          <w:color w:val="auto"/>
          <w:lang w:val="en-US" w:eastAsia="zh-CN"/>
        </w:rPr>
        <w:t>预算</w:t>
      </w:r>
      <w:r>
        <w:rPr>
          <w:rFonts w:hint="default"/>
          <w:b/>
          <w:bCs/>
          <w:color w:val="auto"/>
        </w:rPr>
        <w:t>需求计划不够准确</w:t>
      </w:r>
    </w:p>
    <w:p w14:paraId="31B773A2">
      <w:pPr>
        <w:widowControl/>
        <w:ind w:firstLine="420"/>
        <w:jc w:val="left"/>
        <w:rPr>
          <w:color w:val="auto"/>
        </w:rPr>
      </w:pPr>
      <w:r>
        <w:rPr>
          <w:rFonts w:hint="default"/>
          <w:color w:val="auto"/>
          <w:lang w:eastAsia="zh-CN" w:bidi="ar"/>
        </w:rPr>
        <w:t>吉木萨尔中等职业技术学校</w:t>
      </w:r>
      <w:r>
        <w:rPr>
          <w:rFonts w:hint="default"/>
          <w:color w:val="auto"/>
        </w:rPr>
        <w:t>申请</w:t>
      </w:r>
      <w:r>
        <w:rPr>
          <w:rFonts w:hint="default"/>
          <w:color w:val="auto"/>
          <w:lang w:eastAsia="zh-CN"/>
        </w:rPr>
        <w:t>电商及直播运营实训基地</w:t>
      </w:r>
      <w:r>
        <w:rPr>
          <w:rFonts w:hint="default"/>
          <w:color w:val="auto"/>
        </w:rPr>
        <w:t>设备采购项目采购计划，计划采购金额</w:t>
      </w:r>
      <w:r>
        <w:rPr>
          <w:rFonts w:hint="default"/>
          <w:color w:val="auto"/>
          <w:lang w:val="en-US" w:eastAsia="zh-CN"/>
        </w:rPr>
        <w:t>22</w:t>
      </w:r>
      <w:r>
        <w:rPr>
          <w:rFonts w:hint="default"/>
          <w:color w:val="auto"/>
          <w:lang w:eastAsia="zh-CN"/>
        </w:rPr>
        <w:t>0</w:t>
      </w:r>
      <w:r>
        <w:rPr>
          <w:rFonts w:hint="default"/>
          <w:color w:val="auto"/>
        </w:rPr>
        <w:t>.00万元，中标金额为</w:t>
      </w:r>
      <w:r>
        <w:rPr>
          <w:rFonts w:hint="default"/>
          <w:color w:val="auto"/>
          <w:lang w:val="en-US" w:eastAsia="zh-CN"/>
        </w:rPr>
        <w:t>182.75</w:t>
      </w:r>
      <w:r>
        <w:rPr>
          <w:rFonts w:hint="default"/>
          <w:color w:val="auto"/>
        </w:rPr>
        <w:t>万元，偏差率</w:t>
      </w:r>
      <w:r>
        <w:rPr>
          <w:rFonts w:hint="default"/>
          <w:color w:val="auto"/>
          <w:lang w:val="en-US" w:eastAsia="zh-CN"/>
        </w:rPr>
        <w:t>达到16.93</w:t>
      </w:r>
      <w:r>
        <w:rPr>
          <w:rFonts w:hint="default"/>
          <w:color w:val="auto"/>
        </w:rPr>
        <w:t>%。</w:t>
      </w:r>
      <w:r>
        <w:rPr>
          <w:rFonts w:hint="default"/>
          <w:color w:val="auto"/>
          <w:lang w:eastAsia="zh-CN" w:bidi="ar"/>
        </w:rPr>
        <w:t>吉木萨尔中等职业技术学校</w:t>
      </w:r>
      <w:r>
        <w:rPr>
          <w:rFonts w:hint="default"/>
          <w:color w:val="auto"/>
        </w:rPr>
        <w:t>申请</w:t>
      </w:r>
      <w:r>
        <w:rPr>
          <w:rFonts w:hint="default"/>
          <w:color w:val="auto"/>
          <w:lang w:eastAsia="zh-CN"/>
        </w:rPr>
        <w:t>化工及化工安全实训设备采购项目</w:t>
      </w:r>
      <w:r>
        <w:rPr>
          <w:rFonts w:hint="default"/>
          <w:color w:val="auto"/>
        </w:rPr>
        <w:t>采购计划，计划采购</w:t>
      </w:r>
      <w:r>
        <w:rPr>
          <w:rFonts w:hint="default"/>
          <w:color w:val="auto"/>
          <w:highlight w:val="none"/>
        </w:rPr>
        <w:t>金额</w:t>
      </w:r>
      <w:r>
        <w:rPr>
          <w:rFonts w:hint="default"/>
          <w:color w:val="auto"/>
          <w:highlight w:val="none"/>
          <w:lang w:val="en-US" w:eastAsia="zh-CN"/>
        </w:rPr>
        <w:t>500</w:t>
      </w:r>
      <w:r>
        <w:rPr>
          <w:rFonts w:hint="default"/>
          <w:color w:val="auto"/>
          <w:highlight w:val="none"/>
        </w:rPr>
        <w:t>.00万元，中标金额为</w:t>
      </w:r>
      <w:r>
        <w:rPr>
          <w:rFonts w:hint="default"/>
          <w:color w:val="auto"/>
          <w:highlight w:val="none"/>
          <w:lang w:val="en-US" w:eastAsia="zh-CN"/>
        </w:rPr>
        <w:t>428.60</w:t>
      </w:r>
      <w:r>
        <w:rPr>
          <w:rFonts w:hint="default"/>
          <w:color w:val="auto"/>
          <w:highlight w:val="none"/>
        </w:rPr>
        <w:t>万元，偏差率</w:t>
      </w:r>
      <w:r>
        <w:rPr>
          <w:rFonts w:hint="default"/>
          <w:color w:val="auto"/>
          <w:highlight w:val="none"/>
          <w:lang w:val="en-US" w:eastAsia="zh-CN"/>
        </w:rPr>
        <w:t>达到14.28</w:t>
      </w:r>
      <w:r>
        <w:rPr>
          <w:rFonts w:hint="default"/>
          <w:color w:val="auto"/>
          <w:highlight w:val="none"/>
        </w:rPr>
        <w:t>%。</w:t>
      </w:r>
      <w:r>
        <w:rPr>
          <w:rFonts w:hint="default"/>
          <w:color w:val="auto"/>
          <w:highlight w:val="none"/>
          <w:lang w:val="en-US" w:eastAsia="zh-CN"/>
        </w:rPr>
        <w:t>经对比项目采购计划清单和采购中标结果看，</w:t>
      </w:r>
      <w:r>
        <w:rPr>
          <w:rFonts w:hint="default"/>
          <w:color w:val="auto"/>
          <w:highlight w:val="none"/>
        </w:rPr>
        <w:t>该</w:t>
      </w:r>
      <w:r>
        <w:rPr>
          <w:rFonts w:hint="eastAsia"/>
          <w:color w:val="auto"/>
          <w:highlight w:val="none"/>
          <w:lang w:val="en-US" w:eastAsia="zh-CN"/>
        </w:rPr>
        <w:t>项目前期</w:t>
      </w:r>
      <w:r>
        <w:rPr>
          <w:rFonts w:hint="default"/>
          <w:color w:val="auto"/>
          <w:highlight w:val="none"/>
        </w:rPr>
        <w:t>采购计划论证不够充分</w:t>
      </w:r>
      <w:r>
        <w:rPr>
          <w:rFonts w:hint="eastAsia"/>
          <w:color w:val="auto"/>
          <w:highlight w:val="none"/>
          <w:lang w:eastAsia="zh-CN"/>
        </w:rPr>
        <w:t>，</w:t>
      </w:r>
      <w:r>
        <w:rPr>
          <w:rFonts w:hint="eastAsia"/>
          <w:color w:val="auto"/>
          <w:highlight w:val="none"/>
          <w:lang w:val="en-US" w:eastAsia="zh-CN"/>
        </w:rPr>
        <w:t>存在部分设备实际中标价格远低于采购计划的估算价格，导致项目首次采购完成后资金结余较多</w:t>
      </w:r>
      <w:r>
        <w:rPr>
          <w:rFonts w:hint="default"/>
          <w:color w:val="auto"/>
        </w:rPr>
        <w:t>。</w:t>
      </w:r>
    </w:p>
    <w:p w14:paraId="70D2E467">
      <w:pPr>
        <w:ind w:firstLine="422"/>
        <w:rPr>
          <w:rFonts w:hint="default" w:eastAsiaTheme="minorEastAsia"/>
          <w:b/>
          <w:bCs/>
          <w:color w:val="auto"/>
          <w:highlight w:val="none"/>
          <w:lang w:val="en-US" w:eastAsia="zh-CN"/>
        </w:rPr>
      </w:pPr>
      <w:r>
        <w:rPr>
          <w:rFonts w:hint="default"/>
          <w:b/>
          <w:bCs/>
          <w:color w:val="auto"/>
          <w:highlight w:val="none"/>
        </w:rPr>
        <w:t>2.</w:t>
      </w:r>
      <w:r>
        <w:rPr>
          <w:rFonts w:hint="default"/>
          <w:b/>
          <w:bCs/>
          <w:color w:val="auto"/>
          <w:highlight w:val="none"/>
          <w:lang w:val="en-US" w:eastAsia="zh-CN"/>
        </w:rPr>
        <w:t>购置设备资产</w:t>
      </w:r>
      <w:r>
        <w:rPr>
          <w:rFonts w:hint="eastAsia"/>
          <w:b/>
          <w:bCs/>
          <w:color w:val="auto"/>
          <w:highlight w:val="none"/>
          <w:lang w:val="en-US" w:eastAsia="zh-CN"/>
        </w:rPr>
        <w:t>未及时全部录入固定资产管理系统</w:t>
      </w:r>
    </w:p>
    <w:p w14:paraId="32E5B16E">
      <w:pPr>
        <w:ind w:firstLine="420"/>
        <w:rPr>
          <w:color w:val="auto"/>
          <w:highlight w:val="yellow"/>
        </w:rPr>
      </w:pPr>
      <w:r>
        <w:rPr>
          <w:rFonts w:hint="eastAsia"/>
          <w:color w:val="auto"/>
          <w:highlight w:val="none"/>
          <w:lang w:val="en-US" w:eastAsia="zh-CN"/>
        </w:rPr>
        <w:t>根据项目</w:t>
      </w:r>
      <w:r>
        <w:rPr>
          <w:rFonts w:hint="default"/>
          <w:color w:val="auto"/>
          <w:highlight w:val="none"/>
          <w:lang w:val="en-US" w:eastAsia="zh-CN"/>
        </w:rPr>
        <w:t>实施单位提供</w:t>
      </w:r>
      <w:r>
        <w:rPr>
          <w:rFonts w:hint="eastAsia"/>
          <w:color w:val="auto"/>
          <w:highlight w:val="none"/>
          <w:lang w:val="en-US" w:eastAsia="zh-CN"/>
        </w:rPr>
        <w:t>的</w:t>
      </w:r>
      <w:r>
        <w:rPr>
          <w:rFonts w:hint="default"/>
          <w:color w:val="auto"/>
          <w:highlight w:val="none"/>
          <w:lang w:val="en-US" w:eastAsia="zh-CN"/>
        </w:rPr>
        <w:t>固定资产明细账，</w:t>
      </w:r>
      <w:r>
        <w:rPr>
          <w:rFonts w:hint="eastAsia"/>
          <w:color w:val="auto"/>
          <w:highlight w:val="none"/>
          <w:lang w:val="en-US" w:eastAsia="zh-CN"/>
        </w:rPr>
        <w:t>该项目购置</w:t>
      </w:r>
      <w:r>
        <w:rPr>
          <w:rFonts w:hint="default"/>
          <w:color w:val="auto"/>
          <w:highlight w:val="none"/>
          <w:lang w:val="en-US" w:eastAsia="zh-CN"/>
        </w:rPr>
        <w:t>设备</w:t>
      </w:r>
      <w:r>
        <w:rPr>
          <w:rFonts w:hint="eastAsia"/>
          <w:color w:val="auto"/>
          <w:highlight w:val="none"/>
          <w:lang w:val="en-US" w:eastAsia="zh-CN"/>
        </w:rPr>
        <w:t>资产总价为696.16万元，其中：电商专业固定资产总价为196.16万元，化工专业固定资产总价为500.00万元</w:t>
      </w:r>
      <w:r>
        <w:rPr>
          <w:rFonts w:hint="default"/>
          <w:color w:val="auto"/>
          <w:highlight w:val="none"/>
          <w:lang w:val="en-US" w:eastAsia="zh-CN"/>
        </w:rPr>
        <w:t>。根据实施单位提供的《资产卡片列表（2024年部分资产情况表）》，</w:t>
      </w:r>
      <w:r>
        <w:rPr>
          <w:rFonts w:hint="eastAsia"/>
          <w:color w:val="auto"/>
          <w:highlight w:val="none"/>
          <w:lang w:val="en-US" w:eastAsia="zh-CN"/>
        </w:rPr>
        <w:t>其中电商专业购进的专业摄像机和信号源设备、其他卫星广播电视设备等设备资产共计31项114.33万元已录入固定资产管理系统管理，剩余81.83万元电商专业设备尚未录入固定资产管理系统；化工专业购进的</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智能多功能精细化学品实训装置</w:t>
      </w:r>
      <w:r>
        <w:rPr>
          <w:rFonts w:hint="eastAsia"/>
          <w:color w:val="auto"/>
          <w:highlight w:val="none"/>
          <w:lang w:val="en-US" w:eastAsia="zh-CN"/>
        </w:rPr>
        <w:t>、</w:t>
      </w:r>
      <w:r>
        <w:rPr>
          <w:rFonts w:hint="default"/>
          <w:color w:val="auto"/>
          <w:highlight w:val="none"/>
          <w:lang w:val="en-US" w:eastAsia="zh-CN"/>
        </w:rPr>
        <w:t>新型煤化工工艺实训考核装置</w:t>
      </w:r>
      <w:r>
        <w:rPr>
          <w:rFonts w:hint="eastAsia"/>
          <w:color w:val="auto"/>
          <w:highlight w:val="none"/>
          <w:lang w:val="en-US" w:eastAsia="zh-CN"/>
        </w:rPr>
        <w:t>、</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氯碱电解工艺实训考核装置</w:t>
      </w:r>
      <w:r>
        <w:rPr>
          <w:rFonts w:hint="eastAsia"/>
          <w:color w:val="auto"/>
          <w:highlight w:val="none"/>
          <w:lang w:val="en-US" w:eastAsia="zh-CN"/>
        </w:rPr>
        <w:t>、</w:t>
      </w:r>
      <w:r>
        <w:rPr>
          <w:rFonts w:hint="default"/>
          <w:color w:val="auto"/>
          <w:highlight w:val="none"/>
          <w:lang w:val="en-US" w:eastAsia="zh-CN"/>
        </w:rPr>
        <w:t>化工维修拆装设备</w:t>
      </w:r>
      <w:r>
        <w:rPr>
          <w:rFonts w:hint="eastAsia"/>
          <w:color w:val="auto"/>
          <w:highlight w:val="none"/>
          <w:lang w:val="en-US" w:eastAsia="zh-CN"/>
        </w:rPr>
        <w:t>、</w:t>
      </w:r>
      <w:r>
        <w:rPr>
          <w:rFonts w:hint="default"/>
          <w:color w:val="auto"/>
          <w:highlight w:val="none"/>
          <w:lang w:val="en-US" w:eastAsia="zh-CN"/>
        </w:rPr>
        <w:t>化工实验室基础设备</w:t>
      </w:r>
      <w:r>
        <w:rPr>
          <w:rFonts w:hint="eastAsia"/>
          <w:color w:val="auto"/>
          <w:highlight w:val="none"/>
          <w:lang w:val="en-US" w:eastAsia="zh-CN"/>
        </w:rPr>
        <w:t>、</w:t>
      </w:r>
      <w:r>
        <w:rPr>
          <w:rFonts w:hint="default"/>
          <w:color w:val="auto"/>
          <w:highlight w:val="none"/>
          <w:lang w:val="en-US" w:eastAsia="zh-CN"/>
        </w:rPr>
        <w:t>化工仪表控制拆装维修考核综合实训社保</w:t>
      </w:r>
      <w:r>
        <w:rPr>
          <w:rFonts w:hint="eastAsia"/>
          <w:color w:val="auto"/>
          <w:highlight w:val="none"/>
          <w:lang w:val="en-US" w:eastAsia="zh-CN"/>
        </w:rPr>
        <w:t>等设备资产共计17项364.49万元已录入固定资产管理系统管理，剩余135.51万元化工专业设备尚未录入固定资产管理系统</w:t>
      </w:r>
      <w:r>
        <w:rPr>
          <w:rFonts w:hint="default"/>
          <w:color w:val="auto"/>
          <w:highlight w:val="none"/>
          <w:lang w:val="en-US" w:eastAsia="zh-CN"/>
        </w:rPr>
        <w:t>。</w:t>
      </w:r>
    </w:p>
    <w:p w14:paraId="54D08436">
      <w:pPr>
        <w:ind w:firstLine="422"/>
        <w:rPr>
          <w:b/>
          <w:bCs/>
          <w:color w:val="auto"/>
        </w:rPr>
      </w:pPr>
      <w:r>
        <w:rPr>
          <w:rFonts w:hint="default"/>
          <w:b/>
          <w:bCs/>
          <w:color w:val="auto"/>
        </w:rPr>
        <w:t>3</w:t>
      </w:r>
      <w:r>
        <w:rPr>
          <w:b/>
          <w:bCs/>
          <w:color w:val="auto"/>
        </w:rPr>
        <w:t>.</w:t>
      </w:r>
      <w:r>
        <w:rPr>
          <w:rFonts w:hint="default"/>
          <w:b/>
          <w:bCs/>
          <w:color w:val="auto"/>
        </w:rPr>
        <w:t>项目满意度</w:t>
      </w:r>
      <w:r>
        <w:rPr>
          <w:rFonts w:hint="eastAsia"/>
          <w:b/>
          <w:bCs/>
          <w:color w:val="auto"/>
          <w:lang w:val="en-US" w:eastAsia="zh-CN"/>
        </w:rPr>
        <w:t>结果反馈实训效果仍有待提高</w:t>
      </w:r>
    </w:p>
    <w:p w14:paraId="599059C9">
      <w:pPr>
        <w:widowControl/>
        <w:ind w:firstLine="420"/>
        <w:jc w:val="left"/>
        <w:rPr>
          <w:rFonts w:hint="default" w:eastAsiaTheme="minorEastAsia"/>
          <w:color w:val="auto"/>
          <w:lang w:val="en-US" w:eastAsia="zh-CN"/>
        </w:rPr>
      </w:pPr>
      <w:r>
        <w:rPr>
          <w:rFonts w:hint="default"/>
          <w:color w:val="auto"/>
        </w:rPr>
        <w:t>依据问卷调研统计结果分析反映，</w:t>
      </w:r>
      <w:r>
        <w:rPr>
          <w:rFonts w:hint="eastAsia"/>
          <w:color w:val="auto"/>
          <w:lang w:val="en-US" w:eastAsia="zh-CN"/>
        </w:rPr>
        <w:t>有部分的师生反馈</w:t>
      </w:r>
      <w:r>
        <w:rPr>
          <w:rFonts w:hint="default"/>
          <w:color w:val="auto"/>
          <w:lang w:val="en-US" w:eastAsia="zh-CN"/>
        </w:rPr>
        <w:t>实训基地的设备更新速度与化工或电商专业行业前沿技术教学需求有一定差距</w:t>
      </w:r>
      <w:r>
        <w:rPr>
          <w:rFonts w:hint="eastAsia"/>
          <w:color w:val="auto"/>
          <w:lang w:val="en-US" w:eastAsia="zh-CN"/>
        </w:rPr>
        <w:t>，</w:t>
      </w:r>
      <w:r>
        <w:rPr>
          <w:rFonts w:hint="default"/>
          <w:color w:val="auto"/>
          <w:lang w:val="en-US" w:eastAsia="zh-CN"/>
        </w:rPr>
        <w:t>专业实训与理论课程教学结合不够紧密</w:t>
      </w:r>
      <w:r>
        <w:rPr>
          <w:rFonts w:hint="eastAsia"/>
          <w:color w:val="auto"/>
          <w:lang w:val="en-US" w:eastAsia="zh-CN"/>
        </w:rPr>
        <w:t>，教</w:t>
      </w:r>
      <w:r>
        <w:rPr>
          <w:rFonts w:hint="eastAsia" w:asciiTheme="minorEastAsia" w:hAnsiTheme="minorEastAsia" w:cstheme="minorEastAsia"/>
          <w:color w:val="auto"/>
          <w:highlight w:val="none"/>
          <w:lang w:val="en-US" w:eastAsia="zh-CN"/>
        </w:rPr>
        <w:t>学形式、教学指导和实训指导方面需要改善，实训效果仍有待提高</w:t>
      </w:r>
      <w:r>
        <w:rPr>
          <w:color w:val="auto"/>
        </w:rPr>
        <w:t>。</w:t>
      </w:r>
    </w:p>
    <w:p w14:paraId="733C7170">
      <w:pPr>
        <w:widowControl/>
        <w:ind w:firstLine="422"/>
        <w:jc w:val="left"/>
        <w:rPr>
          <w:b/>
          <w:bCs/>
          <w:color w:val="auto"/>
        </w:rPr>
      </w:pPr>
      <w:r>
        <w:rPr>
          <w:b/>
          <w:bCs/>
          <w:color w:val="auto"/>
        </w:rPr>
        <w:t>（三）有关建议</w:t>
      </w:r>
    </w:p>
    <w:p w14:paraId="72D6D70A">
      <w:pPr>
        <w:widowControl/>
        <w:ind w:firstLine="402"/>
        <w:jc w:val="left"/>
        <w:rPr>
          <w:b/>
          <w:bCs/>
          <w:color w:val="auto"/>
          <w:lang w:bidi="ar"/>
        </w:rPr>
      </w:pPr>
      <w:r>
        <w:rPr>
          <w:rFonts w:hint="default" w:eastAsia="宋体"/>
          <w:b/>
          <w:bCs/>
          <w:color w:val="auto"/>
          <w:kern w:val="0"/>
          <w:sz w:val="20"/>
          <w:szCs w:val="20"/>
          <w:lang w:bidi="ar"/>
        </w:rPr>
        <w:t>1</w:t>
      </w:r>
      <w:r>
        <w:rPr>
          <w:rFonts w:eastAsia="宋体"/>
          <w:b/>
          <w:bCs/>
          <w:color w:val="auto"/>
          <w:kern w:val="0"/>
          <w:sz w:val="20"/>
          <w:szCs w:val="20"/>
          <w:lang w:bidi="ar"/>
        </w:rPr>
        <w:t>.</w:t>
      </w:r>
      <w:r>
        <w:rPr>
          <w:rFonts w:hint="eastAsia" w:eastAsia="宋体"/>
          <w:b/>
          <w:bCs/>
          <w:color w:val="auto"/>
          <w:kern w:val="0"/>
          <w:sz w:val="20"/>
          <w:szCs w:val="20"/>
          <w:lang w:val="en-US" w:eastAsia="zh-CN" w:bidi="ar"/>
        </w:rPr>
        <w:t>加强采购预算编制管理</w:t>
      </w:r>
      <w:r>
        <w:rPr>
          <w:rFonts w:hint="eastAsia" w:eastAsia="宋体"/>
          <w:b/>
          <w:bCs/>
          <w:color w:val="auto"/>
          <w:kern w:val="0"/>
          <w:sz w:val="20"/>
          <w:szCs w:val="20"/>
          <w:lang w:bidi="ar"/>
        </w:rPr>
        <w:t>，‌确保采购计划科学合理，</w:t>
      </w:r>
      <w:r>
        <w:rPr>
          <w:rFonts w:hint="eastAsia" w:eastAsia="宋体"/>
          <w:b/>
          <w:bCs/>
          <w:color w:val="auto"/>
          <w:kern w:val="0"/>
          <w:sz w:val="20"/>
          <w:szCs w:val="20"/>
          <w:lang w:val="en-US" w:eastAsia="zh-CN" w:bidi="ar"/>
        </w:rPr>
        <w:t>项目</w:t>
      </w:r>
      <w:r>
        <w:rPr>
          <w:rFonts w:hint="eastAsia" w:eastAsia="宋体"/>
          <w:b/>
          <w:bCs/>
          <w:color w:val="auto"/>
          <w:kern w:val="0"/>
          <w:sz w:val="20"/>
          <w:szCs w:val="20"/>
          <w:lang w:bidi="ar"/>
        </w:rPr>
        <w:t>预算精准可控</w:t>
      </w:r>
    </w:p>
    <w:p w14:paraId="48E8B892">
      <w:pPr>
        <w:widowControl/>
        <w:ind w:firstLine="420"/>
        <w:jc w:val="left"/>
        <w:rPr>
          <w:color w:val="auto"/>
          <w:lang w:bidi="ar"/>
        </w:rPr>
      </w:pPr>
      <w:r>
        <w:rPr>
          <w:rFonts w:hint="default" w:cs="Times New Roman"/>
          <w:lang w:val="en-US" w:eastAsia="zh-CN"/>
        </w:rPr>
        <w:t>建议项目</w:t>
      </w:r>
      <w:r>
        <w:rPr>
          <w:rFonts w:hint="eastAsia" w:cs="Times New Roman"/>
          <w:lang w:val="en-US" w:eastAsia="zh-CN"/>
        </w:rPr>
        <w:t>实施</w:t>
      </w:r>
      <w:r>
        <w:rPr>
          <w:rFonts w:hint="default" w:cs="Times New Roman"/>
          <w:lang w:val="en-US" w:eastAsia="zh-CN"/>
        </w:rPr>
        <w:t>单位严格遵循《中华人民共和国政府采购法》等相关规定，加强对政府采购管理的内部控制，坚持“无预算、不采购”的原则，提前谋划项目采购计划、采购方式以及编制采购预算，</w:t>
      </w:r>
      <w:r>
        <w:rPr>
          <w:rFonts w:hint="eastAsia"/>
          <w:color w:val="auto"/>
          <w:lang w:val="en-US" w:eastAsia="zh-CN" w:bidi="ar"/>
        </w:rPr>
        <w:t>在</w:t>
      </w:r>
      <w:r>
        <w:rPr>
          <w:rFonts w:hint="default"/>
          <w:color w:val="auto"/>
          <w:lang w:bidi="ar"/>
        </w:rPr>
        <w:t>项目申报前</w:t>
      </w:r>
      <w:r>
        <w:rPr>
          <w:rFonts w:hint="eastAsia"/>
          <w:color w:val="auto"/>
          <w:lang w:val="en-US" w:eastAsia="zh-CN" w:bidi="ar"/>
        </w:rPr>
        <w:t>通过开展</w:t>
      </w:r>
      <w:r>
        <w:rPr>
          <w:rFonts w:hint="default"/>
          <w:color w:val="auto"/>
          <w:lang w:bidi="ar"/>
        </w:rPr>
        <w:t>市场询价、同类院校比价</w:t>
      </w:r>
      <w:r>
        <w:rPr>
          <w:rFonts w:hint="eastAsia"/>
          <w:color w:val="auto"/>
          <w:lang w:val="en-US" w:eastAsia="zh-CN" w:bidi="ar"/>
        </w:rPr>
        <w:t>，必要时引入</w:t>
      </w:r>
      <w:r>
        <w:rPr>
          <w:rFonts w:hint="default"/>
          <w:color w:val="auto"/>
          <w:lang w:bidi="ar"/>
        </w:rPr>
        <w:t>第三方</w:t>
      </w:r>
      <w:r>
        <w:rPr>
          <w:rFonts w:hint="eastAsia"/>
          <w:color w:val="auto"/>
          <w:lang w:val="en-US" w:eastAsia="zh-CN" w:bidi="ar"/>
        </w:rPr>
        <w:t>机构评审等方式</w:t>
      </w:r>
      <w:r>
        <w:rPr>
          <w:rFonts w:hint="default" w:cs="Times New Roman"/>
          <w:lang w:val="en-US" w:eastAsia="zh-CN"/>
        </w:rPr>
        <w:t>对采购内容进行必要的论证和评估，‌确保采购计划科学合理</w:t>
      </w:r>
      <w:r>
        <w:rPr>
          <w:rFonts w:hint="eastAsia" w:cs="Times New Roman"/>
          <w:lang w:val="en-US" w:eastAsia="zh-CN"/>
        </w:rPr>
        <w:t>，</w:t>
      </w:r>
      <w:r>
        <w:rPr>
          <w:rFonts w:hint="default"/>
          <w:color w:val="auto"/>
          <w:lang w:bidi="ar"/>
        </w:rPr>
        <w:t>预算精准可控。</w:t>
      </w:r>
    </w:p>
    <w:p w14:paraId="6336DB8B">
      <w:pPr>
        <w:widowControl/>
        <w:ind w:firstLine="402"/>
        <w:jc w:val="left"/>
        <w:rPr>
          <w:rFonts w:hint="default" w:ascii="Times New Roman" w:hAnsi="Times New Roman" w:eastAsia="宋体" w:cs="Times New Roman"/>
          <w:b/>
          <w:bCs/>
          <w:color w:val="auto"/>
          <w:kern w:val="0"/>
          <w:sz w:val="20"/>
          <w:szCs w:val="20"/>
          <w:lang w:val="en-US" w:eastAsia="zh-CN" w:bidi="ar"/>
        </w:rPr>
      </w:pPr>
      <w:r>
        <w:rPr>
          <w:rFonts w:hint="default" w:ascii="Times New Roman" w:hAnsi="Times New Roman" w:eastAsia="宋体" w:cs="Times New Roman"/>
          <w:b/>
          <w:bCs/>
          <w:color w:val="auto"/>
          <w:kern w:val="0"/>
          <w:sz w:val="20"/>
          <w:szCs w:val="20"/>
          <w:lang w:val="en-US" w:eastAsia="zh-CN" w:bidi="ar"/>
        </w:rPr>
        <w:t>2.加强学校新购置资产的管理使用</w:t>
      </w:r>
    </w:p>
    <w:p w14:paraId="787C59E6">
      <w:pPr>
        <w:wordWrap w:val="0"/>
        <w:topLinePunct/>
        <w:spacing w:line="360" w:lineRule="auto"/>
        <w:ind w:firstLine="420"/>
        <w:rPr>
          <w:rFonts w:hint="eastAsia" w:ascii="Times New Roman" w:hAnsi="Times New Roman" w:eastAsia="宋体" w:cs="Times New Roman"/>
          <w:color w:val="auto"/>
        </w:rPr>
      </w:pPr>
      <w:r>
        <w:rPr>
          <w:rFonts w:hint="default"/>
          <w:color w:val="auto"/>
          <w:lang w:val="en-US" w:eastAsia="zh-CN" w:bidi="ar"/>
        </w:rPr>
        <w:t>建议项目实施单位根据《吉木萨尔中等职业学校资产管理制度》要求规范管理学校各类资产，</w:t>
      </w:r>
      <w:r>
        <w:rPr>
          <w:rFonts w:hint="default"/>
          <w:color w:val="auto"/>
          <w:lang w:bidi="ar"/>
        </w:rPr>
        <w:t>对</w:t>
      </w:r>
      <w:r>
        <w:rPr>
          <w:rFonts w:hint="default"/>
          <w:color w:val="auto"/>
          <w:lang w:val="en-US" w:eastAsia="zh-CN" w:bidi="ar"/>
        </w:rPr>
        <w:t>新购置的设备资产及时办理资产入账并纳入统一的资产管理信息系统，确保学校资产台账清晰完整以及资产账表、账证、账实、账账相符</w:t>
      </w:r>
      <w:r>
        <w:rPr>
          <w:rFonts w:hint="eastAsia" w:ascii="Times New Roman" w:hAnsi="Times New Roman" w:eastAsia="宋体" w:cs="Times New Roman"/>
          <w:color w:val="auto"/>
          <w:u w:val="none"/>
          <w:lang w:val="zh-TW" w:eastAsia="zh-TW"/>
        </w:rPr>
        <w:t>；</w:t>
      </w:r>
      <w:r>
        <w:rPr>
          <w:rFonts w:hint="eastAsia" w:ascii="Times New Roman" w:hAnsi="Times New Roman" w:eastAsia="宋体" w:cs="Times New Roman"/>
          <w:color w:val="auto"/>
          <w:u w:val="none"/>
          <w:lang w:val="en-US" w:eastAsia="zh-CN"/>
        </w:rPr>
        <w:t>按照</w:t>
      </w:r>
      <w:r>
        <w:rPr>
          <w:rFonts w:hint="eastAsia" w:ascii="Times New Roman" w:hAnsi="Times New Roman" w:eastAsia="宋体" w:cs="Times New Roman"/>
          <w:color w:val="auto"/>
          <w:u w:val="none"/>
          <w:lang w:val="zh-TW" w:eastAsia="zh-TW"/>
        </w:rPr>
        <w:t>要求</w:t>
      </w:r>
      <w:r>
        <w:rPr>
          <w:rFonts w:hint="eastAsia" w:ascii="Times New Roman" w:hAnsi="Times New Roman" w:eastAsia="宋体" w:cs="Times New Roman"/>
          <w:color w:val="auto"/>
          <w:u w:val="none"/>
          <w:lang w:val="en-US" w:eastAsia="zh-CN"/>
        </w:rPr>
        <w:t>做好</w:t>
      </w:r>
      <w:r>
        <w:rPr>
          <w:rFonts w:hint="eastAsia" w:ascii="Times New Roman" w:hAnsi="Times New Roman" w:eastAsia="宋体" w:cs="Times New Roman"/>
          <w:color w:val="auto"/>
          <w:u w:val="none"/>
          <w:lang w:val="zh-TW" w:eastAsia="zh-TW"/>
        </w:rPr>
        <w:t>固定资产</w:t>
      </w:r>
      <w:r>
        <w:rPr>
          <w:rFonts w:hint="eastAsia" w:ascii="Times New Roman" w:hAnsi="Times New Roman" w:eastAsia="宋体" w:cs="Times New Roman"/>
          <w:color w:val="auto"/>
          <w:u w:val="none"/>
          <w:lang w:val="zh-TW" w:eastAsia="zh-CN"/>
        </w:rPr>
        <w:t>的</w:t>
      </w:r>
      <w:r>
        <w:rPr>
          <w:rFonts w:hint="eastAsia" w:ascii="Times New Roman" w:hAnsi="Times New Roman" w:eastAsia="宋体" w:cs="Times New Roman"/>
          <w:color w:val="auto"/>
          <w:u w:val="none"/>
          <w:lang w:val="zh-TW" w:eastAsia="zh-TW"/>
        </w:rPr>
        <w:t>盘</w:t>
      </w:r>
      <w:r>
        <w:rPr>
          <w:rFonts w:hint="eastAsia" w:ascii="Times New Roman" w:hAnsi="Times New Roman" w:eastAsia="宋体" w:cs="Times New Roman"/>
          <w:color w:val="auto"/>
        </w:rPr>
        <w:t>点</w:t>
      </w:r>
      <w:r>
        <w:rPr>
          <w:rFonts w:hint="eastAsia" w:ascii="Times New Roman" w:hAnsi="Times New Roman" w:eastAsia="宋体" w:cs="Times New Roman"/>
          <w:color w:val="auto"/>
          <w:lang w:val="en-US" w:eastAsia="zh-CN"/>
        </w:rPr>
        <w:t>工作</w:t>
      </w:r>
      <w:r>
        <w:rPr>
          <w:rFonts w:hint="eastAsia" w:ascii="Times New Roman" w:hAnsi="Times New Roman" w:eastAsia="宋体" w:cs="Times New Roman"/>
          <w:color w:val="auto"/>
          <w:lang w:eastAsia="zh-CN"/>
        </w:rPr>
        <w:t>，</w:t>
      </w:r>
      <w:r>
        <w:rPr>
          <w:rFonts w:hint="eastAsia" w:ascii="Times New Roman" w:hAnsi="Times New Roman" w:eastAsia="宋体" w:cs="Times New Roman"/>
          <w:color w:val="auto"/>
        </w:rPr>
        <w:t>强化日常监管，针对单位固定资产管理制度是否完善、基础工作是否扎实、使用是否高效等开展监督检查，进一步加强对固定资产使用、处置等关键环节的管控，确保固定资产安全完整，高效利用。</w:t>
      </w:r>
    </w:p>
    <w:p w14:paraId="5687B899">
      <w:pPr>
        <w:widowControl/>
        <w:ind w:firstLine="402"/>
        <w:jc w:val="left"/>
        <w:rPr>
          <w:color w:val="auto"/>
        </w:rPr>
      </w:pPr>
      <w:r>
        <w:rPr>
          <w:rFonts w:hint="default" w:eastAsia="宋体"/>
          <w:b/>
          <w:bCs/>
          <w:color w:val="auto"/>
          <w:kern w:val="0"/>
          <w:sz w:val="20"/>
          <w:szCs w:val="20"/>
          <w:lang w:val="en-US" w:eastAsia="zh-CN" w:bidi="ar"/>
        </w:rPr>
        <w:t>3</w:t>
      </w:r>
      <w:r>
        <w:rPr>
          <w:rFonts w:eastAsia="宋体"/>
          <w:b/>
          <w:bCs/>
          <w:color w:val="auto"/>
          <w:kern w:val="0"/>
          <w:sz w:val="20"/>
          <w:szCs w:val="20"/>
          <w:lang w:bidi="ar"/>
        </w:rPr>
        <w:t>.</w:t>
      </w:r>
      <w:r>
        <w:rPr>
          <w:rFonts w:hint="default" w:ascii="Times New Roman" w:hAnsi="Times New Roman" w:eastAsia="宋体" w:cs="Times New Roman"/>
          <w:b/>
          <w:bCs/>
          <w:color w:val="auto"/>
          <w:kern w:val="0"/>
          <w:sz w:val="20"/>
          <w:szCs w:val="20"/>
          <w:lang w:bidi="ar"/>
        </w:rPr>
        <w:t>以问卷结果为切入点，加强实训条件保障，提升实训效果</w:t>
      </w:r>
    </w:p>
    <w:p w14:paraId="32D33E25">
      <w:pPr>
        <w:ind w:firstLine="420"/>
        <w:rPr>
          <w:color w:val="auto"/>
        </w:rPr>
      </w:pPr>
      <w:r>
        <w:rPr>
          <w:rFonts w:hint="default"/>
          <w:color w:val="auto"/>
        </w:rPr>
        <w:t>建议</w:t>
      </w:r>
      <w:r>
        <w:rPr>
          <w:rFonts w:hint="default"/>
          <w:color w:val="auto"/>
          <w:lang w:bidi="ar"/>
        </w:rPr>
        <w:t>项目实施单位充分进行需求调研，</w:t>
      </w:r>
      <w:r>
        <w:rPr>
          <w:rFonts w:hint="default"/>
          <w:color w:val="auto"/>
        </w:rPr>
        <w:t>按照学校发展总体规划和专业学科建设目标，统筹做好设备配置计划；加大学生</w:t>
      </w:r>
      <w:r>
        <w:rPr>
          <w:rFonts w:hint="default"/>
          <w:color w:val="auto"/>
          <w:lang w:val="en-US" w:eastAsia="zh-CN"/>
        </w:rPr>
        <w:t>化工及电商专业</w:t>
      </w:r>
      <w:r>
        <w:rPr>
          <w:rFonts w:hint="default"/>
          <w:color w:val="auto"/>
        </w:rPr>
        <w:t>实训培训力度，丰富</w:t>
      </w:r>
      <w:r>
        <w:rPr>
          <w:rFonts w:hint="default"/>
          <w:color w:val="auto"/>
          <w:lang w:val="en-US" w:eastAsia="zh-CN"/>
        </w:rPr>
        <w:t>化工及电商专业</w:t>
      </w:r>
      <w:r>
        <w:rPr>
          <w:rFonts w:hint="default"/>
          <w:color w:val="auto"/>
        </w:rPr>
        <w:t>课程内容及形式，</w:t>
      </w:r>
      <w:r>
        <w:rPr>
          <w:rFonts w:hint="default"/>
          <w:color w:val="auto"/>
          <w:lang w:val="en-US" w:eastAsia="zh-CN"/>
        </w:rPr>
        <w:t>开发化工及电商专业实训室新兴教学模式，</w:t>
      </w:r>
      <w:r>
        <w:rPr>
          <w:rFonts w:hint="default"/>
          <w:color w:val="auto"/>
        </w:rPr>
        <w:t>进一步提升学生专业技能，达到</w:t>
      </w:r>
      <w:r>
        <w:rPr>
          <w:rFonts w:hint="default"/>
          <w:color w:val="auto"/>
          <w:lang w:val="en-US" w:eastAsia="zh-CN"/>
        </w:rPr>
        <w:t>化工及电商专业</w:t>
      </w:r>
      <w:r>
        <w:rPr>
          <w:rFonts w:hint="default"/>
          <w:color w:val="auto"/>
        </w:rPr>
        <w:t>预期实训效果。</w:t>
      </w:r>
    </w:p>
    <w:p w14:paraId="524D46CB">
      <w:pPr>
        <w:ind w:firstLine="420"/>
        <w:rPr>
          <w:color w:val="auto"/>
        </w:rPr>
      </w:pPr>
    </w:p>
    <w:p w14:paraId="4359C8DD">
      <w:pPr>
        <w:ind w:firstLine="420"/>
        <w:rPr>
          <w:color w:val="auto"/>
        </w:rPr>
      </w:pPr>
    </w:p>
    <w:p w14:paraId="3A27832A">
      <w:pPr>
        <w:ind w:firstLine="420"/>
        <w:rPr>
          <w:color w:val="auto"/>
        </w:rPr>
      </w:pPr>
    </w:p>
    <w:p w14:paraId="4EFDFD8B">
      <w:pPr>
        <w:pStyle w:val="14"/>
        <w:tabs>
          <w:tab w:val="right" w:leader="dot" w:pos="8879"/>
          <w:tab w:val="clear" w:pos="9356"/>
        </w:tabs>
        <w:spacing w:line="500" w:lineRule="exact"/>
        <w:rPr>
          <w:rFonts w:ascii="Times New Roman" w:hAnsi="Times New Roman" w:cs="Times New Roman"/>
          <w:color w:val="auto"/>
        </w:rPr>
        <w:sectPr>
          <w:headerReference r:id="rId7" w:type="default"/>
          <w:footerReference r:id="rId8" w:type="default"/>
          <w:pgSz w:w="11906" w:h="16838"/>
          <w:pgMar w:top="1440" w:right="1797" w:bottom="1440" w:left="1797" w:header="851" w:footer="992" w:gutter="0"/>
          <w:pgNumType w:fmt="upperRoman" w:start="1"/>
          <w:cols w:space="720" w:num="1"/>
          <w:docGrid w:type="lines" w:linePitch="312" w:charSpace="0"/>
        </w:sectPr>
      </w:pPr>
    </w:p>
    <w:p w14:paraId="31419DDD">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rPr>
          <w:rFonts w:hint="default" w:ascii="Times New Roman" w:hAnsi="Times New Roman" w:eastAsia="宋体" w:cs="Times New Roman"/>
          <w:b/>
          <w:color w:val="auto"/>
          <w:kern w:val="2"/>
          <w:sz w:val="21"/>
          <w:szCs w:val="21"/>
          <w:lang w:val="en-US" w:eastAsia="zh-CN" w:bidi="ar-SA"/>
        </w:rPr>
      </w:pPr>
      <w:r>
        <w:rPr>
          <w:rFonts w:hint="default" w:ascii="Times New Roman" w:hAnsi="Times New Roman" w:eastAsia="宋体" w:cs="Times New Roman"/>
          <w:b/>
          <w:bCs/>
          <w:color w:val="auto"/>
          <w:sz w:val="28"/>
          <w:szCs w:val="28"/>
        </w:rPr>
        <w:t>目录</w:t>
      </w: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color w:val="auto"/>
          <w:sz w:val="21"/>
          <w:szCs w:val="21"/>
        </w:rPr>
        <w:instrText xml:space="preserve">TOC \o "1-2" \h \u </w:instrText>
      </w:r>
      <w:r>
        <w:rPr>
          <w:rFonts w:hint="default" w:ascii="Times New Roman" w:hAnsi="Times New Roman" w:eastAsia="宋体" w:cs="Times New Roman"/>
          <w:color w:val="auto"/>
          <w:sz w:val="21"/>
          <w:szCs w:val="21"/>
        </w:rPr>
        <w:fldChar w:fldCharType="separate"/>
      </w:r>
    </w:p>
    <w:p w14:paraId="7DA84A4A">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_Toc29309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一、基本情况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_Toc29309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E62E89A">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_Toc25074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（一）项目背景及立项</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_Toc25074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199DCC8B">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_Toc28499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w:t>
      </w:r>
      <w:r>
        <w:rPr>
          <w:rFonts w:hint="default" w:ascii="Times New Roman" w:hAnsi="Times New Roman" w:eastAsia="宋体" w:cs="Times New Roman"/>
          <w:sz w:val="21"/>
          <w:szCs w:val="21"/>
          <w:lang w:val="en-US" w:eastAsia="zh-CN"/>
        </w:rPr>
        <w:t>二</w:t>
      </w:r>
      <w:r>
        <w:rPr>
          <w:rFonts w:hint="default" w:ascii="Times New Roman" w:hAnsi="Times New Roman" w:eastAsia="宋体" w:cs="Times New Roman"/>
          <w:sz w:val="21"/>
          <w:szCs w:val="21"/>
        </w:rPr>
        <w:t>）项目资金投入和使用情况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_Toc28499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3F30B489">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_Toc5280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w:t>
      </w:r>
      <w:r>
        <w:rPr>
          <w:rFonts w:hint="default" w:ascii="Times New Roman" w:hAnsi="Times New Roman" w:eastAsia="宋体" w:cs="Times New Roman"/>
          <w:sz w:val="21"/>
          <w:szCs w:val="21"/>
          <w:lang w:val="en-US" w:eastAsia="zh-CN"/>
        </w:rPr>
        <w:t>三</w:t>
      </w:r>
      <w:r>
        <w:rPr>
          <w:rFonts w:hint="default" w:ascii="Times New Roman" w:hAnsi="Times New Roman" w:eastAsia="宋体" w:cs="Times New Roman"/>
          <w:sz w:val="21"/>
          <w:szCs w:val="21"/>
        </w:rPr>
        <w:t>）项目</w:t>
      </w:r>
      <w:r>
        <w:rPr>
          <w:rFonts w:hint="default" w:ascii="Times New Roman" w:hAnsi="Times New Roman" w:eastAsia="宋体" w:cs="Times New Roman"/>
          <w:sz w:val="21"/>
          <w:szCs w:val="21"/>
          <w:lang w:val="en-US" w:eastAsia="zh-CN"/>
        </w:rPr>
        <w:t>组织实施</w:t>
      </w:r>
      <w:r>
        <w:rPr>
          <w:rFonts w:hint="default" w:ascii="Times New Roman" w:hAnsi="Times New Roman" w:eastAsia="宋体" w:cs="Times New Roman"/>
          <w:sz w:val="21"/>
          <w:szCs w:val="21"/>
        </w:rPr>
        <w:t>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_Toc5280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3</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16AB7B6E">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_Toc23134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二、项目绩效目标</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_Toc23134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5</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0F5ED518">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_Toc20072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（一）项目绩效总目标</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_Toc20072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5</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1028A0F9">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_Toc12266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（二）年度绩效目标</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_Toc12266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6</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1F89D13F">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_Toc27182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三、绩效评价工作开展情况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_Toc27182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6</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D8C12BA">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_Toc6134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（一）绩效评价依据</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_Toc6134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6</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1E65B8BB">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_Toc19989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（二）绩效评价目的、对象和范围</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_Toc19989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7</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1CE597F">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_Toc11718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（三）绩效评价原则</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_Toc11718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7</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DB5BDC2">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_Toc1843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bCs/>
          <w:sz w:val="21"/>
          <w:szCs w:val="21"/>
          <w:highlight w:val="none"/>
          <w:lang w:eastAsia="zh-CN"/>
        </w:rPr>
        <w:t>（</w:t>
      </w:r>
      <w:r>
        <w:rPr>
          <w:rFonts w:hint="default" w:ascii="Times New Roman" w:hAnsi="Times New Roman" w:eastAsia="宋体" w:cs="Times New Roman"/>
          <w:bCs/>
          <w:sz w:val="21"/>
          <w:szCs w:val="21"/>
          <w:highlight w:val="none"/>
          <w:lang w:val="en-US" w:eastAsia="zh-CN"/>
        </w:rPr>
        <w:t>四</w:t>
      </w:r>
      <w:r>
        <w:rPr>
          <w:rFonts w:hint="default" w:ascii="Times New Roman" w:hAnsi="Times New Roman" w:eastAsia="宋体" w:cs="Times New Roman"/>
          <w:sz w:val="21"/>
          <w:szCs w:val="21"/>
          <w:highlight w:val="none"/>
          <w:lang w:eastAsia="zh-CN"/>
        </w:rPr>
        <w:t>）</w:t>
      </w:r>
      <w:r>
        <w:rPr>
          <w:rFonts w:hint="default" w:ascii="Times New Roman" w:hAnsi="Times New Roman" w:eastAsia="宋体" w:cs="Times New Roman"/>
          <w:sz w:val="21"/>
          <w:szCs w:val="21"/>
          <w:highlight w:val="none"/>
          <w:lang w:val="en-US" w:eastAsia="zh-CN"/>
        </w:rPr>
        <w:t>绩效评价标准</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_Toc1843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7</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9B92F60">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_Toc21853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w:t>
      </w:r>
      <w:r>
        <w:rPr>
          <w:rFonts w:hint="default" w:ascii="Times New Roman" w:hAnsi="Times New Roman" w:eastAsia="宋体" w:cs="Times New Roman"/>
          <w:sz w:val="21"/>
          <w:szCs w:val="21"/>
          <w:lang w:val="en-US" w:eastAsia="zh-CN"/>
        </w:rPr>
        <w:t>五</w:t>
      </w:r>
      <w:r>
        <w:rPr>
          <w:rFonts w:hint="default" w:ascii="Times New Roman" w:hAnsi="Times New Roman" w:eastAsia="宋体" w:cs="Times New Roman"/>
          <w:sz w:val="21"/>
          <w:szCs w:val="21"/>
        </w:rPr>
        <w:t>）绩效评价方法</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_Toc21853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8</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93798E9">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_Toc20416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w:t>
      </w:r>
      <w:r>
        <w:rPr>
          <w:rFonts w:hint="default" w:ascii="Times New Roman" w:hAnsi="Times New Roman" w:eastAsia="宋体" w:cs="Times New Roman"/>
          <w:sz w:val="21"/>
          <w:szCs w:val="21"/>
          <w:lang w:val="en-US" w:eastAsia="zh-CN"/>
        </w:rPr>
        <w:t>六</w:t>
      </w:r>
      <w:r>
        <w:rPr>
          <w:rFonts w:hint="default" w:ascii="Times New Roman" w:hAnsi="Times New Roman" w:eastAsia="宋体" w:cs="Times New Roman"/>
          <w:sz w:val="21"/>
          <w:szCs w:val="21"/>
        </w:rPr>
        <w:t>）绩效评价指标体系设计</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_Toc20416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9</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4A015F48">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_Toc5472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lang w:val="en-US" w:eastAsia="zh-CN"/>
        </w:rPr>
        <w:t>（七）绩效评价工作过程</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_Toc5472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701F0A6A">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_Toc15317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highlight w:val="none"/>
        </w:rPr>
        <w:t>四、综合评价情况及评价结论</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_Toc15317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20C9C54F">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_Toc24941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highlight w:val="none"/>
          <w:lang w:val="zh-TW"/>
        </w:rPr>
        <w:t>（</w:t>
      </w:r>
      <w:r>
        <w:rPr>
          <w:rFonts w:hint="default" w:ascii="Times New Roman" w:hAnsi="Times New Roman" w:eastAsia="宋体" w:cs="Times New Roman"/>
          <w:sz w:val="21"/>
          <w:szCs w:val="21"/>
          <w:highlight w:val="none"/>
        </w:rPr>
        <w:t>二</w:t>
      </w:r>
      <w:r>
        <w:rPr>
          <w:rFonts w:hint="default" w:ascii="Times New Roman" w:hAnsi="Times New Roman" w:eastAsia="宋体" w:cs="Times New Roman"/>
          <w:sz w:val="21"/>
          <w:szCs w:val="21"/>
          <w:highlight w:val="none"/>
          <w:lang w:val="zh-TW"/>
        </w:rPr>
        <w:t>）综合评价结论</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_Toc24941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A0CEB1B">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_Toc26863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highlight w:val="none"/>
          <w:lang w:val="zh-TW" w:eastAsia="zh-TW"/>
        </w:rPr>
        <w:t>（一）评价得分情况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_Toc26863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D907693">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_Toc24570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五、绩效评价指标分析</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_Toc24570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483DADC3">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_Toc20517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（一）项目决策情况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_Toc20517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DB13D25">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_Toc1204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（二）项目过程情况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_Toc1204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15</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42CC32C0">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_Toc5927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（三）项目产出情况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_Toc5927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16</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2B40F3ED">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_Toc8986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（四）项目效益情况</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_Toc8986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18</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706EB24C">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_Toc31307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六、主要经验及做法、存在的问题及原因分析</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_Toc31307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07059AED">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_Toc29897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（一）主要经验及做法</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_Toc29897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789D32B">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_Toc29069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（二）存在的问题</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_Toc29069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0A4378BA">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_Toc12596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七、有关建议</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_Toc12596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32C622FA">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_Toc8277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lang w:val="en-US" w:eastAsia="zh-CN"/>
        </w:rPr>
        <w:t>八、</w:t>
      </w:r>
      <w:r>
        <w:rPr>
          <w:rFonts w:hint="default" w:ascii="Times New Roman" w:hAnsi="Times New Roman" w:eastAsia="宋体" w:cs="Times New Roman"/>
          <w:bCs/>
          <w:kern w:val="44"/>
          <w:sz w:val="21"/>
          <w:szCs w:val="21"/>
          <w:lang w:val="en-US" w:eastAsia="zh-CN" w:bidi="ar-SA"/>
        </w:rPr>
        <w:t>绩效评价结果应用建议</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_Toc8277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52C46EFE">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_Toc6367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bCs/>
          <w:sz w:val="21"/>
          <w:szCs w:val="21"/>
          <w:lang w:val="en-US" w:eastAsia="zh-CN"/>
        </w:rPr>
        <w:t>（一）绩效结果挂钩次年预算资金安排</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_Toc6367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72147EBD">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_Toc11498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bCs/>
          <w:sz w:val="21"/>
          <w:szCs w:val="21"/>
          <w:lang w:val="en-US" w:eastAsia="zh-CN"/>
        </w:rPr>
        <w:t>（二）绩效结果挂钩整改措施</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_Toc11498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6C4243AD">
      <w:pPr>
        <w:pStyle w:val="15"/>
        <w:keepNext w:val="0"/>
        <w:keepLines w:val="0"/>
        <w:pageBreakBefore w:val="0"/>
        <w:widowControl w:val="0"/>
        <w:tabs>
          <w:tab w:val="right" w:leader="dot" w:pos="830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_Toc18817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bCs/>
          <w:sz w:val="21"/>
          <w:szCs w:val="21"/>
          <w:lang w:val="en-US" w:eastAsia="zh-CN"/>
        </w:rPr>
        <w:t>（三）绩效结果挂钩报告公开</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_Toc18817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21</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7ADAF97D">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_Toc13450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lang w:val="en-US" w:eastAsia="zh-CN"/>
        </w:rPr>
        <w:t>九、</w:t>
      </w:r>
      <w:r>
        <w:rPr>
          <w:rFonts w:hint="default" w:ascii="Times New Roman" w:hAnsi="Times New Roman" w:eastAsia="宋体" w:cs="Times New Roman"/>
          <w:sz w:val="21"/>
          <w:szCs w:val="21"/>
        </w:rPr>
        <w:t>其他需要说明的问题</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_Toc13450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22</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4774E9E1">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_Toc4148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附件1：绩效评价指标体系及综合评价表</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_Toc4148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23</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38D33DA2">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_Toc18773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附件2：基础表</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_Toc18773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30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208FD5FB">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_Toc24025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附件3：问卷调查分析报告</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_Toc24025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35</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4B5839D3">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_Toc30455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附件4：现场照片</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_Toc30455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40</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322DD36E">
      <w:pPr>
        <w:pStyle w:val="14"/>
        <w:keepNext w:val="0"/>
        <w:keepLines w:val="0"/>
        <w:pageBreakBefore w:val="0"/>
        <w:widowControl w:val="0"/>
        <w:tabs>
          <w:tab w:val="right" w:leader="dot" w:pos="8306"/>
          <w:tab w:val="clear" w:pos="9356"/>
        </w:tabs>
        <w:kinsoku/>
        <w:wordWrap/>
        <w:overflowPunct/>
        <w:topLinePunct w:val="0"/>
        <w:autoSpaceDE/>
        <w:autoSpaceDN/>
        <w:bidi w:val="0"/>
        <w:adjustRightInd w:val="0"/>
        <w:snapToGrid w:val="0"/>
        <w:spacing w:line="360" w:lineRule="exac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fldChar w:fldCharType="begin"/>
      </w:r>
      <w:r>
        <w:rPr>
          <w:rFonts w:hint="default" w:ascii="Times New Roman" w:hAnsi="Times New Roman" w:eastAsia="宋体" w:cs="Times New Roman"/>
          <w:sz w:val="21"/>
          <w:szCs w:val="21"/>
        </w:rPr>
        <w:instrText xml:space="preserve"> HYPERLINK \l _Toc6171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附件5：《绩效评价报告意见反馈表》</w:t>
      </w:r>
      <w:r>
        <w:rPr>
          <w:rFonts w:hint="default" w:ascii="Times New Roman" w:hAnsi="Times New Roman" w:eastAsia="宋体" w:cs="Times New Roman"/>
          <w:sz w:val="21"/>
          <w:szCs w:val="21"/>
        </w:rPr>
        <w:tab/>
      </w:r>
      <w:r>
        <w:rPr>
          <w:rFonts w:hint="default" w:ascii="Times New Roman" w:hAnsi="Times New Roman" w:eastAsia="宋体" w:cs="Times New Roman"/>
          <w:sz w:val="21"/>
          <w:szCs w:val="21"/>
        </w:rPr>
        <w:fldChar w:fldCharType="begin"/>
      </w:r>
      <w:r>
        <w:rPr>
          <w:rFonts w:hint="default" w:ascii="Times New Roman" w:hAnsi="Times New Roman" w:eastAsia="宋体" w:cs="Times New Roman"/>
          <w:sz w:val="21"/>
          <w:szCs w:val="21"/>
        </w:rPr>
        <w:instrText xml:space="preserve"> PAGEREF _Toc6171 \h </w:instrText>
      </w:r>
      <w:r>
        <w:rPr>
          <w:rFonts w:hint="default" w:ascii="Times New Roman" w:hAnsi="Times New Roman" w:eastAsia="宋体" w:cs="Times New Roman"/>
          <w:sz w:val="21"/>
          <w:szCs w:val="21"/>
        </w:rPr>
        <w:fldChar w:fldCharType="separate"/>
      </w:r>
      <w:r>
        <w:rPr>
          <w:rFonts w:hint="default" w:ascii="Times New Roman" w:hAnsi="Times New Roman" w:eastAsia="宋体" w:cs="Times New Roman"/>
          <w:sz w:val="21"/>
          <w:szCs w:val="21"/>
        </w:rPr>
        <w:t>45</w:t>
      </w:r>
      <w:r>
        <w:rPr>
          <w:rFonts w:hint="default" w:ascii="Times New Roman" w:hAnsi="Times New Roman" w:eastAsia="宋体" w:cs="Times New Roman"/>
          <w:sz w:val="21"/>
          <w:szCs w:val="21"/>
        </w:rPr>
        <w:fldChar w:fldCharType="end"/>
      </w:r>
      <w:r>
        <w:rPr>
          <w:rFonts w:hint="default" w:ascii="Times New Roman" w:hAnsi="Times New Roman" w:eastAsia="宋体" w:cs="Times New Roman"/>
          <w:color w:val="auto"/>
          <w:sz w:val="21"/>
          <w:szCs w:val="21"/>
        </w:rPr>
        <w:fldChar w:fldCharType="end"/>
      </w:r>
    </w:p>
    <w:p w14:paraId="3379B687">
      <w:pPr>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center"/>
        <w:textAlignment w:val="auto"/>
        <w:rPr>
          <w:rFonts w:ascii="Times New Roman" w:hAnsi="Times New Roman" w:eastAsia="宋体" w:cs="Times New Roman"/>
          <w:b/>
          <w:color w:val="auto"/>
          <w:sz w:val="32"/>
          <w:szCs w:val="32"/>
        </w:rPr>
        <w:sectPr>
          <w:footerReference r:id="rId9" w:type="default"/>
          <w:pgSz w:w="11906" w:h="16838"/>
          <w:pgMar w:top="1440" w:right="1800" w:bottom="1440" w:left="1800" w:header="851" w:footer="992" w:gutter="0"/>
          <w:cols w:space="425" w:num="1"/>
          <w:docGrid w:type="lines" w:linePitch="312" w:charSpace="0"/>
        </w:sectPr>
      </w:pPr>
      <w:r>
        <w:rPr>
          <w:rFonts w:hint="default" w:ascii="Times New Roman" w:hAnsi="Times New Roman" w:eastAsia="宋体" w:cs="Times New Roman"/>
          <w:b/>
          <w:color w:val="auto"/>
          <w:sz w:val="21"/>
          <w:szCs w:val="21"/>
        </w:rPr>
        <w:fldChar w:fldCharType="end"/>
      </w:r>
    </w:p>
    <w:p w14:paraId="7A4E36CD">
      <w:pPr>
        <w:adjustRightInd/>
        <w:snapToGrid/>
        <w:spacing w:line="500" w:lineRule="exact"/>
        <w:ind w:left="-178" w:leftChars="-85" w:firstLine="0" w:firstLineChars="0"/>
        <w:jc w:val="center"/>
        <w:outlineLvl w:val="0"/>
        <w:rPr>
          <w:rFonts w:eastAsia="楷体_GB2312"/>
          <w:b/>
          <w:color w:val="auto"/>
          <w:sz w:val="48"/>
          <w:szCs w:val="48"/>
        </w:rPr>
      </w:pPr>
      <w:bookmarkStart w:id="11" w:name="_Toc12400"/>
      <w:bookmarkStart w:id="12" w:name="_Toc11273"/>
      <w:bookmarkStart w:id="13" w:name="_Toc5331"/>
      <w:bookmarkStart w:id="14" w:name="_Toc11341"/>
      <w:bookmarkStart w:id="15" w:name="_Toc26455"/>
      <w:bookmarkStart w:id="16" w:name="_Toc19"/>
      <w:bookmarkStart w:id="17" w:name="_Toc25378"/>
      <w:bookmarkStart w:id="18" w:name="_Toc18021"/>
      <w:r>
        <w:rPr>
          <w:rFonts w:eastAsia="仿宋_GB2312"/>
          <w:b/>
          <w:color w:val="auto"/>
          <w:sz w:val="48"/>
          <w:szCs w:val="48"/>
        </w:rPr>
        <w:t>新疆驰远天合有限责任会计师事务所</w:t>
      </w:r>
      <w:bookmarkEnd w:id="11"/>
      <w:bookmarkEnd w:id="12"/>
      <w:bookmarkEnd w:id="13"/>
      <w:bookmarkEnd w:id="14"/>
      <w:bookmarkEnd w:id="15"/>
      <w:bookmarkEnd w:id="16"/>
      <w:bookmarkEnd w:id="17"/>
      <w:bookmarkEnd w:id="18"/>
    </w:p>
    <w:p w14:paraId="6ED8CEFA">
      <w:pPr>
        <w:adjustRightInd/>
        <w:snapToGrid/>
        <w:spacing w:line="660" w:lineRule="auto"/>
        <w:ind w:firstLine="0" w:firstLineChars="0"/>
        <w:jc w:val="center"/>
        <w:rPr>
          <w:rFonts w:eastAsia="宋体"/>
          <w:color w:val="auto"/>
          <w:sz w:val="24"/>
          <w:szCs w:val="24"/>
        </w:rPr>
      </w:pPr>
      <w:r>
        <w:rPr>
          <w:rFonts w:hint="eastAsia" w:eastAsia="宋体"/>
          <w:color w:val="auto"/>
          <w:sz w:val="24"/>
          <w:szCs w:val="24"/>
        </w:rPr>
        <w:t>Xinjiang Chiyuantianhe Certified Public Accountants Co.,Ltd.</w:t>
      </w:r>
    </w:p>
    <w:p w14:paraId="3BE7AFEF">
      <w:pPr>
        <w:adjustRightInd/>
        <w:snapToGrid/>
        <w:spacing w:line="440" w:lineRule="exact"/>
        <w:ind w:firstLine="0" w:firstLineChars="0"/>
        <w:jc w:val="center"/>
        <w:outlineLvl w:val="0"/>
        <w:rPr>
          <w:rFonts w:eastAsia="宋体"/>
          <w:color w:val="auto"/>
        </w:rPr>
      </w:pPr>
      <w:bookmarkStart w:id="19" w:name="_Toc23718"/>
      <w:bookmarkStart w:id="20" w:name="_Toc26426"/>
      <w:bookmarkStart w:id="21" w:name="_Toc4177"/>
      <w:bookmarkStart w:id="22" w:name="_Toc154"/>
      <w:bookmarkStart w:id="23" w:name="_Toc21886"/>
      <w:bookmarkStart w:id="24" w:name="_Toc32272"/>
      <w:bookmarkStart w:id="25" w:name="_Toc8568"/>
      <w:bookmarkStart w:id="26" w:name="_Toc13806"/>
      <w:r>
        <w:rPr>
          <w:rFonts w:eastAsia="宋体"/>
          <w:b/>
          <w:color w:val="auto"/>
          <w:spacing w:val="66"/>
          <w:kern w:val="0"/>
          <w:sz w:val="44"/>
          <w:szCs w:val="44"/>
          <w:fitText w:val="3300" w:id="1424759405"/>
        </w:rPr>
        <w:t>绩效评价报</w:t>
      </w:r>
      <w:r>
        <w:rPr>
          <w:rFonts w:eastAsia="宋体"/>
          <w:b/>
          <w:color w:val="auto"/>
          <w:spacing w:val="0"/>
          <w:kern w:val="0"/>
          <w:sz w:val="44"/>
          <w:szCs w:val="44"/>
          <w:fitText w:val="3300" w:id="1424759405"/>
        </w:rPr>
        <w:t>告</w:t>
      </w:r>
      <w:bookmarkEnd w:id="19"/>
      <w:bookmarkEnd w:id="20"/>
      <w:bookmarkEnd w:id="21"/>
      <w:bookmarkEnd w:id="22"/>
      <w:bookmarkEnd w:id="23"/>
      <w:bookmarkEnd w:id="24"/>
      <w:bookmarkEnd w:id="25"/>
      <w:bookmarkEnd w:id="26"/>
    </w:p>
    <w:p w14:paraId="1AF64292">
      <w:pPr>
        <w:adjustRightInd/>
        <w:snapToGrid/>
        <w:spacing w:line="440" w:lineRule="exact"/>
        <w:ind w:firstLine="0" w:firstLineChars="0"/>
        <w:jc w:val="center"/>
        <w:outlineLvl w:val="0"/>
        <w:rPr>
          <w:rFonts w:eastAsia="宋体"/>
          <w:color w:val="auto"/>
        </w:rPr>
      </w:pPr>
      <w:bookmarkStart w:id="27" w:name="_Toc20353"/>
      <w:bookmarkStart w:id="28" w:name="_Toc11553"/>
      <w:bookmarkStart w:id="29" w:name="_Toc5761"/>
      <w:bookmarkStart w:id="30" w:name="_Toc29279"/>
      <w:bookmarkStart w:id="31" w:name="_Toc21223"/>
      <w:bookmarkStart w:id="32" w:name="_Toc3373"/>
      <w:bookmarkStart w:id="33" w:name="_Toc3967"/>
      <w:bookmarkStart w:id="34" w:name="_Toc10186"/>
      <w:r>
        <w:rPr>
          <w:rFonts w:eastAsia="宋体"/>
          <w:color w:val="auto"/>
        </w:rPr>
        <w:t>驰天会咨字[202</w:t>
      </w:r>
      <w:r>
        <w:rPr>
          <w:rFonts w:hint="default" w:eastAsia="宋体"/>
          <w:color w:val="auto"/>
          <w:lang w:val="en-US" w:eastAsia="zh-CN"/>
        </w:rPr>
        <w:t>5</w:t>
      </w:r>
      <w:r>
        <w:rPr>
          <w:rFonts w:eastAsia="宋体"/>
          <w:color w:val="auto"/>
        </w:rPr>
        <w:t>]1-0</w:t>
      </w:r>
      <w:r>
        <w:rPr>
          <w:rFonts w:hint="default" w:eastAsia="宋体"/>
          <w:color w:val="auto"/>
        </w:rPr>
        <w:t>1</w:t>
      </w:r>
      <w:r>
        <w:rPr>
          <w:rFonts w:hint="default" w:eastAsia="宋体"/>
          <w:color w:val="auto"/>
          <w:lang w:val="en-US" w:eastAsia="zh-CN"/>
        </w:rPr>
        <w:t>45</w:t>
      </w:r>
      <w:r>
        <w:rPr>
          <w:rFonts w:eastAsia="宋体"/>
          <w:color w:val="auto"/>
        </w:rPr>
        <w:t>号</w:t>
      </w:r>
      <w:bookmarkEnd w:id="27"/>
      <w:bookmarkEnd w:id="28"/>
      <w:bookmarkEnd w:id="29"/>
      <w:bookmarkEnd w:id="30"/>
      <w:bookmarkEnd w:id="31"/>
      <w:bookmarkEnd w:id="32"/>
      <w:bookmarkEnd w:id="33"/>
      <w:bookmarkEnd w:id="34"/>
    </w:p>
    <w:p w14:paraId="7FE5DF0E">
      <w:pPr>
        <w:ind w:firstLine="0" w:firstLineChars="0"/>
        <w:rPr>
          <w:rFonts w:hint="default"/>
          <w:color w:val="auto"/>
          <w:lang w:eastAsia="zh-CN"/>
        </w:rPr>
      </w:pPr>
    </w:p>
    <w:p w14:paraId="1804C203">
      <w:pPr>
        <w:ind w:firstLine="0" w:firstLineChars="0"/>
        <w:rPr>
          <w:color w:val="auto"/>
        </w:rPr>
      </w:pPr>
      <w:r>
        <w:rPr>
          <w:rFonts w:hint="default"/>
          <w:color w:val="auto"/>
          <w:lang w:eastAsia="zh-CN"/>
        </w:rPr>
        <w:t>吉木萨尔县</w:t>
      </w:r>
      <w:r>
        <w:rPr>
          <w:rFonts w:hint="default"/>
          <w:color w:val="auto"/>
        </w:rPr>
        <w:t>财政局</w:t>
      </w:r>
      <w:r>
        <w:rPr>
          <w:color w:val="auto"/>
        </w:rPr>
        <w:t>：</w:t>
      </w:r>
    </w:p>
    <w:p w14:paraId="4CF18892">
      <w:pPr>
        <w:ind w:firstLine="420"/>
        <w:rPr>
          <w:color w:val="auto"/>
        </w:rPr>
      </w:pPr>
      <w:r>
        <w:rPr>
          <w:rFonts w:hint="default" w:ascii="Times New Roman" w:hAnsi="Times New Roman" w:cs="Times New Roman"/>
          <w:color w:val="auto"/>
          <w:highlight w:val="none"/>
        </w:rPr>
        <w:t>为贯彻落实全面推进预算绩效管理工作的要求，完善部门预算管理，强化预算支出责任，提高</w:t>
      </w:r>
      <w:r>
        <w:rPr>
          <w:rFonts w:hint="eastAsia" w:cs="Times New Roman"/>
          <w:color w:val="auto"/>
          <w:highlight w:val="none"/>
          <w:lang w:eastAsia="zh-CN"/>
        </w:rPr>
        <w:t>财政资金使用</w:t>
      </w:r>
      <w:r>
        <w:rPr>
          <w:rFonts w:hint="default" w:ascii="Times New Roman" w:hAnsi="Times New Roman" w:cs="Times New Roman"/>
          <w:color w:val="auto"/>
          <w:highlight w:val="none"/>
        </w:rPr>
        <w:t>效益，根据</w:t>
      </w:r>
      <w:r>
        <w:rPr>
          <w:rFonts w:hint="default" w:cs="Times New Roman"/>
          <w:color w:val="auto"/>
          <w:highlight w:val="none"/>
          <w:lang w:eastAsia="zh-CN"/>
        </w:rPr>
        <w:t>《中共中央、国务院关于全面实施预算绩效管理的意见》（中发〔2018〕34号）</w:t>
      </w:r>
      <w:r>
        <w:rPr>
          <w:rFonts w:hint="default" w:ascii="Times New Roman" w:hAnsi="Times New Roman" w:cs="Times New Roman"/>
          <w:color w:val="auto"/>
          <w:highlight w:val="none"/>
        </w:rPr>
        <w:t>、《项目支出绩效评价管理办法》（财预〔2020〕10号）、《关于进一步加强和规范第三方机构参与预算绩效管理的通知》（新财预〔2021〕49号）等系列文件的要求，</w:t>
      </w:r>
      <w:r>
        <w:rPr>
          <w:rFonts w:ascii="Times New Roman" w:hAnsi="Times New Roman" w:cs="Times New Roman"/>
          <w:color w:val="auto"/>
        </w:rPr>
        <w:t>受</w:t>
      </w:r>
      <w:r>
        <w:rPr>
          <w:rFonts w:hint="default" w:ascii="Times New Roman" w:hAnsi="Times New Roman" w:cs="Times New Roman"/>
          <w:color w:val="auto"/>
          <w:lang w:eastAsia="zh-CN"/>
        </w:rPr>
        <w:t>吉木萨尔县</w:t>
      </w:r>
      <w:r>
        <w:rPr>
          <w:rFonts w:hint="default" w:ascii="Times New Roman" w:hAnsi="Times New Roman" w:cs="Times New Roman"/>
          <w:color w:val="auto"/>
        </w:rPr>
        <w:t>财政局</w:t>
      </w:r>
      <w:r>
        <w:rPr>
          <w:rFonts w:ascii="Times New Roman" w:hAnsi="Times New Roman" w:cs="Times New Roman"/>
          <w:color w:val="auto"/>
        </w:rPr>
        <w:t>的委托，</w:t>
      </w:r>
      <w:r>
        <w:rPr>
          <w:color w:val="auto"/>
        </w:rPr>
        <w:t>新疆驰远天合有限责任会计师事务所以第三方社会评价机构的身份，承担了</w:t>
      </w:r>
      <w:r>
        <w:rPr>
          <w:rFonts w:hint="default"/>
          <w:color w:val="auto"/>
          <w:lang w:eastAsia="zh-CN"/>
        </w:rPr>
        <w:t>吉木萨尔中等职业技术学校2024年中央现代职业教育质量提升计划资金</w:t>
      </w:r>
      <w:r>
        <w:rPr>
          <w:rFonts w:hint="default"/>
          <w:color w:val="auto"/>
          <w:lang w:val="en-US" w:eastAsia="zh-CN"/>
        </w:rPr>
        <w:t>项目</w:t>
      </w:r>
      <w:r>
        <w:rPr>
          <w:color w:val="auto"/>
        </w:rPr>
        <w:t>的绩效评价工作并形成绩效评价报告，</w:t>
      </w:r>
      <w:r>
        <w:rPr>
          <w:rFonts w:hint="default"/>
          <w:color w:val="auto"/>
          <w:lang w:eastAsia="zh-CN"/>
        </w:rPr>
        <w:t>吉木萨尔中等职业技术学校</w:t>
      </w:r>
      <w:r>
        <w:rPr>
          <w:color w:val="auto"/>
        </w:rPr>
        <w:t>负责提供与本次绩效评价相关的项目资料并保证项目资料的真实、合法、准确和完整，现将项目绩效评价情况报告如下：</w:t>
      </w:r>
    </w:p>
    <w:p w14:paraId="0A9A2B2C">
      <w:pPr>
        <w:pStyle w:val="2"/>
        <w:spacing w:line="360" w:lineRule="auto"/>
        <w:ind w:firstLine="482"/>
        <w:rPr>
          <w:rFonts w:ascii="Times New Roman" w:hAnsi="Times New Roman"/>
          <w:color w:val="auto"/>
        </w:rPr>
      </w:pPr>
      <w:bookmarkStart w:id="35" w:name="_Toc68364657"/>
      <w:bookmarkStart w:id="36" w:name="_Toc29309"/>
      <w:r>
        <w:rPr>
          <w:rFonts w:ascii="Times New Roman" w:hAnsi="Times New Roman"/>
          <w:color w:val="auto"/>
        </w:rPr>
        <w:t>一、基本情况</w:t>
      </w:r>
      <w:bookmarkEnd w:id="35"/>
      <w:bookmarkEnd w:id="36"/>
    </w:p>
    <w:p w14:paraId="21947658">
      <w:pPr>
        <w:pStyle w:val="3"/>
        <w:ind w:firstLine="482"/>
        <w:rPr>
          <w:rFonts w:ascii="Times New Roman" w:hAnsi="Times New Roman"/>
          <w:color w:val="auto"/>
        </w:rPr>
      </w:pPr>
      <w:bookmarkStart w:id="37" w:name="_Toc2950"/>
      <w:bookmarkStart w:id="38" w:name="_Toc25074"/>
      <w:bookmarkStart w:id="39" w:name="_Toc68364658"/>
      <w:r>
        <w:rPr>
          <w:rFonts w:ascii="Times New Roman" w:hAnsi="Times New Roman"/>
          <w:color w:val="auto"/>
        </w:rPr>
        <w:t>（一）项目</w:t>
      </w:r>
      <w:r>
        <w:rPr>
          <w:rFonts w:hint="default" w:ascii="Times New Roman" w:hAnsi="Times New Roman"/>
          <w:color w:val="auto"/>
        </w:rPr>
        <w:t>背景</w:t>
      </w:r>
      <w:bookmarkEnd w:id="37"/>
      <w:r>
        <w:rPr>
          <w:rFonts w:hint="default" w:ascii="Times New Roman" w:hAnsi="Times New Roman"/>
          <w:color w:val="auto"/>
        </w:rPr>
        <w:t>及立项</w:t>
      </w:r>
      <w:bookmarkEnd w:id="38"/>
    </w:p>
    <w:p w14:paraId="13B05A3A">
      <w:pPr>
        <w:widowControl/>
        <w:ind w:firstLine="422"/>
        <w:rPr>
          <w:b/>
          <w:bCs/>
          <w:color w:val="auto"/>
        </w:rPr>
      </w:pPr>
      <w:r>
        <w:rPr>
          <w:rFonts w:hint="default"/>
          <w:b/>
          <w:bCs/>
          <w:color w:val="auto"/>
        </w:rPr>
        <w:t>1.项目背景</w:t>
      </w:r>
    </w:p>
    <w:p w14:paraId="075DF71A">
      <w:pPr>
        <w:widowControl/>
        <w:ind w:firstLine="420"/>
        <w:rPr>
          <w:color w:val="auto"/>
        </w:rPr>
      </w:pPr>
      <w:r>
        <w:rPr>
          <w:color w:val="auto"/>
        </w:rPr>
        <w:t>改革开放以来，职业教育为我国经济社会发展提供了有力的人才和智力支撑，现代职业教育体系框架全面建成。为推动职业教育由规模扩张向提高质量转变，2019年1月24日，国务院正式印发《国家职业教育改革实施方案》，</w:t>
      </w:r>
      <w:r>
        <w:rPr>
          <w:rFonts w:hint="default"/>
          <w:color w:val="auto"/>
        </w:rPr>
        <w:t>提出</w:t>
      </w:r>
      <w:r>
        <w:rPr>
          <w:color w:val="auto"/>
        </w:rPr>
        <w:t>职业教育与普通教育是两种不同教育类型具有同等重要地位。《中华人民共和国国民经济和社会发展第十四个五年规划和2035年远景目标纲要》也进一步提出要突出职业技术（技工）教育类型特色，深入推进改革创新，优化结构与布局，大力培养技术技能人才；要促进创新办学模式，深化产教融合、校企合作，鼓励企业举办高质量职业技术教育，探索中国特色学徒制。</w:t>
      </w:r>
    </w:p>
    <w:p w14:paraId="15D34D36">
      <w:pPr>
        <w:widowControl/>
        <w:ind w:firstLine="420"/>
        <w:rPr>
          <w:color w:val="auto"/>
        </w:rPr>
      </w:pPr>
      <w:r>
        <w:rPr>
          <w:color w:val="auto"/>
        </w:rPr>
        <w:t>中共中央办公厅、国务院办公厅印发《关于推动现代职业教育高质量发展的意见》</w:t>
      </w:r>
      <w:r>
        <w:rPr>
          <w:rFonts w:hint="default"/>
          <w:color w:val="auto"/>
        </w:rPr>
        <w:t>，进一步</w:t>
      </w:r>
      <w:r>
        <w:rPr>
          <w:color w:val="auto"/>
        </w:rPr>
        <w:t>提出“到2025年，职业教育类型特色更加鲜明，现代职业教育体系基本建成，技能型社会建设全面推进”的目标要求，鼓励丰富职业学校办学形态，推动职业学校在企业设立实习实训基地、企业在职业学校建设培养培训基地。</w:t>
      </w:r>
    </w:p>
    <w:p w14:paraId="7E26C738">
      <w:pPr>
        <w:ind w:firstLine="420"/>
        <w:rPr>
          <w:rFonts w:hint="default"/>
          <w:color w:val="auto"/>
        </w:rPr>
      </w:pPr>
      <w:r>
        <w:rPr>
          <w:rFonts w:hint="default"/>
          <w:color w:val="auto"/>
          <w:lang w:eastAsia="zh-CN"/>
        </w:rPr>
        <w:t>吉木萨尔中等职业技术学校</w:t>
      </w:r>
      <w:r>
        <w:rPr>
          <w:color w:val="auto"/>
        </w:rPr>
        <w:t>现有</w:t>
      </w:r>
      <w:r>
        <w:rPr>
          <w:rFonts w:hint="default"/>
          <w:color w:val="auto"/>
          <w:lang w:val="en-US" w:eastAsia="zh-CN"/>
        </w:rPr>
        <w:t>化工和电商</w:t>
      </w:r>
      <w:r>
        <w:rPr>
          <w:color w:val="auto"/>
        </w:rPr>
        <w:t>实训室设备</w:t>
      </w:r>
      <w:r>
        <w:rPr>
          <w:rFonts w:hint="default"/>
          <w:color w:val="auto"/>
        </w:rPr>
        <w:t>简单、</w:t>
      </w:r>
      <w:r>
        <w:rPr>
          <w:color w:val="auto"/>
        </w:rPr>
        <w:t>单一，满足不了学生的实操训练需求，有部分实训课程无法开展。</w:t>
      </w:r>
      <w:r>
        <w:rPr>
          <w:rFonts w:hint="default"/>
          <w:color w:val="auto"/>
        </w:rPr>
        <w:t>基于政策要求，结合项目实际需求，</w:t>
      </w:r>
      <w:r>
        <w:rPr>
          <w:rFonts w:hint="default"/>
          <w:color w:val="auto"/>
          <w:lang w:eastAsia="zh-CN"/>
        </w:rPr>
        <w:t>吉木萨尔中等职业技术学校</w:t>
      </w:r>
      <w:r>
        <w:rPr>
          <w:rFonts w:hint="default"/>
          <w:color w:val="auto"/>
        </w:rPr>
        <w:t>申请开展</w:t>
      </w:r>
      <w:r>
        <w:rPr>
          <w:rFonts w:hint="default"/>
          <w:color w:val="auto"/>
          <w:lang w:eastAsia="zh-CN"/>
        </w:rPr>
        <w:t>2024</w:t>
      </w:r>
      <w:r>
        <w:rPr>
          <w:rFonts w:hint="default"/>
          <w:color w:val="auto"/>
        </w:rPr>
        <w:t>年现代职业教育质量提升项目。通过项目实施，提高学生的动手操作能力和专业技术水平，推进校企深度合作，不断改善提高教师队伍建设情况。</w:t>
      </w:r>
    </w:p>
    <w:p w14:paraId="482BE626">
      <w:pPr>
        <w:pageBreakBefore w:val="0"/>
        <w:widowControl w:val="0"/>
        <w:kinsoku/>
        <w:wordWrap/>
        <w:overflowPunct/>
        <w:topLinePunct w:val="0"/>
        <w:autoSpaceDE/>
        <w:autoSpaceDN/>
        <w:bidi w:val="0"/>
        <w:adjustRightInd w:val="0"/>
        <w:snapToGrid w:val="0"/>
        <w:spacing w:line="360" w:lineRule="auto"/>
        <w:textAlignment w:val="auto"/>
        <w:rPr>
          <w:rFonts w:hint="default"/>
          <w:b/>
          <w:bCs/>
          <w:color w:val="auto"/>
          <w:lang w:val="en-US" w:eastAsia="zh-CN"/>
        </w:rPr>
      </w:pPr>
      <w:r>
        <w:rPr>
          <w:rFonts w:hint="default"/>
          <w:b/>
          <w:bCs/>
          <w:color w:val="auto"/>
          <w:lang w:val="en-US" w:eastAsia="zh-CN"/>
        </w:rPr>
        <w:t>2</w:t>
      </w:r>
      <w:r>
        <w:rPr>
          <w:rFonts w:hint="default"/>
          <w:b/>
          <w:bCs/>
          <w:color w:val="auto"/>
        </w:rPr>
        <w:t>.</w:t>
      </w:r>
      <w:r>
        <w:rPr>
          <w:rFonts w:hint="default"/>
          <w:b/>
          <w:bCs/>
          <w:color w:val="auto"/>
          <w:lang w:val="en-US" w:eastAsia="zh-CN"/>
        </w:rPr>
        <w:t>项目基本情况</w:t>
      </w:r>
    </w:p>
    <w:p w14:paraId="091A64F1">
      <w:pPr>
        <w:ind w:firstLine="420"/>
        <w:rPr>
          <w:color w:val="auto"/>
        </w:rPr>
      </w:pPr>
      <w:r>
        <w:rPr>
          <w:color w:val="auto"/>
        </w:rPr>
        <w:t>项目名称：</w:t>
      </w:r>
      <w:r>
        <w:rPr>
          <w:rFonts w:hint="default"/>
          <w:color w:val="auto"/>
          <w:lang w:eastAsia="zh-CN"/>
        </w:rPr>
        <w:t>2024年中央现代职业教育质量提升计划资金</w:t>
      </w:r>
      <w:r>
        <w:rPr>
          <w:rFonts w:hint="default"/>
          <w:color w:val="auto"/>
          <w:lang w:val="en-US" w:eastAsia="zh-CN"/>
        </w:rPr>
        <w:t>项目</w:t>
      </w:r>
      <w:r>
        <w:rPr>
          <w:color w:val="auto"/>
        </w:rPr>
        <w:t>（以下简称</w:t>
      </w:r>
      <w:r>
        <w:rPr>
          <w:rFonts w:hint="default"/>
          <w:color w:val="auto"/>
        </w:rPr>
        <w:t>“</w:t>
      </w:r>
      <w:r>
        <w:rPr>
          <w:color w:val="auto"/>
        </w:rPr>
        <w:t>该项目</w:t>
      </w:r>
      <w:r>
        <w:rPr>
          <w:rFonts w:hint="default"/>
          <w:color w:val="auto"/>
        </w:rPr>
        <w:t>”</w:t>
      </w:r>
      <w:r>
        <w:rPr>
          <w:color w:val="auto"/>
        </w:rPr>
        <w:t>或</w:t>
      </w:r>
      <w:r>
        <w:rPr>
          <w:rFonts w:hint="default"/>
          <w:color w:val="auto"/>
        </w:rPr>
        <w:t>“</w:t>
      </w:r>
      <w:r>
        <w:rPr>
          <w:color w:val="auto"/>
        </w:rPr>
        <w:t>项目</w:t>
      </w:r>
      <w:r>
        <w:rPr>
          <w:rFonts w:hint="default"/>
          <w:color w:val="auto"/>
        </w:rPr>
        <w:t>”</w:t>
      </w:r>
      <w:r>
        <w:rPr>
          <w:color w:val="auto"/>
        </w:rPr>
        <w:t>）</w:t>
      </w:r>
    </w:p>
    <w:p w14:paraId="454F8C02">
      <w:pPr>
        <w:ind w:firstLine="420"/>
        <w:rPr>
          <w:rFonts w:hint="default" w:eastAsiaTheme="minorEastAsia"/>
          <w:color w:val="auto"/>
          <w:lang w:eastAsia="zh-CN"/>
        </w:rPr>
      </w:pPr>
      <w:r>
        <w:rPr>
          <w:color w:val="auto"/>
        </w:rPr>
        <w:t>项目</w:t>
      </w:r>
      <w:r>
        <w:rPr>
          <w:rFonts w:hint="default"/>
          <w:color w:val="auto"/>
        </w:rPr>
        <w:t>实施主体</w:t>
      </w:r>
      <w:r>
        <w:rPr>
          <w:color w:val="auto"/>
        </w:rPr>
        <w:t>：</w:t>
      </w:r>
      <w:r>
        <w:rPr>
          <w:rFonts w:hint="default"/>
          <w:color w:val="auto"/>
          <w:lang w:eastAsia="zh-CN"/>
        </w:rPr>
        <w:t>吉木萨尔中等职业技术学校</w:t>
      </w:r>
    </w:p>
    <w:p w14:paraId="768A2890">
      <w:pPr>
        <w:ind w:firstLine="420"/>
        <w:rPr>
          <w:color w:val="auto"/>
        </w:rPr>
      </w:pPr>
      <w:r>
        <w:rPr>
          <w:color w:val="auto"/>
          <w:lang w:eastAsia="zh-Hans"/>
        </w:rPr>
        <w:t>项目内容：</w:t>
      </w:r>
      <w:r>
        <w:rPr>
          <w:rFonts w:hint="default"/>
          <w:color w:val="auto"/>
          <w:lang w:val="en-US" w:eastAsia="zh-CN"/>
        </w:rPr>
        <w:t>一是为化工及化工安全实训</w:t>
      </w:r>
      <w:r>
        <w:rPr>
          <w:rFonts w:hint="default"/>
          <w:color w:val="auto"/>
          <w:lang w:eastAsia="zh-CN"/>
        </w:rPr>
        <w:t>基地</w:t>
      </w:r>
      <w:r>
        <w:rPr>
          <w:color w:val="auto"/>
          <w:lang w:eastAsia="zh-Hans"/>
        </w:rPr>
        <w:t>购置教学及实训所需的软件及硬件设备</w:t>
      </w:r>
      <w:r>
        <w:rPr>
          <w:rFonts w:hint="default"/>
          <w:color w:val="auto"/>
          <w:lang w:val="en-US" w:eastAsia="zh-CN"/>
        </w:rPr>
        <w:t>，二是为</w:t>
      </w:r>
      <w:r>
        <w:rPr>
          <w:rFonts w:hint="default"/>
          <w:color w:val="auto"/>
          <w:lang w:eastAsia="zh-CN"/>
        </w:rPr>
        <w:t>电商及直播运营实训基地</w:t>
      </w:r>
      <w:r>
        <w:rPr>
          <w:color w:val="auto"/>
          <w:lang w:eastAsia="zh-Hans"/>
        </w:rPr>
        <w:t>购置教学及实训所需的软件及硬件设备等。</w:t>
      </w:r>
    </w:p>
    <w:p w14:paraId="2C12C956">
      <w:pPr>
        <w:ind w:firstLine="420"/>
        <w:rPr>
          <w:color w:val="auto"/>
        </w:rPr>
      </w:pPr>
      <w:r>
        <w:rPr>
          <w:rFonts w:hint="default"/>
          <w:color w:val="auto"/>
        </w:rPr>
        <w:t>项目计划实施周期：</w:t>
      </w:r>
      <w:r>
        <w:rPr>
          <w:rFonts w:hint="default"/>
          <w:color w:val="auto"/>
          <w:lang w:eastAsia="zh-CN"/>
        </w:rPr>
        <w:t>2024</w:t>
      </w:r>
      <w:r>
        <w:rPr>
          <w:rFonts w:hint="default"/>
          <w:color w:val="auto"/>
        </w:rPr>
        <w:t>年1月-</w:t>
      </w:r>
      <w:r>
        <w:rPr>
          <w:rFonts w:hint="default"/>
          <w:color w:val="auto"/>
          <w:lang w:eastAsia="zh-CN"/>
        </w:rPr>
        <w:t>2024</w:t>
      </w:r>
      <w:r>
        <w:rPr>
          <w:rFonts w:hint="default"/>
          <w:color w:val="auto"/>
        </w:rPr>
        <w:t>年</w:t>
      </w:r>
      <w:r>
        <w:rPr>
          <w:rFonts w:hint="default"/>
          <w:color w:val="auto"/>
          <w:lang w:val="en-US" w:eastAsia="zh-CN"/>
        </w:rPr>
        <w:t>12</w:t>
      </w:r>
      <w:r>
        <w:rPr>
          <w:rFonts w:hint="default"/>
          <w:color w:val="auto"/>
        </w:rPr>
        <w:t>月</w:t>
      </w:r>
    </w:p>
    <w:p w14:paraId="4749D64B">
      <w:pPr>
        <w:pStyle w:val="3"/>
        <w:ind w:firstLine="482"/>
        <w:rPr>
          <w:rFonts w:ascii="Times New Roman" w:hAnsi="Times New Roman"/>
          <w:color w:val="auto"/>
        </w:rPr>
      </w:pPr>
      <w:bookmarkStart w:id="40" w:name="_Toc28499"/>
      <w:bookmarkStart w:id="41" w:name="_Toc4180"/>
      <w:r>
        <w:rPr>
          <w:rFonts w:ascii="Times New Roman" w:hAnsi="Times New Roman"/>
          <w:color w:val="auto"/>
        </w:rPr>
        <w:t>（</w:t>
      </w:r>
      <w:r>
        <w:rPr>
          <w:rFonts w:hint="default" w:ascii="Times New Roman" w:hAnsi="Times New Roman"/>
          <w:color w:val="auto"/>
          <w:lang w:val="en-US" w:eastAsia="zh-CN"/>
        </w:rPr>
        <w:t>二</w:t>
      </w:r>
      <w:r>
        <w:rPr>
          <w:rFonts w:ascii="Times New Roman" w:hAnsi="Times New Roman"/>
          <w:color w:val="auto"/>
        </w:rPr>
        <w:t>）项目资金投入和使用情况</w:t>
      </w:r>
      <w:bookmarkEnd w:id="40"/>
      <w:bookmarkEnd w:id="41"/>
    </w:p>
    <w:p w14:paraId="33665631">
      <w:pPr>
        <w:pageBreakBefore w:val="0"/>
        <w:widowControl w:val="0"/>
        <w:kinsoku/>
        <w:wordWrap/>
        <w:overflowPunct/>
        <w:topLinePunct w:val="0"/>
        <w:autoSpaceDE/>
        <w:autoSpaceDN/>
        <w:bidi w:val="0"/>
        <w:adjustRightInd w:val="0"/>
        <w:snapToGrid w:val="0"/>
        <w:spacing w:line="360" w:lineRule="auto"/>
        <w:textAlignment w:val="auto"/>
        <w:rPr>
          <w:rFonts w:hint="default"/>
          <w:b/>
          <w:bCs/>
          <w:color w:val="auto"/>
        </w:rPr>
      </w:pPr>
      <w:r>
        <w:rPr>
          <w:rFonts w:hint="default"/>
          <w:b/>
          <w:bCs/>
          <w:color w:val="auto"/>
        </w:rPr>
        <w:t>1.预算安排情况</w:t>
      </w:r>
    </w:p>
    <w:p w14:paraId="2D4A534F">
      <w:pPr>
        <w:ind w:firstLine="420"/>
        <w:rPr>
          <w:rFonts w:hint="default"/>
          <w:color w:val="auto"/>
          <w:lang w:eastAsia="zh-CN"/>
        </w:rPr>
      </w:pPr>
      <w:r>
        <w:rPr>
          <w:color w:val="auto"/>
        </w:rPr>
        <w:t>该项目预算资金总额为</w:t>
      </w:r>
      <w:r>
        <w:rPr>
          <w:rFonts w:hint="default"/>
          <w:color w:val="auto"/>
          <w:lang w:eastAsia="zh-CN"/>
        </w:rPr>
        <w:t>700</w:t>
      </w:r>
      <w:r>
        <w:rPr>
          <w:color w:val="auto"/>
        </w:rPr>
        <w:t>.00万元，</w:t>
      </w:r>
      <w:r>
        <w:rPr>
          <w:rFonts w:hint="default"/>
          <w:color w:val="auto"/>
        </w:rPr>
        <w:t>拟申请现代职业教育质量提升资金</w:t>
      </w:r>
      <w:r>
        <w:rPr>
          <w:rFonts w:hint="default"/>
          <w:color w:val="auto"/>
          <w:lang w:eastAsia="zh-CN"/>
        </w:rPr>
        <w:t>，</w:t>
      </w:r>
      <w:r>
        <w:rPr>
          <w:rFonts w:hint="default"/>
          <w:color w:val="auto"/>
          <w:lang w:val="en-US" w:eastAsia="zh-CN"/>
        </w:rPr>
        <w:t>其中：化工及化工安全实训基地建设预算资金500.00万元，电商及直播运营实训基地建设预算资金200.00万元</w:t>
      </w:r>
      <w:r>
        <w:rPr>
          <w:color w:val="auto"/>
        </w:rPr>
        <w:t>；</w:t>
      </w:r>
      <w:r>
        <w:rPr>
          <w:rFonts w:hint="default"/>
          <w:color w:val="auto"/>
          <w:lang w:eastAsia="zh-CN"/>
        </w:rPr>
        <w:t>2024</w:t>
      </w:r>
      <w:r>
        <w:rPr>
          <w:rFonts w:hint="default"/>
          <w:color w:val="auto"/>
        </w:rPr>
        <w:t>年度</w:t>
      </w:r>
      <w:r>
        <w:rPr>
          <w:color w:val="auto"/>
        </w:rPr>
        <w:t>实际到位</w:t>
      </w:r>
      <w:r>
        <w:rPr>
          <w:rFonts w:hint="default"/>
          <w:color w:val="auto"/>
        </w:rPr>
        <w:t>现代职业教育质量提升计划专项</w:t>
      </w:r>
      <w:r>
        <w:rPr>
          <w:color w:val="auto"/>
        </w:rPr>
        <w:t>资金</w:t>
      </w:r>
      <w:r>
        <w:rPr>
          <w:rFonts w:hint="default"/>
          <w:color w:val="auto"/>
          <w:lang w:eastAsia="zh-CN"/>
        </w:rPr>
        <w:t>700</w:t>
      </w:r>
      <w:r>
        <w:rPr>
          <w:color w:val="auto"/>
        </w:rPr>
        <w:t>.00万元，资金到位率为100.00%</w:t>
      </w:r>
      <w:r>
        <w:rPr>
          <w:rFonts w:hint="default"/>
          <w:color w:val="auto"/>
          <w:lang w:eastAsia="zh-CN"/>
        </w:rPr>
        <w:t>，</w:t>
      </w:r>
      <w:r>
        <w:rPr>
          <w:rFonts w:hint="default"/>
          <w:color w:val="auto"/>
          <w:lang w:val="en-US" w:eastAsia="zh-CN"/>
        </w:rPr>
        <w:t>其中：化工及化工安全实训基地建设资金到位500.00万元，电商及直播运营实训基地建设到位资金200.00万元</w:t>
      </w:r>
      <w:r>
        <w:rPr>
          <w:rFonts w:hint="default"/>
          <w:color w:val="auto"/>
          <w:lang w:eastAsia="zh-CN"/>
        </w:rPr>
        <w:t>。</w:t>
      </w:r>
    </w:p>
    <w:p w14:paraId="31999ACD">
      <w:pPr>
        <w:pageBreakBefore w:val="0"/>
        <w:widowControl w:val="0"/>
        <w:kinsoku/>
        <w:wordWrap/>
        <w:overflowPunct/>
        <w:topLinePunct w:val="0"/>
        <w:autoSpaceDE/>
        <w:autoSpaceDN/>
        <w:bidi w:val="0"/>
        <w:adjustRightInd w:val="0"/>
        <w:snapToGrid w:val="0"/>
        <w:spacing w:line="360" w:lineRule="auto"/>
        <w:textAlignment w:val="auto"/>
        <w:rPr>
          <w:rFonts w:hint="default"/>
          <w:b/>
          <w:bCs/>
          <w:color w:val="auto"/>
        </w:rPr>
      </w:pPr>
      <w:r>
        <w:rPr>
          <w:rFonts w:hint="default"/>
          <w:b/>
          <w:bCs/>
          <w:color w:val="auto"/>
          <w:lang w:val="en-US" w:eastAsia="zh-CN"/>
        </w:rPr>
        <w:t>2.</w:t>
      </w:r>
      <w:r>
        <w:rPr>
          <w:rFonts w:hint="default"/>
          <w:b/>
          <w:bCs/>
          <w:color w:val="auto"/>
        </w:rPr>
        <w:t>资金到位及使用情况</w:t>
      </w:r>
    </w:p>
    <w:p w14:paraId="23406464">
      <w:pPr>
        <w:ind w:firstLine="420"/>
        <w:rPr>
          <w:rFonts w:hint="default"/>
          <w:color w:val="auto"/>
          <w:lang w:val="en-US" w:eastAsia="zh-CN"/>
        </w:rPr>
      </w:pPr>
      <w:r>
        <w:rPr>
          <w:rFonts w:hint="default"/>
          <w:color w:val="auto"/>
          <w:lang w:val="en-US" w:eastAsia="zh-CN"/>
        </w:rPr>
        <w:t>昌吉回族自治州财政局下发《关于提前下达 2024 年中央现代职业教育质量提升计划资金预算的通知》（昌州财教〔2023〕103号），分配下达吉木萨尔中等职业技术学校2024年现代职业教育质量提升计划资金700.00万元</w:t>
      </w:r>
      <w:r>
        <w:rPr>
          <w:rFonts w:hint="eastAsia"/>
          <w:color w:val="auto"/>
          <w:lang w:val="en-US" w:eastAsia="zh-CN"/>
        </w:rPr>
        <w:t>。</w:t>
      </w:r>
    </w:p>
    <w:p w14:paraId="2678B42A">
      <w:pPr>
        <w:ind w:firstLine="420"/>
        <w:rPr>
          <w:color w:val="auto"/>
        </w:rPr>
      </w:pPr>
      <w:r>
        <w:rPr>
          <w:rFonts w:hint="default"/>
          <w:color w:val="auto"/>
          <w:lang w:val="en-US" w:eastAsia="zh-CN"/>
        </w:rPr>
        <w:t>截至</w:t>
      </w:r>
      <w:r>
        <w:rPr>
          <w:rFonts w:hint="default"/>
          <w:color w:val="auto"/>
          <w:lang w:eastAsia="zh-CN"/>
        </w:rPr>
        <w:t>202</w:t>
      </w:r>
      <w:r>
        <w:rPr>
          <w:rFonts w:hint="default"/>
          <w:color w:val="auto"/>
          <w:lang w:val="en-US" w:eastAsia="zh-CN"/>
        </w:rPr>
        <w:t>5</w:t>
      </w:r>
      <w:r>
        <w:rPr>
          <w:rFonts w:hint="default"/>
          <w:color w:val="auto"/>
        </w:rPr>
        <w:t>年</w:t>
      </w:r>
      <w:r>
        <w:rPr>
          <w:rFonts w:hint="default"/>
          <w:color w:val="auto"/>
          <w:lang w:val="en-US" w:eastAsia="zh-CN"/>
        </w:rPr>
        <w:t>5月31日，项目资金</w:t>
      </w:r>
      <w:r>
        <w:rPr>
          <w:color w:val="auto"/>
        </w:rPr>
        <w:t>实际支出</w:t>
      </w:r>
      <w:r>
        <w:rPr>
          <w:rFonts w:hint="default"/>
          <w:color w:val="auto"/>
          <w:lang w:val="en-US" w:eastAsia="zh-CN"/>
        </w:rPr>
        <w:t>700.00</w:t>
      </w:r>
      <w:r>
        <w:rPr>
          <w:color w:val="auto"/>
        </w:rPr>
        <w:t>万元，预算资金执行率为</w:t>
      </w:r>
      <w:r>
        <w:rPr>
          <w:rFonts w:hint="default"/>
          <w:color w:val="auto"/>
          <w:lang w:val="en-US" w:eastAsia="zh-CN"/>
        </w:rPr>
        <w:t>100.00</w:t>
      </w:r>
      <w:r>
        <w:rPr>
          <w:color w:val="auto"/>
        </w:rPr>
        <w:t>%</w:t>
      </w:r>
      <w:r>
        <w:rPr>
          <w:rFonts w:hint="default"/>
          <w:color w:val="auto"/>
          <w:lang w:eastAsia="zh-CN"/>
        </w:rPr>
        <w:t>，</w:t>
      </w:r>
      <w:r>
        <w:rPr>
          <w:rFonts w:hint="default"/>
          <w:color w:val="auto"/>
          <w:lang w:val="en-US" w:eastAsia="zh-CN"/>
        </w:rPr>
        <w:t>其中：化工及化工安全实训基地建设支出500.00万元，电商及直播运营实训基地建设支出200.00万元</w:t>
      </w:r>
      <w:r>
        <w:rPr>
          <w:color w:val="auto"/>
        </w:rPr>
        <w:t>。资金支出明细详见</w:t>
      </w:r>
      <w:r>
        <w:rPr>
          <w:rFonts w:hint="default"/>
          <w:color w:val="auto"/>
        </w:rPr>
        <w:t>下表</w:t>
      </w:r>
      <w:r>
        <w:rPr>
          <w:color w:val="auto"/>
        </w:rPr>
        <w:t>。</w:t>
      </w:r>
    </w:p>
    <w:p w14:paraId="254070CE">
      <w:pPr>
        <w:ind w:firstLine="420"/>
        <w:jc w:val="center"/>
        <w:rPr>
          <w:rFonts w:ascii="Times New Roman" w:hAnsi="Times New Roman" w:eastAsia="黑体" w:cs="Times New Roman"/>
          <w:color w:val="auto"/>
        </w:rPr>
      </w:pPr>
      <w:r>
        <w:rPr>
          <w:rFonts w:hint="default" w:ascii="Times New Roman" w:hAnsi="Times New Roman" w:eastAsia="黑体" w:cs="Times New Roman"/>
          <w:color w:val="auto"/>
        </w:rPr>
        <w:t>表1-1</w:t>
      </w:r>
      <w:r>
        <w:rPr>
          <w:rFonts w:hint="eastAsia" w:eastAsia="黑体" w:cs="Times New Roman"/>
          <w:color w:val="auto"/>
          <w:lang w:eastAsia="zh-CN"/>
        </w:rPr>
        <w:t>:</w:t>
      </w:r>
      <w:r>
        <w:rPr>
          <w:rFonts w:hint="default" w:ascii="Times New Roman" w:hAnsi="Times New Roman" w:eastAsia="黑体" w:cs="Times New Roman"/>
          <w:color w:val="auto"/>
          <w:lang w:eastAsia="zh-CN"/>
        </w:rPr>
        <w:t>2024年中央现代职业教育质量提升计划资金</w:t>
      </w:r>
      <w:r>
        <w:rPr>
          <w:rFonts w:hint="default" w:ascii="Times New Roman" w:hAnsi="Times New Roman" w:eastAsia="黑体" w:cs="Times New Roman"/>
          <w:color w:val="auto"/>
          <w:lang w:val="en-US" w:eastAsia="zh-CN"/>
        </w:rPr>
        <w:t>项目</w:t>
      </w:r>
      <w:r>
        <w:rPr>
          <w:rFonts w:hint="default" w:ascii="Times New Roman" w:hAnsi="Times New Roman" w:eastAsia="黑体" w:cs="Times New Roman"/>
          <w:color w:val="auto"/>
        </w:rPr>
        <w:t>支出明细表</w:t>
      </w:r>
    </w:p>
    <w:p w14:paraId="27136E7E">
      <w:pPr>
        <w:ind w:firstLine="420"/>
        <w:jc w:val="right"/>
        <w:rPr>
          <w:color w:val="auto"/>
        </w:rPr>
      </w:pPr>
      <w:r>
        <w:rPr>
          <w:rFonts w:hint="default"/>
          <w:color w:val="auto"/>
        </w:rPr>
        <w:t>单位：万元</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618"/>
        <w:gridCol w:w="2390"/>
        <w:gridCol w:w="1853"/>
        <w:gridCol w:w="1020"/>
        <w:gridCol w:w="1421"/>
        <w:gridCol w:w="1220"/>
      </w:tblGrid>
      <w:tr w14:paraId="69E53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95" w:hRule="atLeast"/>
        </w:trPr>
        <w:tc>
          <w:tcPr>
            <w:tcW w:w="0" w:type="auto"/>
            <w:shd w:val="clear" w:color="auto" w:fill="auto"/>
            <w:noWrap/>
            <w:vAlign w:val="center"/>
          </w:tcPr>
          <w:p w14:paraId="0F769BC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序号</w:t>
            </w:r>
          </w:p>
        </w:tc>
        <w:tc>
          <w:tcPr>
            <w:tcW w:w="0" w:type="auto"/>
            <w:shd w:val="clear" w:color="auto" w:fill="auto"/>
            <w:noWrap/>
            <w:vAlign w:val="center"/>
          </w:tcPr>
          <w:p w14:paraId="0C390B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合同或费用类别</w:t>
            </w:r>
          </w:p>
        </w:tc>
        <w:tc>
          <w:tcPr>
            <w:tcW w:w="0" w:type="auto"/>
            <w:shd w:val="clear" w:color="auto" w:fill="auto"/>
            <w:noWrap/>
            <w:vAlign w:val="center"/>
          </w:tcPr>
          <w:p w14:paraId="0F0E53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收款单位名称</w:t>
            </w:r>
          </w:p>
        </w:tc>
        <w:tc>
          <w:tcPr>
            <w:tcW w:w="0" w:type="auto"/>
            <w:shd w:val="clear" w:color="auto" w:fill="auto"/>
            <w:noWrap/>
            <w:vAlign w:val="center"/>
          </w:tcPr>
          <w:p w14:paraId="1E0B95A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合同金额</w:t>
            </w:r>
          </w:p>
        </w:tc>
        <w:tc>
          <w:tcPr>
            <w:tcW w:w="0" w:type="auto"/>
            <w:shd w:val="clear" w:color="auto" w:fill="auto"/>
            <w:noWrap/>
            <w:vAlign w:val="center"/>
          </w:tcPr>
          <w:p w14:paraId="7D951D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实际支出金额</w:t>
            </w:r>
          </w:p>
        </w:tc>
        <w:tc>
          <w:tcPr>
            <w:tcW w:w="0" w:type="auto"/>
            <w:shd w:val="clear" w:color="auto" w:fill="auto"/>
            <w:noWrap/>
            <w:vAlign w:val="center"/>
          </w:tcPr>
          <w:p w14:paraId="1FE08D1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资金支付率</w:t>
            </w:r>
          </w:p>
        </w:tc>
      </w:tr>
      <w:tr w14:paraId="7B495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0" w:hRule="atLeast"/>
        </w:trPr>
        <w:tc>
          <w:tcPr>
            <w:tcW w:w="0" w:type="auto"/>
            <w:shd w:val="clear" w:color="auto" w:fill="auto"/>
            <w:noWrap/>
            <w:vAlign w:val="center"/>
          </w:tcPr>
          <w:p w14:paraId="451D524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1</w:t>
            </w:r>
          </w:p>
        </w:tc>
        <w:tc>
          <w:tcPr>
            <w:tcW w:w="0" w:type="auto"/>
            <w:shd w:val="clear" w:color="auto" w:fill="auto"/>
            <w:vAlign w:val="center"/>
          </w:tcPr>
          <w:p w14:paraId="69D228A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化工及化工安全实训设备采购项目</w:t>
            </w:r>
          </w:p>
        </w:tc>
        <w:tc>
          <w:tcPr>
            <w:tcW w:w="0" w:type="auto"/>
            <w:shd w:val="clear" w:color="auto" w:fill="auto"/>
            <w:vAlign w:val="center"/>
          </w:tcPr>
          <w:p w14:paraId="00E3E1A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天津市睿智天成科技发展有限公司</w:t>
            </w:r>
          </w:p>
        </w:tc>
        <w:tc>
          <w:tcPr>
            <w:tcW w:w="0" w:type="auto"/>
            <w:shd w:val="clear" w:color="auto" w:fill="auto"/>
            <w:noWrap/>
            <w:vAlign w:val="center"/>
          </w:tcPr>
          <w:p w14:paraId="5CDEA7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428.60 </w:t>
            </w:r>
          </w:p>
        </w:tc>
        <w:tc>
          <w:tcPr>
            <w:tcW w:w="0" w:type="auto"/>
            <w:shd w:val="clear" w:color="auto" w:fill="auto"/>
            <w:noWrap/>
            <w:vAlign w:val="center"/>
          </w:tcPr>
          <w:p w14:paraId="33DCAF5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428.60 </w:t>
            </w:r>
          </w:p>
        </w:tc>
        <w:tc>
          <w:tcPr>
            <w:tcW w:w="0" w:type="auto"/>
            <w:shd w:val="clear" w:color="auto" w:fill="auto"/>
            <w:noWrap/>
            <w:vAlign w:val="center"/>
          </w:tcPr>
          <w:p w14:paraId="1364FE8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64FFB2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0" w:type="auto"/>
            <w:shd w:val="clear" w:color="auto" w:fill="auto"/>
            <w:noWrap/>
            <w:vAlign w:val="center"/>
          </w:tcPr>
          <w:p w14:paraId="7C9838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2</w:t>
            </w:r>
          </w:p>
        </w:tc>
        <w:tc>
          <w:tcPr>
            <w:tcW w:w="0" w:type="auto"/>
            <w:shd w:val="clear" w:color="auto" w:fill="auto"/>
            <w:vAlign w:val="center"/>
          </w:tcPr>
          <w:p w14:paraId="1CDDB4F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化工及化工安装实训基地建设项目补充采购设备项目</w:t>
            </w:r>
          </w:p>
        </w:tc>
        <w:tc>
          <w:tcPr>
            <w:tcW w:w="0" w:type="auto"/>
            <w:shd w:val="clear" w:color="auto" w:fill="auto"/>
            <w:vAlign w:val="center"/>
          </w:tcPr>
          <w:p w14:paraId="2FC1DA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新疆新诺睿博科教设备有限公司</w:t>
            </w:r>
          </w:p>
        </w:tc>
        <w:tc>
          <w:tcPr>
            <w:tcW w:w="0" w:type="auto"/>
            <w:shd w:val="clear" w:color="auto" w:fill="auto"/>
            <w:noWrap/>
            <w:vAlign w:val="center"/>
          </w:tcPr>
          <w:p w14:paraId="70DAE0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67.80 </w:t>
            </w:r>
          </w:p>
        </w:tc>
        <w:tc>
          <w:tcPr>
            <w:tcW w:w="0" w:type="auto"/>
            <w:shd w:val="clear" w:color="auto" w:fill="auto"/>
            <w:noWrap/>
            <w:vAlign w:val="center"/>
          </w:tcPr>
          <w:p w14:paraId="1EB777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67.80 </w:t>
            </w:r>
          </w:p>
        </w:tc>
        <w:tc>
          <w:tcPr>
            <w:tcW w:w="0" w:type="auto"/>
            <w:shd w:val="clear" w:color="auto" w:fill="auto"/>
            <w:noWrap/>
            <w:vAlign w:val="center"/>
          </w:tcPr>
          <w:p w14:paraId="1E4A21C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AF31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0" w:type="auto"/>
            <w:shd w:val="clear" w:color="auto" w:fill="auto"/>
            <w:noWrap/>
            <w:vAlign w:val="center"/>
          </w:tcPr>
          <w:p w14:paraId="4268A65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3</w:t>
            </w:r>
          </w:p>
        </w:tc>
        <w:tc>
          <w:tcPr>
            <w:tcW w:w="0" w:type="auto"/>
            <w:shd w:val="clear" w:color="auto" w:fill="auto"/>
            <w:vAlign w:val="center"/>
          </w:tcPr>
          <w:p w14:paraId="313AE88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化工及化工安装实训基地建设项目补充采购设备项目</w:t>
            </w:r>
          </w:p>
        </w:tc>
        <w:tc>
          <w:tcPr>
            <w:tcW w:w="0" w:type="auto"/>
            <w:shd w:val="clear" w:color="auto" w:fill="auto"/>
            <w:vAlign w:val="center"/>
          </w:tcPr>
          <w:p w14:paraId="6834995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昌吉市诺诚科教设备经销部</w:t>
            </w:r>
          </w:p>
        </w:tc>
        <w:tc>
          <w:tcPr>
            <w:tcW w:w="0" w:type="auto"/>
            <w:shd w:val="clear" w:color="auto" w:fill="auto"/>
            <w:noWrap/>
            <w:vAlign w:val="center"/>
          </w:tcPr>
          <w:p w14:paraId="3ADB74E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3.60 </w:t>
            </w:r>
          </w:p>
        </w:tc>
        <w:tc>
          <w:tcPr>
            <w:tcW w:w="0" w:type="auto"/>
            <w:shd w:val="clear" w:color="auto" w:fill="auto"/>
            <w:noWrap/>
            <w:vAlign w:val="center"/>
          </w:tcPr>
          <w:p w14:paraId="7D9D41C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3.60 </w:t>
            </w:r>
          </w:p>
        </w:tc>
        <w:tc>
          <w:tcPr>
            <w:tcW w:w="0" w:type="auto"/>
            <w:shd w:val="clear" w:color="auto" w:fill="auto"/>
            <w:noWrap/>
            <w:vAlign w:val="center"/>
          </w:tcPr>
          <w:p w14:paraId="52AD9C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5A8F4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0" w:type="auto"/>
            <w:shd w:val="clear" w:color="auto" w:fill="auto"/>
            <w:noWrap/>
            <w:vAlign w:val="center"/>
          </w:tcPr>
          <w:p w14:paraId="46B9530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4</w:t>
            </w:r>
          </w:p>
        </w:tc>
        <w:tc>
          <w:tcPr>
            <w:tcW w:w="0" w:type="auto"/>
            <w:shd w:val="clear" w:color="auto" w:fill="auto"/>
            <w:vAlign w:val="center"/>
          </w:tcPr>
          <w:p w14:paraId="3922C7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电商及直播设备实训设备采购项目</w:t>
            </w:r>
          </w:p>
        </w:tc>
        <w:tc>
          <w:tcPr>
            <w:tcW w:w="0" w:type="auto"/>
            <w:shd w:val="clear" w:color="auto" w:fill="auto"/>
            <w:vAlign w:val="center"/>
          </w:tcPr>
          <w:p w14:paraId="5F2B93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新疆金鸿瑞科教设备有限公司</w:t>
            </w:r>
          </w:p>
        </w:tc>
        <w:tc>
          <w:tcPr>
            <w:tcW w:w="0" w:type="auto"/>
            <w:shd w:val="clear" w:color="auto" w:fill="auto"/>
            <w:noWrap/>
            <w:vAlign w:val="center"/>
          </w:tcPr>
          <w:p w14:paraId="15214F2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182.745 </w:t>
            </w:r>
          </w:p>
        </w:tc>
        <w:tc>
          <w:tcPr>
            <w:tcW w:w="0" w:type="auto"/>
            <w:shd w:val="clear" w:color="auto" w:fill="auto"/>
            <w:noWrap/>
            <w:vAlign w:val="center"/>
          </w:tcPr>
          <w:p w14:paraId="200D50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182.745 </w:t>
            </w:r>
          </w:p>
        </w:tc>
        <w:tc>
          <w:tcPr>
            <w:tcW w:w="0" w:type="auto"/>
            <w:shd w:val="clear" w:color="auto" w:fill="auto"/>
            <w:noWrap/>
            <w:vAlign w:val="center"/>
          </w:tcPr>
          <w:p w14:paraId="3CE907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749E44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atLeast"/>
        </w:trPr>
        <w:tc>
          <w:tcPr>
            <w:tcW w:w="0" w:type="auto"/>
            <w:shd w:val="clear" w:color="auto" w:fill="auto"/>
            <w:noWrap/>
            <w:vAlign w:val="center"/>
          </w:tcPr>
          <w:p w14:paraId="075501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5</w:t>
            </w:r>
          </w:p>
        </w:tc>
        <w:tc>
          <w:tcPr>
            <w:tcW w:w="0" w:type="auto"/>
            <w:shd w:val="clear" w:color="auto" w:fill="auto"/>
            <w:vAlign w:val="center"/>
          </w:tcPr>
          <w:p w14:paraId="4CEA47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电商及直播设备实训设备采购项目网上超市合同</w:t>
            </w:r>
          </w:p>
        </w:tc>
        <w:tc>
          <w:tcPr>
            <w:tcW w:w="0" w:type="auto"/>
            <w:shd w:val="clear" w:color="auto" w:fill="auto"/>
            <w:vAlign w:val="center"/>
          </w:tcPr>
          <w:p w14:paraId="16706FE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auto"/>
                <w:kern w:val="0"/>
                <w:sz w:val="20"/>
                <w:szCs w:val="20"/>
                <w:u w:val="none"/>
                <w:lang w:val="en-US" w:eastAsia="zh-CN" w:bidi="ar"/>
              </w:rPr>
              <w:t>新疆盯云智能科技有限公司</w:t>
            </w:r>
          </w:p>
        </w:tc>
        <w:tc>
          <w:tcPr>
            <w:tcW w:w="0" w:type="auto"/>
            <w:shd w:val="clear" w:color="auto" w:fill="auto"/>
            <w:noWrap/>
            <w:vAlign w:val="center"/>
          </w:tcPr>
          <w:p w14:paraId="2E3380A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17.255 </w:t>
            </w:r>
          </w:p>
        </w:tc>
        <w:tc>
          <w:tcPr>
            <w:tcW w:w="0" w:type="auto"/>
            <w:shd w:val="clear" w:color="auto" w:fill="auto"/>
            <w:noWrap/>
            <w:vAlign w:val="center"/>
          </w:tcPr>
          <w:p w14:paraId="083314C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0"/>
                <w:szCs w:val="20"/>
                <w:highlight w:val="yellow"/>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17.255 </w:t>
            </w:r>
          </w:p>
        </w:tc>
        <w:tc>
          <w:tcPr>
            <w:tcW w:w="0" w:type="auto"/>
            <w:shd w:val="clear" w:color="auto" w:fill="auto"/>
            <w:noWrap/>
            <w:vAlign w:val="center"/>
          </w:tcPr>
          <w:p w14:paraId="3EF48D1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576E6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0" w:type="auto"/>
            <w:gridSpan w:val="3"/>
            <w:shd w:val="clear" w:color="auto" w:fill="auto"/>
            <w:noWrap/>
            <w:vAlign w:val="center"/>
          </w:tcPr>
          <w:p w14:paraId="047F880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auto"/>
                <w:kern w:val="0"/>
                <w:sz w:val="20"/>
                <w:szCs w:val="20"/>
                <w:u w:val="none"/>
                <w:lang w:val="en-US" w:eastAsia="zh-CN" w:bidi="ar"/>
              </w:rPr>
              <w:t>共计</w:t>
            </w:r>
          </w:p>
        </w:tc>
        <w:tc>
          <w:tcPr>
            <w:tcW w:w="0" w:type="auto"/>
            <w:shd w:val="clear" w:color="auto" w:fill="auto"/>
            <w:noWrap/>
            <w:vAlign w:val="center"/>
          </w:tcPr>
          <w:p w14:paraId="2A128AA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 700.00 </w:t>
            </w:r>
          </w:p>
        </w:tc>
        <w:tc>
          <w:tcPr>
            <w:tcW w:w="0" w:type="auto"/>
            <w:shd w:val="clear" w:color="auto" w:fill="auto"/>
            <w:noWrap/>
            <w:vAlign w:val="center"/>
          </w:tcPr>
          <w:p w14:paraId="2590506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 700.00 </w:t>
            </w:r>
          </w:p>
        </w:tc>
        <w:tc>
          <w:tcPr>
            <w:tcW w:w="0" w:type="auto"/>
            <w:shd w:val="clear" w:color="auto" w:fill="auto"/>
            <w:noWrap/>
            <w:vAlign w:val="center"/>
          </w:tcPr>
          <w:p w14:paraId="05C13B0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100.00%</w:t>
            </w:r>
          </w:p>
        </w:tc>
      </w:tr>
    </w:tbl>
    <w:p w14:paraId="68BC9EF0">
      <w:pPr>
        <w:rPr>
          <w:rFonts w:hint="default"/>
        </w:rPr>
      </w:pPr>
    </w:p>
    <w:p w14:paraId="2F88D02A">
      <w:pPr>
        <w:pStyle w:val="3"/>
        <w:ind w:firstLine="482"/>
        <w:rPr>
          <w:rFonts w:ascii="Times New Roman" w:hAnsi="Times New Roman"/>
          <w:color w:val="auto"/>
        </w:rPr>
      </w:pPr>
      <w:bookmarkStart w:id="42" w:name="_Toc5280"/>
      <w:r>
        <w:rPr>
          <w:rFonts w:hint="default" w:ascii="Times New Roman" w:hAnsi="Times New Roman"/>
          <w:color w:val="auto"/>
        </w:rPr>
        <w:t>（</w:t>
      </w:r>
      <w:r>
        <w:rPr>
          <w:rFonts w:hint="default" w:ascii="Times New Roman" w:hAnsi="Times New Roman"/>
          <w:color w:val="auto"/>
          <w:lang w:val="en-US" w:eastAsia="zh-CN"/>
        </w:rPr>
        <w:t>三</w:t>
      </w:r>
      <w:r>
        <w:rPr>
          <w:rFonts w:hint="default" w:ascii="Times New Roman" w:hAnsi="Times New Roman"/>
          <w:color w:val="auto"/>
        </w:rPr>
        <w:t>）</w:t>
      </w:r>
      <w:r>
        <w:rPr>
          <w:rFonts w:ascii="Times New Roman" w:hAnsi="Times New Roman"/>
          <w:color w:val="auto"/>
        </w:rPr>
        <w:t>项目</w:t>
      </w:r>
      <w:r>
        <w:rPr>
          <w:rFonts w:hint="default" w:ascii="Times New Roman" w:hAnsi="Times New Roman"/>
          <w:color w:val="auto"/>
          <w:lang w:val="en-US" w:eastAsia="zh-CN"/>
        </w:rPr>
        <w:t>组织实施</w:t>
      </w:r>
      <w:r>
        <w:rPr>
          <w:rFonts w:ascii="Times New Roman" w:hAnsi="Times New Roman"/>
          <w:color w:val="auto"/>
        </w:rPr>
        <w:t>情况</w:t>
      </w:r>
      <w:bookmarkEnd w:id="42"/>
    </w:p>
    <w:p w14:paraId="55373B4F">
      <w:pPr>
        <w:pStyle w:val="4"/>
        <w:ind w:firstLine="422"/>
        <w:rPr>
          <w:rFonts w:ascii="Times New Roman" w:hAnsi="Times New Roman"/>
          <w:color w:val="auto"/>
        </w:rPr>
      </w:pPr>
      <w:bookmarkStart w:id="43" w:name="_Toc10993"/>
      <w:r>
        <w:rPr>
          <w:rFonts w:hint="default" w:ascii="Times New Roman" w:hAnsi="Times New Roman"/>
          <w:color w:val="auto"/>
          <w:lang w:val="en-US" w:eastAsia="zh-CN"/>
        </w:rPr>
        <w:t>1</w:t>
      </w:r>
      <w:r>
        <w:rPr>
          <w:rFonts w:ascii="Times New Roman" w:hAnsi="Times New Roman"/>
          <w:color w:val="auto"/>
        </w:rPr>
        <w:t>.项目组织情况</w:t>
      </w:r>
    </w:p>
    <w:p w14:paraId="381BECEA">
      <w:pPr>
        <w:ind w:firstLine="420"/>
        <w:rPr>
          <w:rFonts w:hint="default"/>
          <w:color w:val="auto"/>
          <w:lang w:eastAsia="zh-CN"/>
        </w:rPr>
      </w:pPr>
      <w:r>
        <w:rPr>
          <w:color w:val="auto"/>
        </w:rPr>
        <w:t>项目实施单位</w:t>
      </w:r>
      <w:r>
        <w:rPr>
          <w:rFonts w:hint="default"/>
          <w:color w:val="auto"/>
          <w:lang w:val="en-US" w:eastAsia="zh-CN"/>
        </w:rPr>
        <w:t>为</w:t>
      </w:r>
      <w:r>
        <w:rPr>
          <w:rFonts w:hint="default"/>
          <w:color w:val="auto"/>
        </w:rPr>
        <w:t>吉木萨尔中等职业技术学校</w:t>
      </w:r>
      <w:r>
        <w:rPr>
          <w:rFonts w:hint="default"/>
          <w:color w:val="auto"/>
          <w:lang w:eastAsia="zh-CN"/>
        </w:rPr>
        <w:t>。</w:t>
      </w:r>
      <w:r>
        <w:rPr>
          <w:rFonts w:hint="default"/>
          <w:color w:val="auto"/>
          <w:lang w:val="en-US" w:eastAsia="zh-CN"/>
        </w:rPr>
        <w:t>项目实施前</w:t>
      </w:r>
      <w:r>
        <w:rPr>
          <w:rFonts w:hint="default"/>
          <w:color w:val="auto"/>
        </w:rPr>
        <w:t>，</w:t>
      </w:r>
      <w:r>
        <w:rPr>
          <w:rFonts w:hint="default"/>
          <w:color w:val="auto"/>
          <w:lang w:val="en-US" w:eastAsia="zh-CN"/>
        </w:rPr>
        <w:t>项目实施单位</w:t>
      </w:r>
      <w:r>
        <w:rPr>
          <w:rFonts w:hint="default"/>
          <w:color w:val="auto"/>
        </w:rPr>
        <w:t>成立</w:t>
      </w:r>
      <w:r>
        <w:rPr>
          <w:rFonts w:hint="default"/>
          <w:color w:val="auto"/>
          <w:lang w:eastAsia="zh-CN"/>
        </w:rPr>
        <w:t>了</w:t>
      </w:r>
      <w:r>
        <w:rPr>
          <w:rFonts w:hint="default"/>
          <w:color w:val="auto"/>
        </w:rPr>
        <w:t>吉木萨尔中等职业技术学校化学工艺专业实训基地建设领导小组</w:t>
      </w:r>
      <w:r>
        <w:rPr>
          <w:rFonts w:hint="default"/>
          <w:color w:val="auto"/>
          <w:lang w:eastAsia="zh-CN"/>
        </w:rPr>
        <w:t>，由学校领导、行政办、教务处、总务处</w:t>
      </w:r>
      <w:r>
        <w:rPr>
          <w:rFonts w:hint="default"/>
          <w:color w:val="auto"/>
          <w:lang w:val="en-US" w:eastAsia="zh-CN"/>
        </w:rPr>
        <w:t>等</w:t>
      </w:r>
      <w:r>
        <w:rPr>
          <w:rFonts w:hint="default"/>
          <w:color w:val="auto"/>
          <w:lang w:eastAsia="zh-CN"/>
        </w:rPr>
        <w:t>组成，</w:t>
      </w:r>
      <w:r>
        <w:rPr>
          <w:rFonts w:hint="default"/>
          <w:color w:val="auto"/>
          <w:lang w:val="en-US" w:eastAsia="zh-CN"/>
        </w:rPr>
        <w:t>设组织1名，副组织2名，组员3名</w:t>
      </w:r>
      <w:r>
        <w:rPr>
          <w:rFonts w:hint="default"/>
          <w:color w:val="auto"/>
          <w:lang w:eastAsia="zh-CN"/>
        </w:rPr>
        <w:t>，</w:t>
      </w:r>
      <w:r>
        <w:rPr>
          <w:rFonts w:hint="default"/>
          <w:color w:val="auto"/>
        </w:rPr>
        <w:t>主要职责</w:t>
      </w:r>
      <w:r>
        <w:rPr>
          <w:rFonts w:hint="default"/>
          <w:color w:val="auto"/>
          <w:lang w:eastAsia="zh-CN"/>
        </w:rPr>
        <w:t>：</w:t>
      </w:r>
      <w:r>
        <w:rPr>
          <w:rFonts w:hint="default"/>
          <w:color w:val="auto"/>
        </w:rPr>
        <w:t>对项目建设目标、任务、内容、资金分配及人员调配等重大事项进行审定和决策</w:t>
      </w:r>
      <w:r>
        <w:rPr>
          <w:rFonts w:hint="default"/>
          <w:color w:val="auto"/>
          <w:lang w:eastAsia="zh-CN"/>
        </w:rPr>
        <w:t>；</w:t>
      </w:r>
      <w:r>
        <w:rPr>
          <w:rFonts w:hint="default"/>
          <w:color w:val="auto"/>
        </w:rPr>
        <w:t>组织领导项目的实施、协调、监督、评估和验收</w:t>
      </w:r>
      <w:r>
        <w:rPr>
          <w:rFonts w:hint="default"/>
          <w:color w:val="auto"/>
          <w:lang w:eastAsia="zh-CN"/>
        </w:rPr>
        <w:t>；</w:t>
      </w:r>
      <w:r>
        <w:rPr>
          <w:rFonts w:hint="default"/>
          <w:color w:val="auto"/>
        </w:rPr>
        <w:t>研究制订保证项目顺利完成的各项政策及措施</w:t>
      </w:r>
      <w:r>
        <w:rPr>
          <w:rFonts w:hint="default"/>
          <w:color w:val="auto"/>
          <w:lang w:eastAsia="zh-CN"/>
        </w:rPr>
        <w:t>。</w:t>
      </w:r>
    </w:p>
    <w:p w14:paraId="7349AD35">
      <w:pPr>
        <w:widowControl/>
        <w:ind w:firstLine="400"/>
        <w:jc w:val="left"/>
        <w:rPr>
          <w:rFonts w:hint="default" w:ascii="Times New Roman" w:hAnsi="Times New Roman" w:eastAsia="宋体" w:cs="Times New Roman"/>
          <w:color w:val="auto"/>
          <w:kern w:val="0"/>
          <w:sz w:val="20"/>
          <w:szCs w:val="20"/>
          <w:lang w:bidi="ar"/>
        </w:rPr>
      </w:pPr>
      <w:r>
        <w:rPr>
          <w:rFonts w:hint="eastAsia" w:eastAsia="宋体" w:cs="Times New Roman"/>
          <w:color w:val="auto"/>
          <w:kern w:val="0"/>
          <w:sz w:val="20"/>
          <w:szCs w:val="20"/>
          <w:lang w:val="en-US" w:eastAsia="zh-CN" w:bidi="ar"/>
        </w:rPr>
        <w:t>同时，</w:t>
      </w:r>
      <w:r>
        <w:rPr>
          <w:rFonts w:hint="default" w:ascii="Times New Roman" w:hAnsi="Times New Roman" w:eastAsia="宋体" w:cs="Times New Roman"/>
          <w:color w:val="auto"/>
          <w:kern w:val="0"/>
          <w:sz w:val="20"/>
          <w:szCs w:val="20"/>
          <w:lang w:val="en-US" w:eastAsia="zh-CN" w:bidi="ar"/>
        </w:rPr>
        <w:t>学校</w:t>
      </w:r>
      <w:r>
        <w:rPr>
          <w:rFonts w:hint="default" w:ascii="Times New Roman" w:hAnsi="Times New Roman" w:eastAsia="宋体" w:cs="Times New Roman"/>
          <w:color w:val="auto"/>
          <w:kern w:val="0"/>
          <w:sz w:val="20"/>
          <w:szCs w:val="20"/>
          <w:lang w:bidi="ar"/>
        </w:rPr>
        <w:t>成立吉木萨尔中等职业技术学校自治区职业教育建设项目资金项目监管领导小组，由学校领导、行政办、教务处、总务处组成</w:t>
      </w:r>
      <w:r>
        <w:rPr>
          <w:rFonts w:hint="default" w:ascii="Times New Roman" w:hAnsi="Times New Roman" w:eastAsia="宋体" w:cs="Times New Roman"/>
          <w:color w:val="auto"/>
          <w:kern w:val="0"/>
          <w:sz w:val="20"/>
          <w:szCs w:val="20"/>
          <w:lang w:eastAsia="zh-CN" w:bidi="ar"/>
        </w:rPr>
        <w:t>，</w:t>
      </w:r>
      <w:r>
        <w:rPr>
          <w:rFonts w:hint="default" w:ascii="Times New Roman" w:hAnsi="Times New Roman" w:eastAsia="宋体" w:cs="Times New Roman"/>
          <w:color w:val="auto"/>
          <w:kern w:val="0"/>
          <w:sz w:val="20"/>
          <w:szCs w:val="20"/>
          <w:lang w:bidi="ar"/>
        </w:rPr>
        <w:t>组长</w:t>
      </w:r>
      <w:r>
        <w:rPr>
          <w:rFonts w:hint="default" w:ascii="Times New Roman" w:hAnsi="Times New Roman" w:eastAsia="宋体" w:cs="Times New Roman"/>
          <w:color w:val="auto"/>
          <w:kern w:val="0"/>
          <w:sz w:val="20"/>
          <w:szCs w:val="20"/>
          <w:lang w:val="en-US" w:eastAsia="zh-CN" w:bidi="ar"/>
        </w:rPr>
        <w:t>1名，组员3名，</w:t>
      </w:r>
      <w:r>
        <w:rPr>
          <w:rFonts w:hint="default" w:ascii="Times New Roman" w:hAnsi="Times New Roman" w:eastAsia="宋体" w:cs="Times New Roman"/>
          <w:color w:val="auto"/>
          <w:kern w:val="0"/>
          <w:sz w:val="20"/>
          <w:szCs w:val="20"/>
          <w:lang w:bidi="ar"/>
        </w:rPr>
        <w:t>主要职责</w:t>
      </w:r>
      <w:r>
        <w:rPr>
          <w:rFonts w:hint="eastAsia" w:eastAsia="宋体" w:cs="Times New Roman"/>
          <w:color w:val="auto"/>
          <w:kern w:val="0"/>
          <w:sz w:val="20"/>
          <w:szCs w:val="20"/>
          <w:lang w:eastAsia="zh-CN" w:bidi="ar"/>
        </w:rPr>
        <w:t>：</w:t>
      </w:r>
      <w:r>
        <w:rPr>
          <w:rFonts w:hint="default" w:ascii="Times New Roman" w:hAnsi="Times New Roman" w:eastAsia="宋体" w:cs="Times New Roman"/>
          <w:color w:val="auto"/>
          <w:kern w:val="0"/>
          <w:sz w:val="20"/>
          <w:szCs w:val="20"/>
          <w:lang w:bidi="ar"/>
        </w:rPr>
        <w:t>根据建设项目有关政策和要求，对学校建设项目计划进行事前论证、事中监测、事后评价</w:t>
      </w:r>
      <w:r>
        <w:rPr>
          <w:rFonts w:hint="default" w:ascii="Times New Roman" w:hAnsi="Times New Roman" w:eastAsia="宋体" w:cs="Times New Roman"/>
          <w:color w:val="auto"/>
          <w:kern w:val="0"/>
          <w:sz w:val="20"/>
          <w:szCs w:val="20"/>
          <w:lang w:eastAsia="zh-CN" w:bidi="ar"/>
        </w:rPr>
        <w:t>；</w:t>
      </w:r>
      <w:r>
        <w:rPr>
          <w:rFonts w:hint="default" w:ascii="Times New Roman" w:hAnsi="Times New Roman" w:eastAsia="宋体" w:cs="Times New Roman"/>
          <w:color w:val="auto"/>
          <w:kern w:val="0"/>
          <w:sz w:val="20"/>
          <w:szCs w:val="20"/>
          <w:lang w:bidi="ar"/>
        </w:rPr>
        <w:t>监督各项资金使用，确保项目实施质量与进度</w:t>
      </w:r>
      <w:r>
        <w:rPr>
          <w:rFonts w:hint="default" w:ascii="Times New Roman" w:hAnsi="Times New Roman" w:eastAsia="宋体" w:cs="Times New Roman"/>
          <w:color w:val="auto"/>
          <w:kern w:val="0"/>
          <w:sz w:val="20"/>
          <w:szCs w:val="20"/>
          <w:lang w:eastAsia="zh-CN" w:bidi="ar"/>
        </w:rPr>
        <w:t>；</w:t>
      </w:r>
      <w:r>
        <w:rPr>
          <w:rFonts w:hint="default" w:ascii="Times New Roman" w:hAnsi="Times New Roman" w:eastAsia="宋体" w:cs="Times New Roman"/>
          <w:color w:val="auto"/>
          <w:kern w:val="0"/>
          <w:sz w:val="20"/>
          <w:szCs w:val="20"/>
          <w:lang w:bidi="ar"/>
        </w:rPr>
        <w:t>同时接受上级财政、教育、审计、纪检监察等部门的监督检查。</w:t>
      </w:r>
    </w:p>
    <w:p w14:paraId="6D0A6242">
      <w:pPr>
        <w:widowControl/>
        <w:ind w:firstLine="400"/>
        <w:jc w:val="left"/>
        <w:rPr>
          <w:color w:val="auto"/>
        </w:rPr>
      </w:pPr>
      <w:r>
        <w:rPr>
          <w:rFonts w:hint="default" w:ascii="Times New Roman" w:hAnsi="Times New Roman" w:eastAsia="宋体" w:cs="Times New Roman"/>
          <w:color w:val="auto"/>
          <w:kern w:val="0"/>
          <w:sz w:val="20"/>
          <w:szCs w:val="20"/>
          <w:lang w:bidi="ar"/>
        </w:rPr>
        <w:t>该项目涉及</w:t>
      </w:r>
      <w:r>
        <w:rPr>
          <w:rFonts w:hint="default" w:ascii="Times New Roman" w:hAnsi="Times New Roman" w:eastAsia="宋体" w:cs="Times New Roman"/>
          <w:color w:val="auto"/>
          <w:kern w:val="0"/>
          <w:sz w:val="20"/>
          <w:szCs w:val="20"/>
          <w:lang w:val="en-US" w:eastAsia="zh-CN" w:bidi="ar"/>
        </w:rPr>
        <w:t>五</w:t>
      </w:r>
      <w:r>
        <w:rPr>
          <w:rFonts w:hint="default" w:ascii="Times New Roman" w:hAnsi="Times New Roman" w:eastAsia="宋体" w:cs="Times New Roman"/>
          <w:color w:val="auto"/>
          <w:kern w:val="0"/>
          <w:sz w:val="20"/>
          <w:szCs w:val="20"/>
          <w:lang w:bidi="ar"/>
        </w:rPr>
        <w:t>家供货单位</w:t>
      </w:r>
      <w:r>
        <w:rPr>
          <w:rFonts w:hint="default" w:ascii="Times New Roman" w:hAnsi="Times New Roman" w:eastAsia="宋体" w:cs="Times New Roman"/>
          <w:color w:val="auto"/>
          <w:kern w:val="0"/>
          <w:sz w:val="20"/>
          <w:szCs w:val="20"/>
          <w:lang w:eastAsia="zh-CN" w:bidi="ar"/>
        </w:rPr>
        <w:t>，</w:t>
      </w:r>
      <w:r>
        <w:rPr>
          <w:rFonts w:hint="default" w:ascii="Times New Roman" w:hAnsi="Times New Roman" w:eastAsia="宋体" w:cs="Times New Roman"/>
          <w:color w:val="auto"/>
          <w:kern w:val="0"/>
          <w:sz w:val="20"/>
          <w:szCs w:val="20"/>
          <w:lang w:val="en-US" w:eastAsia="zh-CN" w:bidi="ar"/>
        </w:rPr>
        <w:t>分别</w:t>
      </w:r>
      <w:r>
        <w:rPr>
          <w:rFonts w:hint="default" w:ascii="Times New Roman" w:hAnsi="Times New Roman" w:eastAsia="宋体" w:cs="Times New Roman"/>
          <w:color w:val="auto"/>
          <w:kern w:val="0"/>
          <w:sz w:val="20"/>
          <w:szCs w:val="20"/>
          <w:lang w:bidi="ar"/>
        </w:rPr>
        <w:t>为</w:t>
      </w:r>
      <w:r>
        <w:rPr>
          <w:rFonts w:hint="default" w:ascii="Times New Roman" w:hAnsi="Times New Roman" w:eastAsia="宋体" w:cs="Times New Roman"/>
          <w:color w:val="auto"/>
          <w:kern w:val="0"/>
          <w:sz w:val="20"/>
          <w:szCs w:val="20"/>
          <w:lang w:eastAsia="zh-CN" w:bidi="ar"/>
        </w:rPr>
        <w:t>：新疆金鸿瑞科教设备有限公司、新疆盯云智能科技有限公司、天津市睿智天成科技发展有限公司、新疆新诺睿博科教设备有限公司、昌吉市诺诚科教设备经销部</w:t>
      </w:r>
      <w:r>
        <w:rPr>
          <w:rFonts w:hint="default" w:ascii="Times New Roman" w:hAnsi="Times New Roman" w:eastAsia="宋体" w:cs="Times New Roman"/>
          <w:color w:val="auto"/>
          <w:kern w:val="0"/>
          <w:sz w:val="20"/>
          <w:szCs w:val="20"/>
          <w:lang w:bidi="ar"/>
        </w:rPr>
        <w:t>。</w:t>
      </w:r>
    </w:p>
    <w:p w14:paraId="73482F02">
      <w:pPr>
        <w:pStyle w:val="4"/>
        <w:ind w:firstLine="422"/>
        <w:rPr>
          <w:rFonts w:ascii="Times New Roman" w:hAnsi="Times New Roman"/>
          <w:color w:val="auto"/>
        </w:rPr>
      </w:pPr>
      <w:r>
        <w:rPr>
          <w:rFonts w:hint="default" w:ascii="Times New Roman" w:hAnsi="Times New Roman"/>
          <w:color w:val="auto"/>
          <w:lang w:val="en-US" w:eastAsia="zh-CN"/>
        </w:rPr>
        <w:t>2</w:t>
      </w:r>
      <w:r>
        <w:rPr>
          <w:rFonts w:hint="default" w:ascii="Times New Roman" w:hAnsi="Times New Roman"/>
          <w:color w:val="auto"/>
        </w:rPr>
        <w:t>.</w:t>
      </w:r>
      <w:r>
        <w:rPr>
          <w:rFonts w:ascii="Times New Roman" w:hAnsi="Times New Roman"/>
          <w:color w:val="auto"/>
        </w:rPr>
        <w:t>项目</w:t>
      </w:r>
      <w:r>
        <w:rPr>
          <w:rFonts w:hint="default" w:ascii="Times New Roman" w:hAnsi="Times New Roman"/>
          <w:color w:val="auto"/>
        </w:rPr>
        <w:t>组织</w:t>
      </w:r>
      <w:r>
        <w:rPr>
          <w:rFonts w:ascii="Times New Roman" w:hAnsi="Times New Roman"/>
          <w:color w:val="auto"/>
        </w:rPr>
        <w:t>实施</w:t>
      </w:r>
      <w:r>
        <w:rPr>
          <w:rFonts w:hint="default" w:ascii="Times New Roman" w:hAnsi="Times New Roman"/>
          <w:color w:val="auto"/>
        </w:rPr>
        <w:t>过程</w:t>
      </w:r>
    </w:p>
    <w:p w14:paraId="1DC8AD99">
      <w:pPr>
        <w:pStyle w:val="5"/>
        <w:rPr>
          <w:rFonts w:hint="default" w:ascii="Times New Roman" w:hAnsi="Times New Roman" w:cs="Times New Roman" w:eastAsiaTheme="minorEastAsia"/>
          <w:color w:val="auto"/>
          <w:highlight w:val="none"/>
          <w:lang w:val="en-US" w:eastAsia="zh-CN"/>
        </w:rPr>
      </w:pPr>
      <w:r>
        <w:rPr>
          <w:rFonts w:hint="default" w:cs="Times New Roman"/>
          <w:color w:val="auto"/>
          <w:highlight w:val="none"/>
          <w:lang w:eastAsia="zh-CN"/>
        </w:rPr>
        <w:t>（</w:t>
      </w:r>
      <w:r>
        <w:rPr>
          <w:rFonts w:hint="default" w:cs="Times New Roman"/>
          <w:color w:val="auto"/>
          <w:highlight w:val="none"/>
          <w:lang w:val="en-US" w:eastAsia="zh-CN"/>
        </w:rPr>
        <w:t>1</w:t>
      </w:r>
      <w:r>
        <w:rPr>
          <w:rFonts w:hint="default" w:cs="Times New Roman"/>
          <w:color w:val="auto"/>
          <w:highlight w:val="none"/>
          <w:lang w:eastAsia="zh-CN"/>
        </w:rPr>
        <w:t>）</w:t>
      </w:r>
      <w:r>
        <w:rPr>
          <w:rFonts w:hint="default" w:cs="Times New Roman"/>
          <w:color w:val="auto"/>
          <w:highlight w:val="none"/>
          <w:lang w:val="en-US" w:eastAsia="zh-CN"/>
        </w:rPr>
        <w:t>项目立项审批情况</w:t>
      </w:r>
    </w:p>
    <w:p w14:paraId="4D7646EA">
      <w:pPr>
        <w:pStyle w:val="5"/>
        <w:rPr>
          <w:rFonts w:hint="default"/>
          <w:color w:val="auto"/>
          <w:highlight w:val="none"/>
        </w:rPr>
      </w:pPr>
      <w:r>
        <w:rPr>
          <w:rFonts w:hint="default" w:ascii="Times New Roman" w:hAnsi="Times New Roman" w:cs="Times New Roman"/>
          <w:color w:val="auto"/>
          <w:highlight w:val="none"/>
        </w:rPr>
        <w:t>2023年9月11日，</w:t>
      </w:r>
      <w:r>
        <w:rPr>
          <w:rFonts w:hint="default" w:ascii="Times New Roman" w:hAnsi="Times New Roman" w:cs="Times New Roman"/>
          <w:color w:val="auto"/>
          <w:highlight w:val="none"/>
          <w:lang w:eastAsia="zh-CN"/>
        </w:rPr>
        <w:t>吉木</w:t>
      </w:r>
      <w:r>
        <w:rPr>
          <w:rFonts w:hint="default"/>
          <w:color w:val="auto"/>
          <w:highlight w:val="none"/>
          <w:lang w:eastAsia="zh-CN"/>
        </w:rPr>
        <w:t>萨尔中等职业技术学校</w:t>
      </w:r>
      <w:r>
        <w:rPr>
          <w:rFonts w:hint="default"/>
          <w:color w:val="auto"/>
          <w:highlight w:val="none"/>
        </w:rPr>
        <w:t>编制</w:t>
      </w:r>
      <w:r>
        <w:rPr>
          <w:rFonts w:hint="default"/>
          <w:color w:val="auto"/>
          <w:highlight w:val="none"/>
          <w:lang w:val="en-US" w:eastAsia="zh-CN"/>
        </w:rPr>
        <w:t>了</w:t>
      </w:r>
      <w:r>
        <w:rPr>
          <w:rFonts w:hint="default"/>
          <w:color w:val="auto"/>
          <w:highlight w:val="none"/>
          <w:lang w:eastAsia="zh-CN"/>
        </w:rPr>
        <w:t>《2024年职业教育建设项目申报书（实训基地建设项目）</w:t>
      </w:r>
      <w:r>
        <w:rPr>
          <w:rFonts w:hint="default"/>
          <w:color w:val="auto"/>
          <w:highlight w:val="none"/>
          <w:lang w:val="en-US" w:eastAsia="zh-CN"/>
        </w:rPr>
        <w:t>化工及化工安全实训基地项目申报书</w:t>
      </w:r>
      <w:r>
        <w:rPr>
          <w:rFonts w:hint="default"/>
          <w:color w:val="auto"/>
          <w:highlight w:val="none"/>
          <w:lang w:eastAsia="zh-CN"/>
        </w:rPr>
        <w:t>》《2024年职业教育建设项目申报书（实训基地建设项目）</w:t>
      </w:r>
      <w:r>
        <w:rPr>
          <w:rFonts w:hint="default"/>
          <w:color w:val="auto"/>
          <w:highlight w:val="none"/>
          <w:lang w:val="en-US" w:eastAsia="zh-CN"/>
        </w:rPr>
        <w:t>电商及直播运营实训基地项目申报书</w:t>
      </w:r>
      <w:r>
        <w:rPr>
          <w:rFonts w:hint="default"/>
          <w:color w:val="auto"/>
          <w:highlight w:val="none"/>
          <w:lang w:eastAsia="zh-CN"/>
        </w:rPr>
        <w:t>》</w:t>
      </w:r>
      <w:r>
        <w:rPr>
          <w:rFonts w:hint="default"/>
          <w:lang w:eastAsia="zh-CN"/>
        </w:rPr>
        <w:t>，</w:t>
      </w:r>
      <w:r>
        <w:rPr>
          <w:rFonts w:hint="default"/>
          <w:color w:val="auto"/>
          <w:highlight w:val="none"/>
          <w:lang w:val="en-US" w:eastAsia="zh-CN"/>
        </w:rPr>
        <w:t>申报内容为：</w:t>
      </w:r>
      <w:r>
        <w:rPr>
          <w:rFonts w:hint="default"/>
          <w:color w:val="auto"/>
          <w:lang w:val="en-US" w:eastAsia="zh-CN"/>
        </w:rPr>
        <w:t>化工及化工安全实训</w:t>
      </w:r>
      <w:r>
        <w:rPr>
          <w:rFonts w:hint="default"/>
          <w:color w:val="auto"/>
          <w:lang w:eastAsia="zh-CN"/>
        </w:rPr>
        <w:t>基地</w:t>
      </w:r>
      <w:r>
        <w:rPr>
          <w:color w:val="auto"/>
          <w:lang w:eastAsia="zh-Hans"/>
        </w:rPr>
        <w:t>购置教学及实训所需的软件及硬件设备</w:t>
      </w:r>
      <w:r>
        <w:rPr>
          <w:rFonts w:hint="default"/>
          <w:color w:val="auto"/>
          <w:lang w:eastAsia="zh-CN"/>
        </w:rPr>
        <w:t>，</w:t>
      </w:r>
      <w:r>
        <w:rPr>
          <w:rFonts w:hint="default"/>
          <w:color w:val="auto"/>
          <w:highlight w:val="none"/>
          <w:lang w:val="en-US" w:eastAsia="zh-CN"/>
        </w:rPr>
        <w:t>申报金额为500.00万元；</w:t>
      </w:r>
      <w:r>
        <w:rPr>
          <w:rFonts w:hint="default"/>
          <w:color w:val="auto"/>
          <w:lang w:eastAsia="zh-CN"/>
        </w:rPr>
        <w:t>电商及直播运营实训基地</w:t>
      </w:r>
      <w:r>
        <w:rPr>
          <w:color w:val="auto"/>
          <w:lang w:eastAsia="zh-Hans"/>
        </w:rPr>
        <w:t>购置教学及实训所需的软件及硬件设备</w:t>
      </w:r>
      <w:r>
        <w:rPr>
          <w:rFonts w:hint="default"/>
          <w:color w:val="auto"/>
          <w:lang w:eastAsia="zh-CN"/>
        </w:rPr>
        <w:t>，</w:t>
      </w:r>
      <w:r>
        <w:rPr>
          <w:rFonts w:hint="default"/>
          <w:color w:val="auto"/>
          <w:highlight w:val="none"/>
          <w:lang w:val="en-US" w:eastAsia="zh-CN"/>
        </w:rPr>
        <w:t>申报金额为220.00万元；学校组织</w:t>
      </w:r>
      <w:r>
        <w:rPr>
          <w:rFonts w:hint="default"/>
          <w:color w:val="auto"/>
          <w:highlight w:val="none"/>
        </w:rPr>
        <w:t>专家组</w:t>
      </w:r>
      <w:r>
        <w:rPr>
          <w:rFonts w:hint="default"/>
          <w:color w:val="auto"/>
          <w:highlight w:val="none"/>
          <w:lang w:val="en-US" w:eastAsia="zh-CN"/>
        </w:rPr>
        <w:t>分别</w:t>
      </w:r>
      <w:r>
        <w:rPr>
          <w:rFonts w:hint="default"/>
          <w:color w:val="auto"/>
          <w:highlight w:val="none"/>
        </w:rPr>
        <w:t>对</w:t>
      </w:r>
      <w:r>
        <w:rPr>
          <w:rFonts w:hint="default"/>
          <w:color w:val="auto"/>
          <w:highlight w:val="none"/>
          <w:lang w:val="en-US" w:eastAsia="zh-CN"/>
        </w:rPr>
        <w:t>2个</w:t>
      </w:r>
      <w:r>
        <w:rPr>
          <w:rFonts w:hint="default"/>
          <w:color w:val="auto"/>
          <w:highlight w:val="none"/>
        </w:rPr>
        <w:t>项目的可行性及预期产生效益</w:t>
      </w:r>
      <w:r>
        <w:rPr>
          <w:rFonts w:hint="default"/>
          <w:color w:val="auto"/>
          <w:highlight w:val="none"/>
          <w:lang w:val="en-US" w:eastAsia="zh-CN"/>
        </w:rPr>
        <w:t>进行评审，</w:t>
      </w:r>
      <w:r>
        <w:rPr>
          <w:rFonts w:hint="default"/>
          <w:color w:val="auto"/>
          <w:highlight w:val="none"/>
        </w:rPr>
        <w:t>于</w:t>
      </w:r>
      <w:r>
        <w:rPr>
          <w:rFonts w:hint="default"/>
          <w:color w:val="auto"/>
          <w:highlight w:val="none"/>
          <w:lang w:eastAsia="zh-CN"/>
        </w:rPr>
        <w:t>202</w:t>
      </w:r>
      <w:r>
        <w:rPr>
          <w:rFonts w:hint="default"/>
          <w:color w:val="auto"/>
          <w:highlight w:val="none"/>
          <w:lang w:val="en-US" w:eastAsia="zh-CN"/>
        </w:rPr>
        <w:t>3</w:t>
      </w:r>
      <w:r>
        <w:rPr>
          <w:rFonts w:hint="default"/>
          <w:color w:val="auto"/>
          <w:highlight w:val="none"/>
          <w:lang w:eastAsia="zh-CN"/>
        </w:rPr>
        <w:t>年</w:t>
      </w:r>
      <w:r>
        <w:rPr>
          <w:rFonts w:hint="default"/>
          <w:color w:val="auto"/>
          <w:highlight w:val="none"/>
          <w:lang w:val="en-US" w:eastAsia="zh-CN"/>
        </w:rPr>
        <w:t>11</w:t>
      </w:r>
      <w:r>
        <w:rPr>
          <w:rFonts w:hint="default"/>
          <w:color w:val="auto"/>
          <w:highlight w:val="none"/>
          <w:lang w:eastAsia="zh-CN"/>
        </w:rPr>
        <w:t>月3</w:t>
      </w:r>
      <w:r>
        <w:rPr>
          <w:rFonts w:hint="default"/>
          <w:color w:val="auto"/>
          <w:highlight w:val="none"/>
          <w:lang w:val="en-US" w:eastAsia="zh-CN"/>
        </w:rPr>
        <w:t>0</w:t>
      </w:r>
      <w:r>
        <w:rPr>
          <w:rFonts w:hint="default"/>
          <w:color w:val="auto"/>
          <w:highlight w:val="none"/>
          <w:lang w:eastAsia="zh-CN"/>
        </w:rPr>
        <w:t>日</w:t>
      </w:r>
      <w:r>
        <w:rPr>
          <w:rFonts w:hint="default"/>
          <w:color w:val="auto"/>
          <w:highlight w:val="none"/>
          <w:lang w:val="en-US" w:eastAsia="zh-CN"/>
        </w:rPr>
        <w:t>上报</w:t>
      </w:r>
      <w:r>
        <w:rPr>
          <w:rFonts w:hint="default"/>
          <w:color w:val="auto"/>
          <w:highlight w:val="none"/>
          <w:lang w:eastAsia="zh-CN"/>
        </w:rPr>
        <w:t>昌吉州</w:t>
      </w:r>
      <w:r>
        <w:rPr>
          <w:color w:val="auto"/>
          <w:highlight w:val="none"/>
        </w:rPr>
        <w:t>教育局</w:t>
      </w:r>
      <w:r>
        <w:rPr>
          <w:rFonts w:hint="default"/>
          <w:color w:val="auto"/>
          <w:highlight w:val="none"/>
          <w:lang w:eastAsia="zh-CN"/>
        </w:rPr>
        <w:t>，</w:t>
      </w:r>
      <w:r>
        <w:rPr>
          <w:rFonts w:hint="default"/>
          <w:color w:val="auto"/>
          <w:highlight w:val="none"/>
          <w:lang w:val="en-US" w:eastAsia="zh-CN"/>
        </w:rPr>
        <w:t>并</w:t>
      </w:r>
      <w:r>
        <w:rPr>
          <w:rFonts w:hint="default"/>
          <w:lang w:val="en-US" w:eastAsia="zh-CN"/>
        </w:rPr>
        <w:t>由昌吉州教育局汇总统一上报至自治区教育厅</w:t>
      </w:r>
      <w:r>
        <w:rPr>
          <w:rFonts w:hint="default"/>
          <w:color w:val="auto"/>
          <w:highlight w:val="none"/>
        </w:rPr>
        <w:t>。</w:t>
      </w:r>
    </w:p>
    <w:p w14:paraId="23B630BF">
      <w:pPr>
        <w:pStyle w:val="5"/>
        <w:rPr>
          <w:color w:val="auto"/>
          <w:highlight w:val="none"/>
        </w:rPr>
      </w:pPr>
      <w:r>
        <w:rPr>
          <w:rFonts w:hint="default"/>
          <w:color w:val="auto"/>
          <w:highlight w:val="none"/>
          <w:lang w:eastAsia="zh-CN"/>
        </w:rPr>
        <w:t>202</w:t>
      </w:r>
      <w:r>
        <w:rPr>
          <w:rFonts w:hint="default"/>
          <w:color w:val="auto"/>
          <w:highlight w:val="none"/>
          <w:lang w:val="en-US" w:eastAsia="zh-CN"/>
        </w:rPr>
        <w:t>3</w:t>
      </w:r>
      <w:r>
        <w:rPr>
          <w:rFonts w:hint="default"/>
          <w:color w:val="auto"/>
          <w:highlight w:val="none"/>
        </w:rPr>
        <w:t>年</w:t>
      </w:r>
      <w:r>
        <w:rPr>
          <w:rFonts w:hint="default"/>
          <w:color w:val="auto"/>
          <w:highlight w:val="none"/>
          <w:lang w:val="en-US" w:eastAsia="zh-CN"/>
        </w:rPr>
        <w:t>12</w:t>
      </w:r>
      <w:r>
        <w:rPr>
          <w:rFonts w:hint="default"/>
          <w:color w:val="auto"/>
          <w:highlight w:val="none"/>
        </w:rPr>
        <w:t>月</w:t>
      </w:r>
      <w:r>
        <w:rPr>
          <w:rFonts w:hint="default"/>
          <w:color w:val="auto"/>
          <w:highlight w:val="none"/>
          <w:lang w:val="en-US" w:eastAsia="zh-CN"/>
        </w:rPr>
        <w:t>29</w:t>
      </w:r>
      <w:r>
        <w:rPr>
          <w:rFonts w:hint="default"/>
          <w:color w:val="auto"/>
          <w:highlight w:val="none"/>
        </w:rPr>
        <w:t>日</w:t>
      </w:r>
      <w:r>
        <w:rPr>
          <w:rFonts w:hint="default"/>
          <w:color w:val="auto"/>
          <w:highlight w:val="none"/>
          <w:lang w:eastAsia="zh-CN"/>
        </w:rPr>
        <w:t>，</w:t>
      </w:r>
      <w:r>
        <w:rPr>
          <w:rFonts w:hint="default"/>
          <w:color w:val="auto"/>
          <w:highlight w:val="none"/>
          <w:lang w:val="en-US" w:eastAsia="zh-CN"/>
        </w:rPr>
        <w:t>昌吉回族自治州财政局</w:t>
      </w:r>
      <w:r>
        <w:rPr>
          <w:rFonts w:hint="default"/>
          <w:color w:val="auto"/>
          <w:highlight w:val="none"/>
        </w:rPr>
        <w:t>下发《关于提前下达 2024 年中央现代职业教育质量提升计划资金预算的通知》（昌州财教</w:t>
      </w:r>
      <w:r>
        <w:rPr>
          <w:rFonts w:hint="default" w:ascii="Times New Roman" w:hAnsi="Times New Roman" w:eastAsia="宋体" w:cs="Times New Roman"/>
          <w:color w:val="auto"/>
          <w:highlight w:val="none"/>
        </w:rPr>
        <w:t>〔</w:t>
      </w:r>
      <w:r>
        <w:rPr>
          <w:rFonts w:hint="default"/>
          <w:color w:val="auto"/>
          <w:highlight w:val="none"/>
        </w:rPr>
        <w:t>2023</w:t>
      </w:r>
      <w:r>
        <w:rPr>
          <w:rFonts w:hint="default" w:ascii="Times New Roman" w:hAnsi="Times New Roman" w:eastAsia="宋体" w:cs="Times New Roman"/>
          <w:color w:val="auto"/>
          <w:highlight w:val="none"/>
        </w:rPr>
        <w:t>〕</w:t>
      </w:r>
      <w:r>
        <w:rPr>
          <w:rFonts w:hint="default"/>
          <w:color w:val="auto"/>
          <w:highlight w:val="none"/>
        </w:rPr>
        <w:t>103号），分配下达</w:t>
      </w:r>
      <w:r>
        <w:rPr>
          <w:rFonts w:hint="default" w:ascii="Times New Roman" w:hAnsi="Times New Roman" w:cs="Times New Roman"/>
          <w:color w:val="auto"/>
          <w:highlight w:val="none"/>
          <w:lang w:eastAsia="zh-CN"/>
        </w:rPr>
        <w:t>吉木</w:t>
      </w:r>
      <w:r>
        <w:rPr>
          <w:rFonts w:hint="default"/>
          <w:color w:val="auto"/>
          <w:highlight w:val="none"/>
          <w:lang w:eastAsia="zh-CN"/>
        </w:rPr>
        <w:t>萨尔中等职业技术学校</w:t>
      </w:r>
      <w:r>
        <w:rPr>
          <w:rFonts w:hint="default"/>
          <w:color w:val="auto"/>
          <w:highlight w:val="none"/>
        </w:rPr>
        <w:t>2024年现代职业教育质量提升计划资金</w:t>
      </w:r>
      <w:r>
        <w:rPr>
          <w:rFonts w:hint="default"/>
          <w:color w:val="auto"/>
          <w:highlight w:val="none"/>
          <w:lang w:eastAsia="zh-CN"/>
        </w:rPr>
        <w:t>700</w:t>
      </w:r>
      <w:r>
        <w:rPr>
          <w:rFonts w:hint="default"/>
          <w:color w:val="auto"/>
          <w:highlight w:val="none"/>
        </w:rPr>
        <w:t>.00万元</w:t>
      </w:r>
      <w:r>
        <w:rPr>
          <w:rFonts w:hint="default"/>
          <w:color w:val="auto"/>
          <w:highlight w:val="none"/>
          <w:lang w:eastAsia="zh-CN"/>
        </w:rPr>
        <w:t>，</w:t>
      </w:r>
      <w:r>
        <w:rPr>
          <w:rFonts w:hint="default"/>
          <w:color w:val="auto"/>
          <w:highlight w:val="none"/>
          <w:lang w:val="en-US" w:eastAsia="zh-CN"/>
        </w:rPr>
        <w:t>其中化工及化工安全实训基地预算资金500.00万元，电商及直播运营实训基地预算资金200.00万元</w:t>
      </w:r>
      <w:r>
        <w:rPr>
          <w:rFonts w:hint="default"/>
          <w:color w:val="auto"/>
          <w:highlight w:val="none"/>
        </w:rPr>
        <w:t>。</w:t>
      </w:r>
    </w:p>
    <w:p w14:paraId="3BC29868">
      <w:pPr>
        <w:pStyle w:val="5"/>
        <w:rPr>
          <w:rFonts w:hint="default"/>
          <w:color w:val="auto"/>
          <w:highlight w:val="none"/>
          <w:lang w:val="en-US" w:eastAsia="zh-CN"/>
        </w:rPr>
      </w:pPr>
      <w:r>
        <w:rPr>
          <w:rFonts w:hint="default"/>
          <w:color w:val="auto"/>
          <w:highlight w:val="none"/>
          <w:lang w:val="en-US" w:eastAsia="zh-CN"/>
        </w:rPr>
        <w:t>（2）化工及化工安全实训基地项目实施情况</w:t>
      </w:r>
    </w:p>
    <w:p w14:paraId="6A511611">
      <w:pPr>
        <w:pStyle w:val="5"/>
        <w:rPr>
          <w:rFonts w:hint="default"/>
          <w:color w:val="auto"/>
          <w:highlight w:val="none"/>
          <w:lang w:val="en-US" w:eastAsia="zh-CN"/>
        </w:rPr>
      </w:pPr>
      <w:r>
        <w:rPr>
          <w:rFonts w:hint="default"/>
          <w:color w:val="auto"/>
          <w:highlight w:val="none"/>
          <w:lang w:val="en-US" w:eastAsia="zh-CN"/>
        </w:rPr>
        <w:t>①项目采购情况</w:t>
      </w:r>
    </w:p>
    <w:p w14:paraId="7067D732">
      <w:pPr>
        <w:pStyle w:val="5"/>
        <w:rPr>
          <w:rFonts w:hint="default"/>
          <w:color w:val="auto"/>
          <w:highlight w:val="none"/>
          <w:lang w:val="en-US" w:eastAsia="zh-CN"/>
        </w:rPr>
      </w:pPr>
      <w:r>
        <w:rPr>
          <w:rFonts w:hint="default"/>
          <w:color w:val="auto"/>
          <w:highlight w:val="none"/>
          <w:lang w:val="en-US" w:eastAsia="zh-CN"/>
        </w:rPr>
        <w:t>2024年1月16日，吉木萨尔中等职业技术学校提交采购计划，经吉木萨尔县采购小组办公室、采购单位分管领导及采购分管县领导同意后，委托吉木萨尔县政务服务和公共资源交易管理局组织化工及化工基地安全基地设备项目的公开招标工作。2024年3月22日，在政府采购网发布项目公开招标公告。2024年4月12日，项目通过公开招标方式，最终确定供货商为天津市睿智天成科技发展有限公司，</w:t>
      </w:r>
      <w:r>
        <w:rPr>
          <w:rFonts w:hint="default"/>
          <w:lang w:val="en-US" w:eastAsia="zh-CN"/>
        </w:rPr>
        <w:t>采购计划金额为700.00万元，实际</w:t>
      </w:r>
      <w:r>
        <w:rPr>
          <w:rFonts w:hint="default"/>
          <w:color w:val="auto"/>
          <w:highlight w:val="none"/>
          <w:lang w:val="en-US" w:eastAsia="zh-CN"/>
        </w:rPr>
        <w:t>中标价为428.6万元，供货内容为化工虚拟仿真实训室设备、化工生产智能控制实训区域设备一批（详见基础表2“</w:t>
      </w:r>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化工及化工安全</w:t>
      </w:r>
      <w:r>
        <w:rPr>
          <w:rFonts w:hint="default" w:ascii="Times New Roman" w:hAnsi="Times New Roman" w:eastAsia="宋体" w:cs="Times New Roman"/>
          <w:color w:val="auto"/>
          <w:sz w:val="21"/>
          <w:szCs w:val="21"/>
          <w:lang w:eastAsia="zh-CN"/>
        </w:rPr>
        <w:t>实训基地</w:t>
      </w:r>
      <w:r>
        <w:rPr>
          <w:rFonts w:hint="default" w:ascii="Times New Roman" w:hAnsi="Times New Roman" w:eastAsia="宋体" w:cs="Times New Roman"/>
          <w:color w:val="auto"/>
          <w:sz w:val="21"/>
          <w:szCs w:val="21"/>
        </w:rPr>
        <w:t>设备采购</w:t>
      </w:r>
      <w:r>
        <w:rPr>
          <w:rFonts w:hint="default" w:ascii="Times New Roman" w:hAnsi="Times New Roman" w:eastAsia="宋体" w:cs="Times New Roman"/>
          <w:color w:val="auto"/>
          <w:sz w:val="21"/>
          <w:szCs w:val="21"/>
          <w:lang w:val="en-US" w:eastAsia="zh-CN"/>
        </w:rPr>
        <w:t>第一批</w:t>
      </w:r>
      <w:r>
        <w:rPr>
          <w:rFonts w:hint="default" w:ascii="Times New Roman" w:hAnsi="Times New Roman" w:eastAsia="宋体" w:cs="Times New Roman"/>
          <w:color w:val="auto"/>
          <w:sz w:val="21"/>
          <w:szCs w:val="21"/>
        </w:rPr>
        <w:t>明细表</w:t>
      </w:r>
      <w:r>
        <w:rPr>
          <w:rFonts w:hint="default"/>
          <w:color w:val="auto"/>
          <w:highlight w:val="none"/>
          <w:lang w:val="en-US" w:eastAsia="zh-CN"/>
        </w:rPr>
        <w:t>”）；于2024年9月10日完成设备采购安装调试，</w:t>
      </w:r>
      <w:r>
        <w:rPr>
          <w:rFonts w:hint="default" w:ascii="Times New Roman" w:hAnsi="Times New Roman" w:cs="Times New Roman" w:eastAsiaTheme="minorEastAsia"/>
          <w:b w:val="0"/>
          <w:bCs w:val="0"/>
          <w:color w:val="auto"/>
          <w:kern w:val="2"/>
          <w:sz w:val="21"/>
          <w:szCs w:val="21"/>
          <w:highlight w:val="none"/>
          <w:lang w:val="en-US" w:eastAsia="zh-CN" w:bidi="ar-SA"/>
        </w:rPr>
        <w:t>由项目实施单位对</w:t>
      </w:r>
      <w:r>
        <w:rPr>
          <w:rFonts w:hint="default"/>
          <w:color w:val="auto"/>
          <w:highlight w:val="none"/>
          <w:lang w:val="en-US" w:eastAsia="zh-CN"/>
        </w:rPr>
        <w:t>天津市睿智天成科技发展有限公司</w:t>
      </w:r>
      <w:r>
        <w:rPr>
          <w:rFonts w:hint="default" w:ascii="Times New Roman" w:hAnsi="Times New Roman" w:cs="Times New Roman" w:eastAsiaTheme="minorEastAsia"/>
          <w:b w:val="0"/>
          <w:bCs w:val="0"/>
          <w:color w:val="auto"/>
          <w:kern w:val="2"/>
          <w:sz w:val="21"/>
          <w:szCs w:val="21"/>
          <w:highlight w:val="none"/>
          <w:lang w:val="en-US" w:eastAsia="zh-CN" w:bidi="ar-SA"/>
        </w:rPr>
        <w:t>提</w:t>
      </w:r>
      <w:r>
        <w:rPr>
          <w:rFonts w:hint="eastAsia" w:cs="Times New Roman"/>
          <w:b w:val="0"/>
          <w:bCs w:val="0"/>
          <w:color w:val="auto"/>
          <w:kern w:val="2"/>
          <w:sz w:val="21"/>
          <w:szCs w:val="21"/>
          <w:highlight w:val="none"/>
          <w:lang w:val="en-US" w:eastAsia="zh-CN" w:bidi="ar-SA"/>
        </w:rPr>
        <w:t>供的</w:t>
      </w:r>
      <w:r>
        <w:rPr>
          <w:rFonts w:hint="default" w:ascii="Times New Roman" w:hAnsi="Times New Roman" w:cs="Times New Roman" w:eastAsiaTheme="minorEastAsia"/>
          <w:b w:val="0"/>
          <w:bCs w:val="0"/>
          <w:color w:val="auto"/>
          <w:kern w:val="2"/>
          <w:sz w:val="21"/>
          <w:szCs w:val="21"/>
          <w:highlight w:val="none"/>
          <w:lang w:val="en-US" w:eastAsia="zh-CN" w:bidi="ar-SA"/>
        </w:rPr>
        <w:t>货物进行验收，</w:t>
      </w:r>
      <w:r>
        <w:rPr>
          <w:rFonts w:hint="default" w:ascii="Times New Roman" w:hAnsi="Times New Roman" w:cs="Times New Roman"/>
          <w:b w:val="0"/>
          <w:bCs w:val="0"/>
          <w:color w:val="auto"/>
          <w:kern w:val="2"/>
          <w:sz w:val="21"/>
          <w:szCs w:val="21"/>
          <w:highlight w:val="none"/>
          <w:lang w:val="en-US" w:eastAsia="zh-CN" w:bidi="ar-SA"/>
        </w:rPr>
        <w:t>验收内容为“实训终端机、智慧黑板、考核系统、仿真软件、精馏国赛装置等化工及化工安全实训设备”</w:t>
      </w:r>
      <w:r>
        <w:rPr>
          <w:rFonts w:hint="default" w:ascii="Times New Roman" w:hAnsi="Times New Roman" w:cs="Times New Roman"/>
          <w:color w:val="auto"/>
          <w:highlight w:val="none"/>
          <w:lang w:eastAsia="zh-CN"/>
        </w:rPr>
        <w:t>，</w:t>
      </w:r>
      <w:r>
        <w:rPr>
          <w:rFonts w:hint="default" w:ascii="Times New Roman" w:hAnsi="Times New Roman" w:cs="Times New Roman" w:eastAsiaTheme="minorEastAsia"/>
          <w:b w:val="0"/>
          <w:bCs w:val="0"/>
          <w:color w:val="auto"/>
          <w:kern w:val="2"/>
          <w:sz w:val="21"/>
          <w:szCs w:val="21"/>
          <w:highlight w:val="none"/>
          <w:lang w:val="en-US" w:eastAsia="zh-CN" w:bidi="ar-SA"/>
        </w:rPr>
        <w:t>验收结果为“</w:t>
      </w:r>
      <w:r>
        <w:rPr>
          <w:rFonts w:hint="default"/>
          <w:color w:val="auto"/>
          <w:highlight w:val="none"/>
          <w:lang w:val="en-US" w:eastAsia="zh-CN"/>
        </w:rPr>
        <w:t>设备安装调试完成、可以正常操作运转、培训已完成</w:t>
      </w:r>
      <w:r>
        <w:rPr>
          <w:rFonts w:hint="default" w:ascii="Times New Roman" w:hAnsi="Times New Roman" w:cs="Times New Roman" w:eastAsiaTheme="minorEastAsia"/>
          <w:b w:val="0"/>
          <w:bCs w:val="0"/>
          <w:color w:val="auto"/>
          <w:kern w:val="2"/>
          <w:sz w:val="21"/>
          <w:szCs w:val="21"/>
          <w:highlight w:val="none"/>
          <w:lang w:val="en-US" w:eastAsia="zh-CN" w:bidi="ar-SA"/>
        </w:rPr>
        <w:t>”。</w:t>
      </w:r>
    </w:p>
    <w:p w14:paraId="375FF34D">
      <w:pPr>
        <w:pStyle w:val="5"/>
        <w:rPr>
          <w:rFonts w:hint="default"/>
          <w:color w:val="auto"/>
          <w:highlight w:val="none"/>
          <w:lang w:val="en-US" w:eastAsia="zh-CN"/>
        </w:rPr>
      </w:pPr>
      <w:r>
        <w:rPr>
          <w:rFonts w:hint="default"/>
          <w:color w:val="auto"/>
          <w:highlight w:val="none"/>
          <w:lang w:val="en-US" w:eastAsia="zh-CN"/>
        </w:rPr>
        <w:t>②项目调整情况</w:t>
      </w:r>
    </w:p>
    <w:p w14:paraId="75EEA392">
      <w:pPr>
        <w:pStyle w:val="5"/>
        <w:rPr>
          <w:rFonts w:hint="default"/>
          <w:color w:val="auto"/>
          <w:highlight w:val="none"/>
          <w:lang w:val="en-US" w:eastAsia="zh-CN"/>
        </w:rPr>
      </w:pPr>
      <w:r>
        <w:rPr>
          <w:rFonts w:hint="default"/>
          <w:color w:val="auto"/>
          <w:highlight w:val="none"/>
          <w:lang w:val="en-US" w:eastAsia="zh-CN"/>
        </w:rPr>
        <w:t>项目实施单位根据建设需要，向吉木萨尔县教育局、昌吉州教育局等上级主管部门逐级申报申请使用项目结余资金继续用于该项目相关建设，拟定吉木萨尔中等职业技术学校化工及化工基地安全基地设备项目补充采购设备清单，并于2024年7月31日收到自治区教育厅下发的《关于同意吉木萨尔中等职业技术学校继续使用2024年现代职业教育质量提升计划项目结余资金的批复》（新教函〔2024〕422号），同意吉木萨尔中等职业技术学校继续使用“化工及化工安全实训基地”招标后结余资金71.40万元，用于采购该实训基地补充器材设备（详见基础表2“</w:t>
      </w:r>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4</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化工及化工安全实训基地补充器材第二批</w:t>
      </w:r>
      <w:r>
        <w:rPr>
          <w:rFonts w:hint="default" w:ascii="Times New Roman" w:hAnsi="Times New Roman" w:eastAsia="宋体" w:cs="Times New Roman"/>
          <w:color w:val="auto"/>
          <w:sz w:val="21"/>
          <w:szCs w:val="21"/>
        </w:rPr>
        <w:t>设备采购清单</w:t>
      </w:r>
      <w:r>
        <w:rPr>
          <w:rFonts w:hint="default"/>
          <w:color w:val="auto"/>
          <w:highlight w:val="none"/>
          <w:lang w:val="en-US" w:eastAsia="zh-CN"/>
        </w:rPr>
        <w:t>”）。</w:t>
      </w:r>
    </w:p>
    <w:p w14:paraId="3712B910">
      <w:pPr>
        <w:pStyle w:val="5"/>
        <w:rPr>
          <w:rFonts w:hint="default"/>
          <w:color w:val="auto"/>
          <w:highlight w:val="none"/>
          <w:lang w:val="en-US" w:eastAsia="zh-CN"/>
        </w:rPr>
      </w:pPr>
      <w:r>
        <w:rPr>
          <w:rFonts w:hint="default"/>
          <w:color w:val="auto"/>
          <w:highlight w:val="none"/>
          <w:lang w:val="en-US" w:eastAsia="zh-CN"/>
        </w:rPr>
        <w:t>2024年9月29日，项目实施单位提出吉木萨尔县政府采购计划书，委托新疆普联浩景工程项目管理有限公司组织开展项目的招标工作；2024年10月30日，项目通过公开招标方式，确定补充器材设备采购的中标供应商为新疆新诺睿博科教设备有限公司，</w:t>
      </w:r>
      <w:r>
        <w:rPr>
          <w:rFonts w:hint="default"/>
          <w:lang w:val="en-US" w:eastAsia="zh-CN"/>
        </w:rPr>
        <w:t>采购计划金额为71.40万元，</w:t>
      </w:r>
      <w:r>
        <w:rPr>
          <w:rFonts w:hint="default"/>
          <w:color w:val="auto"/>
          <w:highlight w:val="none"/>
          <w:lang w:val="en-US" w:eastAsia="zh-CN"/>
        </w:rPr>
        <w:t>实际中标价为67.8万元</w:t>
      </w:r>
      <w:r>
        <w:rPr>
          <w:rFonts w:hint="default"/>
          <w:lang w:val="en-US" w:eastAsia="zh-CN"/>
        </w:rPr>
        <w:t>，实际</w:t>
      </w:r>
      <w:r>
        <w:rPr>
          <w:rFonts w:hint="default"/>
          <w:color w:val="auto"/>
          <w:highlight w:val="none"/>
          <w:lang w:val="en-US" w:eastAsia="zh-CN"/>
        </w:rPr>
        <w:t>采购内容主要为化工及化工安全实训基地建设项目补充采购设备（详见基础表2“附表2-5：化工及化工安全实训基地补充器材第三批设备采购清单”）。于2024年12月1日完成</w:t>
      </w:r>
      <w:r>
        <w:rPr>
          <w:rFonts w:hint="default" w:cs="Times New Roman"/>
          <w:b w:val="0"/>
          <w:bCs w:val="0"/>
          <w:color w:val="auto"/>
          <w:kern w:val="2"/>
          <w:sz w:val="21"/>
          <w:szCs w:val="21"/>
          <w:highlight w:val="none"/>
          <w:lang w:val="en-US" w:eastAsia="zh-CN" w:bidi="ar-SA"/>
        </w:rPr>
        <w:t>4套</w:t>
      </w:r>
      <w:r>
        <w:rPr>
          <w:rFonts w:hint="default"/>
          <w:color w:val="auto"/>
          <w:highlight w:val="none"/>
          <w:lang w:val="en-US" w:eastAsia="zh-CN"/>
        </w:rPr>
        <w:t>设备采购，</w:t>
      </w:r>
      <w:r>
        <w:rPr>
          <w:rFonts w:hint="default" w:ascii="Times New Roman" w:hAnsi="Times New Roman" w:cs="Times New Roman" w:eastAsiaTheme="minorEastAsia"/>
          <w:b w:val="0"/>
          <w:bCs w:val="0"/>
          <w:color w:val="auto"/>
          <w:kern w:val="2"/>
          <w:sz w:val="21"/>
          <w:szCs w:val="21"/>
          <w:highlight w:val="none"/>
          <w:lang w:val="en-US" w:eastAsia="zh-CN" w:bidi="ar-SA"/>
        </w:rPr>
        <w:t>由项目实施单位对</w:t>
      </w:r>
      <w:r>
        <w:rPr>
          <w:rFonts w:hint="default"/>
          <w:color w:val="auto"/>
          <w:highlight w:val="none"/>
          <w:lang w:val="en-US" w:eastAsia="zh-CN"/>
        </w:rPr>
        <w:t>供应商</w:t>
      </w:r>
      <w:r>
        <w:rPr>
          <w:rFonts w:hint="default" w:ascii="Times New Roman" w:hAnsi="Times New Roman" w:cs="Times New Roman" w:eastAsiaTheme="minorEastAsia"/>
          <w:b w:val="0"/>
          <w:bCs w:val="0"/>
          <w:color w:val="auto"/>
          <w:kern w:val="2"/>
          <w:sz w:val="21"/>
          <w:szCs w:val="21"/>
          <w:highlight w:val="none"/>
          <w:lang w:val="en-US" w:eastAsia="zh-CN" w:bidi="ar-SA"/>
        </w:rPr>
        <w:t>提供货物进行</w:t>
      </w:r>
      <w:r>
        <w:rPr>
          <w:rFonts w:hint="default" w:cs="Times New Roman"/>
          <w:color w:val="auto"/>
          <w:highlight w:val="none"/>
          <w:lang w:val="en-US" w:eastAsia="zh-CN"/>
        </w:rPr>
        <w:t>接收并签字验收</w:t>
      </w:r>
      <w:r>
        <w:rPr>
          <w:rFonts w:hint="default" w:ascii="Times New Roman" w:hAnsi="Times New Roman" w:cs="Times New Roman" w:eastAsiaTheme="minorEastAsia"/>
          <w:b w:val="0"/>
          <w:bCs w:val="0"/>
          <w:color w:val="auto"/>
          <w:kern w:val="2"/>
          <w:sz w:val="21"/>
          <w:szCs w:val="21"/>
          <w:highlight w:val="none"/>
          <w:lang w:val="en-US" w:eastAsia="zh-CN" w:bidi="ar-SA"/>
        </w:rPr>
        <w:t>。</w:t>
      </w:r>
    </w:p>
    <w:p w14:paraId="754E1F3A">
      <w:pPr>
        <w:pStyle w:val="5"/>
        <w:rPr>
          <w:rFonts w:hint="default"/>
          <w:color w:val="auto"/>
          <w:highlight w:val="none"/>
          <w:lang w:val="en-US" w:eastAsia="zh-CN"/>
        </w:rPr>
      </w:pPr>
      <w:r>
        <w:rPr>
          <w:rFonts w:hint="default"/>
          <w:color w:val="auto"/>
          <w:highlight w:val="none"/>
          <w:lang w:val="en-US" w:eastAsia="zh-CN"/>
        </w:rPr>
        <w:t>项目实施单位使用项目结余资金</w:t>
      </w:r>
      <w:r>
        <w:rPr>
          <w:rFonts w:hint="default"/>
          <w:lang w:val="en-US" w:eastAsia="zh-CN"/>
        </w:rPr>
        <w:t>通过</w:t>
      </w:r>
      <w:r>
        <w:rPr>
          <w:rFonts w:hint="default"/>
          <w:color w:val="auto"/>
          <w:highlight w:val="none"/>
          <w:lang w:val="en-US" w:eastAsia="zh-CN"/>
        </w:rPr>
        <w:t>政采云平台</w:t>
      </w:r>
      <w:r>
        <w:rPr>
          <w:rFonts w:hint="default"/>
          <w:color w:val="auto"/>
          <w:lang w:val="en-US" w:eastAsia="zh-CN"/>
        </w:rPr>
        <w:t>网上超市</w:t>
      </w:r>
      <w:r>
        <w:rPr>
          <w:rFonts w:hint="default"/>
          <w:color w:val="auto"/>
          <w:highlight w:val="none"/>
          <w:lang w:val="en-US" w:eastAsia="zh-CN"/>
        </w:rPr>
        <w:t>购置化工实训模型1套，采购供应商为昌吉市诺诚科教设备经销部，采购金额为3.60万元，于2024年12月15日完成采购，并</w:t>
      </w:r>
      <w:r>
        <w:rPr>
          <w:rFonts w:hint="default" w:cs="Times New Roman"/>
          <w:color w:val="auto"/>
          <w:highlight w:val="none"/>
          <w:lang w:val="en-US" w:eastAsia="zh-CN"/>
        </w:rPr>
        <w:t>由实施单位接收并签字</w:t>
      </w:r>
      <w:r>
        <w:rPr>
          <w:rFonts w:hint="default" w:cs="Times New Roman"/>
          <w:b w:val="0"/>
          <w:bCs w:val="0"/>
          <w:color w:val="auto"/>
          <w:kern w:val="2"/>
          <w:sz w:val="21"/>
          <w:szCs w:val="21"/>
          <w:highlight w:val="none"/>
          <w:lang w:val="en-US" w:eastAsia="zh-CN" w:bidi="ar-SA"/>
        </w:rPr>
        <w:t>，验收结果为：“</w:t>
      </w:r>
      <w:r>
        <w:rPr>
          <w:rFonts w:hint="default" w:ascii="Times New Roman" w:hAnsi="Times New Roman" w:cs="Times New Roman" w:eastAsiaTheme="minorEastAsia"/>
          <w:b w:val="0"/>
          <w:bCs w:val="0"/>
          <w:color w:val="auto"/>
          <w:kern w:val="2"/>
          <w:sz w:val="21"/>
          <w:szCs w:val="21"/>
          <w:highlight w:val="none"/>
          <w:lang w:val="en-US" w:eastAsia="zh-CN" w:bidi="ar-SA"/>
        </w:rPr>
        <w:t>设备模型</w:t>
      </w:r>
      <w:r>
        <w:rPr>
          <w:rFonts w:hint="default" w:cs="Times New Roman"/>
          <w:b w:val="0"/>
          <w:bCs w:val="0"/>
          <w:color w:val="auto"/>
          <w:kern w:val="2"/>
          <w:sz w:val="21"/>
          <w:szCs w:val="21"/>
          <w:highlight w:val="none"/>
          <w:lang w:val="en-US" w:eastAsia="zh-CN" w:bidi="ar-SA"/>
        </w:rPr>
        <w:t>安装</w:t>
      </w:r>
      <w:r>
        <w:rPr>
          <w:rFonts w:hint="default" w:ascii="Times New Roman" w:hAnsi="Times New Roman" w:cs="Times New Roman" w:eastAsiaTheme="minorEastAsia"/>
          <w:b w:val="0"/>
          <w:bCs w:val="0"/>
          <w:color w:val="auto"/>
          <w:kern w:val="2"/>
          <w:sz w:val="21"/>
          <w:szCs w:val="21"/>
          <w:highlight w:val="none"/>
          <w:lang w:val="en-US" w:eastAsia="zh-CN" w:bidi="ar-SA"/>
        </w:rPr>
        <w:t>完成</w:t>
      </w:r>
      <w:r>
        <w:rPr>
          <w:rFonts w:hint="default" w:cs="Times New Roman"/>
          <w:b w:val="0"/>
          <w:bCs w:val="0"/>
          <w:color w:val="auto"/>
          <w:kern w:val="2"/>
          <w:sz w:val="21"/>
          <w:szCs w:val="21"/>
          <w:highlight w:val="none"/>
          <w:lang w:val="en-US" w:eastAsia="zh-CN" w:bidi="ar-SA"/>
        </w:rPr>
        <w:t>，</w:t>
      </w:r>
      <w:r>
        <w:rPr>
          <w:rFonts w:hint="default" w:ascii="Times New Roman" w:hAnsi="Times New Roman" w:cs="Times New Roman" w:eastAsiaTheme="minorEastAsia"/>
          <w:b w:val="0"/>
          <w:bCs w:val="0"/>
          <w:color w:val="auto"/>
          <w:kern w:val="2"/>
          <w:sz w:val="21"/>
          <w:szCs w:val="21"/>
          <w:highlight w:val="none"/>
          <w:lang w:val="en-US" w:eastAsia="zh-CN" w:bidi="ar-SA"/>
        </w:rPr>
        <w:t>数量</w:t>
      </w:r>
      <w:r>
        <w:rPr>
          <w:rFonts w:hint="default" w:cs="Times New Roman"/>
          <w:b w:val="0"/>
          <w:bCs w:val="0"/>
          <w:color w:val="auto"/>
          <w:kern w:val="2"/>
          <w:sz w:val="21"/>
          <w:szCs w:val="21"/>
          <w:highlight w:val="none"/>
          <w:lang w:val="en-US" w:eastAsia="zh-CN" w:bidi="ar-SA"/>
        </w:rPr>
        <w:t>齐全”</w:t>
      </w:r>
      <w:r>
        <w:rPr>
          <w:rFonts w:hint="default"/>
          <w:color w:val="auto"/>
          <w:highlight w:val="none"/>
          <w:lang w:val="en-US" w:eastAsia="zh-CN"/>
        </w:rPr>
        <w:t>。</w:t>
      </w:r>
    </w:p>
    <w:p w14:paraId="6A9C1E11">
      <w:pPr>
        <w:pStyle w:val="5"/>
        <w:rPr>
          <w:rFonts w:hint="default"/>
          <w:color w:val="auto"/>
          <w:highlight w:val="none"/>
          <w:lang w:val="en-US" w:eastAsia="zh-CN"/>
        </w:rPr>
      </w:pPr>
      <w:r>
        <w:rPr>
          <w:rFonts w:hint="default"/>
          <w:color w:val="auto"/>
          <w:highlight w:val="none"/>
          <w:lang w:val="en-US" w:eastAsia="zh-CN"/>
        </w:rPr>
        <w:t>（3）电商及直播运营实训基地项目实施情况</w:t>
      </w:r>
    </w:p>
    <w:p w14:paraId="538C5913">
      <w:pPr>
        <w:pStyle w:val="5"/>
        <w:rPr>
          <w:rFonts w:hint="default"/>
          <w:color w:val="auto"/>
          <w:highlight w:val="none"/>
          <w:lang w:val="en-US" w:eastAsia="zh-CN"/>
        </w:rPr>
      </w:pPr>
      <w:r>
        <w:rPr>
          <w:rFonts w:hint="default"/>
          <w:color w:val="auto"/>
          <w:highlight w:val="none"/>
          <w:lang w:val="en-US" w:eastAsia="zh-CN"/>
        </w:rPr>
        <w:t>①项目采购情况</w:t>
      </w:r>
    </w:p>
    <w:p w14:paraId="5FD9209A">
      <w:pPr>
        <w:pStyle w:val="5"/>
        <w:rPr>
          <w:rFonts w:hint="default"/>
          <w:color w:val="auto"/>
          <w:highlight w:val="none"/>
          <w:lang w:val="en-US" w:eastAsia="zh-CN"/>
        </w:rPr>
      </w:pPr>
      <w:r>
        <w:rPr>
          <w:rFonts w:hint="default"/>
          <w:color w:val="auto"/>
          <w:highlight w:val="none"/>
          <w:lang w:val="en-US" w:eastAsia="zh-CN"/>
        </w:rPr>
        <w:t>2024年1月16日，吉木萨尔中等职业技术学校提交采购计划，经吉木萨尔县采购小组办公室、采购单位分管领导及采购分管县领导同意后，委托吉木萨尔县政务服务和公共资源交易管理局组织电商及直播运营实训基地项目的公开招标工作。2024年3月22日，在政府采购网发布项目公开招标公告。于2024年5月8日通过公开招标方式最终确定供货商为新疆金鸿瑞科教设备有限公司，计划采购金额200.00万元，实际采购金额为182.75元，供货内容为电商及直播运营实训设备（详见基础表2“附表2-6：电商及直播运营实训基地设备采购第一批明细表”）；于2024年9月6日完成设备采购安装调试，验收内容为“一、录播及直播实训室设备；二、电子商务运营推广实训室设备”。</w:t>
      </w:r>
      <w:r>
        <w:rPr>
          <w:rFonts w:hint="default" w:cs="Times New Roman"/>
          <w:b w:val="0"/>
          <w:bCs w:val="0"/>
          <w:color w:val="auto"/>
          <w:kern w:val="2"/>
          <w:sz w:val="21"/>
          <w:szCs w:val="21"/>
          <w:highlight w:val="none"/>
          <w:lang w:val="en-US" w:eastAsia="zh-CN" w:bidi="ar-SA"/>
        </w:rPr>
        <w:t>验收结果为：“设备齐全，已安装调试完成，可以正常使用，培训</w:t>
      </w:r>
      <w:r>
        <w:rPr>
          <w:rFonts w:hint="eastAsia" w:cs="Times New Roman"/>
          <w:b w:val="0"/>
          <w:bCs w:val="0"/>
          <w:color w:val="auto"/>
          <w:kern w:val="2"/>
          <w:sz w:val="21"/>
          <w:szCs w:val="21"/>
          <w:highlight w:val="none"/>
          <w:lang w:val="en-US" w:eastAsia="zh-CN" w:bidi="ar-SA"/>
        </w:rPr>
        <w:t>已</w:t>
      </w:r>
      <w:r>
        <w:rPr>
          <w:rFonts w:hint="default" w:cs="Times New Roman"/>
          <w:b w:val="0"/>
          <w:bCs w:val="0"/>
          <w:color w:val="auto"/>
          <w:kern w:val="2"/>
          <w:sz w:val="21"/>
          <w:szCs w:val="21"/>
          <w:highlight w:val="none"/>
          <w:lang w:val="en-US" w:eastAsia="zh-CN" w:bidi="ar-SA"/>
        </w:rPr>
        <w:t>完成，可独立操作使用”</w:t>
      </w:r>
      <w:r>
        <w:rPr>
          <w:rFonts w:hint="default"/>
          <w:color w:val="auto"/>
          <w:highlight w:val="none"/>
          <w:lang w:val="en-US" w:eastAsia="zh-CN"/>
        </w:rPr>
        <w:t>。</w:t>
      </w:r>
    </w:p>
    <w:p w14:paraId="1A162D19">
      <w:pPr>
        <w:pStyle w:val="5"/>
        <w:rPr>
          <w:rFonts w:hint="default"/>
          <w:color w:val="auto"/>
          <w:highlight w:val="none"/>
          <w:lang w:val="en-US" w:eastAsia="zh-CN"/>
        </w:rPr>
      </w:pPr>
      <w:r>
        <w:rPr>
          <w:rFonts w:hint="default"/>
          <w:color w:val="auto"/>
          <w:highlight w:val="none"/>
          <w:lang w:val="en-US" w:eastAsia="zh-CN"/>
        </w:rPr>
        <w:t>②项目调整情况</w:t>
      </w:r>
    </w:p>
    <w:p w14:paraId="03FB10CA">
      <w:pPr>
        <w:pStyle w:val="5"/>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项目实施单位根据建设需要，向上级申请使用项目结余资金继续用于该项目相关建设，拟定吉木萨尔中等职业技术学校电商直播运营实训设备项目补充采购设备清单，并于2024年7月1日收到《2024年第17次局党组会议纪要》（昌州教党函〔2024〕17号），同意吉木萨尔中等职业技术学校继续使用“电商及直播运营实训基地项目”招标后结余资金17.255万元，用于采购该实训基地补充器材设备（详见基础表2“附表2-7：电商及直播运营实训基地设备采购第二批明细表”）。</w:t>
      </w:r>
    </w:p>
    <w:p w14:paraId="766C65BC">
      <w:pPr>
        <w:pStyle w:val="5"/>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2024年10月10日，项目实施单位通过新疆维吾尔自治区政采云平台网上超市采购确定中标人为新疆盯云智能科技有限公司，实际中标价为17.255万元，采购内容主要为吉木萨尔中等职业技术学校电商及直播运营实训设备补充设备，于2024年10月28日完成设备</w:t>
      </w:r>
      <w:r>
        <w:rPr>
          <w:rFonts w:hint="eastAsia" w:cs="Times New Roman"/>
          <w:color w:val="auto"/>
          <w:highlight w:val="none"/>
          <w:lang w:val="en-US" w:eastAsia="zh-CN"/>
        </w:rPr>
        <w:t>采购</w:t>
      </w:r>
      <w:r>
        <w:rPr>
          <w:rFonts w:hint="default" w:ascii="Times New Roman" w:hAnsi="Times New Roman" w:cs="Times New Roman"/>
          <w:color w:val="auto"/>
          <w:highlight w:val="none"/>
          <w:lang w:val="en-US" w:eastAsia="zh-CN"/>
        </w:rPr>
        <w:t>并验收合格。验收内容为“电子商务实训设备一套”。验收结果为：“收到货物数量与订单数量一致”。</w:t>
      </w:r>
    </w:p>
    <w:p w14:paraId="5440808B">
      <w:pPr>
        <w:pStyle w:val="4"/>
        <w:ind w:firstLine="422"/>
        <w:rPr>
          <w:rFonts w:hint="default" w:ascii="Times New Roman" w:hAnsi="Times New Roman"/>
          <w:color w:val="auto"/>
          <w:highlight w:val="none"/>
          <w:lang w:val="en-US" w:eastAsia="zh-CN"/>
        </w:rPr>
      </w:pPr>
      <w:r>
        <w:rPr>
          <w:rFonts w:hint="default" w:ascii="Times New Roman" w:hAnsi="Times New Roman"/>
          <w:color w:val="auto"/>
          <w:lang w:val="en-US" w:eastAsia="zh-CN"/>
        </w:rPr>
        <w:t>3.资产管理及使用情况</w:t>
      </w:r>
    </w:p>
    <w:p w14:paraId="49C92797">
      <w:pPr>
        <w:ind w:firstLine="420"/>
        <w:rPr>
          <w:color w:val="auto"/>
          <w:highlight w:val="yellow"/>
        </w:rPr>
      </w:pPr>
      <w:r>
        <w:rPr>
          <w:rFonts w:hint="eastAsia"/>
          <w:color w:val="auto"/>
          <w:highlight w:val="none"/>
          <w:lang w:val="en-US" w:eastAsia="zh-CN"/>
        </w:rPr>
        <w:t>根据项目</w:t>
      </w:r>
      <w:r>
        <w:rPr>
          <w:rFonts w:hint="default"/>
          <w:color w:val="auto"/>
          <w:highlight w:val="none"/>
          <w:lang w:val="en-US" w:eastAsia="zh-CN"/>
        </w:rPr>
        <w:t>实施单位提供</w:t>
      </w:r>
      <w:r>
        <w:rPr>
          <w:rFonts w:hint="eastAsia"/>
          <w:color w:val="auto"/>
          <w:highlight w:val="none"/>
          <w:lang w:val="en-US" w:eastAsia="zh-CN"/>
        </w:rPr>
        <w:t>的</w:t>
      </w:r>
      <w:r>
        <w:rPr>
          <w:rFonts w:hint="default"/>
          <w:color w:val="auto"/>
          <w:highlight w:val="none"/>
          <w:lang w:val="en-US" w:eastAsia="zh-CN"/>
        </w:rPr>
        <w:t>固定资产明细账，</w:t>
      </w:r>
      <w:r>
        <w:rPr>
          <w:rFonts w:hint="eastAsia"/>
          <w:color w:val="auto"/>
          <w:highlight w:val="none"/>
          <w:lang w:val="en-US" w:eastAsia="zh-CN"/>
        </w:rPr>
        <w:t>该项目购置</w:t>
      </w:r>
      <w:r>
        <w:rPr>
          <w:rFonts w:hint="default"/>
          <w:color w:val="auto"/>
          <w:highlight w:val="none"/>
          <w:lang w:val="en-US" w:eastAsia="zh-CN"/>
        </w:rPr>
        <w:t>设备</w:t>
      </w:r>
      <w:r>
        <w:rPr>
          <w:rFonts w:hint="eastAsia"/>
          <w:color w:val="auto"/>
          <w:highlight w:val="none"/>
          <w:lang w:val="en-US" w:eastAsia="zh-CN"/>
        </w:rPr>
        <w:t>资产总价为696.16万元，其中：电商专业固定资产总价为196.16万元，化工专业固定资产总价为500.00万元</w:t>
      </w:r>
      <w:r>
        <w:rPr>
          <w:rFonts w:hint="default"/>
          <w:color w:val="auto"/>
          <w:highlight w:val="none"/>
          <w:lang w:val="en-US" w:eastAsia="zh-CN"/>
        </w:rPr>
        <w:t>。根据实施单位提供的《资产卡片列表（2024年部分资产情况表）》，</w:t>
      </w:r>
      <w:r>
        <w:rPr>
          <w:rFonts w:hint="eastAsia"/>
          <w:color w:val="auto"/>
          <w:highlight w:val="none"/>
          <w:lang w:val="en-US" w:eastAsia="zh-CN"/>
        </w:rPr>
        <w:t>其中电商专业购进的专业摄像机和信号源设备、其他卫星广播电视设备等设备资产共计31项114.33万元已录入固定资产管理系统管理，剩余81.83万元电商专业设备尚未录入固定资产管理系统；化工专业购进的</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智能多功能精细化学品实训装置</w:t>
      </w:r>
      <w:r>
        <w:rPr>
          <w:rFonts w:hint="eastAsia"/>
          <w:color w:val="auto"/>
          <w:highlight w:val="none"/>
          <w:lang w:val="en-US" w:eastAsia="zh-CN"/>
        </w:rPr>
        <w:t>、</w:t>
      </w:r>
      <w:r>
        <w:rPr>
          <w:rFonts w:hint="default"/>
          <w:color w:val="auto"/>
          <w:highlight w:val="none"/>
          <w:lang w:val="en-US" w:eastAsia="zh-CN"/>
        </w:rPr>
        <w:t>新型煤化工工艺实训考核装置</w:t>
      </w:r>
      <w:r>
        <w:rPr>
          <w:rFonts w:hint="eastAsia"/>
          <w:color w:val="auto"/>
          <w:highlight w:val="none"/>
          <w:lang w:val="en-US" w:eastAsia="zh-CN"/>
        </w:rPr>
        <w:t>、</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氯碱电解工艺实训考核装置</w:t>
      </w:r>
      <w:r>
        <w:rPr>
          <w:rFonts w:hint="eastAsia"/>
          <w:color w:val="auto"/>
          <w:highlight w:val="none"/>
          <w:lang w:val="en-US" w:eastAsia="zh-CN"/>
        </w:rPr>
        <w:t>、</w:t>
      </w:r>
      <w:r>
        <w:rPr>
          <w:rFonts w:hint="default"/>
          <w:color w:val="auto"/>
          <w:highlight w:val="none"/>
          <w:lang w:val="en-US" w:eastAsia="zh-CN"/>
        </w:rPr>
        <w:t>化工维修拆装设备</w:t>
      </w:r>
      <w:r>
        <w:rPr>
          <w:rFonts w:hint="eastAsia"/>
          <w:color w:val="auto"/>
          <w:highlight w:val="none"/>
          <w:lang w:val="en-US" w:eastAsia="zh-CN"/>
        </w:rPr>
        <w:t>、</w:t>
      </w:r>
      <w:r>
        <w:rPr>
          <w:rFonts w:hint="default"/>
          <w:color w:val="auto"/>
          <w:highlight w:val="none"/>
          <w:lang w:val="en-US" w:eastAsia="zh-CN"/>
        </w:rPr>
        <w:t>化工实验室基础设备</w:t>
      </w:r>
      <w:r>
        <w:rPr>
          <w:rFonts w:hint="eastAsia"/>
          <w:color w:val="auto"/>
          <w:highlight w:val="none"/>
          <w:lang w:val="en-US" w:eastAsia="zh-CN"/>
        </w:rPr>
        <w:t>、</w:t>
      </w:r>
      <w:r>
        <w:rPr>
          <w:rFonts w:hint="default"/>
          <w:color w:val="auto"/>
          <w:highlight w:val="none"/>
          <w:lang w:val="en-US" w:eastAsia="zh-CN"/>
        </w:rPr>
        <w:t>化工仪表控制拆装维修考核综合实训社保</w:t>
      </w:r>
      <w:r>
        <w:rPr>
          <w:rFonts w:hint="eastAsia"/>
          <w:color w:val="auto"/>
          <w:highlight w:val="none"/>
          <w:lang w:val="en-US" w:eastAsia="zh-CN"/>
        </w:rPr>
        <w:t>等设备资产共计17项364.49万元已录入固定资产管理系统管理，剩余135.51万元化工专业设备尚未录入固定资产管理系统</w:t>
      </w:r>
      <w:r>
        <w:rPr>
          <w:rFonts w:hint="default"/>
          <w:color w:val="auto"/>
          <w:highlight w:val="none"/>
          <w:lang w:val="en-US" w:eastAsia="zh-CN"/>
        </w:rPr>
        <w:t>。</w:t>
      </w:r>
    </w:p>
    <w:p w14:paraId="1F710403">
      <w:pPr>
        <w:ind w:firstLine="420"/>
        <w:rPr>
          <w:rFonts w:hint="default"/>
          <w:color w:val="auto"/>
          <w:highlight w:val="yellow"/>
          <w:lang w:val="en-US" w:eastAsia="zh-CN"/>
        </w:rPr>
      </w:pPr>
      <w:r>
        <w:rPr>
          <w:rFonts w:hint="default"/>
          <w:color w:val="auto"/>
          <w:highlight w:val="none"/>
          <w:lang w:val="en-US" w:eastAsia="zh-CN"/>
        </w:rPr>
        <w:t>根据学校提供的《教学进程安排表》，2024年</w:t>
      </w:r>
      <w:r>
        <w:rPr>
          <w:rFonts w:hint="eastAsia"/>
          <w:color w:val="auto"/>
          <w:highlight w:val="none"/>
          <w:lang w:val="en-US" w:eastAsia="zh-CN"/>
        </w:rPr>
        <w:t>8</w:t>
      </w:r>
      <w:r>
        <w:rPr>
          <w:rFonts w:hint="default"/>
          <w:color w:val="auto"/>
          <w:highlight w:val="none"/>
          <w:lang w:val="en-US" w:eastAsia="zh-CN"/>
        </w:rPr>
        <w:t>月—2025年</w:t>
      </w:r>
      <w:r>
        <w:rPr>
          <w:rFonts w:hint="eastAsia"/>
          <w:color w:val="auto"/>
          <w:highlight w:val="none"/>
          <w:lang w:val="en-US" w:eastAsia="zh-CN"/>
        </w:rPr>
        <w:t>5</w:t>
      </w:r>
      <w:r>
        <w:rPr>
          <w:rFonts w:hint="default"/>
          <w:color w:val="auto"/>
          <w:highlight w:val="none"/>
          <w:lang w:val="en-US" w:eastAsia="zh-CN"/>
        </w:rPr>
        <w:t>月期间，化工及化工安全实训基地主要用于</w:t>
      </w:r>
      <w:r>
        <w:rPr>
          <w:rFonts w:hint="default" w:eastAsia="宋体"/>
          <w:color w:val="auto"/>
          <w:lang w:val="en-US" w:eastAsia="zh-CN"/>
        </w:rPr>
        <w:t>78名</w:t>
      </w:r>
      <w:r>
        <w:rPr>
          <w:rFonts w:hint="default"/>
          <w:color w:val="auto"/>
          <w:highlight w:val="none"/>
          <w:lang w:val="en-US" w:eastAsia="zh-CN"/>
        </w:rPr>
        <w:t>化学工艺专业学生教学使用；202</w:t>
      </w:r>
      <w:r>
        <w:rPr>
          <w:rFonts w:hint="eastAsia"/>
          <w:color w:val="auto"/>
          <w:highlight w:val="none"/>
          <w:lang w:val="en-US" w:eastAsia="zh-CN"/>
        </w:rPr>
        <w:t>5</w:t>
      </w:r>
      <w:r>
        <w:rPr>
          <w:rFonts w:hint="default"/>
          <w:color w:val="auto"/>
          <w:highlight w:val="none"/>
          <w:lang w:val="en-US" w:eastAsia="zh-CN"/>
        </w:rPr>
        <w:t>年</w:t>
      </w:r>
      <w:r>
        <w:rPr>
          <w:rFonts w:hint="eastAsia"/>
          <w:color w:val="auto"/>
          <w:highlight w:val="none"/>
          <w:lang w:val="en-US" w:eastAsia="zh-CN"/>
        </w:rPr>
        <w:t>3</w:t>
      </w:r>
      <w:r>
        <w:rPr>
          <w:rFonts w:hint="default"/>
          <w:color w:val="auto"/>
          <w:highlight w:val="none"/>
          <w:lang w:val="en-US" w:eastAsia="zh-CN"/>
        </w:rPr>
        <w:t>月—2025年</w:t>
      </w:r>
      <w:r>
        <w:rPr>
          <w:rFonts w:hint="eastAsia"/>
          <w:color w:val="auto"/>
          <w:highlight w:val="none"/>
          <w:lang w:val="en-US" w:eastAsia="zh-CN"/>
        </w:rPr>
        <w:t>5</w:t>
      </w:r>
      <w:r>
        <w:rPr>
          <w:rFonts w:hint="default"/>
          <w:color w:val="auto"/>
          <w:highlight w:val="none"/>
          <w:lang w:val="en-US" w:eastAsia="zh-CN"/>
        </w:rPr>
        <w:t>月期间，电商及直播运营实训基地主要用于</w:t>
      </w:r>
      <w:r>
        <w:rPr>
          <w:rFonts w:hint="default" w:eastAsia="宋体"/>
          <w:color w:val="auto"/>
          <w:lang w:val="en-US" w:eastAsia="zh-CN"/>
        </w:rPr>
        <w:t>79名</w:t>
      </w:r>
      <w:r>
        <w:rPr>
          <w:rFonts w:hint="default"/>
          <w:color w:val="auto"/>
          <w:highlight w:val="none"/>
          <w:lang w:val="en-US" w:eastAsia="zh-CN"/>
        </w:rPr>
        <w:t>电子商务专业学生教学使用</w:t>
      </w:r>
      <w:r>
        <w:rPr>
          <w:rFonts w:hint="default" w:eastAsia="宋体"/>
          <w:color w:val="auto"/>
          <w:lang w:val="en-US" w:eastAsia="zh-CN"/>
        </w:rPr>
        <w:t>。</w:t>
      </w:r>
    </w:p>
    <w:bookmarkEnd w:id="43"/>
    <w:p w14:paraId="382EEEBE">
      <w:pPr>
        <w:pStyle w:val="2"/>
        <w:spacing w:line="360" w:lineRule="auto"/>
        <w:ind w:firstLine="482"/>
        <w:rPr>
          <w:rFonts w:ascii="Times New Roman" w:hAnsi="Times New Roman"/>
          <w:color w:val="auto"/>
        </w:rPr>
      </w:pPr>
      <w:bookmarkStart w:id="44" w:name="_Toc23134"/>
      <w:bookmarkStart w:id="45" w:name="_Toc1644"/>
      <w:bookmarkStart w:id="46" w:name="_Toc12841"/>
      <w:r>
        <w:rPr>
          <w:rFonts w:hint="default" w:ascii="Times New Roman" w:hAnsi="Times New Roman"/>
          <w:color w:val="auto"/>
        </w:rPr>
        <w:t>二、</w:t>
      </w:r>
      <w:r>
        <w:rPr>
          <w:rFonts w:ascii="Times New Roman" w:hAnsi="Times New Roman"/>
          <w:color w:val="auto"/>
        </w:rPr>
        <w:t>项目绩效目标</w:t>
      </w:r>
      <w:bookmarkEnd w:id="44"/>
      <w:bookmarkEnd w:id="45"/>
      <w:bookmarkEnd w:id="46"/>
    </w:p>
    <w:p w14:paraId="46D5BF9E">
      <w:pPr>
        <w:pStyle w:val="3"/>
        <w:ind w:firstLine="482"/>
        <w:rPr>
          <w:rFonts w:ascii="Times New Roman" w:hAnsi="Times New Roman"/>
          <w:color w:val="auto"/>
        </w:rPr>
      </w:pPr>
      <w:bookmarkStart w:id="47" w:name="_Toc18788"/>
      <w:bookmarkStart w:id="48" w:name="_Toc20072"/>
      <w:r>
        <w:rPr>
          <w:rFonts w:ascii="Times New Roman" w:hAnsi="Times New Roman"/>
          <w:color w:val="auto"/>
        </w:rPr>
        <w:t>（</w:t>
      </w:r>
      <w:r>
        <w:rPr>
          <w:rFonts w:hint="default" w:ascii="Times New Roman" w:hAnsi="Times New Roman"/>
          <w:color w:val="auto"/>
        </w:rPr>
        <w:t>一</w:t>
      </w:r>
      <w:r>
        <w:rPr>
          <w:rFonts w:ascii="Times New Roman" w:hAnsi="Times New Roman"/>
          <w:color w:val="auto"/>
        </w:rPr>
        <w:t>）项目绩效总目标</w:t>
      </w:r>
      <w:bookmarkEnd w:id="47"/>
      <w:bookmarkEnd w:id="48"/>
    </w:p>
    <w:p w14:paraId="7ECB8102">
      <w:pPr>
        <w:ind w:firstLine="420"/>
        <w:rPr>
          <w:color w:val="auto"/>
        </w:rPr>
      </w:pPr>
      <w:bookmarkStart w:id="49" w:name="_Toc2222"/>
      <w:r>
        <w:rPr>
          <w:rFonts w:hint="default"/>
          <w:color w:val="auto"/>
        </w:rPr>
        <w:t>按照</w:t>
      </w:r>
      <w:r>
        <w:rPr>
          <w:color w:val="auto"/>
        </w:rPr>
        <w:t>《关于推动现代职业教育高质量发展的意见》</w:t>
      </w:r>
      <w:r>
        <w:rPr>
          <w:rFonts w:hint="default"/>
          <w:color w:val="auto"/>
        </w:rPr>
        <w:t>，围绕建设</w:t>
      </w:r>
      <w:r>
        <w:rPr>
          <w:color w:val="auto"/>
        </w:rPr>
        <w:t>现代职业教育体系目标要求，</w:t>
      </w:r>
      <w:r>
        <w:rPr>
          <w:rFonts w:hint="default"/>
          <w:color w:val="auto"/>
        </w:rPr>
        <w:t>长期</w:t>
      </w:r>
      <w:r>
        <w:rPr>
          <w:color w:val="auto"/>
        </w:rPr>
        <w:t>开展</w:t>
      </w:r>
      <w:r>
        <w:rPr>
          <w:rFonts w:hint="default"/>
          <w:color w:val="auto"/>
        </w:rPr>
        <w:t>现代职业教育质量提升计划</w:t>
      </w:r>
      <w:r>
        <w:rPr>
          <w:color w:val="auto"/>
        </w:rPr>
        <w:t>，不断</w:t>
      </w:r>
      <w:r>
        <w:rPr>
          <w:rFonts w:hint="default"/>
          <w:color w:val="auto"/>
        </w:rPr>
        <w:t>提升教育教学质量，保障教学使用需求，促进职业教育优质创新发展。</w:t>
      </w:r>
    </w:p>
    <w:p w14:paraId="065F0A44">
      <w:pPr>
        <w:pStyle w:val="3"/>
        <w:ind w:firstLine="482"/>
        <w:rPr>
          <w:rFonts w:ascii="Times New Roman" w:hAnsi="Times New Roman"/>
          <w:color w:val="auto"/>
        </w:rPr>
      </w:pPr>
      <w:bookmarkStart w:id="50" w:name="_Toc12266"/>
      <w:r>
        <w:rPr>
          <w:rFonts w:hint="default" w:ascii="Times New Roman" w:hAnsi="Times New Roman"/>
          <w:color w:val="auto"/>
        </w:rPr>
        <w:t>（二）年度绩效</w:t>
      </w:r>
      <w:r>
        <w:rPr>
          <w:rFonts w:ascii="Times New Roman" w:hAnsi="Times New Roman"/>
          <w:color w:val="auto"/>
        </w:rPr>
        <w:t>目标</w:t>
      </w:r>
      <w:bookmarkEnd w:id="49"/>
      <w:bookmarkEnd w:id="50"/>
    </w:p>
    <w:bookmarkEnd w:id="39"/>
    <w:p w14:paraId="52458C35">
      <w:pPr>
        <w:ind w:firstLine="420"/>
        <w:rPr>
          <w:color w:val="auto"/>
        </w:rPr>
      </w:pPr>
      <w:r>
        <w:rPr>
          <w:color w:val="auto"/>
        </w:rPr>
        <w:t>根据《项目支出绩效评价管理办法》（财预</w:t>
      </w:r>
      <w:r>
        <w:rPr>
          <w:color w:val="auto"/>
          <w:lang w:eastAsia="zh-Hans"/>
        </w:rPr>
        <w:t>〔20</w:t>
      </w:r>
      <w:r>
        <w:rPr>
          <w:color w:val="auto"/>
        </w:rPr>
        <w:t>20</w:t>
      </w:r>
      <w:r>
        <w:rPr>
          <w:color w:val="auto"/>
          <w:lang w:eastAsia="zh-Hans"/>
        </w:rPr>
        <w:t>〕</w:t>
      </w:r>
      <w:r>
        <w:rPr>
          <w:color w:val="auto"/>
        </w:rPr>
        <w:t>10号）的规定，结合项目相关信息，评价小组对原有项目年度目标进行完善后，将年度目标细化分解为个性指标，与文件下发的共性指标共同构成该项目三级指标体系，经与项目单位沟通后，最终确定该项目</w:t>
      </w:r>
      <w:r>
        <w:rPr>
          <w:rFonts w:hint="default" w:ascii="Times New Roman" w:hAnsi="Times New Roman" w:cs="Times New Roman"/>
          <w:color w:val="auto"/>
        </w:rPr>
        <w:t>年度绩效目标为：计划</w:t>
      </w:r>
      <w:r>
        <w:rPr>
          <w:rFonts w:hint="default" w:ascii="Times New Roman" w:hAnsi="Times New Roman" w:cs="Times New Roman"/>
          <w:color w:val="auto"/>
          <w:lang w:eastAsia="zh-CN"/>
        </w:rPr>
        <w:t>2024</w:t>
      </w:r>
      <w:r>
        <w:rPr>
          <w:rFonts w:hint="default" w:ascii="Times New Roman" w:hAnsi="Times New Roman" w:cs="Times New Roman"/>
          <w:color w:val="auto"/>
        </w:rPr>
        <w:t>年内完成</w:t>
      </w:r>
      <w:r>
        <w:rPr>
          <w:rFonts w:hint="default"/>
          <w:color w:val="auto"/>
          <w:lang w:val="en-US" w:eastAsia="zh-CN"/>
        </w:rPr>
        <w:t>化工及化工安全实训</w:t>
      </w:r>
      <w:r>
        <w:rPr>
          <w:rFonts w:hint="default"/>
          <w:color w:val="auto"/>
          <w:lang w:eastAsia="zh-CN"/>
        </w:rPr>
        <w:t>基地</w:t>
      </w:r>
      <w:r>
        <w:rPr>
          <w:rFonts w:hint="default"/>
          <w:color w:val="auto"/>
          <w:lang w:val="en-US" w:eastAsia="zh-CN"/>
        </w:rPr>
        <w:t>和</w:t>
      </w:r>
      <w:r>
        <w:rPr>
          <w:rFonts w:hint="default"/>
          <w:color w:val="auto"/>
          <w:lang w:eastAsia="zh-CN"/>
        </w:rPr>
        <w:t>电商及直播运营实训基地</w:t>
      </w:r>
      <w:r>
        <w:rPr>
          <w:color w:val="auto"/>
          <w:lang w:eastAsia="zh-Hans"/>
        </w:rPr>
        <w:t>购置教学及实训所需的软件及硬件设备等</w:t>
      </w:r>
      <w:r>
        <w:rPr>
          <w:rFonts w:hint="default" w:ascii="Times New Roman" w:hAnsi="Times New Roman" w:cs="Times New Roman"/>
          <w:color w:val="auto"/>
        </w:rPr>
        <w:t>，完善实训室设备设施，提升学生实训基础能力，</w:t>
      </w:r>
      <w:r>
        <w:rPr>
          <w:rFonts w:hint="default"/>
          <w:color w:val="auto"/>
        </w:rPr>
        <w:t>保障教学使用需求，促进职业教育优质创新发展</w:t>
      </w:r>
      <w:r>
        <w:rPr>
          <w:rFonts w:hint="default" w:ascii="Times New Roman" w:hAnsi="Times New Roman" w:cs="Times New Roman"/>
          <w:color w:val="auto"/>
        </w:rPr>
        <w:t>。</w:t>
      </w:r>
      <w:r>
        <w:rPr>
          <w:rFonts w:hint="default"/>
          <w:color w:val="auto"/>
        </w:rPr>
        <w:t>具体</w:t>
      </w:r>
      <w:r>
        <w:rPr>
          <w:color w:val="auto"/>
        </w:rPr>
        <w:t>目标如下：</w:t>
      </w:r>
    </w:p>
    <w:p w14:paraId="0764FE96">
      <w:pPr>
        <w:ind w:firstLine="422"/>
        <w:rPr>
          <w:b/>
          <w:bCs/>
          <w:color w:val="auto"/>
        </w:rPr>
      </w:pPr>
      <w:r>
        <w:rPr>
          <w:b/>
          <w:bCs/>
          <w:color w:val="auto"/>
        </w:rPr>
        <w:t>（1）项目产出目标</w:t>
      </w:r>
    </w:p>
    <w:p w14:paraId="3AF08FA3">
      <w:pPr>
        <w:ind w:firstLine="420"/>
        <w:rPr>
          <w:color w:val="auto"/>
        </w:rPr>
      </w:pPr>
      <w:r>
        <w:rPr>
          <w:rFonts w:hint="default"/>
          <w:color w:val="auto"/>
        </w:rPr>
        <w:t>①</w:t>
      </w:r>
      <w:r>
        <w:rPr>
          <w:color w:val="auto"/>
        </w:rPr>
        <w:t>产出数量</w:t>
      </w:r>
    </w:p>
    <w:p w14:paraId="5293368B">
      <w:pPr>
        <w:ind w:firstLine="420"/>
        <w:rPr>
          <w:rFonts w:hint="default" w:eastAsiaTheme="minorEastAsia"/>
          <w:color w:val="auto"/>
          <w:lang w:val="en-US" w:eastAsia="zh-CN"/>
        </w:rPr>
      </w:pPr>
      <w:r>
        <w:rPr>
          <w:rFonts w:hint="default"/>
          <w:color w:val="auto"/>
        </w:rPr>
        <w:t>“</w:t>
      </w:r>
      <w:r>
        <w:rPr>
          <w:color w:val="auto"/>
        </w:rPr>
        <w:t>C11</w:t>
      </w:r>
      <w:r>
        <w:rPr>
          <w:rFonts w:hint="default"/>
          <w:color w:val="auto"/>
        </w:rPr>
        <w:t>化工及化工安全实训基地设备</w:t>
      </w:r>
      <w:r>
        <w:rPr>
          <w:rFonts w:hint="default"/>
          <w:color w:val="auto"/>
          <w:lang w:val="en-US" w:eastAsia="zh-CN"/>
        </w:rPr>
        <w:t>采购计划完成率</w:t>
      </w:r>
      <w:r>
        <w:rPr>
          <w:rFonts w:hint="default"/>
          <w:color w:val="auto"/>
        </w:rPr>
        <w:t>”</w:t>
      </w:r>
      <w:r>
        <w:rPr>
          <w:color w:val="auto"/>
        </w:rPr>
        <w:t>指标，预期指标值为</w:t>
      </w:r>
      <w:r>
        <w:rPr>
          <w:rFonts w:hint="default"/>
          <w:color w:val="auto"/>
        </w:rPr>
        <w:t>等于</w:t>
      </w:r>
      <w:r>
        <w:rPr>
          <w:rFonts w:hint="default"/>
          <w:color w:val="auto"/>
          <w:lang w:val="en-US" w:eastAsia="zh-CN"/>
        </w:rPr>
        <w:t>100.00%</w:t>
      </w:r>
    </w:p>
    <w:p w14:paraId="2926E8FB">
      <w:pPr>
        <w:ind w:firstLine="420"/>
        <w:rPr>
          <w:color w:val="auto"/>
        </w:rPr>
      </w:pPr>
      <w:r>
        <w:rPr>
          <w:rFonts w:hint="default"/>
          <w:color w:val="auto"/>
        </w:rPr>
        <w:t>“C</w:t>
      </w:r>
      <w:r>
        <w:rPr>
          <w:rFonts w:hint="default"/>
          <w:color w:val="auto"/>
          <w:lang w:val="en-US" w:eastAsia="zh-CN"/>
        </w:rPr>
        <w:t>12</w:t>
      </w:r>
      <w:r>
        <w:rPr>
          <w:rFonts w:hint="default"/>
          <w:color w:val="auto"/>
        </w:rPr>
        <w:t>电商及直播实训基地</w:t>
      </w:r>
      <w:r>
        <w:rPr>
          <w:rFonts w:hint="default"/>
          <w:color w:val="auto"/>
          <w:lang w:val="en-US" w:eastAsia="zh-CN"/>
        </w:rPr>
        <w:t>采购计划完成率</w:t>
      </w:r>
      <w:r>
        <w:rPr>
          <w:rFonts w:hint="default"/>
          <w:color w:val="auto"/>
        </w:rPr>
        <w:t>”</w:t>
      </w:r>
      <w:r>
        <w:rPr>
          <w:color w:val="auto"/>
        </w:rPr>
        <w:t>指标，预期指标值为</w:t>
      </w:r>
      <w:r>
        <w:rPr>
          <w:rFonts w:hint="default"/>
          <w:color w:val="auto"/>
        </w:rPr>
        <w:t>等于</w:t>
      </w:r>
      <w:r>
        <w:rPr>
          <w:rFonts w:hint="default"/>
          <w:color w:val="auto"/>
          <w:lang w:val="en-US" w:eastAsia="zh-CN"/>
        </w:rPr>
        <w:t>100.00%</w:t>
      </w:r>
      <w:r>
        <w:rPr>
          <w:rFonts w:hint="default"/>
          <w:color w:val="auto"/>
        </w:rPr>
        <w:t>。</w:t>
      </w:r>
    </w:p>
    <w:p w14:paraId="58B0CFD2">
      <w:pPr>
        <w:ind w:firstLine="420"/>
        <w:rPr>
          <w:color w:val="auto"/>
        </w:rPr>
      </w:pPr>
      <w:r>
        <w:rPr>
          <w:rFonts w:hint="default"/>
          <w:color w:val="auto"/>
          <w:lang w:val="en-US" w:eastAsia="zh-CN"/>
        </w:rPr>
        <w:t>②</w:t>
      </w:r>
      <w:r>
        <w:rPr>
          <w:color w:val="auto"/>
        </w:rPr>
        <w:t>产出质量</w:t>
      </w:r>
    </w:p>
    <w:p w14:paraId="145AA08D">
      <w:pPr>
        <w:ind w:firstLine="420"/>
        <w:rPr>
          <w:color w:val="auto"/>
        </w:rPr>
      </w:pPr>
      <w:r>
        <w:rPr>
          <w:rFonts w:hint="default"/>
          <w:color w:val="auto"/>
        </w:rPr>
        <w:t>“</w:t>
      </w:r>
      <w:r>
        <w:rPr>
          <w:color w:val="auto"/>
        </w:rPr>
        <w:t>C21设备验收合格率</w:t>
      </w:r>
      <w:r>
        <w:rPr>
          <w:rFonts w:hint="default"/>
          <w:color w:val="auto"/>
        </w:rPr>
        <w:t>”</w:t>
      </w:r>
      <w:r>
        <w:rPr>
          <w:color w:val="auto"/>
        </w:rPr>
        <w:t>指标，预期指标值为100.00%。</w:t>
      </w:r>
    </w:p>
    <w:p w14:paraId="5C7EF5E4">
      <w:pPr>
        <w:ind w:firstLine="420"/>
        <w:rPr>
          <w:color w:val="auto"/>
        </w:rPr>
      </w:pPr>
      <w:r>
        <w:rPr>
          <w:rFonts w:hint="default"/>
          <w:color w:val="auto"/>
          <w:lang w:val="en-US" w:eastAsia="zh-CN"/>
        </w:rPr>
        <w:t>③</w:t>
      </w:r>
      <w:r>
        <w:rPr>
          <w:color w:val="auto"/>
        </w:rPr>
        <w:t>产出时效</w:t>
      </w:r>
    </w:p>
    <w:p w14:paraId="35FD7545">
      <w:pPr>
        <w:ind w:firstLine="420"/>
        <w:rPr>
          <w:color w:val="auto"/>
        </w:rPr>
      </w:pPr>
      <w:r>
        <w:rPr>
          <w:rFonts w:hint="default"/>
          <w:color w:val="auto"/>
        </w:rPr>
        <w:t>“</w:t>
      </w:r>
      <w:r>
        <w:rPr>
          <w:color w:val="auto"/>
        </w:rPr>
        <w:t>C31</w:t>
      </w:r>
      <w:r>
        <w:rPr>
          <w:rFonts w:hint="default"/>
          <w:color w:val="auto"/>
          <w:lang w:eastAsia="zh-CN"/>
        </w:rPr>
        <w:t>采购完成及时率</w:t>
      </w:r>
      <w:r>
        <w:rPr>
          <w:rFonts w:hint="default"/>
          <w:color w:val="auto"/>
        </w:rPr>
        <w:t>”</w:t>
      </w:r>
      <w:r>
        <w:rPr>
          <w:color w:val="auto"/>
        </w:rPr>
        <w:t>指标，预期指标值为</w:t>
      </w:r>
      <w:r>
        <w:rPr>
          <w:rFonts w:hint="default"/>
          <w:color w:val="auto"/>
          <w:lang w:val="en-US" w:eastAsia="zh-CN"/>
        </w:rPr>
        <w:t>100.00%</w:t>
      </w:r>
      <w:r>
        <w:rPr>
          <w:color w:val="auto"/>
        </w:rPr>
        <w:t>。</w:t>
      </w:r>
    </w:p>
    <w:p w14:paraId="7CB11313">
      <w:pPr>
        <w:ind w:firstLine="420"/>
        <w:rPr>
          <w:color w:val="auto"/>
        </w:rPr>
      </w:pPr>
      <w:r>
        <w:rPr>
          <w:rFonts w:hint="default"/>
          <w:color w:val="auto"/>
          <w:lang w:val="en-US" w:eastAsia="zh-CN"/>
        </w:rPr>
        <w:t>④</w:t>
      </w:r>
      <w:r>
        <w:rPr>
          <w:color w:val="auto"/>
        </w:rPr>
        <w:t>产出成本</w:t>
      </w:r>
    </w:p>
    <w:p w14:paraId="24AD54EA">
      <w:pPr>
        <w:ind w:firstLine="420"/>
        <w:rPr>
          <w:color w:val="auto"/>
        </w:rPr>
      </w:pPr>
      <w:r>
        <w:rPr>
          <w:rFonts w:hint="default"/>
          <w:color w:val="auto"/>
        </w:rPr>
        <w:t>“C41成本节约率”</w:t>
      </w:r>
      <w:r>
        <w:rPr>
          <w:color w:val="auto"/>
        </w:rPr>
        <w:t>指标，预期指标值为</w:t>
      </w:r>
      <w:r>
        <w:rPr>
          <w:rFonts w:hint="default"/>
          <w:color w:val="auto"/>
        </w:rPr>
        <w:t>0.00%</w:t>
      </w:r>
      <w:r>
        <w:rPr>
          <w:rFonts w:hint="eastAsia"/>
          <w:color w:val="auto"/>
          <w:lang w:val="en-US" w:eastAsia="zh-CN"/>
        </w:rPr>
        <w:t>-</w:t>
      </w:r>
      <w:r>
        <w:rPr>
          <w:rFonts w:hint="default"/>
          <w:color w:val="auto"/>
          <w:lang w:val="en-US" w:eastAsia="zh-CN"/>
        </w:rPr>
        <w:t>10%</w:t>
      </w:r>
      <w:r>
        <w:rPr>
          <w:color w:val="auto"/>
        </w:rPr>
        <w:t>。</w:t>
      </w:r>
    </w:p>
    <w:p w14:paraId="6551296B">
      <w:pPr>
        <w:ind w:firstLine="420"/>
        <w:rPr>
          <w:color w:val="auto"/>
        </w:rPr>
      </w:pPr>
      <w:r>
        <w:rPr>
          <w:color w:val="auto"/>
        </w:rPr>
        <w:t>（2）项目效益目标</w:t>
      </w:r>
    </w:p>
    <w:p w14:paraId="77374F80">
      <w:pPr>
        <w:ind w:firstLine="420"/>
        <w:rPr>
          <w:color w:val="auto"/>
        </w:rPr>
      </w:pPr>
      <w:r>
        <w:rPr>
          <w:rFonts w:hint="default"/>
          <w:color w:val="auto"/>
          <w:lang w:val="en-US" w:eastAsia="zh-CN"/>
        </w:rPr>
        <w:t>①</w:t>
      </w:r>
      <w:r>
        <w:rPr>
          <w:rFonts w:hint="default"/>
          <w:color w:val="auto"/>
        </w:rPr>
        <w:t>社会</w:t>
      </w:r>
      <w:r>
        <w:rPr>
          <w:color w:val="auto"/>
        </w:rPr>
        <w:t>效益指标</w:t>
      </w:r>
    </w:p>
    <w:p w14:paraId="2DC7C50B">
      <w:pPr>
        <w:ind w:firstLine="420"/>
        <w:rPr>
          <w:color w:val="auto"/>
        </w:rPr>
      </w:pPr>
      <w:r>
        <w:rPr>
          <w:rFonts w:hint="default"/>
          <w:color w:val="auto"/>
        </w:rPr>
        <w:t>“</w:t>
      </w:r>
      <w:r>
        <w:rPr>
          <w:color w:val="auto"/>
        </w:rPr>
        <w:t>D</w:t>
      </w:r>
      <w:r>
        <w:rPr>
          <w:rFonts w:hint="default"/>
          <w:color w:val="auto"/>
        </w:rPr>
        <w:t>1</w:t>
      </w:r>
      <w:r>
        <w:rPr>
          <w:color w:val="auto"/>
        </w:rPr>
        <w:t>1</w:t>
      </w:r>
      <w:r>
        <w:rPr>
          <w:rFonts w:hint="default"/>
          <w:color w:val="auto"/>
        </w:rPr>
        <w:t>设备利用率”</w:t>
      </w:r>
      <w:r>
        <w:rPr>
          <w:color w:val="auto"/>
        </w:rPr>
        <w:t>指标，预期指标值为</w:t>
      </w:r>
      <w:r>
        <w:rPr>
          <w:rFonts w:hint="default"/>
          <w:color w:val="auto"/>
          <w:lang w:val="en-US" w:eastAsia="zh-CN"/>
        </w:rPr>
        <w:t>100.00%</w:t>
      </w:r>
      <w:r>
        <w:rPr>
          <w:color w:val="auto"/>
        </w:rPr>
        <w:t>。</w:t>
      </w:r>
    </w:p>
    <w:p w14:paraId="5D496D0D">
      <w:pPr>
        <w:ind w:firstLine="420"/>
        <w:rPr>
          <w:color w:val="auto"/>
        </w:rPr>
      </w:pPr>
      <w:r>
        <w:rPr>
          <w:rFonts w:hint="default"/>
          <w:color w:val="auto"/>
        </w:rPr>
        <w:t>“</w:t>
      </w:r>
      <w:r>
        <w:rPr>
          <w:color w:val="auto"/>
        </w:rPr>
        <w:t>D</w:t>
      </w:r>
      <w:r>
        <w:rPr>
          <w:rFonts w:hint="default"/>
          <w:color w:val="auto"/>
          <w:lang w:val="en-US" w:eastAsia="zh-CN"/>
        </w:rPr>
        <w:t>12</w:t>
      </w:r>
      <w:r>
        <w:rPr>
          <w:color w:val="auto"/>
        </w:rPr>
        <w:t>受益学生人数</w:t>
      </w:r>
      <w:r>
        <w:rPr>
          <w:rFonts w:hint="default"/>
          <w:color w:val="auto"/>
        </w:rPr>
        <w:t>”</w:t>
      </w:r>
      <w:r>
        <w:rPr>
          <w:color w:val="auto"/>
        </w:rPr>
        <w:t>指标，预期指标值为大于等于</w:t>
      </w:r>
      <w:r>
        <w:rPr>
          <w:rFonts w:hint="default" w:eastAsia="宋体"/>
          <w:color w:val="auto"/>
          <w:lang w:val="en-US" w:eastAsia="zh-CN"/>
        </w:rPr>
        <w:t>157</w:t>
      </w:r>
      <w:r>
        <w:rPr>
          <w:rFonts w:hint="default" w:eastAsia="宋体"/>
          <w:color w:val="auto"/>
        </w:rPr>
        <w:t>人</w:t>
      </w:r>
      <w:r>
        <w:rPr>
          <w:color w:val="auto"/>
        </w:rPr>
        <w:t>。</w:t>
      </w:r>
    </w:p>
    <w:p w14:paraId="676DF15A">
      <w:pPr>
        <w:ind w:firstLine="420"/>
        <w:rPr>
          <w:color w:val="auto"/>
        </w:rPr>
      </w:pPr>
      <w:r>
        <w:rPr>
          <w:rFonts w:hint="default"/>
          <w:color w:val="auto"/>
          <w:lang w:val="en-US" w:eastAsia="zh-CN"/>
        </w:rPr>
        <w:t>②</w:t>
      </w:r>
      <w:r>
        <w:rPr>
          <w:color w:val="auto"/>
        </w:rPr>
        <w:t>服务对象满意度指标</w:t>
      </w:r>
    </w:p>
    <w:p w14:paraId="22E8F885">
      <w:pPr>
        <w:ind w:firstLine="420"/>
        <w:rPr>
          <w:color w:val="auto"/>
        </w:rPr>
      </w:pPr>
      <w:r>
        <w:rPr>
          <w:rFonts w:hint="default"/>
          <w:color w:val="auto"/>
        </w:rPr>
        <w:t>“</w:t>
      </w:r>
      <w:r>
        <w:rPr>
          <w:color w:val="auto"/>
        </w:rPr>
        <w:t>D</w:t>
      </w:r>
      <w:r>
        <w:rPr>
          <w:rFonts w:hint="default"/>
          <w:color w:val="auto"/>
        </w:rPr>
        <w:t>21</w:t>
      </w:r>
      <w:r>
        <w:rPr>
          <w:color w:val="auto"/>
        </w:rPr>
        <w:t>受益</w:t>
      </w:r>
      <w:r>
        <w:rPr>
          <w:rFonts w:hint="default"/>
          <w:color w:val="auto"/>
        </w:rPr>
        <w:t>教师</w:t>
      </w:r>
      <w:r>
        <w:rPr>
          <w:color w:val="auto"/>
        </w:rPr>
        <w:t>满意度</w:t>
      </w:r>
      <w:r>
        <w:rPr>
          <w:rFonts w:hint="default"/>
          <w:color w:val="auto"/>
        </w:rPr>
        <w:t>”</w:t>
      </w:r>
      <w:r>
        <w:rPr>
          <w:color w:val="auto"/>
        </w:rPr>
        <w:t>指标，预期指标值为大于等于9</w:t>
      </w:r>
      <w:r>
        <w:rPr>
          <w:rFonts w:hint="default"/>
          <w:color w:val="auto"/>
        </w:rPr>
        <w:t>5</w:t>
      </w:r>
      <w:r>
        <w:rPr>
          <w:color w:val="auto"/>
        </w:rPr>
        <w:t>.00%。</w:t>
      </w:r>
    </w:p>
    <w:p w14:paraId="3A036A41">
      <w:pPr>
        <w:ind w:firstLine="420"/>
        <w:rPr>
          <w:color w:val="auto"/>
        </w:rPr>
      </w:pPr>
      <w:r>
        <w:rPr>
          <w:rFonts w:hint="default"/>
          <w:color w:val="auto"/>
        </w:rPr>
        <w:t>“</w:t>
      </w:r>
      <w:r>
        <w:rPr>
          <w:color w:val="auto"/>
        </w:rPr>
        <w:t>D</w:t>
      </w:r>
      <w:r>
        <w:rPr>
          <w:rFonts w:hint="default"/>
          <w:color w:val="auto"/>
        </w:rPr>
        <w:t>22</w:t>
      </w:r>
      <w:r>
        <w:rPr>
          <w:color w:val="auto"/>
        </w:rPr>
        <w:t>受益</w:t>
      </w:r>
      <w:r>
        <w:rPr>
          <w:rFonts w:hint="default"/>
          <w:color w:val="auto"/>
        </w:rPr>
        <w:t>学生</w:t>
      </w:r>
      <w:r>
        <w:rPr>
          <w:color w:val="auto"/>
        </w:rPr>
        <w:t>满意度</w:t>
      </w:r>
      <w:r>
        <w:rPr>
          <w:rFonts w:hint="default"/>
          <w:color w:val="auto"/>
        </w:rPr>
        <w:t>”</w:t>
      </w:r>
      <w:r>
        <w:rPr>
          <w:color w:val="auto"/>
        </w:rPr>
        <w:t>指标，预期指标值为大于等于9</w:t>
      </w:r>
      <w:r>
        <w:rPr>
          <w:rFonts w:hint="default"/>
          <w:color w:val="auto"/>
        </w:rPr>
        <w:t>5</w:t>
      </w:r>
      <w:r>
        <w:rPr>
          <w:color w:val="auto"/>
        </w:rPr>
        <w:t>.00%。</w:t>
      </w:r>
    </w:p>
    <w:p w14:paraId="1491F736">
      <w:pPr>
        <w:pStyle w:val="2"/>
        <w:spacing w:line="360" w:lineRule="auto"/>
        <w:ind w:firstLine="482"/>
        <w:rPr>
          <w:rFonts w:ascii="Times New Roman" w:hAnsi="Times New Roman"/>
          <w:color w:val="auto"/>
        </w:rPr>
      </w:pPr>
      <w:bookmarkStart w:id="51" w:name="_Toc27182"/>
      <w:bookmarkStart w:id="52" w:name="_Toc68364660"/>
      <w:r>
        <w:rPr>
          <w:rFonts w:hint="default" w:ascii="Times New Roman" w:hAnsi="Times New Roman"/>
          <w:color w:val="auto"/>
        </w:rPr>
        <w:t>三</w:t>
      </w:r>
      <w:r>
        <w:rPr>
          <w:rFonts w:ascii="Times New Roman" w:hAnsi="Times New Roman"/>
          <w:color w:val="auto"/>
        </w:rPr>
        <w:t>、绩效评价工作开展情况</w:t>
      </w:r>
      <w:bookmarkEnd w:id="51"/>
      <w:bookmarkEnd w:id="52"/>
    </w:p>
    <w:p w14:paraId="7BA4B293">
      <w:pPr>
        <w:pStyle w:val="3"/>
        <w:ind w:firstLine="482"/>
        <w:rPr>
          <w:rFonts w:ascii="Times New Roman" w:hAnsi="Times New Roman"/>
          <w:color w:val="auto"/>
        </w:rPr>
      </w:pPr>
      <w:bookmarkStart w:id="53" w:name="_Toc27940"/>
      <w:bookmarkStart w:id="54" w:name="_Toc6134"/>
      <w:bookmarkStart w:id="55" w:name="_Toc10165"/>
      <w:bookmarkStart w:id="56" w:name="_Toc68364661"/>
      <w:r>
        <w:rPr>
          <w:rFonts w:ascii="Times New Roman" w:hAnsi="Times New Roman"/>
          <w:color w:val="auto"/>
        </w:rPr>
        <w:t>（一）绩效评价依据</w:t>
      </w:r>
      <w:bookmarkEnd w:id="53"/>
      <w:bookmarkEnd w:id="54"/>
      <w:bookmarkEnd w:id="55"/>
    </w:p>
    <w:p w14:paraId="32877765">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《中华人民共和国预算法》；</w:t>
      </w:r>
    </w:p>
    <w:p w14:paraId="14D53D82">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cs="Times New Roman"/>
          <w:color w:val="auto"/>
          <w:highlight w:val="none"/>
          <w:lang w:eastAsia="zh-CN"/>
        </w:rPr>
        <w:t>《中共中央、国务院关于全面实施预算绩效管理的意见》（中发〔2018〕34号）</w:t>
      </w:r>
      <w:r>
        <w:rPr>
          <w:rFonts w:hint="default" w:ascii="Times New Roman" w:hAnsi="Times New Roman" w:cs="Times New Roman"/>
          <w:color w:val="auto"/>
          <w:highlight w:val="none"/>
        </w:rPr>
        <w:t>；</w:t>
      </w:r>
    </w:p>
    <w:p w14:paraId="35D25645">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《项目支出绩效评价管理办法》（财预〔2020〕10号）；</w:t>
      </w:r>
    </w:p>
    <w:p w14:paraId="5AF2F314">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《自治区党委自治区人民政府关于全面实施预算绩效管理的实施意见》（新党发〔2018〕30号）；</w:t>
      </w:r>
    </w:p>
    <w:p w14:paraId="3BB09B41">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《自治区全面实施预算绩效管理的工作方案》（新财预〔2018〕158号）；</w:t>
      </w:r>
    </w:p>
    <w:p w14:paraId="4BBE60F8">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《自治区财政支出绩效评价管理暂行办法》（新财预〔2018〕189号）；</w:t>
      </w:r>
    </w:p>
    <w:p w14:paraId="1391495E">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《关于委托第三方机构参与预算绩效管理的指导意见》（财预〔2021〕6号）；</w:t>
      </w:r>
    </w:p>
    <w:p w14:paraId="1147112E">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《财政部关于印发〈第三方机构预算绩效评价业务监督管理暂行办法〉的通知》（财监〔2021〕4号）；</w:t>
      </w:r>
    </w:p>
    <w:p w14:paraId="28EFD26C">
      <w:pPr>
        <w:pageBreakBefore w:val="0"/>
        <w:widowControl w:val="0"/>
        <w:numPr>
          <w:ilvl w:val="0"/>
          <w:numId w:val="1"/>
        </w:numPr>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《关于进一步加强和规范第三方机构参与预算绩效管理的通知》（新财预〔2021〕49号）；</w:t>
      </w:r>
    </w:p>
    <w:p w14:paraId="79950DE0">
      <w:pPr>
        <w:numPr>
          <w:ilvl w:val="0"/>
          <w:numId w:val="1"/>
        </w:numPr>
        <w:ind w:firstLine="420"/>
        <w:rPr>
          <w:color w:val="auto"/>
        </w:rPr>
      </w:pPr>
      <w:r>
        <w:rPr>
          <w:color w:val="auto"/>
        </w:rPr>
        <w:t>《关于推动现代职业教育高质量发展的意见》；</w:t>
      </w:r>
    </w:p>
    <w:p w14:paraId="4A9B3EA7">
      <w:pPr>
        <w:numPr>
          <w:ilvl w:val="0"/>
          <w:numId w:val="1"/>
        </w:numPr>
        <w:ind w:firstLine="420"/>
        <w:rPr>
          <w:color w:val="auto"/>
        </w:rPr>
      </w:pPr>
      <w:r>
        <w:rPr>
          <w:color w:val="auto"/>
        </w:rPr>
        <w:t>《人力资源社会保障部关于印发技工教育“十四五”规划的通知》；</w:t>
      </w:r>
    </w:p>
    <w:p w14:paraId="47C985B2">
      <w:pPr>
        <w:numPr>
          <w:ilvl w:val="0"/>
          <w:numId w:val="1"/>
        </w:numPr>
        <w:ind w:firstLine="420"/>
        <w:rPr>
          <w:color w:val="auto"/>
        </w:rPr>
      </w:pPr>
      <w:r>
        <w:rPr>
          <w:color w:val="auto"/>
        </w:rPr>
        <w:t>《财政部、教育部关于印发&lt;现代职业教育质量提升计划资金管理办法&gt;的通知》（财教〔2021〕270号）；</w:t>
      </w:r>
    </w:p>
    <w:p w14:paraId="18626470">
      <w:pPr>
        <w:numPr>
          <w:ilvl w:val="0"/>
          <w:numId w:val="1"/>
        </w:numPr>
        <w:ind w:firstLine="420"/>
        <w:rPr>
          <w:color w:val="auto"/>
        </w:rPr>
      </w:pPr>
      <w:r>
        <w:rPr>
          <w:rFonts w:hint="default" w:ascii="Times New Roman" w:hAnsi="Times New Roman" w:cs="Times New Roman"/>
          <w:color w:val="auto"/>
          <w:highlight w:val="none"/>
        </w:rPr>
        <w:t>《</w:t>
      </w:r>
      <w:r>
        <w:rPr>
          <w:rFonts w:hint="default" w:cs="Times New Roman"/>
          <w:color w:val="auto"/>
          <w:highlight w:val="none"/>
          <w:lang w:val="en-US" w:eastAsia="zh-CN"/>
        </w:rPr>
        <w:t>关于提前下达2024年中央现代职业教育质量提升计划资金预算的通知</w:t>
      </w:r>
      <w:r>
        <w:rPr>
          <w:rFonts w:hint="default" w:ascii="Times New Roman" w:hAnsi="Times New Roman" w:cs="Times New Roman"/>
          <w:color w:val="auto"/>
          <w:highlight w:val="none"/>
        </w:rPr>
        <w:t>》（</w:t>
      </w:r>
      <w:r>
        <w:rPr>
          <w:rFonts w:hint="default" w:cs="Times New Roman"/>
          <w:color w:val="auto"/>
          <w:highlight w:val="none"/>
          <w:lang w:val="en-US" w:eastAsia="zh-CN"/>
        </w:rPr>
        <w:t>昌州财教</w:t>
      </w:r>
      <w:r>
        <w:rPr>
          <w:rFonts w:hint="default" w:ascii="Times New Roman" w:hAnsi="Times New Roman" w:eastAsia="宋体" w:cs="Times New Roman"/>
          <w:color w:val="auto"/>
          <w:highlight w:val="none"/>
          <w:lang w:val="en-US" w:eastAsia="zh-CN"/>
        </w:rPr>
        <w:t>〔</w:t>
      </w:r>
      <w:r>
        <w:rPr>
          <w:rFonts w:hint="default" w:ascii="Times New Roman" w:hAnsi="Times New Roman" w:cs="Times New Roman"/>
          <w:color w:val="auto"/>
          <w:highlight w:val="none"/>
        </w:rPr>
        <w:t>202</w:t>
      </w:r>
      <w:r>
        <w:rPr>
          <w:rFonts w:hint="default" w:cs="Times New Roman"/>
          <w:color w:val="auto"/>
          <w:highlight w:val="none"/>
          <w:lang w:val="en-US" w:eastAsia="zh-CN"/>
        </w:rPr>
        <w:t>3</w:t>
      </w:r>
      <w:r>
        <w:rPr>
          <w:rFonts w:hint="default" w:ascii="Times New Roman" w:hAnsi="Times New Roman" w:cs="Times New Roman"/>
          <w:color w:val="auto"/>
          <w:highlight w:val="none"/>
        </w:rPr>
        <w:t>〕</w:t>
      </w:r>
      <w:r>
        <w:rPr>
          <w:rFonts w:hint="default" w:cs="Times New Roman"/>
          <w:color w:val="auto"/>
          <w:highlight w:val="none"/>
          <w:lang w:val="en-US" w:eastAsia="zh-CN"/>
        </w:rPr>
        <w:t>103</w:t>
      </w:r>
      <w:r>
        <w:rPr>
          <w:rFonts w:hint="default" w:ascii="Times New Roman" w:hAnsi="Times New Roman" w:cs="Times New Roman"/>
          <w:color w:val="auto"/>
          <w:highlight w:val="none"/>
        </w:rPr>
        <w:t>号）</w:t>
      </w:r>
      <w:r>
        <w:rPr>
          <w:rFonts w:hint="default" w:cs="Times New Roman"/>
          <w:color w:val="auto"/>
          <w:highlight w:val="none"/>
          <w:lang w:eastAsia="zh-CN"/>
        </w:rPr>
        <w:t>；</w:t>
      </w:r>
    </w:p>
    <w:p w14:paraId="63FA8C29">
      <w:pPr>
        <w:numPr>
          <w:ilvl w:val="0"/>
          <w:numId w:val="1"/>
        </w:numPr>
        <w:ind w:firstLine="420"/>
        <w:rPr>
          <w:color w:val="auto"/>
        </w:rPr>
      </w:pPr>
      <w:r>
        <w:rPr>
          <w:color w:val="auto"/>
        </w:rPr>
        <w:t>《</w:t>
      </w:r>
      <w:r>
        <w:rPr>
          <w:rFonts w:hint="default"/>
          <w:color w:val="auto"/>
          <w:lang w:eastAsia="zh-CN"/>
        </w:rPr>
        <w:t>2024</w:t>
      </w:r>
      <w:r>
        <w:rPr>
          <w:color w:val="auto"/>
        </w:rPr>
        <w:t>年职业教育建设项目申报书（实训基地建设项目）》；</w:t>
      </w:r>
    </w:p>
    <w:p w14:paraId="4A4284F5">
      <w:pPr>
        <w:numPr>
          <w:ilvl w:val="0"/>
          <w:numId w:val="1"/>
        </w:numPr>
        <w:ind w:firstLine="420"/>
        <w:rPr>
          <w:color w:val="auto"/>
        </w:rPr>
      </w:pPr>
      <w:r>
        <w:rPr>
          <w:color w:val="auto"/>
        </w:rPr>
        <w:t>项目</w:t>
      </w:r>
      <w:r>
        <w:rPr>
          <w:rFonts w:hint="default"/>
          <w:color w:val="auto"/>
        </w:rPr>
        <w:t>资金下达文件、采购资料、</w:t>
      </w:r>
      <w:r>
        <w:rPr>
          <w:color w:val="auto"/>
        </w:rPr>
        <w:t>采购</w:t>
      </w:r>
      <w:r>
        <w:rPr>
          <w:rFonts w:hint="default"/>
          <w:color w:val="auto"/>
        </w:rPr>
        <w:t>合同</w:t>
      </w:r>
      <w:r>
        <w:rPr>
          <w:color w:val="auto"/>
        </w:rPr>
        <w:t>、验收</w:t>
      </w:r>
      <w:r>
        <w:rPr>
          <w:rFonts w:hint="default"/>
          <w:color w:val="auto"/>
          <w:lang w:val="en-US" w:eastAsia="zh-CN"/>
        </w:rPr>
        <w:t>单</w:t>
      </w:r>
      <w:r>
        <w:rPr>
          <w:rFonts w:hint="default"/>
          <w:color w:val="auto"/>
          <w:lang w:eastAsia="zh-CN"/>
        </w:rPr>
        <w:t>，</w:t>
      </w:r>
      <w:r>
        <w:rPr>
          <w:rFonts w:hint="default"/>
          <w:color w:val="auto"/>
          <w:lang w:val="en-US" w:eastAsia="zh-CN"/>
        </w:rPr>
        <w:t>内部控制制度</w:t>
      </w:r>
      <w:r>
        <w:rPr>
          <w:rFonts w:hint="default"/>
          <w:color w:val="auto"/>
        </w:rPr>
        <w:t>等</w:t>
      </w:r>
      <w:r>
        <w:rPr>
          <w:color w:val="auto"/>
        </w:rPr>
        <w:t>相关资料。</w:t>
      </w:r>
    </w:p>
    <w:p w14:paraId="0D208C78">
      <w:pPr>
        <w:pStyle w:val="3"/>
        <w:ind w:firstLine="482"/>
        <w:rPr>
          <w:rFonts w:ascii="Times New Roman" w:hAnsi="Times New Roman"/>
          <w:color w:val="auto"/>
        </w:rPr>
      </w:pPr>
      <w:bookmarkStart w:id="57" w:name="_Toc19989"/>
      <w:r>
        <w:rPr>
          <w:rFonts w:ascii="Times New Roman" w:hAnsi="Times New Roman"/>
          <w:color w:val="auto"/>
        </w:rPr>
        <w:t>（</w:t>
      </w:r>
      <w:r>
        <w:rPr>
          <w:rFonts w:hint="default" w:ascii="Times New Roman" w:hAnsi="Times New Roman"/>
          <w:color w:val="auto"/>
        </w:rPr>
        <w:t>二</w:t>
      </w:r>
      <w:r>
        <w:rPr>
          <w:rFonts w:ascii="Times New Roman" w:hAnsi="Times New Roman"/>
          <w:color w:val="auto"/>
        </w:rPr>
        <w:t>）绩效评价目的、对象和范围</w:t>
      </w:r>
      <w:bookmarkEnd w:id="56"/>
      <w:bookmarkEnd w:id="57"/>
    </w:p>
    <w:p w14:paraId="5DC5DD66">
      <w:pPr>
        <w:pageBreakBefore w:val="0"/>
        <w:widowControl w:val="0"/>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b/>
          <w:bCs/>
          <w:color w:val="auto"/>
          <w:highlight w:val="none"/>
        </w:rPr>
      </w:pPr>
      <w:bookmarkStart w:id="58" w:name="_Toc68364662"/>
      <w:r>
        <w:rPr>
          <w:rFonts w:hint="default" w:ascii="Times New Roman" w:hAnsi="Times New Roman" w:cs="Times New Roman"/>
          <w:b/>
          <w:bCs/>
          <w:color w:val="auto"/>
          <w:highlight w:val="none"/>
        </w:rPr>
        <w:t>1.绩效评价目的</w:t>
      </w:r>
    </w:p>
    <w:p w14:paraId="04A51381">
      <w:pPr>
        <w:pageBreakBefore w:val="0"/>
        <w:widowControl w:val="0"/>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本次</w:t>
      </w:r>
      <w:r>
        <w:rPr>
          <w:rFonts w:hint="default" w:ascii="Times New Roman" w:hAnsi="Times New Roman" w:cs="Times New Roman"/>
          <w:color w:val="auto"/>
          <w:highlight w:val="none"/>
        </w:rPr>
        <w:t>绩效评价的目的是为全面了解该项目预算编</w:t>
      </w:r>
      <w:r>
        <w:rPr>
          <w:rFonts w:hint="eastAsia" w:cs="Times New Roman"/>
          <w:color w:val="auto"/>
          <w:highlight w:val="none"/>
          <w:lang w:eastAsia="zh-CN"/>
        </w:rPr>
        <w:t>制的</w:t>
      </w:r>
      <w:r>
        <w:rPr>
          <w:rFonts w:hint="default" w:ascii="Times New Roman" w:hAnsi="Times New Roman" w:cs="Times New Roman"/>
          <w:color w:val="auto"/>
          <w:highlight w:val="none"/>
        </w:rPr>
        <w:t>合理性、资金使用合规性、项目管理的规范性、项目目标的实现情况、服务对象的满意度等，通过本次项目绩效评价来总结经验和教训，促进项目成果转化和应用，为今后类似项目的长效管理，提供可行性参考建议。</w:t>
      </w:r>
    </w:p>
    <w:p w14:paraId="152FA12B">
      <w:pPr>
        <w:pageBreakBefore w:val="0"/>
        <w:widowControl w:val="0"/>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eastAsiaTheme="minorEastAsia"/>
          <w:b/>
          <w:bCs/>
          <w:color w:val="auto"/>
          <w:highlight w:val="none"/>
          <w:lang w:val="en-US" w:eastAsia="zh-CN"/>
        </w:rPr>
      </w:pPr>
      <w:r>
        <w:rPr>
          <w:rFonts w:hint="default" w:ascii="Times New Roman" w:hAnsi="Times New Roman" w:cs="Times New Roman"/>
          <w:b/>
          <w:bCs/>
          <w:color w:val="auto"/>
          <w:highlight w:val="none"/>
        </w:rPr>
        <w:t>2.绩效评价对象</w:t>
      </w:r>
      <w:r>
        <w:rPr>
          <w:rFonts w:hint="default" w:ascii="Times New Roman" w:hAnsi="Times New Roman" w:cs="Times New Roman"/>
          <w:b/>
          <w:bCs/>
          <w:color w:val="auto"/>
          <w:highlight w:val="none"/>
          <w:lang w:val="en-US" w:eastAsia="zh-CN"/>
        </w:rPr>
        <w:t>及范围</w:t>
      </w:r>
    </w:p>
    <w:p w14:paraId="51A4A3B6">
      <w:pPr>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本次绩效评价的对象为2024年中央现代职业教育质量提升计划资金</w:t>
      </w:r>
      <w:r>
        <w:rPr>
          <w:rFonts w:hint="default" w:cs="Times New Roman"/>
          <w:color w:val="auto"/>
          <w:highlight w:val="none"/>
          <w:lang w:val="en-US" w:eastAsia="zh-CN"/>
        </w:rPr>
        <w:t>项目</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主要对该项目的</w:t>
      </w:r>
      <w:r>
        <w:rPr>
          <w:rFonts w:hint="default" w:ascii="Times New Roman" w:hAnsi="Times New Roman" w:cs="Times New Roman"/>
          <w:color w:val="auto"/>
          <w:highlight w:val="none"/>
        </w:rPr>
        <w:t>决策情况、资金管理</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rPr>
        <w:t>使用情况</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rPr>
        <w:t>相关管理制度办法的健全性及执行情况、实现的产出情况、取得的效益情况以及其他相关内容。</w:t>
      </w:r>
    </w:p>
    <w:p w14:paraId="31FAA923">
      <w:pPr>
        <w:pageBreakBefore w:val="0"/>
        <w:widowControl w:val="0"/>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b/>
          <w:bCs/>
          <w:color w:val="auto"/>
          <w:highlight w:val="none"/>
        </w:rPr>
      </w:pPr>
      <w:r>
        <w:rPr>
          <w:rFonts w:hint="default" w:ascii="Times New Roman" w:hAnsi="Times New Roman" w:cs="Times New Roman"/>
          <w:b/>
          <w:bCs/>
          <w:color w:val="auto"/>
          <w:highlight w:val="none"/>
          <w:lang w:val="en-US" w:eastAsia="zh-CN"/>
        </w:rPr>
        <w:t>3.</w:t>
      </w:r>
      <w:r>
        <w:rPr>
          <w:rFonts w:hint="default" w:ascii="Times New Roman" w:hAnsi="Times New Roman" w:cs="Times New Roman"/>
          <w:b/>
          <w:bCs/>
          <w:color w:val="auto"/>
          <w:highlight w:val="none"/>
        </w:rPr>
        <w:t>绩效评价时段</w:t>
      </w:r>
    </w:p>
    <w:p w14:paraId="2B267E61">
      <w:pPr>
        <w:pageBreakBefore w:val="0"/>
        <w:widowControl w:val="0"/>
        <w:kinsoku/>
        <w:wordWrap/>
        <w:overflowPunct/>
        <w:topLinePunct w:val="0"/>
        <w:autoSpaceDE/>
        <w:autoSpaceDN/>
        <w:bidi w:val="0"/>
        <w:adjustRightInd w:val="0"/>
        <w:snapToGrid w:val="0"/>
        <w:spacing w:line="360" w:lineRule="auto"/>
        <w:ind w:firstLine="664"/>
        <w:textAlignment w:val="auto"/>
        <w:rPr>
          <w:rFonts w:hint="default" w:ascii="Times New Roman" w:hAnsi="Times New Roman" w:cs="Times New Roman"/>
          <w:color w:val="auto"/>
          <w:highlight w:val="none"/>
        </w:rPr>
      </w:pPr>
      <w:r>
        <w:rPr>
          <w:rFonts w:hint="default" w:ascii="Times New Roman" w:hAnsi="Times New Roman" w:cs="Times New Roman"/>
          <w:color w:val="auto"/>
          <w:highlight w:val="none"/>
        </w:rPr>
        <w:t>本次绩效评价评价时段为</w:t>
      </w:r>
      <w:r>
        <w:rPr>
          <w:rFonts w:hint="default" w:ascii="Times New Roman" w:hAnsi="Times New Roman" w:cs="Times New Roman"/>
          <w:color w:val="auto"/>
          <w:highlight w:val="none"/>
          <w:lang w:eastAsia="zh-CN"/>
        </w:rPr>
        <w:t>：</w:t>
      </w:r>
      <w:r>
        <w:rPr>
          <w:rFonts w:hint="default" w:cs="Times New Roman"/>
          <w:color w:val="auto"/>
          <w:highlight w:val="none"/>
          <w:lang w:val="en-US" w:eastAsia="zh-CN"/>
        </w:rPr>
        <w:t>2024</w:t>
      </w:r>
      <w:r>
        <w:rPr>
          <w:rFonts w:hint="default" w:ascii="Times New Roman" w:hAnsi="Times New Roman" w:cs="Times New Roman"/>
          <w:color w:val="auto"/>
          <w:highlight w:val="none"/>
        </w:rPr>
        <w:t>年</w:t>
      </w:r>
      <w:r>
        <w:rPr>
          <w:rFonts w:hint="default" w:cs="Times New Roman"/>
          <w:color w:val="auto"/>
          <w:highlight w:val="none"/>
          <w:lang w:val="en-US" w:eastAsia="zh-CN"/>
        </w:rPr>
        <w:t>1</w:t>
      </w:r>
      <w:r>
        <w:rPr>
          <w:rFonts w:hint="default" w:ascii="Times New Roman" w:hAnsi="Times New Roman" w:cs="Times New Roman"/>
          <w:color w:val="auto"/>
          <w:highlight w:val="none"/>
        </w:rPr>
        <w:t>月-</w:t>
      </w:r>
      <w:r>
        <w:rPr>
          <w:rFonts w:hint="default" w:cs="Times New Roman"/>
          <w:color w:val="auto"/>
          <w:highlight w:val="none"/>
          <w:lang w:val="en-US" w:eastAsia="zh-CN"/>
        </w:rPr>
        <w:t>2025</w:t>
      </w:r>
      <w:r>
        <w:rPr>
          <w:rFonts w:hint="default" w:ascii="Times New Roman" w:hAnsi="Times New Roman" w:cs="Times New Roman"/>
          <w:color w:val="auto"/>
          <w:highlight w:val="none"/>
        </w:rPr>
        <w:t>年</w:t>
      </w:r>
      <w:r>
        <w:rPr>
          <w:rFonts w:hint="default" w:cs="Times New Roman"/>
          <w:color w:val="auto"/>
          <w:highlight w:val="none"/>
          <w:lang w:val="en-US" w:eastAsia="zh-CN"/>
        </w:rPr>
        <w:t>5</w:t>
      </w:r>
      <w:r>
        <w:rPr>
          <w:rFonts w:hint="default" w:ascii="Times New Roman" w:hAnsi="Times New Roman" w:cs="Times New Roman"/>
          <w:color w:val="auto"/>
          <w:highlight w:val="none"/>
        </w:rPr>
        <w:t>月。</w:t>
      </w:r>
    </w:p>
    <w:p w14:paraId="0D315835">
      <w:pPr>
        <w:pStyle w:val="3"/>
        <w:ind w:firstLine="482"/>
        <w:rPr>
          <w:rFonts w:ascii="Times New Roman" w:hAnsi="Times New Roman"/>
          <w:color w:val="auto"/>
        </w:rPr>
      </w:pPr>
      <w:bookmarkStart w:id="59" w:name="_Toc11718"/>
      <w:r>
        <w:rPr>
          <w:rFonts w:ascii="Times New Roman" w:hAnsi="Times New Roman"/>
          <w:color w:val="auto"/>
        </w:rPr>
        <w:t>（</w:t>
      </w:r>
      <w:r>
        <w:rPr>
          <w:rFonts w:hint="default" w:ascii="Times New Roman" w:hAnsi="Times New Roman"/>
          <w:color w:val="auto"/>
        </w:rPr>
        <w:t>三</w:t>
      </w:r>
      <w:r>
        <w:rPr>
          <w:rFonts w:ascii="Times New Roman" w:hAnsi="Times New Roman"/>
          <w:color w:val="auto"/>
        </w:rPr>
        <w:t>）绩效评价原则</w:t>
      </w:r>
      <w:bookmarkEnd w:id="58"/>
      <w:bookmarkEnd w:id="59"/>
    </w:p>
    <w:p w14:paraId="38B143F8">
      <w:pPr>
        <w:pageBreakBefore w:val="0"/>
        <w:widowControl w:val="0"/>
        <w:kinsoku/>
        <w:wordWrap/>
        <w:overflowPunct/>
        <w:topLinePunct w:val="0"/>
        <w:autoSpaceDE/>
        <w:autoSpaceDN/>
        <w:bidi w:val="0"/>
        <w:adjustRightInd w:val="0"/>
        <w:snapToGrid w:val="0"/>
        <w:spacing w:line="360" w:lineRule="auto"/>
        <w:ind w:firstLine="0"/>
        <w:textAlignment w:val="auto"/>
        <w:rPr>
          <w:rFonts w:hint="default"/>
          <w:color w:val="auto"/>
        </w:rPr>
      </w:pPr>
      <w:r>
        <w:rPr>
          <w:rFonts w:hint="default"/>
          <w:color w:val="auto"/>
        </w:rPr>
        <w:t>本次绩效评价遵循的原则包括：</w:t>
      </w:r>
    </w:p>
    <w:p w14:paraId="514E6F1C">
      <w:pPr>
        <w:pageBreakBefore w:val="0"/>
        <w:widowControl w:val="0"/>
        <w:kinsoku/>
        <w:wordWrap/>
        <w:overflowPunct/>
        <w:topLinePunct w:val="0"/>
        <w:autoSpaceDE/>
        <w:autoSpaceDN/>
        <w:bidi w:val="0"/>
        <w:adjustRightInd w:val="0"/>
        <w:snapToGrid w:val="0"/>
        <w:spacing w:line="360" w:lineRule="auto"/>
        <w:ind w:firstLine="0"/>
        <w:textAlignment w:val="auto"/>
        <w:rPr>
          <w:rFonts w:hint="default"/>
          <w:color w:val="auto"/>
        </w:rPr>
      </w:pPr>
      <w:r>
        <w:rPr>
          <w:rFonts w:hint="default"/>
          <w:color w:val="auto"/>
        </w:rPr>
        <w:t>（1）独立性原则：在评价工作中保持充分的第三方独立性，不受其他第三方不当干预。</w:t>
      </w:r>
    </w:p>
    <w:p w14:paraId="5C80B3AF">
      <w:pPr>
        <w:pageBreakBefore w:val="0"/>
        <w:widowControl w:val="0"/>
        <w:kinsoku/>
        <w:wordWrap/>
        <w:overflowPunct/>
        <w:topLinePunct w:val="0"/>
        <w:autoSpaceDE/>
        <w:autoSpaceDN/>
        <w:bidi w:val="0"/>
        <w:adjustRightInd w:val="0"/>
        <w:snapToGrid w:val="0"/>
        <w:spacing w:line="360" w:lineRule="auto"/>
        <w:ind w:firstLine="0"/>
        <w:textAlignment w:val="auto"/>
        <w:rPr>
          <w:rFonts w:hint="default"/>
          <w:color w:val="auto"/>
        </w:rPr>
      </w:pPr>
      <w:r>
        <w:rPr>
          <w:rFonts w:hint="default"/>
          <w:color w:val="auto"/>
        </w:rPr>
        <w:t>（2）客观性原则：</w:t>
      </w:r>
      <w:r>
        <w:rPr>
          <w:color w:val="auto"/>
        </w:rPr>
        <w:t>第三方机构应当按照协议（合同）约定事项开展绩效评价，</w:t>
      </w:r>
      <w:r>
        <w:rPr>
          <w:rFonts w:hint="default"/>
          <w:color w:val="auto"/>
        </w:rPr>
        <w:t>以客观事实为依据，</w:t>
      </w:r>
      <w:r>
        <w:rPr>
          <w:color w:val="auto"/>
        </w:rPr>
        <w:t>实事求是地向委托方提供服务。</w:t>
      </w:r>
    </w:p>
    <w:p w14:paraId="5CA546AE">
      <w:pPr>
        <w:pageBreakBefore w:val="0"/>
        <w:widowControl w:val="0"/>
        <w:kinsoku/>
        <w:wordWrap/>
        <w:overflowPunct/>
        <w:topLinePunct w:val="0"/>
        <w:autoSpaceDE/>
        <w:autoSpaceDN/>
        <w:bidi w:val="0"/>
        <w:adjustRightInd w:val="0"/>
        <w:snapToGrid w:val="0"/>
        <w:spacing w:line="360" w:lineRule="auto"/>
        <w:ind w:firstLine="0"/>
        <w:textAlignment w:val="auto"/>
        <w:rPr>
          <w:rFonts w:hint="default"/>
          <w:color w:val="auto"/>
        </w:rPr>
      </w:pPr>
      <w:r>
        <w:rPr>
          <w:rFonts w:hint="default"/>
          <w:color w:val="auto"/>
        </w:rPr>
        <w:t>（3）科学性原则。第三方机构应当履行必要评价程序，对原始资料进行核查验证，选择一种或多种方法进行对比分析，形成结论并出具评价报告。</w:t>
      </w:r>
    </w:p>
    <w:p w14:paraId="5DFA9377">
      <w:pPr>
        <w:pageBreakBefore w:val="0"/>
        <w:widowControl w:val="0"/>
        <w:kinsoku/>
        <w:wordWrap/>
        <w:overflowPunct/>
        <w:topLinePunct w:val="0"/>
        <w:autoSpaceDE/>
        <w:autoSpaceDN/>
        <w:bidi w:val="0"/>
        <w:adjustRightInd w:val="0"/>
        <w:snapToGrid w:val="0"/>
        <w:spacing w:line="360" w:lineRule="auto"/>
        <w:ind w:firstLine="0"/>
        <w:textAlignment w:val="auto"/>
        <w:rPr>
          <w:rFonts w:hint="default"/>
          <w:color w:val="auto"/>
        </w:rPr>
      </w:pPr>
      <w:r>
        <w:rPr>
          <w:rFonts w:hint="default"/>
          <w:color w:val="auto"/>
        </w:rPr>
        <w:t>（4）公正性原则：在评价过程中坚持公正、客观地反映实际情况，不隐瞒、弄虚作假。</w:t>
      </w:r>
    </w:p>
    <w:p w14:paraId="5ACDC2E0">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outlineLvl w:val="1"/>
        <w:rPr>
          <w:b/>
          <w:bCs/>
          <w:color w:val="auto"/>
          <w:sz w:val="24"/>
          <w:szCs w:val="28"/>
          <w:highlight w:val="none"/>
        </w:rPr>
      </w:pPr>
      <w:bookmarkStart w:id="60" w:name="_Toc1843"/>
      <w:bookmarkStart w:id="61" w:name="_Toc860627290"/>
      <w:bookmarkStart w:id="62" w:name="_Toc14077"/>
      <w:r>
        <w:rPr>
          <w:rFonts w:hint="default"/>
          <w:b/>
          <w:bCs/>
          <w:color w:val="auto"/>
          <w:sz w:val="24"/>
          <w:szCs w:val="28"/>
          <w:highlight w:val="none"/>
          <w:lang w:eastAsia="zh-CN"/>
        </w:rPr>
        <w:t>（</w:t>
      </w:r>
      <w:r>
        <w:rPr>
          <w:rFonts w:hint="default"/>
          <w:b/>
          <w:bCs/>
          <w:color w:val="auto"/>
          <w:sz w:val="24"/>
          <w:szCs w:val="28"/>
          <w:highlight w:val="none"/>
          <w:lang w:val="en-US" w:eastAsia="zh-CN"/>
        </w:rPr>
        <w:t>四</w:t>
      </w:r>
      <w:r>
        <w:rPr>
          <w:rStyle w:val="52"/>
          <w:rFonts w:hint="default" w:ascii="Times New Roman" w:hAnsi="Times New Roman"/>
          <w:color w:val="auto"/>
          <w:highlight w:val="none"/>
          <w:lang w:eastAsia="zh-CN"/>
        </w:rPr>
        <w:t>）</w:t>
      </w:r>
      <w:r>
        <w:rPr>
          <w:rStyle w:val="52"/>
          <w:rFonts w:hint="default" w:ascii="Times New Roman" w:hAnsi="Times New Roman"/>
          <w:color w:val="auto"/>
          <w:highlight w:val="none"/>
          <w:lang w:val="en-US" w:eastAsia="zh-CN"/>
        </w:rPr>
        <w:t>绩效评价标准</w:t>
      </w:r>
      <w:bookmarkEnd w:id="60"/>
      <w:bookmarkEnd w:id="61"/>
      <w:bookmarkEnd w:id="62"/>
    </w:p>
    <w:p w14:paraId="7BEA177C">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color w:val="auto"/>
        </w:rPr>
      </w:pPr>
      <w:r>
        <w:rPr>
          <w:color w:val="auto"/>
        </w:rPr>
        <w:t>绩效评价标准通常包括计划标准、行业标准、历史标准等。</w:t>
      </w:r>
      <w:r>
        <w:rPr>
          <w:rFonts w:hint="default" w:ascii="Times New Roman" w:hAnsi="Times New Roman" w:cs="Times New Roman"/>
          <w:color w:val="auto"/>
          <w:highlight w:val="none"/>
        </w:rPr>
        <w:t>本次绩效评价采用计划标准</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lang w:val="en-US" w:eastAsia="zh-CN"/>
        </w:rPr>
        <w:t>行业标准</w:t>
      </w:r>
      <w:r>
        <w:rPr>
          <w:rFonts w:hint="default" w:ascii="Times New Roman" w:hAnsi="Times New Roman" w:cs="Times New Roman"/>
          <w:color w:val="auto"/>
          <w:highlight w:val="none"/>
        </w:rPr>
        <w:t>，</w:t>
      </w:r>
      <w:r>
        <w:rPr>
          <w:color w:val="auto"/>
        </w:rPr>
        <w:t>本次绩效评价优先参照国家公布的行业指标数据制定的评价标准</w:t>
      </w:r>
      <w:r>
        <w:rPr>
          <w:rFonts w:hint="default"/>
          <w:color w:val="auto"/>
          <w:lang w:eastAsia="zh-CN"/>
        </w:rPr>
        <w:t>，</w:t>
      </w:r>
      <w:r>
        <w:rPr>
          <w:rFonts w:hint="default"/>
          <w:color w:val="auto"/>
          <w:lang w:val="en-US" w:eastAsia="zh-CN"/>
        </w:rPr>
        <w:t>无行业标准的</w:t>
      </w:r>
      <w:r>
        <w:rPr>
          <w:rFonts w:hint="default" w:ascii="Times New Roman" w:hAnsi="Times New Roman" w:cs="Times New Roman"/>
          <w:color w:val="auto"/>
          <w:highlight w:val="none"/>
        </w:rPr>
        <w:t>以预先制定的目标、计划、预算、定额等作为评价标准，对比分析项目产出、效益的完成情况。对于定性指标，通过文献查阅、问卷调查及访谈方式，采集相关数据，运用等级描述法，设置分级标准，体现该指标认可程度的差异。对于定量指标，通过公式计算、数据统计等方式予以量化，可以准确衡量，并设定目标值的考核指标。</w:t>
      </w:r>
    </w:p>
    <w:p w14:paraId="16C0A28D">
      <w:pPr>
        <w:pStyle w:val="3"/>
        <w:pageBreakBefore w:val="0"/>
        <w:widowControl w:val="0"/>
        <w:kinsoku/>
        <w:wordWrap/>
        <w:overflowPunct/>
        <w:topLinePunct w:val="0"/>
        <w:autoSpaceDE/>
        <w:autoSpaceDN/>
        <w:bidi w:val="0"/>
        <w:adjustRightInd w:val="0"/>
        <w:snapToGrid w:val="0"/>
        <w:spacing w:before="0" w:after="0" w:line="360" w:lineRule="auto"/>
        <w:ind w:firstLine="482"/>
        <w:textAlignment w:val="auto"/>
        <w:rPr>
          <w:rFonts w:ascii="Times New Roman" w:hAnsi="Times New Roman"/>
          <w:color w:val="auto"/>
        </w:rPr>
      </w:pPr>
      <w:bookmarkStart w:id="63" w:name="_Toc21853"/>
      <w:bookmarkStart w:id="64" w:name="_Toc1260500485"/>
      <w:r>
        <w:rPr>
          <w:rFonts w:hint="default" w:ascii="Times New Roman" w:hAnsi="Times New Roman"/>
          <w:color w:val="auto"/>
        </w:rPr>
        <w:t>（</w:t>
      </w:r>
      <w:r>
        <w:rPr>
          <w:rFonts w:hint="default" w:ascii="Times New Roman" w:hAnsi="Times New Roman"/>
          <w:color w:val="auto"/>
          <w:lang w:val="en-US" w:eastAsia="zh-CN"/>
        </w:rPr>
        <w:t>五</w:t>
      </w:r>
      <w:r>
        <w:rPr>
          <w:rFonts w:hint="default" w:ascii="Times New Roman" w:hAnsi="Times New Roman"/>
          <w:color w:val="auto"/>
        </w:rPr>
        <w:t>）</w:t>
      </w:r>
      <w:r>
        <w:rPr>
          <w:rFonts w:ascii="Times New Roman" w:hAnsi="Times New Roman"/>
          <w:color w:val="auto"/>
        </w:rPr>
        <w:t>绩效评价</w:t>
      </w:r>
      <w:r>
        <w:rPr>
          <w:rFonts w:hint="default" w:ascii="Times New Roman" w:hAnsi="Times New Roman"/>
          <w:color w:val="auto"/>
        </w:rPr>
        <w:t>方法</w:t>
      </w:r>
      <w:bookmarkEnd w:id="63"/>
      <w:bookmarkEnd w:id="64"/>
    </w:p>
    <w:p w14:paraId="09735AAE">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color w:val="auto"/>
        </w:rPr>
      </w:pPr>
      <w:r>
        <w:rPr>
          <w:rFonts w:hint="default"/>
          <w:color w:val="auto"/>
        </w:rPr>
        <w:t>正确的评价方法是评价工作顺利开展的保障，在结合实际经验的情况下，绩效评价小组根据该项目资金的性质和特点，选用比较法、因素分析法、公众评判法以及文献法对项目进行评价，旨在通过综合分析影响绩效目标实现、实施效果的内外部因素，从而评价该项目绩效。</w:t>
      </w:r>
    </w:p>
    <w:p w14:paraId="40E8C9DB">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（1）项目决策类指标评价方法</w:t>
      </w:r>
    </w:p>
    <w:p w14:paraId="68C133A4">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立项依据充分性：比较法和文献法，查找法律法规政策以及规划，对比实际执行内容和政策支持内容是否匹配，分析立项依据充分性。</w:t>
      </w:r>
    </w:p>
    <w:p w14:paraId="28837751">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立项程序规范性：比较法和文献法，查找相关项目设立的政策和文件要求，对比分析实际执行程序是否按照政策及文件要求执行，分析立项程序的规范性。</w:t>
      </w:r>
    </w:p>
    <w:p w14:paraId="4C30A887">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绩效目标合理性：文献法和因素分析法，对比分析年初编制项目支出绩效目标表与项目内容的相关性、资金的匹配性等。</w:t>
      </w:r>
    </w:p>
    <w:p w14:paraId="5389278D">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预算编制科学性：比较法和因素分析法，项目预算编制是否经过科学论证、有明确标准，资金额度与年度目标是否相适应，用以反映和考核项目预算编制的科学性、合理性情况。</w:t>
      </w:r>
    </w:p>
    <w:p w14:paraId="04E1BE00">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资金分配合理性：因素分析法，综合分析资金的分配依据是否充分，分配金额是否与项目实施单位需求金额一致。</w:t>
      </w:r>
    </w:p>
    <w:p w14:paraId="6191BD45">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（2）项目过程类指标评价方法</w:t>
      </w:r>
    </w:p>
    <w:p w14:paraId="24AA2E49">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资金到位率：比较法和因素分析法，项目是否完成且资金到位数满足年度预算规模需求；项目尚未完成，分析实际完成值和预期指标值之间的差距和原因。</w:t>
      </w:r>
    </w:p>
    <w:p w14:paraId="23A87ECE">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预算执行率：比较法和因素分析法，项目是否完成且执行数控制在年度预算规模之内的；项目尚未完成，并分析实际完成值和预期指标值之间的差距和原因。</w:t>
      </w:r>
    </w:p>
    <w:p w14:paraId="4B904E35">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资金使用合规性：比较法、文献法和因素分析法等，通过实地调研，检查项目资金使用情况，对比专项资金管理办法要求，分析资金使用合规性。</w:t>
      </w:r>
    </w:p>
    <w:p w14:paraId="5A0A2A0A">
      <w:pPr>
        <w:spacing w:before="0" w:after="0" w:line="360" w:lineRule="auto"/>
        <w:ind w:firstLine="420"/>
        <w:rPr>
          <w:rFonts w:hint="default" w:eastAsiaTheme="minorEastAsia"/>
          <w:color w:val="auto"/>
          <w:lang w:val="en-US" w:eastAsia="zh-CN"/>
        </w:rPr>
      </w:pPr>
      <w:r>
        <w:rPr>
          <w:rFonts w:hint="default"/>
          <w:color w:val="auto"/>
        </w:rPr>
        <w:t>管理制度健全性：比较法</w:t>
      </w:r>
      <w:r>
        <w:rPr>
          <w:rFonts w:hint="default"/>
          <w:color w:val="auto"/>
          <w:lang w:val="en-US" w:eastAsia="zh-CN"/>
        </w:rPr>
        <w:t>和</w:t>
      </w:r>
      <w:r>
        <w:rPr>
          <w:rFonts w:hint="default"/>
          <w:color w:val="auto"/>
        </w:rPr>
        <w:t>因素分析法</w:t>
      </w:r>
      <w:r>
        <w:rPr>
          <w:rFonts w:hint="default"/>
          <w:color w:val="auto"/>
          <w:lang w:eastAsia="zh-CN"/>
        </w:rPr>
        <w:t>，</w:t>
      </w:r>
      <w:r>
        <w:rPr>
          <w:rFonts w:hint="default"/>
          <w:color w:val="auto"/>
          <w:lang w:val="en-US" w:eastAsia="zh-CN"/>
        </w:rPr>
        <w:t>通过查阅项目实施单位的财务、业务管理制度以及项目实施方案等资料，检查制度是否健全，是否能够有效指导项目规范开展，分析</w:t>
      </w:r>
      <w:r>
        <w:rPr>
          <w:rFonts w:hint="default"/>
          <w:color w:val="auto"/>
        </w:rPr>
        <w:t>管理制度健全性</w:t>
      </w:r>
      <w:r>
        <w:rPr>
          <w:rFonts w:hint="default" w:cs="Times New Roman"/>
          <w:color w:val="auto"/>
          <w:highlight w:val="none"/>
          <w:lang w:val="en-US" w:eastAsia="zh-CN"/>
        </w:rPr>
        <w:t>。</w:t>
      </w:r>
    </w:p>
    <w:p w14:paraId="26B92DEF">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eastAsiaTheme="minorEastAsia"/>
          <w:color w:val="auto"/>
          <w:lang w:val="en-US" w:eastAsia="zh-CN"/>
        </w:rPr>
      </w:pPr>
      <w:r>
        <w:rPr>
          <w:rFonts w:hint="default"/>
          <w:color w:val="auto"/>
        </w:rPr>
        <w:t>制度执行有效性：比较法、文献法和因素分析法等</w:t>
      </w:r>
      <w:r>
        <w:rPr>
          <w:rFonts w:hint="default"/>
          <w:color w:val="auto"/>
          <w:lang w:eastAsia="zh-CN"/>
        </w:rPr>
        <w:t>，</w:t>
      </w:r>
      <w:r>
        <w:rPr>
          <w:rFonts w:hint="default"/>
          <w:color w:val="auto"/>
          <w:lang w:val="en-US" w:eastAsia="zh-CN"/>
        </w:rPr>
        <w:t>通过查阅项目实施资料，根据《2024年职业教育建设项目申报书（实训基地建设项目）》以及相关管理</w:t>
      </w:r>
      <w:r>
        <w:rPr>
          <w:rFonts w:hint="default" w:ascii="Times New Roman" w:hAnsi="Times New Roman" w:cs="Times New Roman"/>
          <w:color w:val="auto"/>
          <w:lang w:val="en-US" w:eastAsia="zh-CN"/>
        </w:rPr>
        <w:t>办法等规定，检查项目开展程序是否符合上述文件的规定，分析制度执行有效性。</w:t>
      </w:r>
    </w:p>
    <w:p w14:paraId="1907422E">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（3）项目产出类指标评价方法</w:t>
      </w:r>
    </w:p>
    <w:p w14:paraId="1C2D7C20">
      <w:pPr>
        <w:spacing w:before="0" w:after="0" w:line="360" w:lineRule="auto"/>
        <w:ind w:firstLine="42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项目产出类指标主要采用比较法，通过对比实际完成值和预期指标值，综合分析影响绩效目标实现的内外部因素。</w:t>
      </w:r>
    </w:p>
    <w:p w14:paraId="66A5FB40">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cs="Times New Roman"/>
          <w:color w:val="auto"/>
          <w:lang w:eastAsia="zh-CN"/>
        </w:rPr>
      </w:pPr>
      <w:r>
        <w:rPr>
          <w:rFonts w:hint="default" w:ascii="Times New Roman" w:hAnsi="Times New Roman" w:cs="Times New Roman"/>
          <w:color w:val="auto"/>
          <w:lang w:eastAsia="zh-CN"/>
        </w:rPr>
        <w:t>化工及化工安全实训基地设备采购</w:t>
      </w:r>
      <w:r>
        <w:rPr>
          <w:rFonts w:hint="default" w:cs="Times New Roman"/>
          <w:color w:val="auto"/>
          <w:lang w:val="en-US" w:eastAsia="zh-CN"/>
        </w:rPr>
        <w:t>计划完成率</w:t>
      </w:r>
      <w:r>
        <w:rPr>
          <w:rFonts w:hint="default" w:cs="Times New Roman"/>
          <w:color w:val="auto"/>
          <w:lang w:eastAsia="zh-CN"/>
        </w:rPr>
        <w:t>：</w:t>
      </w:r>
      <w:r>
        <w:rPr>
          <w:rFonts w:hint="default" w:ascii="Times New Roman" w:hAnsi="Times New Roman" w:cs="Times New Roman"/>
          <w:color w:val="auto"/>
          <w:lang w:val="en-US" w:eastAsia="zh-CN"/>
        </w:rPr>
        <w:t>根据资金下达文件</w:t>
      </w:r>
      <w:r>
        <w:rPr>
          <w:rFonts w:hint="default" w:cs="Times New Roman"/>
          <w:color w:val="auto"/>
          <w:lang w:val="en-US" w:eastAsia="zh-CN"/>
        </w:rPr>
        <w:t>、</w:t>
      </w:r>
      <w:r>
        <w:rPr>
          <w:rFonts w:hint="default" w:ascii="Times New Roman" w:hAnsi="Times New Roman" w:cs="Times New Roman"/>
          <w:color w:val="auto"/>
          <w:lang w:val="en-US" w:eastAsia="zh-CN"/>
        </w:rPr>
        <w:t>《2024年职业教育建设项目申报书（实训基地建设项目）》</w:t>
      </w:r>
      <w:r>
        <w:rPr>
          <w:rFonts w:hint="default" w:cs="Times New Roman"/>
          <w:color w:val="auto"/>
          <w:lang w:val="en-US" w:eastAsia="zh-CN"/>
        </w:rPr>
        <w:t>以及</w:t>
      </w:r>
      <w:r>
        <w:rPr>
          <w:rFonts w:hint="default" w:ascii="Times New Roman" w:hAnsi="Times New Roman" w:cs="Times New Roman"/>
          <w:color w:val="auto"/>
          <w:lang w:eastAsia="zh-CN"/>
        </w:rPr>
        <w:t>化工及化工安全实训基地设备采购</w:t>
      </w:r>
      <w:r>
        <w:rPr>
          <w:rFonts w:hint="default" w:cs="Times New Roman"/>
          <w:color w:val="auto"/>
          <w:lang w:val="en-US" w:eastAsia="zh-CN"/>
        </w:rPr>
        <w:t>任务计划书</w:t>
      </w:r>
      <w:r>
        <w:rPr>
          <w:rFonts w:hint="default" w:ascii="Times New Roman" w:hAnsi="Times New Roman" w:cs="Times New Roman"/>
          <w:color w:val="auto"/>
          <w:lang w:val="en-US" w:eastAsia="zh-CN"/>
        </w:rPr>
        <w:t>，通过对比实际完成值和预期指标值，评价</w:t>
      </w:r>
      <w:r>
        <w:rPr>
          <w:rFonts w:hint="default" w:ascii="Times New Roman" w:hAnsi="Times New Roman" w:cs="Times New Roman"/>
          <w:color w:val="auto"/>
          <w:lang w:eastAsia="zh-CN"/>
        </w:rPr>
        <w:t>化工及化工安全实训基地设备采购</w:t>
      </w:r>
      <w:r>
        <w:rPr>
          <w:rFonts w:hint="default" w:ascii="Times New Roman" w:hAnsi="Times New Roman" w:cs="Times New Roman"/>
          <w:color w:val="auto"/>
          <w:lang w:val="en-US" w:eastAsia="zh-CN"/>
        </w:rPr>
        <w:t>目标的实现程度。</w:t>
      </w:r>
    </w:p>
    <w:p w14:paraId="0D8D6E37">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cs="Times New Roman"/>
          <w:color w:val="auto"/>
          <w:lang w:eastAsia="zh-CN"/>
        </w:rPr>
      </w:pPr>
      <w:r>
        <w:rPr>
          <w:rFonts w:hint="default" w:ascii="Times New Roman" w:hAnsi="Times New Roman" w:cs="Times New Roman"/>
          <w:color w:val="auto"/>
          <w:lang w:eastAsia="zh-CN"/>
        </w:rPr>
        <w:t>电商及直播实训基地采购</w:t>
      </w:r>
      <w:r>
        <w:rPr>
          <w:rFonts w:hint="default" w:cs="Times New Roman"/>
          <w:color w:val="auto"/>
          <w:lang w:val="en-US" w:eastAsia="zh-CN"/>
        </w:rPr>
        <w:t>计划完成率</w:t>
      </w:r>
      <w:r>
        <w:rPr>
          <w:rFonts w:hint="default" w:cs="Times New Roman"/>
          <w:color w:val="auto"/>
          <w:lang w:eastAsia="zh-CN"/>
        </w:rPr>
        <w:t>：</w:t>
      </w:r>
      <w:r>
        <w:rPr>
          <w:rFonts w:hint="default" w:ascii="Times New Roman" w:hAnsi="Times New Roman" w:cs="Times New Roman"/>
          <w:color w:val="auto"/>
          <w:lang w:val="en-US" w:eastAsia="zh-CN"/>
        </w:rPr>
        <w:t>根据资金下达文件</w:t>
      </w:r>
      <w:r>
        <w:rPr>
          <w:rFonts w:hint="default" w:cs="Times New Roman"/>
          <w:color w:val="auto"/>
          <w:lang w:val="en-US" w:eastAsia="zh-CN"/>
        </w:rPr>
        <w:t>、</w:t>
      </w:r>
      <w:r>
        <w:rPr>
          <w:rFonts w:hint="default" w:ascii="Times New Roman" w:hAnsi="Times New Roman" w:cs="Times New Roman"/>
          <w:color w:val="auto"/>
          <w:lang w:val="en-US" w:eastAsia="zh-CN"/>
        </w:rPr>
        <w:t>《2024年职业教育建设项目申报书（实训基地建设项目）》</w:t>
      </w:r>
      <w:r>
        <w:rPr>
          <w:rFonts w:hint="default" w:cs="Times New Roman"/>
          <w:color w:val="auto"/>
          <w:lang w:val="en-US" w:eastAsia="zh-CN"/>
        </w:rPr>
        <w:t>以及</w:t>
      </w:r>
      <w:r>
        <w:rPr>
          <w:rFonts w:hint="default" w:ascii="Times New Roman" w:hAnsi="Times New Roman" w:cs="Times New Roman"/>
          <w:color w:val="auto"/>
          <w:lang w:eastAsia="zh-CN"/>
        </w:rPr>
        <w:t>电商及直播实训基地采购</w:t>
      </w:r>
      <w:r>
        <w:rPr>
          <w:rFonts w:hint="default" w:cs="Times New Roman"/>
          <w:color w:val="auto"/>
          <w:lang w:val="en-US" w:eastAsia="zh-CN"/>
        </w:rPr>
        <w:t>任务计划书</w:t>
      </w:r>
      <w:r>
        <w:rPr>
          <w:rFonts w:hint="default" w:ascii="Times New Roman" w:hAnsi="Times New Roman" w:cs="Times New Roman"/>
          <w:color w:val="auto"/>
          <w:lang w:val="en-US" w:eastAsia="zh-CN"/>
        </w:rPr>
        <w:t>，通过对比实际完成值和预期指标值，评价</w:t>
      </w:r>
      <w:r>
        <w:rPr>
          <w:rFonts w:hint="default" w:ascii="Times New Roman" w:hAnsi="Times New Roman" w:cs="Times New Roman"/>
          <w:color w:val="auto"/>
          <w:lang w:eastAsia="zh-CN"/>
        </w:rPr>
        <w:t>电商及直播实训基地采购</w:t>
      </w:r>
      <w:r>
        <w:rPr>
          <w:rFonts w:hint="default" w:ascii="Times New Roman" w:hAnsi="Times New Roman" w:cs="Times New Roman"/>
          <w:color w:val="auto"/>
          <w:lang w:val="en-US" w:eastAsia="zh-CN"/>
        </w:rPr>
        <w:t>目标的实现程度。</w:t>
      </w:r>
    </w:p>
    <w:p w14:paraId="7CC34883">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cs="Times New Roman"/>
          <w:color w:val="auto"/>
          <w:lang w:val="en-US" w:eastAsia="zh-CN"/>
        </w:rPr>
      </w:pPr>
      <w:r>
        <w:rPr>
          <w:rFonts w:hint="default" w:ascii="Times New Roman" w:hAnsi="Times New Roman" w:cs="Times New Roman"/>
          <w:color w:val="auto"/>
          <w:lang w:eastAsia="zh-CN"/>
        </w:rPr>
        <w:t>设备验收合格率</w:t>
      </w:r>
      <w:r>
        <w:rPr>
          <w:rFonts w:hint="default" w:cs="Times New Roman"/>
          <w:color w:val="auto"/>
          <w:lang w:eastAsia="zh-CN"/>
        </w:rPr>
        <w:t>：</w:t>
      </w:r>
      <w:r>
        <w:rPr>
          <w:rFonts w:hint="default" w:ascii="Times New Roman" w:hAnsi="Times New Roman" w:cs="Times New Roman"/>
          <w:color w:val="auto"/>
          <w:lang w:val="en-US" w:eastAsia="zh-CN"/>
        </w:rPr>
        <w:t>根据资金下达文件以及《2024年职业教育建设项目申报书（实训基地建设项目）》，</w:t>
      </w:r>
      <w:r>
        <w:rPr>
          <w:rFonts w:hint="default" w:cs="Times New Roman"/>
          <w:color w:val="auto"/>
          <w:lang w:val="en-US" w:eastAsia="zh-CN"/>
        </w:rPr>
        <w:t>评价</w:t>
      </w:r>
      <w:r>
        <w:rPr>
          <w:rFonts w:hint="default" w:ascii="Times New Roman" w:hAnsi="Times New Roman" w:cs="Times New Roman"/>
          <w:color w:val="auto"/>
          <w:lang w:eastAsia="zh-CN"/>
        </w:rPr>
        <w:t>化工及化工安全实训基地设备采购</w:t>
      </w:r>
      <w:r>
        <w:rPr>
          <w:rFonts w:hint="default" w:cs="Times New Roman"/>
          <w:color w:val="auto"/>
          <w:lang w:val="en-US" w:eastAsia="zh-CN"/>
        </w:rPr>
        <w:t>任务和</w:t>
      </w:r>
      <w:r>
        <w:rPr>
          <w:rFonts w:hint="default" w:ascii="Times New Roman" w:hAnsi="Times New Roman" w:cs="Times New Roman"/>
          <w:color w:val="auto"/>
          <w:lang w:eastAsia="zh-CN"/>
        </w:rPr>
        <w:t>电商及直播实训基地采购</w:t>
      </w:r>
      <w:r>
        <w:rPr>
          <w:rFonts w:hint="default" w:cs="Times New Roman"/>
          <w:color w:val="auto"/>
          <w:lang w:val="en-US" w:eastAsia="zh-CN"/>
        </w:rPr>
        <w:t>任务是否按照供货清单供货，满足设备型号与采购要求一致等质量要求。</w:t>
      </w:r>
    </w:p>
    <w:p w14:paraId="2C430C76">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cs="Times New Roman"/>
          <w:color w:val="auto"/>
          <w:lang w:eastAsia="zh-CN"/>
        </w:rPr>
      </w:pPr>
      <w:r>
        <w:rPr>
          <w:rFonts w:hint="default" w:ascii="Times New Roman" w:hAnsi="Times New Roman" w:cs="Times New Roman"/>
          <w:color w:val="auto"/>
          <w:lang w:eastAsia="zh-CN"/>
        </w:rPr>
        <w:t>项目按时完成时间</w:t>
      </w:r>
      <w:r>
        <w:rPr>
          <w:rFonts w:hint="default" w:cs="Times New Roman"/>
          <w:color w:val="auto"/>
          <w:lang w:eastAsia="zh-CN"/>
        </w:rPr>
        <w:t>：根据下发资金文件以及绩效目标表，项目应当在20</w:t>
      </w:r>
      <w:r>
        <w:rPr>
          <w:rFonts w:hint="default" w:cs="Times New Roman"/>
          <w:color w:val="auto"/>
          <w:lang w:val="en-US" w:eastAsia="zh-CN"/>
        </w:rPr>
        <w:t>24</w:t>
      </w:r>
      <w:r>
        <w:rPr>
          <w:rFonts w:hint="default" w:cs="Times New Roman"/>
          <w:color w:val="auto"/>
          <w:lang w:eastAsia="zh-CN"/>
        </w:rPr>
        <w:t>年</w:t>
      </w:r>
      <w:r>
        <w:rPr>
          <w:rFonts w:hint="default" w:cs="Times New Roman"/>
          <w:color w:val="auto"/>
          <w:lang w:val="en-US" w:eastAsia="zh-CN"/>
        </w:rPr>
        <w:t>12</w:t>
      </w:r>
      <w:r>
        <w:rPr>
          <w:rFonts w:hint="default" w:cs="Times New Roman"/>
          <w:color w:val="auto"/>
          <w:lang w:eastAsia="zh-CN"/>
        </w:rPr>
        <w:t>月3</w:t>
      </w:r>
      <w:r>
        <w:rPr>
          <w:rFonts w:hint="default" w:cs="Times New Roman"/>
          <w:color w:val="auto"/>
          <w:lang w:val="en-US" w:eastAsia="zh-CN"/>
        </w:rPr>
        <w:t>1</w:t>
      </w:r>
      <w:r>
        <w:rPr>
          <w:rFonts w:hint="default" w:cs="Times New Roman"/>
          <w:color w:val="auto"/>
          <w:lang w:eastAsia="zh-CN"/>
        </w:rPr>
        <w:t>日前完成</w:t>
      </w:r>
      <w:r>
        <w:rPr>
          <w:rFonts w:hint="default" w:cs="Times New Roman"/>
          <w:color w:val="auto"/>
          <w:lang w:val="en-US" w:eastAsia="zh-CN"/>
        </w:rPr>
        <w:t>采购任务</w:t>
      </w:r>
      <w:r>
        <w:rPr>
          <w:rFonts w:hint="default" w:cs="Times New Roman"/>
          <w:color w:val="auto"/>
          <w:lang w:eastAsia="zh-CN"/>
        </w:rPr>
        <w:t>，通过对比实际完成值和预期指标值，评价是否及时完成</w:t>
      </w:r>
      <w:r>
        <w:rPr>
          <w:rFonts w:hint="default" w:cs="Times New Roman"/>
          <w:color w:val="auto"/>
          <w:lang w:val="en-US" w:eastAsia="zh-CN"/>
        </w:rPr>
        <w:t>项目采购</w:t>
      </w:r>
      <w:r>
        <w:rPr>
          <w:rFonts w:hint="default" w:cs="Times New Roman"/>
          <w:color w:val="auto"/>
          <w:lang w:eastAsia="zh-CN"/>
        </w:rPr>
        <w:t>。</w:t>
      </w:r>
    </w:p>
    <w:p w14:paraId="59EA5878">
      <w:pPr>
        <w:pageBreakBefore w:val="0"/>
        <w:widowControl w:val="0"/>
        <w:kinsoku/>
        <w:wordWrap/>
        <w:overflowPunct/>
        <w:topLinePunct w:val="0"/>
        <w:autoSpaceDE/>
        <w:autoSpaceDN/>
        <w:bidi w:val="0"/>
        <w:adjustRightInd w:val="0"/>
        <w:snapToGrid w:val="0"/>
        <w:spacing w:line="360" w:lineRule="auto"/>
        <w:ind w:firstLine="420"/>
        <w:textAlignment w:val="auto"/>
        <w:rPr>
          <w:rFonts w:hint="default" w:ascii="Times New Roman" w:hAnsi="Times New Roman" w:cs="Times New Roman"/>
          <w:color w:val="auto"/>
          <w:lang w:eastAsia="zh-CN"/>
        </w:rPr>
      </w:pPr>
      <w:r>
        <w:rPr>
          <w:rFonts w:hint="default" w:ascii="Times New Roman" w:hAnsi="Times New Roman" w:cs="Times New Roman"/>
          <w:color w:val="auto"/>
          <w:lang w:eastAsia="zh-CN"/>
        </w:rPr>
        <w:t>成本节约率</w:t>
      </w:r>
      <w:r>
        <w:rPr>
          <w:rFonts w:hint="default" w:cs="Times New Roman"/>
          <w:color w:val="auto"/>
          <w:lang w:eastAsia="zh-CN"/>
        </w:rPr>
        <w:t>：根据下发资金文件以及绩效目标表，通过对比实际完成值和预期指标值，</w:t>
      </w:r>
      <w:r>
        <w:rPr>
          <w:rFonts w:hint="default" w:cs="Times New Roman"/>
          <w:color w:val="auto"/>
          <w:lang w:val="en-US" w:eastAsia="zh-CN"/>
        </w:rPr>
        <w:t>评价政府采购使得</w:t>
      </w:r>
      <w:r>
        <w:rPr>
          <w:rFonts w:hint="default" w:ascii="Times New Roman" w:hAnsi="Times New Roman" w:cs="Times New Roman"/>
          <w:color w:val="auto"/>
          <w:lang w:eastAsia="zh-CN"/>
        </w:rPr>
        <w:t>化工及化工安全实训基地设备采购</w:t>
      </w:r>
      <w:r>
        <w:rPr>
          <w:rFonts w:hint="default" w:cs="Times New Roman"/>
          <w:color w:val="auto"/>
          <w:lang w:val="en-US" w:eastAsia="zh-CN"/>
        </w:rPr>
        <w:t>任务和</w:t>
      </w:r>
      <w:r>
        <w:rPr>
          <w:rFonts w:hint="default" w:ascii="Times New Roman" w:hAnsi="Times New Roman" w:cs="Times New Roman"/>
          <w:color w:val="auto"/>
          <w:lang w:eastAsia="zh-CN"/>
        </w:rPr>
        <w:t>电商及直播实训基地采购</w:t>
      </w:r>
      <w:r>
        <w:rPr>
          <w:rFonts w:hint="default" w:cs="Times New Roman"/>
          <w:color w:val="auto"/>
          <w:lang w:val="en-US" w:eastAsia="zh-CN"/>
        </w:rPr>
        <w:t>任务达到成本节约效果</w:t>
      </w:r>
      <w:r>
        <w:rPr>
          <w:rFonts w:hint="default" w:ascii="Times New Roman" w:hAnsi="Times New Roman" w:cs="Times New Roman"/>
          <w:color w:val="auto"/>
          <w:lang w:eastAsia="zh-CN"/>
        </w:rPr>
        <w:t>。</w:t>
      </w:r>
    </w:p>
    <w:p w14:paraId="30A1097A">
      <w:pPr>
        <w:pageBreakBefore w:val="0"/>
        <w:widowControl w:val="0"/>
        <w:kinsoku/>
        <w:wordWrap/>
        <w:overflowPunct/>
        <w:topLinePunct w:val="0"/>
        <w:autoSpaceDE/>
        <w:autoSpaceDN/>
        <w:bidi w:val="0"/>
        <w:adjustRightInd w:val="0"/>
        <w:snapToGrid w:val="0"/>
        <w:spacing w:line="360" w:lineRule="auto"/>
        <w:ind w:firstLine="420"/>
        <w:textAlignment w:val="auto"/>
        <w:rPr>
          <w:color w:val="auto"/>
        </w:rPr>
      </w:pPr>
      <w:r>
        <w:rPr>
          <w:rFonts w:hint="default"/>
          <w:color w:val="auto"/>
        </w:rPr>
        <w:t>（4）项目效益类指标评价方法</w:t>
      </w:r>
    </w:p>
    <w:p w14:paraId="013E49A5">
      <w:pPr>
        <w:ind w:firstLine="420"/>
        <w:rPr>
          <w:rFonts w:ascii="Times New Roman" w:hAnsi="Times New Roman" w:cs="Times New Roman"/>
          <w:color w:val="auto"/>
        </w:rPr>
      </w:pPr>
      <w:r>
        <w:rPr>
          <w:rFonts w:hint="default" w:ascii="Times New Roman" w:hAnsi="Times New Roman" w:cs="Times New Roman"/>
          <w:color w:val="auto"/>
        </w:rPr>
        <w:t>项目效益类指标主要采用公众评判法、比较法，通过问卷及抽样调查等方式评价本项目实施后社会公众对于其实施效果的满意程度。</w:t>
      </w:r>
    </w:p>
    <w:p w14:paraId="2BC842F4">
      <w:pPr>
        <w:ind w:firstLine="420"/>
        <w:rPr>
          <w:rFonts w:ascii="Times New Roman" w:hAnsi="Times New Roman" w:cs="Times New Roman"/>
          <w:color w:val="auto"/>
        </w:rPr>
      </w:pPr>
      <w:r>
        <w:rPr>
          <w:rFonts w:hint="default" w:ascii="Times New Roman" w:hAnsi="Times New Roman" w:cs="Times New Roman"/>
          <w:color w:val="auto"/>
        </w:rPr>
        <w:t>①公众评判法：</w:t>
      </w:r>
      <w:r>
        <w:rPr>
          <w:rFonts w:hint="default" w:ascii="Times New Roman" w:hAnsi="Times New Roman" w:cs="Times New Roman"/>
          <w:color w:val="auto"/>
          <w:lang w:eastAsia="zh-Hans"/>
        </w:rPr>
        <w:t>该项目实施</w:t>
      </w:r>
      <w:r>
        <w:rPr>
          <w:rFonts w:hint="default" w:ascii="Times New Roman" w:hAnsi="Times New Roman" w:cs="Times New Roman"/>
          <w:color w:val="auto"/>
          <w:lang w:val="en-US" w:eastAsia="zh-CN"/>
        </w:rPr>
        <w:t>受益学生及教师</w:t>
      </w:r>
      <w:r>
        <w:rPr>
          <w:rFonts w:hint="default" w:ascii="Times New Roman" w:hAnsi="Times New Roman" w:cs="Times New Roman"/>
          <w:color w:val="auto"/>
        </w:rPr>
        <w:t>的反馈对本次评价工作具有重要意义，评价过程中采用个别访谈或调查问卷等方式开展相关工作。调研结果参照《关于印发&lt;自治区项目支出绩效目标设置指引&gt;的通知</w:t>
      </w:r>
      <w:r>
        <w:rPr>
          <w:rFonts w:ascii="Times New Roman" w:hAnsi="Times New Roman" w:cs="Times New Roman"/>
          <w:color w:val="auto"/>
        </w:rPr>
        <w:t>》</w:t>
      </w:r>
      <w:r>
        <w:rPr>
          <w:rFonts w:hint="default" w:ascii="Times New Roman" w:hAnsi="Times New Roman" w:cs="Times New Roman"/>
          <w:color w:val="auto"/>
        </w:rPr>
        <w:t>（新财预〔2022〕42号）文件，分为基本达成目标、部分实现目标、实现目标程度较低三档，分别按照该指标对应分值区间100%-80%（含）、80%-60%（含）、60%-0%合理确定分值。</w:t>
      </w:r>
    </w:p>
    <w:p w14:paraId="3885023F">
      <w:pPr>
        <w:ind w:firstLine="420"/>
        <w:rPr>
          <w:rFonts w:ascii="Times New Roman" w:hAnsi="Times New Roman" w:cs="Times New Roman"/>
          <w:color w:val="auto"/>
        </w:rPr>
      </w:pPr>
      <w:r>
        <w:rPr>
          <w:rFonts w:hint="default" w:ascii="Times New Roman" w:hAnsi="Times New Roman" w:cs="Times New Roman"/>
          <w:color w:val="auto"/>
        </w:rPr>
        <w:t>②比较法：在分析实际发挥效果程度时，通过对工作任务、目标与实施完成情况、实施效果的比较，综合分析年度目标任务的实现程度。</w:t>
      </w:r>
    </w:p>
    <w:p w14:paraId="1D30010B">
      <w:pPr>
        <w:pStyle w:val="3"/>
        <w:pageBreakBefore w:val="0"/>
        <w:widowControl w:val="0"/>
        <w:kinsoku/>
        <w:wordWrap/>
        <w:overflowPunct/>
        <w:topLinePunct w:val="0"/>
        <w:autoSpaceDE/>
        <w:autoSpaceDN/>
        <w:bidi w:val="0"/>
        <w:adjustRightInd w:val="0"/>
        <w:snapToGrid w:val="0"/>
        <w:spacing w:before="0" w:after="0" w:line="360" w:lineRule="auto"/>
        <w:ind w:firstLine="482"/>
        <w:textAlignment w:val="auto"/>
        <w:rPr>
          <w:rFonts w:ascii="Times New Roman" w:hAnsi="Times New Roman"/>
          <w:color w:val="auto"/>
        </w:rPr>
      </w:pPr>
      <w:bookmarkStart w:id="65" w:name="_Toc305473740"/>
      <w:bookmarkStart w:id="66" w:name="_Toc20416"/>
      <w:r>
        <w:rPr>
          <w:rFonts w:hint="default" w:ascii="Times New Roman" w:hAnsi="Times New Roman"/>
          <w:color w:val="auto"/>
        </w:rPr>
        <w:t>（</w:t>
      </w:r>
      <w:r>
        <w:rPr>
          <w:rFonts w:hint="default" w:ascii="Times New Roman" w:hAnsi="Times New Roman"/>
          <w:color w:val="auto"/>
          <w:lang w:val="en-US" w:eastAsia="zh-CN"/>
        </w:rPr>
        <w:t>六</w:t>
      </w:r>
      <w:r>
        <w:rPr>
          <w:rFonts w:hint="default" w:ascii="Times New Roman" w:hAnsi="Times New Roman"/>
          <w:color w:val="auto"/>
        </w:rPr>
        <w:t>）</w:t>
      </w:r>
      <w:r>
        <w:rPr>
          <w:rFonts w:ascii="Times New Roman" w:hAnsi="Times New Roman"/>
          <w:color w:val="auto"/>
        </w:rPr>
        <w:t>绩效评价指标体系</w:t>
      </w:r>
      <w:r>
        <w:rPr>
          <w:rFonts w:hint="default" w:ascii="Times New Roman" w:hAnsi="Times New Roman"/>
          <w:color w:val="auto"/>
        </w:rPr>
        <w:t>设计</w:t>
      </w:r>
      <w:bookmarkEnd w:id="65"/>
      <w:bookmarkEnd w:id="66"/>
    </w:p>
    <w:p w14:paraId="4DCFA49A">
      <w:pPr>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color w:val="auto"/>
          <w:lang w:val="en-US" w:eastAsia="zh-CN"/>
        </w:rPr>
      </w:pPr>
      <w:bookmarkStart w:id="67" w:name="_Toc68364663"/>
      <w:r>
        <w:rPr>
          <w:rFonts w:hint="default" w:cs="Times New Roman"/>
          <w:color w:val="auto"/>
          <w:highlight w:val="none"/>
          <w:lang w:val="en-US" w:eastAsia="zh-CN"/>
        </w:rPr>
        <w:t>本次绩效评价指标体系设置分为共性指标体系部分和个性指标体系部分，其中</w:t>
      </w:r>
      <w:r>
        <w:rPr>
          <w:rFonts w:hint="default" w:ascii="Times New Roman" w:hAnsi="Times New Roman" w:cs="Times New Roman" w:eastAsiaTheme="minorEastAsia"/>
          <w:color w:val="auto"/>
          <w:highlight w:val="none"/>
          <w:lang w:val="en-US" w:eastAsia="zh-CN"/>
        </w:rPr>
        <w:t>共性指标部分</w:t>
      </w:r>
      <w:r>
        <w:rPr>
          <w:rFonts w:hint="default" w:ascii="Times New Roman" w:hAnsi="Times New Roman" w:cs="Times New Roman"/>
          <w:color w:val="auto"/>
          <w:highlight w:val="none"/>
          <w:lang w:val="en-US" w:eastAsia="zh-CN"/>
        </w:rPr>
        <w:t>，</w:t>
      </w:r>
      <w:r>
        <w:rPr>
          <w:rFonts w:hint="default" w:ascii="Times New Roman" w:hAnsi="Times New Roman" w:cs="Times New Roman" w:eastAsiaTheme="minorEastAsia"/>
          <w:color w:val="auto"/>
          <w:highlight w:val="none"/>
          <w:lang w:val="en-US" w:eastAsia="zh-CN"/>
        </w:rPr>
        <w:t>参照</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eastAsiaTheme="minorEastAsia"/>
          <w:color w:val="auto"/>
          <w:highlight w:val="none"/>
          <w:lang w:val="en-US" w:eastAsia="zh-CN"/>
        </w:rPr>
        <w:t>《项目支出绩效评价管理办法》（财预〔2020〕10号）指导绩效评价体系设置</w:t>
      </w:r>
      <w:r>
        <w:rPr>
          <w:rFonts w:hint="default" w:cs="Times New Roman"/>
          <w:color w:val="auto"/>
          <w:highlight w:val="none"/>
          <w:lang w:val="en-US" w:eastAsia="zh-CN"/>
        </w:rPr>
        <w:t>；</w:t>
      </w:r>
      <w:r>
        <w:rPr>
          <w:rFonts w:hint="default" w:ascii="Times New Roman" w:hAnsi="Times New Roman" w:cs="Times New Roman" w:eastAsiaTheme="minorEastAsia"/>
          <w:color w:val="auto"/>
          <w:highlight w:val="none"/>
          <w:lang w:val="en-US" w:eastAsia="zh-CN"/>
        </w:rPr>
        <w:t>绩效评价小组根据《2024年职业教育建设项目申报书（实训基地建设项目）》</w:t>
      </w:r>
      <w:r>
        <w:rPr>
          <w:rFonts w:hint="default" w:cs="Times New Roman"/>
          <w:color w:val="auto"/>
          <w:highlight w:val="none"/>
          <w:lang w:val="en-US" w:eastAsia="zh-CN"/>
        </w:rPr>
        <w:t>《绩效目标表》优化和完善</w:t>
      </w:r>
      <w:r>
        <w:rPr>
          <w:rFonts w:hint="default" w:ascii="Times New Roman" w:hAnsi="Times New Roman" w:cs="Times New Roman" w:eastAsiaTheme="minorEastAsia"/>
          <w:color w:val="auto"/>
          <w:highlight w:val="none"/>
          <w:lang w:val="en-US" w:eastAsia="zh-CN"/>
        </w:rPr>
        <w:t>绩效评价</w:t>
      </w:r>
      <w:r>
        <w:rPr>
          <w:rFonts w:hint="eastAsia" w:cs="Times New Roman"/>
          <w:color w:val="auto"/>
          <w:highlight w:val="none"/>
          <w:lang w:val="en-US" w:eastAsia="zh-CN"/>
        </w:rPr>
        <w:t>个性</w:t>
      </w:r>
      <w:r>
        <w:rPr>
          <w:rFonts w:hint="default" w:ascii="Times New Roman" w:hAnsi="Times New Roman" w:cs="Times New Roman" w:eastAsiaTheme="minorEastAsia"/>
          <w:color w:val="auto"/>
          <w:highlight w:val="none"/>
          <w:lang w:val="en-US" w:eastAsia="zh-CN"/>
        </w:rPr>
        <w:t>指标体系。</w:t>
      </w:r>
      <w:r>
        <w:rPr>
          <w:rFonts w:hint="default" w:ascii="Times New Roman" w:hAnsi="Times New Roman" w:cs="Times New Roman"/>
          <w:color w:val="auto"/>
          <w:highlight w:val="none"/>
          <w:lang w:val="en-US" w:eastAsia="zh-CN"/>
        </w:rPr>
        <w:t>绩效评价小组结合项目的实际情况，综合考虑相关性、重要性、可衡量性、可操作性和可实现性，按照逻辑分析法设计本次绩效评价指标体系，绩效评价指标的权重设计突出结果导向，其中一级指标按照</w:t>
      </w:r>
      <w:r>
        <w:rPr>
          <w:rFonts w:hint="default"/>
          <w:color w:val="auto"/>
          <w:lang w:val="zh-TW" w:eastAsia="zh-TW"/>
        </w:rPr>
        <w:t>决策指标（</w:t>
      </w:r>
      <w:r>
        <w:rPr>
          <w:rFonts w:hint="default"/>
          <w:color w:val="auto"/>
          <w:lang w:val="en-US"/>
        </w:rPr>
        <w:t>10.00</w:t>
      </w:r>
      <w:r>
        <w:rPr>
          <w:rFonts w:hint="default"/>
          <w:color w:val="auto"/>
          <w:lang w:val="zh-TW" w:eastAsia="zh-TW"/>
        </w:rPr>
        <w:t>%）、过程指标（</w:t>
      </w:r>
      <w:r>
        <w:rPr>
          <w:rFonts w:hint="default"/>
          <w:color w:val="auto"/>
        </w:rPr>
        <w:t>25.00</w:t>
      </w:r>
      <w:r>
        <w:rPr>
          <w:rFonts w:hint="default"/>
          <w:color w:val="auto"/>
          <w:lang w:val="zh-TW" w:eastAsia="zh-TW"/>
        </w:rPr>
        <w:t>%）、产出指标（</w:t>
      </w:r>
      <w:r>
        <w:rPr>
          <w:rFonts w:hint="default"/>
          <w:color w:val="auto"/>
        </w:rPr>
        <w:t>30.00</w:t>
      </w:r>
      <w:r>
        <w:rPr>
          <w:rFonts w:hint="default"/>
          <w:color w:val="auto"/>
          <w:lang w:val="zh-TW" w:eastAsia="zh-TW"/>
        </w:rPr>
        <w:t>%）、效益指标（</w:t>
      </w:r>
      <w:r>
        <w:rPr>
          <w:rFonts w:hint="default"/>
          <w:color w:val="auto"/>
        </w:rPr>
        <w:t>35.00</w:t>
      </w:r>
      <w:r>
        <w:rPr>
          <w:rFonts w:hint="default"/>
          <w:color w:val="auto"/>
          <w:lang w:val="zh-TW" w:eastAsia="zh-TW"/>
        </w:rPr>
        <w:t>%）</w:t>
      </w:r>
      <w:r>
        <w:rPr>
          <w:rFonts w:hint="default"/>
          <w:color w:val="auto"/>
          <w:lang w:val="en-US" w:eastAsia="zh-CN"/>
        </w:rPr>
        <w:t>设置指标类型和权重</w:t>
      </w:r>
      <w:r>
        <w:rPr>
          <w:rFonts w:hint="default"/>
          <w:color w:val="auto"/>
          <w:lang w:val="zh-TW" w:eastAsia="zh-CN"/>
        </w:rPr>
        <w:t>，</w:t>
      </w:r>
      <w:r>
        <w:rPr>
          <w:rFonts w:hint="default" w:ascii="Times New Roman" w:hAnsi="Times New Roman" w:cs="Times New Roman"/>
          <w:color w:val="auto"/>
          <w:highlight w:val="none"/>
          <w:lang w:val="en-US" w:eastAsia="zh-CN"/>
        </w:rPr>
        <w:t>二级和三级指标根据各项指标在评价体系中的重要程度确定，考虑项目实施和管理对项目绩效的影响等因素赋予相应的权重分值</w:t>
      </w:r>
      <w:r>
        <w:rPr>
          <w:rFonts w:hint="default" w:ascii="Times New Roman" w:hAnsi="Times New Roman" w:cs="Times New Roman"/>
          <w:color w:val="auto"/>
          <w:highlight w:val="none"/>
          <w:lang w:val="zh-TW" w:eastAsia="zh-CN"/>
        </w:rPr>
        <w:t>。</w:t>
      </w:r>
      <w:r>
        <w:rPr>
          <w:rFonts w:hint="default"/>
          <w:color w:val="auto"/>
          <w:lang w:val="en-US" w:eastAsia="zh-CN"/>
        </w:rPr>
        <w:t>具体指标分类如下：</w:t>
      </w:r>
    </w:p>
    <w:p w14:paraId="36D3C3FC">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cs="Times New Roman"/>
          <w:color w:val="auto"/>
          <w:lang w:eastAsia="zh-CN"/>
        </w:rPr>
      </w:pPr>
      <w:r>
        <w:rPr>
          <w:rFonts w:hint="default" w:ascii="Times New Roman" w:hAnsi="Times New Roman" w:cs="Times New Roman"/>
          <w:color w:val="auto"/>
          <w:lang w:val="en-US" w:eastAsia="zh-CN"/>
        </w:rPr>
        <w:t>决策指标</w:t>
      </w:r>
      <w:r>
        <w:rPr>
          <w:rFonts w:hint="default" w:ascii="Times New Roman" w:hAnsi="Times New Roman" w:cs="Times New Roman"/>
          <w:color w:val="auto"/>
          <w:lang w:eastAsia="zh-CN"/>
        </w:rPr>
        <w:t>：</w:t>
      </w:r>
      <w:r>
        <w:rPr>
          <w:rFonts w:hint="default" w:ascii="Times New Roman" w:hAnsi="Times New Roman" w:cs="Times New Roman"/>
          <w:bCs/>
          <w:color w:val="auto"/>
          <w:highlight w:val="none"/>
        </w:rPr>
        <w:t>从项目立项</w:t>
      </w:r>
      <w:r>
        <w:rPr>
          <w:rFonts w:hint="default" w:ascii="Times New Roman" w:hAnsi="Times New Roman" w:cs="Times New Roman"/>
          <w:bCs/>
          <w:color w:val="auto"/>
          <w:highlight w:val="none"/>
          <w:lang w:eastAsia="zh-CN"/>
        </w:rPr>
        <w:t>、</w:t>
      </w:r>
      <w:r>
        <w:rPr>
          <w:rFonts w:hint="default" w:ascii="Times New Roman" w:hAnsi="Times New Roman" w:cs="Times New Roman"/>
          <w:bCs/>
          <w:color w:val="auto"/>
          <w:highlight w:val="none"/>
        </w:rPr>
        <w:t>绩效目标</w:t>
      </w:r>
      <w:r>
        <w:rPr>
          <w:rFonts w:hint="default" w:ascii="Times New Roman" w:hAnsi="Times New Roman" w:cs="Times New Roman"/>
          <w:bCs/>
          <w:color w:val="auto"/>
          <w:highlight w:val="none"/>
          <w:lang w:eastAsia="zh-CN"/>
        </w:rPr>
        <w:t>、</w:t>
      </w:r>
      <w:r>
        <w:rPr>
          <w:rFonts w:hint="default" w:ascii="Times New Roman" w:hAnsi="Times New Roman" w:cs="Times New Roman"/>
          <w:bCs/>
          <w:color w:val="auto"/>
          <w:highlight w:val="none"/>
        </w:rPr>
        <w:t>资金投入</w:t>
      </w:r>
      <w:r>
        <w:rPr>
          <w:rFonts w:hint="default" w:ascii="Times New Roman" w:hAnsi="Times New Roman" w:cs="Times New Roman"/>
          <w:bCs/>
          <w:color w:val="auto"/>
          <w:highlight w:val="none"/>
          <w:lang w:val="en-US" w:eastAsia="zh-CN"/>
        </w:rPr>
        <w:t>三个</w:t>
      </w:r>
      <w:r>
        <w:rPr>
          <w:rFonts w:hint="default" w:ascii="Times New Roman" w:hAnsi="Times New Roman" w:cs="Times New Roman"/>
          <w:bCs/>
          <w:color w:val="auto"/>
          <w:highlight w:val="none"/>
        </w:rPr>
        <w:t>方面对</w:t>
      </w:r>
      <w:r>
        <w:rPr>
          <w:rFonts w:hint="default" w:ascii="Times New Roman" w:hAnsi="Times New Roman" w:cs="Times New Roman"/>
          <w:bCs/>
          <w:color w:val="auto"/>
          <w:highlight w:val="none"/>
          <w:lang w:val="en-US" w:eastAsia="zh-CN"/>
        </w:rPr>
        <w:t>项目</w:t>
      </w:r>
      <w:r>
        <w:rPr>
          <w:rFonts w:hint="default" w:ascii="Times New Roman" w:hAnsi="Times New Roman" w:cs="Times New Roman"/>
          <w:bCs/>
          <w:color w:val="auto"/>
          <w:highlight w:val="none"/>
        </w:rPr>
        <w:t>决策情况进行评价，</w:t>
      </w:r>
      <w:r>
        <w:rPr>
          <w:rFonts w:hint="default" w:ascii="Times New Roman" w:hAnsi="Times New Roman" w:cs="Times New Roman"/>
          <w:bCs/>
          <w:color w:val="auto"/>
          <w:highlight w:val="none"/>
          <w:lang w:val="en-US" w:eastAsia="zh-CN"/>
        </w:rPr>
        <w:t>设置了包括</w:t>
      </w:r>
      <w:r>
        <w:rPr>
          <w:rFonts w:hint="default" w:ascii="Times New Roman" w:hAnsi="Times New Roman" w:cs="Times New Roman"/>
          <w:color w:val="auto"/>
        </w:rPr>
        <w:t>A11立项依据充分性、A12立项程序规范性、A21绩效目标合理性、A22绩效指标明确性、A31预算编制科学性、A32资金分配合理性</w:t>
      </w:r>
      <w:r>
        <w:rPr>
          <w:rFonts w:hint="default" w:cs="Times New Roman"/>
          <w:color w:val="auto"/>
          <w:lang w:val="en-US" w:eastAsia="zh-CN"/>
        </w:rPr>
        <w:t>等</w:t>
      </w:r>
      <w:r>
        <w:rPr>
          <w:rFonts w:hint="default" w:ascii="Times New Roman" w:hAnsi="Times New Roman" w:cs="Times New Roman"/>
          <w:bCs/>
          <w:color w:val="auto"/>
          <w:highlight w:val="none"/>
          <w:lang w:val="en-US" w:eastAsia="zh-CN"/>
        </w:rPr>
        <w:t>6</w:t>
      </w:r>
      <w:r>
        <w:rPr>
          <w:rFonts w:hint="default" w:ascii="Times New Roman" w:hAnsi="Times New Roman" w:cs="Times New Roman"/>
          <w:bCs/>
          <w:color w:val="auto"/>
          <w:highlight w:val="none"/>
        </w:rPr>
        <w:t>个三级指标</w:t>
      </w:r>
      <w:r>
        <w:rPr>
          <w:rFonts w:hint="default" w:ascii="Times New Roman" w:hAnsi="Times New Roman" w:cs="Times New Roman"/>
          <w:color w:val="auto"/>
          <w:lang w:eastAsia="zh-CN"/>
        </w:rPr>
        <w:t>。</w:t>
      </w:r>
    </w:p>
    <w:p w14:paraId="747260DD">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cs="Times New Roman"/>
          <w:color w:val="auto"/>
          <w:lang w:eastAsia="zh-CN"/>
        </w:rPr>
      </w:pPr>
      <w:r>
        <w:rPr>
          <w:rFonts w:hint="default" w:ascii="Times New Roman" w:hAnsi="Times New Roman" w:cs="Times New Roman"/>
          <w:color w:val="auto"/>
          <w:lang w:val="en-US" w:eastAsia="zh-CN"/>
        </w:rPr>
        <w:t>过程指标：</w:t>
      </w:r>
      <w:r>
        <w:rPr>
          <w:rFonts w:hint="default" w:ascii="Times New Roman" w:hAnsi="Times New Roman" w:cs="Times New Roman"/>
          <w:color w:val="auto"/>
        </w:rPr>
        <w:t>从</w:t>
      </w:r>
      <w:r>
        <w:rPr>
          <w:rFonts w:hint="default" w:ascii="Times New Roman" w:hAnsi="Times New Roman" w:cs="Times New Roman"/>
          <w:color w:val="auto"/>
          <w:lang w:val="en-US" w:eastAsia="zh-CN"/>
        </w:rPr>
        <w:t>资金管理和组织实施两个方面</w:t>
      </w:r>
      <w:r>
        <w:rPr>
          <w:rFonts w:hint="default" w:ascii="Times New Roman" w:hAnsi="Times New Roman" w:cs="Times New Roman"/>
          <w:color w:val="auto"/>
        </w:rPr>
        <w:t>评价</w:t>
      </w:r>
      <w:r>
        <w:rPr>
          <w:rFonts w:hint="default" w:ascii="Times New Roman" w:hAnsi="Times New Roman" w:cs="Times New Roman"/>
          <w:color w:val="auto"/>
          <w:lang w:val="en-US" w:eastAsia="zh-CN"/>
        </w:rPr>
        <w:t>项目实施过程</w:t>
      </w:r>
      <w:r>
        <w:rPr>
          <w:rFonts w:hint="default" w:ascii="Times New Roman" w:hAnsi="Times New Roman" w:cs="Times New Roman"/>
          <w:color w:val="auto"/>
        </w:rPr>
        <w:t>情况，</w:t>
      </w:r>
      <w:r>
        <w:rPr>
          <w:rFonts w:hint="default" w:ascii="Times New Roman" w:hAnsi="Times New Roman" w:cs="Times New Roman"/>
          <w:color w:val="auto"/>
          <w:lang w:val="en-US" w:eastAsia="zh-CN"/>
        </w:rPr>
        <w:t>设置了包括</w:t>
      </w:r>
      <w:r>
        <w:rPr>
          <w:rFonts w:hint="default" w:ascii="Times New Roman" w:hAnsi="Times New Roman" w:cs="Times New Roman"/>
          <w:color w:val="auto"/>
        </w:rPr>
        <w:t>B11资金到位率、B12预算执行率、B13资金使用合规性、B21管理制度健全性、B22制度执行有效性</w:t>
      </w:r>
      <w:r>
        <w:rPr>
          <w:rFonts w:hint="default" w:ascii="Times New Roman" w:hAnsi="Times New Roman" w:cs="Times New Roman"/>
          <w:color w:val="auto"/>
          <w:lang w:val="en-US" w:eastAsia="zh-CN"/>
        </w:rPr>
        <w:t>等5</w:t>
      </w:r>
      <w:r>
        <w:rPr>
          <w:rFonts w:hint="default" w:ascii="Times New Roman" w:hAnsi="Times New Roman" w:cs="Times New Roman"/>
          <w:color w:val="auto"/>
        </w:rPr>
        <w:t>个三级指标</w:t>
      </w:r>
      <w:r>
        <w:rPr>
          <w:rFonts w:hint="default" w:ascii="Times New Roman" w:hAnsi="Times New Roman" w:cs="Times New Roman"/>
          <w:color w:val="auto"/>
          <w:lang w:eastAsia="zh-CN"/>
        </w:rPr>
        <w:t>。</w:t>
      </w:r>
    </w:p>
    <w:p w14:paraId="22BB20F7">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cs="Times New Roman"/>
          <w:color w:val="auto"/>
          <w:lang w:eastAsia="zh-CN"/>
        </w:rPr>
      </w:pPr>
      <w:r>
        <w:rPr>
          <w:rFonts w:hint="default" w:ascii="Times New Roman" w:hAnsi="Times New Roman" w:cs="Times New Roman"/>
          <w:color w:val="auto"/>
        </w:rPr>
        <w:t>产出指标</w:t>
      </w:r>
      <w:r>
        <w:rPr>
          <w:rFonts w:hint="default" w:ascii="Times New Roman" w:hAnsi="Times New Roman" w:cs="Times New Roman"/>
          <w:color w:val="auto"/>
          <w:lang w:eastAsia="zh-CN"/>
        </w:rPr>
        <w:t>：</w:t>
      </w:r>
      <w:r>
        <w:rPr>
          <w:rFonts w:hint="default" w:ascii="Times New Roman" w:hAnsi="Times New Roman" w:cs="Times New Roman"/>
          <w:color w:val="auto"/>
        </w:rPr>
        <w:t>从</w:t>
      </w:r>
      <w:r>
        <w:rPr>
          <w:rFonts w:hint="default" w:ascii="Times New Roman" w:hAnsi="Times New Roman" w:cs="Times New Roman"/>
          <w:color w:val="auto"/>
          <w:lang w:val="en-US" w:eastAsia="zh-CN"/>
        </w:rPr>
        <w:t>数量、质量、时效、成本四</w:t>
      </w:r>
      <w:r>
        <w:rPr>
          <w:rFonts w:hint="default" w:ascii="Times New Roman" w:hAnsi="Times New Roman" w:cs="Times New Roman"/>
          <w:color w:val="auto"/>
        </w:rPr>
        <w:t>方面</w:t>
      </w:r>
      <w:r>
        <w:rPr>
          <w:rFonts w:hint="default" w:ascii="Times New Roman" w:hAnsi="Times New Roman" w:cs="Times New Roman"/>
          <w:color w:val="auto"/>
          <w:lang w:val="en-US" w:eastAsia="zh-CN"/>
        </w:rPr>
        <w:t>评价项目实施完成后的产出</w:t>
      </w:r>
      <w:r>
        <w:rPr>
          <w:rFonts w:hint="default" w:ascii="Times New Roman" w:hAnsi="Times New Roman" w:cs="Times New Roman"/>
          <w:color w:val="auto"/>
        </w:rPr>
        <w:t>情况，</w:t>
      </w:r>
      <w:r>
        <w:rPr>
          <w:rFonts w:hint="default" w:ascii="Times New Roman" w:hAnsi="Times New Roman" w:cs="Times New Roman"/>
          <w:color w:val="auto"/>
          <w:lang w:val="en-US" w:eastAsia="zh-CN"/>
        </w:rPr>
        <w:t>设置了包括</w:t>
      </w:r>
      <w:r>
        <w:rPr>
          <w:rFonts w:hint="default" w:ascii="Times New Roman" w:hAnsi="Times New Roman" w:cs="Times New Roman"/>
          <w:color w:val="auto"/>
          <w:lang w:eastAsia="zh-CN"/>
        </w:rPr>
        <w:t>C11化工及化工安全实训基地设备采购</w:t>
      </w:r>
      <w:r>
        <w:rPr>
          <w:rFonts w:hint="default" w:cs="Times New Roman"/>
          <w:color w:val="auto"/>
          <w:lang w:val="en-US" w:eastAsia="zh-CN"/>
        </w:rPr>
        <w:t>计划完成率</w:t>
      </w:r>
      <w:r>
        <w:rPr>
          <w:rFonts w:hint="default" w:ascii="Times New Roman" w:hAnsi="Times New Roman" w:cs="Times New Roman"/>
          <w:color w:val="auto"/>
          <w:lang w:eastAsia="zh-CN"/>
        </w:rPr>
        <w:t>、C12电商及直播实训基地采购</w:t>
      </w:r>
      <w:r>
        <w:rPr>
          <w:rFonts w:hint="default" w:cs="Times New Roman"/>
          <w:color w:val="auto"/>
          <w:lang w:val="en-US" w:eastAsia="zh-CN"/>
        </w:rPr>
        <w:t>计划完成率</w:t>
      </w:r>
      <w:r>
        <w:rPr>
          <w:rFonts w:hint="default" w:ascii="Times New Roman" w:hAnsi="Times New Roman" w:cs="Times New Roman"/>
          <w:color w:val="auto"/>
          <w:lang w:eastAsia="zh-CN"/>
        </w:rPr>
        <w:t>、C21设备验收合格率、C31采购完成及时率、C41成本节约率</w:t>
      </w:r>
      <w:r>
        <w:rPr>
          <w:rFonts w:hint="default" w:ascii="Times New Roman" w:hAnsi="Times New Roman" w:cs="Times New Roman"/>
          <w:color w:val="auto"/>
          <w:lang w:val="en-US" w:eastAsia="zh-CN"/>
        </w:rPr>
        <w:t>等5</w:t>
      </w:r>
      <w:r>
        <w:rPr>
          <w:rFonts w:hint="default" w:ascii="Times New Roman" w:hAnsi="Times New Roman" w:cs="Times New Roman"/>
          <w:color w:val="auto"/>
        </w:rPr>
        <w:t>个三级指标</w:t>
      </w:r>
      <w:r>
        <w:rPr>
          <w:rFonts w:hint="default" w:ascii="Times New Roman" w:hAnsi="Times New Roman" w:cs="Times New Roman"/>
          <w:color w:val="auto"/>
          <w:lang w:eastAsia="zh-CN"/>
        </w:rPr>
        <w:t>。</w:t>
      </w:r>
    </w:p>
    <w:p w14:paraId="3935082F">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cs="Times New Roman" w:eastAsiaTheme="minorEastAsia"/>
          <w:color w:val="auto"/>
          <w:lang w:eastAsia="zh-CN"/>
        </w:rPr>
      </w:pPr>
      <w:r>
        <w:rPr>
          <w:rFonts w:hint="default" w:ascii="Times New Roman" w:hAnsi="Times New Roman" w:cs="Times New Roman"/>
          <w:color w:val="auto"/>
          <w:lang w:val="en-US" w:eastAsia="zh-CN"/>
        </w:rPr>
        <w:t>效益指标：设置了</w:t>
      </w:r>
      <w:r>
        <w:rPr>
          <w:rFonts w:hint="default" w:cs="Times New Roman"/>
          <w:b w:val="0"/>
          <w:bCs w:val="0"/>
          <w:color w:val="auto"/>
          <w:lang w:val="en-US" w:eastAsia="zh-CN"/>
        </w:rPr>
        <w:t>包括</w:t>
      </w:r>
      <w:r>
        <w:rPr>
          <w:rFonts w:hint="default" w:ascii="Times New Roman" w:hAnsi="Times New Roman" w:cs="Times New Roman"/>
          <w:b w:val="0"/>
          <w:bCs w:val="0"/>
          <w:color w:val="auto"/>
          <w:lang w:val="en-US" w:eastAsia="zh-CN"/>
        </w:rPr>
        <w:t>D</w:t>
      </w:r>
      <w:r>
        <w:rPr>
          <w:rFonts w:hint="default" w:cs="Times New Roman"/>
          <w:b w:val="0"/>
          <w:bCs w:val="0"/>
          <w:color w:val="auto"/>
          <w:lang w:val="en-US" w:eastAsia="zh-CN"/>
        </w:rPr>
        <w:t>11</w:t>
      </w:r>
      <w:r>
        <w:rPr>
          <w:rFonts w:hint="default"/>
          <w:color w:val="auto"/>
        </w:rPr>
        <w:t>设备利用率</w:t>
      </w:r>
      <w:r>
        <w:rPr>
          <w:rFonts w:hint="default" w:cs="Times New Roman"/>
          <w:b w:val="0"/>
          <w:bCs w:val="0"/>
          <w:color w:val="auto"/>
          <w:lang w:val="en-US" w:eastAsia="zh-CN"/>
        </w:rPr>
        <w:t>、</w:t>
      </w:r>
      <w:r>
        <w:rPr>
          <w:rFonts w:hint="default" w:ascii="Times New Roman" w:hAnsi="Times New Roman" w:cs="Times New Roman"/>
          <w:b w:val="0"/>
          <w:bCs w:val="0"/>
          <w:color w:val="auto"/>
          <w:lang w:val="en-US" w:eastAsia="zh-CN"/>
        </w:rPr>
        <w:t>D</w:t>
      </w:r>
      <w:r>
        <w:rPr>
          <w:rFonts w:hint="default" w:cs="Times New Roman"/>
          <w:b w:val="0"/>
          <w:bCs w:val="0"/>
          <w:color w:val="auto"/>
          <w:lang w:val="en-US" w:eastAsia="zh-CN"/>
        </w:rPr>
        <w:t>12</w:t>
      </w:r>
      <w:r>
        <w:rPr>
          <w:rFonts w:hint="default" w:ascii="Times New Roman" w:hAnsi="Times New Roman" w:cs="Times New Roman"/>
          <w:b w:val="0"/>
          <w:bCs w:val="0"/>
          <w:color w:val="auto"/>
          <w:lang w:val="en-US" w:eastAsia="zh-CN"/>
        </w:rPr>
        <w:t>受益学生人数</w:t>
      </w:r>
      <w:r>
        <w:rPr>
          <w:rFonts w:hint="default" w:cs="Times New Roman"/>
          <w:b w:val="0"/>
          <w:bCs w:val="0"/>
          <w:color w:val="auto"/>
          <w:lang w:val="en-US" w:eastAsia="zh-CN"/>
        </w:rPr>
        <w:t>、</w:t>
      </w:r>
      <w:r>
        <w:rPr>
          <w:rFonts w:hint="default" w:ascii="Times New Roman" w:hAnsi="Times New Roman" w:cs="Times New Roman"/>
          <w:b w:val="0"/>
          <w:bCs w:val="0"/>
          <w:color w:val="auto"/>
          <w:lang w:val="en-US" w:eastAsia="zh-CN"/>
        </w:rPr>
        <w:t>D</w:t>
      </w:r>
      <w:r>
        <w:rPr>
          <w:rFonts w:hint="default" w:cs="Times New Roman"/>
          <w:b w:val="0"/>
          <w:bCs w:val="0"/>
          <w:color w:val="auto"/>
          <w:lang w:val="en-US" w:eastAsia="zh-CN"/>
        </w:rPr>
        <w:t>21</w:t>
      </w:r>
      <w:r>
        <w:rPr>
          <w:rFonts w:hint="default" w:ascii="Times New Roman" w:hAnsi="Times New Roman" w:cs="Times New Roman"/>
          <w:b w:val="0"/>
          <w:bCs w:val="0"/>
          <w:color w:val="auto"/>
          <w:lang w:val="en-US" w:eastAsia="zh-CN"/>
        </w:rPr>
        <w:t>受益教师满意度</w:t>
      </w:r>
      <w:r>
        <w:rPr>
          <w:rFonts w:hint="default" w:cs="Times New Roman"/>
          <w:b w:val="0"/>
          <w:bCs w:val="0"/>
          <w:color w:val="auto"/>
          <w:lang w:val="en-US" w:eastAsia="zh-CN"/>
        </w:rPr>
        <w:t>、</w:t>
      </w:r>
      <w:r>
        <w:rPr>
          <w:rFonts w:hint="default" w:ascii="Times New Roman" w:hAnsi="Times New Roman" w:cs="Times New Roman"/>
          <w:b w:val="0"/>
          <w:bCs w:val="0"/>
          <w:color w:val="auto"/>
          <w:lang w:val="en-US" w:eastAsia="zh-CN"/>
        </w:rPr>
        <w:t>D</w:t>
      </w:r>
      <w:r>
        <w:rPr>
          <w:rFonts w:hint="default" w:cs="Times New Roman"/>
          <w:b w:val="0"/>
          <w:bCs w:val="0"/>
          <w:color w:val="auto"/>
          <w:lang w:val="en-US" w:eastAsia="zh-CN"/>
        </w:rPr>
        <w:t>22</w:t>
      </w:r>
      <w:r>
        <w:rPr>
          <w:rFonts w:hint="default" w:ascii="Times New Roman" w:hAnsi="Times New Roman" w:cs="Times New Roman"/>
          <w:b w:val="0"/>
          <w:bCs w:val="0"/>
          <w:color w:val="auto"/>
          <w:lang w:val="en-US" w:eastAsia="zh-CN"/>
        </w:rPr>
        <w:t>受益学生满意度</w:t>
      </w:r>
      <w:r>
        <w:rPr>
          <w:rFonts w:hint="default" w:cs="Times New Roman"/>
          <w:b w:val="0"/>
          <w:bCs w:val="0"/>
          <w:color w:val="auto"/>
          <w:lang w:val="en-US" w:eastAsia="zh-CN"/>
        </w:rPr>
        <w:t>等</w:t>
      </w:r>
      <w:r>
        <w:rPr>
          <w:rFonts w:hint="default" w:ascii="Times New Roman" w:hAnsi="Times New Roman" w:cs="Times New Roman"/>
          <w:bCs/>
          <w:color w:val="auto"/>
          <w:highlight w:val="none"/>
          <w:lang w:val="en-US" w:eastAsia="zh-CN"/>
        </w:rPr>
        <w:t>4</w:t>
      </w:r>
      <w:r>
        <w:rPr>
          <w:rFonts w:hint="default" w:ascii="Times New Roman" w:hAnsi="Times New Roman" w:cs="Times New Roman"/>
          <w:bCs/>
          <w:color w:val="auto"/>
          <w:highlight w:val="none"/>
        </w:rPr>
        <w:t>个三级指标</w:t>
      </w:r>
      <w:r>
        <w:rPr>
          <w:rFonts w:hint="default" w:ascii="Times New Roman" w:hAnsi="Times New Roman" w:cs="Times New Roman"/>
          <w:color w:val="auto"/>
          <w:lang w:eastAsia="zh-CN"/>
        </w:rPr>
        <w:t>。</w:t>
      </w:r>
    </w:p>
    <w:p w14:paraId="4325EEB3">
      <w:pPr>
        <w:pStyle w:val="3"/>
        <w:pageBreakBefore w:val="0"/>
        <w:widowControl w:val="0"/>
        <w:kinsoku/>
        <w:wordWrap/>
        <w:overflowPunct/>
        <w:topLinePunct w:val="0"/>
        <w:autoSpaceDE/>
        <w:autoSpaceDN/>
        <w:bidi w:val="0"/>
        <w:adjustRightInd w:val="0"/>
        <w:snapToGrid w:val="0"/>
        <w:spacing w:before="0" w:after="0" w:line="360" w:lineRule="auto"/>
        <w:ind w:firstLine="482"/>
        <w:textAlignment w:val="auto"/>
        <w:rPr>
          <w:rFonts w:hint="default" w:ascii="Times New Roman" w:hAnsi="Times New Roman" w:cs="Times New Roman"/>
          <w:color w:val="auto"/>
          <w:lang w:val="en-US" w:eastAsia="zh-CN"/>
        </w:rPr>
      </w:pPr>
      <w:bookmarkStart w:id="68" w:name="_Toc5472"/>
      <w:bookmarkStart w:id="69" w:name="_Toc1611231850"/>
      <w:r>
        <w:rPr>
          <w:rFonts w:hint="default" w:ascii="Times New Roman" w:hAnsi="Times New Roman" w:cs="Times New Roman"/>
          <w:color w:val="auto"/>
          <w:lang w:val="en-US" w:eastAsia="zh-CN"/>
        </w:rPr>
        <w:t>（七）绩效评价工作过程</w:t>
      </w:r>
      <w:bookmarkEnd w:id="67"/>
      <w:bookmarkEnd w:id="68"/>
      <w:bookmarkEnd w:id="69"/>
    </w:p>
    <w:p w14:paraId="0C3BB2B3">
      <w:pPr>
        <w:keepNext w:val="0"/>
        <w:keepLines w:val="0"/>
        <w:pageBreakBefore w:val="0"/>
        <w:widowControl w:val="0"/>
        <w:kinsoku/>
        <w:wordWrap/>
        <w:overflowPunct/>
        <w:topLinePunct w:val="0"/>
        <w:autoSpaceDE/>
        <w:autoSpaceDN/>
        <w:bidi w:val="0"/>
        <w:adjustRightInd w:val="0"/>
        <w:snapToGrid w:val="0"/>
        <w:spacing w:line="360" w:lineRule="auto"/>
        <w:ind w:firstLine="641" w:firstLineChars="0"/>
        <w:textAlignment w:val="auto"/>
        <w:rPr>
          <w:rFonts w:hint="default" w:ascii="Times New Roman" w:hAnsi="Times New Roman" w:cs="Times New Roman"/>
          <w:color w:val="auto"/>
        </w:rPr>
      </w:pPr>
      <w:r>
        <w:rPr>
          <w:rFonts w:hint="default" w:ascii="Times New Roman" w:hAnsi="Times New Roman" w:cs="Times New Roman"/>
          <w:color w:val="auto"/>
        </w:rPr>
        <w:t>我们接受委托，按规定开展了前期准备、制定绩效评价工作方案、组织实施、报告撰写等绩效评价工作程序。绩效评价从</w:t>
      </w:r>
      <w:r>
        <w:rPr>
          <w:rFonts w:hint="default" w:cs="Times New Roman"/>
          <w:color w:val="auto"/>
          <w:lang w:val="en-US" w:eastAsia="zh-CN"/>
        </w:rPr>
        <w:t>2025</w:t>
      </w:r>
      <w:r>
        <w:rPr>
          <w:rFonts w:hint="default" w:ascii="Times New Roman" w:hAnsi="Times New Roman" w:cs="Times New Roman"/>
          <w:color w:val="auto"/>
        </w:rPr>
        <w:t>年</w:t>
      </w:r>
      <w:r>
        <w:rPr>
          <w:rFonts w:hint="default" w:cs="Times New Roman"/>
          <w:color w:val="auto"/>
          <w:lang w:val="en-US" w:eastAsia="zh-CN"/>
        </w:rPr>
        <w:t>7</w:t>
      </w:r>
      <w:r>
        <w:rPr>
          <w:rFonts w:hint="default" w:ascii="Times New Roman" w:hAnsi="Times New Roman" w:cs="Times New Roman"/>
          <w:color w:val="auto"/>
        </w:rPr>
        <w:t>月</w:t>
      </w:r>
      <w:r>
        <w:rPr>
          <w:rFonts w:hint="default" w:cs="Times New Roman"/>
          <w:color w:val="auto"/>
          <w:lang w:val="en-US" w:eastAsia="zh-CN"/>
        </w:rPr>
        <w:t>1</w:t>
      </w:r>
      <w:r>
        <w:rPr>
          <w:rFonts w:hint="default" w:ascii="Times New Roman" w:hAnsi="Times New Roman" w:cs="Times New Roman"/>
          <w:color w:val="auto"/>
        </w:rPr>
        <w:t>日启动，在各方有效配合下，评价工作于</w:t>
      </w:r>
      <w:r>
        <w:rPr>
          <w:rFonts w:hint="default" w:cs="Times New Roman"/>
          <w:color w:val="auto"/>
          <w:lang w:val="en-US" w:eastAsia="zh-CN"/>
        </w:rPr>
        <w:t>2025</w:t>
      </w:r>
      <w:r>
        <w:rPr>
          <w:rFonts w:hint="default" w:ascii="Times New Roman" w:hAnsi="Times New Roman" w:cs="Times New Roman"/>
          <w:color w:val="auto"/>
        </w:rPr>
        <w:t>年</w:t>
      </w:r>
      <w:r>
        <w:rPr>
          <w:rFonts w:hint="default" w:cs="Times New Roman"/>
          <w:color w:val="auto"/>
          <w:lang w:val="en-US" w:eastAsia="zh-CN"/>
        </w:rPr>
        <w:t>8</w:t>
      </w:r>
      <w:r>
        <w:rPr>
          <w:rFonts w:hint="default" w:ascii="Times New Roman" w:hAnsi="Times New Roman" w:cs="Times New Roman"/>
          <w:color w:val="auto"/>
        </w:rPr>
        <w:t>月</w:t>
      </w:r>
      <w:r>
        <w:rPr>
          <w:rFonts w:hint="default" w:cs="Times New Roman"/>
          <w:color w:val="auto"/>
          <w:lang w:val="en-US" w:eastAsia="zh-CN"/>
        </w:rPr>
        <w:t>31</w:t>
      </w:r>
      <w:r>
        <w:rPr>
          <w:rFonts w:hint="default" w:ascii="Times New Roman" w:hAnsi="Times New Roman" w:cs="Times New Roman"/>
          <w:color w:val="auto"/>
        </w:rPr>
        <w:t>日前完成。主要实施过程如下：</w:t>
      </w:r>
    </w:p>
    <w:p w14:paraId="70F667DA">
      <w:pPr>
        <w:pStyle w:val="4"/>
        <w:pageBreakBefore w:val="0"/>
        <w:widowControl w:val="0"/>
        <w:kinsoku/>
        <w:wordWrap/>
        <w:overflowPunct/>
        <w:topLinePunct w:val="0"/>
        <w:autoSpaceDE/>
        <w:autoSpaceDN/>
        <w:bidi w:val="0"/>
        <w:adjustRightInd w:val="0"/>
        <w:snapToGrid w:val="0"/>
        <w:spacing w:line="360" w:lineRule="auto"/>
        <w:ind w:firstLine="641"/>
        <w:textAlignment w:val="auto"/>
        <w:rPr>
          <w:rFonts w:ascii="Times New Roman" w:hAnsi="Times New Roman" w:eastAsia="宋体"/>
          <w:color w:val="auto"/>
        </w:rPr>
      </w:pPr>
      <w:r>
        <w:rPr>
          <w:rFonts w:ascii="Times New Roman" w:hAnsi="Times New Roman"/>
          <w:color w:val="auto"/>
        </w:rPr>
        <w:t>1.前期准备</w:t>
      </w:r>
    </w:p>
    <w:p w14:paraId="67F47483">
      <w:pPr>
        <w:pageBreakBefore w:val="0"/>
        <w:widowControl w:val="0"/>
        <w:kinsoku/>
        <w:wordWrap/>
        <w:overflowPunct/>
        <w:topLinePunct w:val="0"/>
        <w:autoSpaceDE/>
        <w:autoSpaceDN/>
        <w:bidi w:val="0"/>
        <w:adjustRightInd w:val="0"/>
        <w:snapToGrid w:val="0"/>
        <w:spacing w:line="360" w:lineRule="auto"/>
        <w:ind w:firstLine="640"/>
        <w:textAlignment w:val="auto"/>
        <w:rPr>
          <w:bCs/>
          <w:color w:val="auto"/>
        </w:rPr>
      </w:pPr>
      <w:r>
        <w:rPr>
          <w:rFonts w:hint="default"/>
          <w:bCs/>
          <w:color w:val="auto"/>
          <w:lang w:eastAsia="zh-CN"/>
        </w:rPr>
        <w:t>（</w:t>
      </w:r>
      <w:r>
        <w:rPr>
          <w:rFonts w:hint="default"/>
          <w:bCs/>
          <w:color w:val="auto"/>
          <w:lang w:val="en-US" w:eastAsia="zh-CN"/>
        </w:rPr>
        <w:t>1</w:t>
      </w:r>
      <w:r>
        <w:rPr>
          <w:rFonts w:hint="default"/>
          <w:bCs/>
          <w:color w:val="auto"/>
          <w:lang w:eastAsia="zh-CN"/>
        </w:rPr>
        <w:t>）</w:t>
      </w:r>
      <w:r>
        <w:rPr>
          <w:bCs/>
          <w:color w:val="auto"/>
        </w:rPr>
        <w:t>根据</w:t>
      </w:r>
      <w:r>
        <w:rPr>
          <w:rFonts w:hint="default"/>
          <w:bCs/>
          <w:color w:val="auto"/>
        </w:rPr>
        <w:t>2024年中央现代职业教育质量提升计划资金</w:t>
      </w:r>
      <w:r>
        <w:rPr>
          <w:bCs/>
          <w:color w:val="auto"/>
        </w:rPr>
        <w:t>项目实际情况，确定绩效评价目的、对象和范围、评价期限，拟定评价工作方案，与委托人签订绩效评价服务合同。</w:t>
      </w:r>
    </w:p>
    <w:p w14:paraId="2A98D964">
      <w:pPr>
        <w:pageBreakBefore w:val="0"/>
        <w:widowControl w:val="0"/>
        <w:kinsoku/>
        <w:wordWrap/>
        <w:overflowPunct/>
        <w:topLinePunct w:val="0"/>
        <w:autoSpaceDE/>
        <w:autoSpaceDN/>
        <w:bidi w:val="0"/>
        <w:adjustRightInd w:val="0"/>
        <w:snapToGrid w:val="0"/>
        <w:spacing w:line="360" w:lineRule="auto"/>
        <w:ind w:firstLine="640"/>
        <w:textAlignment w:val="auto"/>
        <w:rPr>
          <w:color w:val="auto"/>
        </w:rPr>
      </w:pPr>
      <w:r>
        <w:rPr>
          <w:rFonts w:hint="default"/>
          <w:color w:val="auto"/>
          <w:lang w:eastAsia="zh-CN"/>
        </w:rPr>
        <w:t>（</w:t>
      </w:r>
      <w:r>
        <w:rPr>
          <w:rFonts w:hint="default"/>
          <w:color w:val="auto"/>
          <w:lang w:val="en-US" w:eastAsia="zh-CN"/>
        </w:rPr>
        <w:t>2</w:t>
      </w:r>
      <w:r>
        <w:rPr>
          <w:rFonts w:hint="default"/>
          <w:color w:val="auto"/>
          <w:lang w:eastAsia="zh-CN"/>
        </w:rPr>
        <w:t>）</w:t>
      </w:r>
      <w:r>
        <w:rPr>
          <w:color w:val="auto"/>
        </w:rPr>
        <w:t>成立绩效评价小组。</w:t>
      </w:r>
      <w:r>
        <w:rPr>
          <w:rFonts w:hint="default"/>
          <w:color w:val="auto"/>
          <w:lang w:val="en-US" w:eastAsia="zh-CN"/>
        </w:rPr>
        <w:t>绩效评价小组</w:t>
      </w:r>
      <w:r>
        <w:rPr>
          <w:rFonts w:hint="default"/>
          <w:color w:val="auto"/>
        </w:rPr>
        <w:t>实行组长负责制，项目总负责人</w:t>
      </w:r>
      <w:r>
        <w:rPr>
          <w:rFonts w:hint="default"/>
          <w:b w:val="0"/>
          <w:bCs w:val="0"/>
          <w:color w:val="auto"/>
        </w:rPr>
        <w:t>，负责现场督导，对</w:t>
      </w:r>
      <w:r>
        <w:rPr>
          <w:rFonts w:hint="default"/>
          <w:b w:val="0"/>
          <w:bCs w:val="0"/>
          <w:color w:val="auto"/>
          <w:lang w:val="en-US" w:eastAsia="zh-CN"/>
        </w:rPr>
        <w:t>绩效评价</w:t>
      </w:r>
      <w:r>
        <w:rPr>
          <w:rFonts w:hint="default"/>
          <w:b w:val="0"/>
          <w:bCs w:val="0"/>
          <w:color w:val="auto"/>
        </w:rPr>
        <w:t>工作提供技术指导与支持，</w:t>
      </w:r>
      <w:r>
        <w:rPr>
          <w:rFonts w:hint="default"/>
          <w:b w:val="0"/>
          <w:bCs w:val="0"/>
          <w:color w:val="auto"/>
          <w:lang w:val="en-US" w:eastAsia="zh-CN"/>
        </w:rPr>
        <w:t>由单位稽核负责人对</w:t>
      </w:r>
      <w:r>
        <w:rPr>
          <w:rFonts w:hint="default"/>
          <w:b w:val="0"/>
          <w:bCs w:val="0"/>
          <w:color w:val="auto"/>
        </w:rPr>
        <w:t>评价工作质量把关，并负责报告数据审核验收、报告撰写指导、报告验收等技术工作；绩效评价组成员计划安排</w:t>
      </w:r>
      <w:r>
        <w:rPr>
          <w:rFonts w:hint="default" w:cs="Times New Roman"/>
          <w:b w:val="0"/>
          <w:bCs w:val="0"/>
          <w:color w:val="auto"/>
          <w:lang w:val="en-US" w:eastAsia="zh-CN"/>
        </w:rPr>
        <w:t>2</w:t>
      </w:r>
      <w:r>
        <w:rPr>
          <w:rFonts w:hint="default"/>
          <w:b w:val="0"/>
          <w:bCs w:val="0"/>
          <w:color w:val="auto"/>
        </w:rPr>
        <w:t>人，完成现场调研、资料收集和检查、项目相关人员访谈、问题清单整理、数据整理、撰写报告等工作</w:t>
      </w:r>
      <w:r>
        <w:rPr>
          <w:rFonts w:hint="default"/>
          <w:b w:val="0"/>
          <w:bCs w:val="0"/>
          <w:color w:val="auto"/>
          <w:lang w:eastAsia="zh-CN"/>
        </w:rPr>
        <w:t>，</w:t>
      </w:r>
      <w:r>
        <w:rPr>
          <w:b w:val="0"/>
          <w:bCs w:val="0"/>
          <w:color w:val="auto"/>
        </w:rPr>
        <w:t>具体成员及职责分工如下：</w:t>
      </w:r>
    </w:p>
    <w:tbl>
      <w:tblPr>
        <w:tblStyle w:val="21"/>
        <w:tblW w:w="480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520"/>
        <w:gridCol w:w="730"/>
        <w:gridCol w:w="1218"/>
        <w:gridCol w:w="1616"/>
        <w:gridCol w:w="3934"/>
      </w:tblGrid>
      <w:tr w14:paraId="11630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tblHeader/>
          <w:jc w:val="center"/>
        </w:trPr>
        <w:tc>
          <w:tcPr>
            <w:tcW w:w="324" w:type="pct"/>
            <w:noWrap w:val="0"/>
            <w:vAlign w:val="center"/>
          </w:tcPr>
          <w:p w14:paraId="28A26EA5">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序号</w:t>
            </w:r>
          </w:p>
        </w:tc>
        <w:tc>
          <w:tcPr>
            <w:tcW w:w="455" w:type="pct"/>
            <w:noWrap w:val="0"/>
            <w:vAlign w:val="center"/>
          </w:tcPr>
          <w:p w14:paraId="7C19045F">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姓名</w:t>
            </w:r>
          </w:p>
        </w:tc>
        <w:tc>
          <w:tcPr>
            <w:tcW w:w="759" w:type="pct"/>
            <w:noWrap w:val="0"/>
            <w:vAlign w:val="center"/>
          </w:tcPr>
          <w:p w14:paraId="5FD5C018">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rPr>
            </w:pPr>
            <w:r>
              <w:rPr>
                <w:rFonts w:hint="default" w:ascii="Times New Roman" w:hAnsi="Times New Roman" w:eastAsia="宋体" w:cs="Times New Roman"/>
                <w:b/>
                <w:color w:val="auto"/>
                <w:sz w:val="21"/>
                <w:szCs w:val="21"/>
                <w:highlight w:val="none"/>
              </w:rPr>
              <w:t>项目角色</w:t>
            </w:r>
          </w:p>
        </w:tc>
        <w:tc>
          <w:tcPr>
            <w:tcW w:w="1007" w:type="pct"/>
            <w:noWrap w:val="0"/>
            <w:vAlign w:val="center"/>
          </w:tcPr>
          <w:p w14:paraId="5D684798">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sz w:val="21"/>
                <w:szCs w:val="21"/>
                <w:highlight w:val="none"/>
                <w:lang w:eastAsia="en-US"/>
              </w:rPr>
            </w:pPr>
            <w:r>
              <w:rPr>
                <w:rFonts w:hint="default" w:ascii="Times New Roman" w:hAnsi="Times New Roman" w:eastAsia="宋体" w:cs="Times New Roman"/>
                <w:b/>
                <w:color w:val="auto"/>
                <w:kern w:val="0"/>
                <w:sz w:val="21"/>
                <w:szCs w:val="21"/>
                <w:highlight w:val="none"/>
                <w:lang w:bidi="ar"/>
              </w:rPr>
              <w:t>资质或公司职位</w:t>
            </w:r>
          </w:p>
        </w:tc>
        <w:tc>
          <w:tcPr>
            <w:tcW w:w="2452" w:type="pct"/>
            <w:noWrap w:val="0"/>
            <w:vAlign w:val="center"/>
          </w:tcPr>
          <w:p w14:paraId="689BABDB">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color w:val="auto"/>
                <w:kern w:val="0"/>
                <w:sz w:val="21"/>
                <w:szCs w:val="21"/>
                <w:highlight w:val="none"/>
                <w:lang w:bidi="ar"/>
              </w:rPr>
            </w:pPr>
            <w:r>
              <w:rPr>
                <w:rFonts w:hint="default" w:ascii="Times New Roman" w:hAnsi="Times New Roman" w:eastAsia="宋体" w:cs="Times New Roman"/>
                <w:b/>
                <w:color w:val="auto"/>
                <w:kern w:val="0"/>
                <w:sz w:val="21"/>
                <w:szCs w:val="21"/>
                <w:highlight w:val="none"/>
                <w:lang w:bidi="ar"/>
              </w:rPr>
              <w:t>主要职责</w:t>
            </w:r>
          </w:p>
        </w:tc>
      </w:tr>
      <w:tr w14:paraId="02098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24" w:type="pct"/>
            <w:noWrap w:val="0"/>
            <w:vAlign w:val="center"/>
          </w:tcPr>
          <w:p w14:paraId="014193E4">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kern w:val="0"/>
                <w:sz w:val="21"/>
                <w:szCs w:val="21"/>
                <w:highlight w:val="none"/>
                <w:lang w:bidi="ar"/>
              </w:rPr>
              <w:t>1</w:t>
            </w:r>
          </w:p>
        </w:tc>
        <w:tc>
          <w:tcPr>
            <w:tcW w:w="455" w:type="pct"/>
            <w:noWrap w:val="0"/>
            <w:vAlign w:val="center"/>
          </w:tcPr>
          <w:p w14:paraId="0CCDD45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Cs/>
                <w:color w:val="auto"/>
                <w:kern w:val="0"/>
                <w:sz w:val="21"/>
                <w:szCs w:val="21"/>
                <w:highlight w:val="none"/>
                <w:lang w:bidi="ar"/>
              </w:rPr>
            </w:pPr>
            <w:r>
              <w:rPr>
                <w:rFonts w:hint="default" w:ascii="Times New Roman" w:hAnsi="Times New Roman" w:eastAsia="宋体" w:cs="Times New Roman"/>
                <w:color w:val="auto"/>
                <w:kern w:val="0"/>
                <w:sz w:val="21"/>
                <w:szCs w:val="21"/>
                <w:highlight w:val="none"/>
                <w:lang w:bidi="ar"/>
              </w:rPr>
              <w:t>冯延萍</w:t>
            </w:r>
          </w:p>
        </w:tc>
        <w:tc>
          <w:tcPr>
            <w:tcW w:w="759" w:type="pct"/>
            <w:noWrap w:val="0"/>
            <w:vAlign w:val="center"/>
          </w:tcPr>
          <w:p w14:paraId="028696EC">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主评人</w:t>
            </w:r>
          </w:p>
        </w:tc>
        <w:tc>
          <w:tcPr>
            <w:tcW w:w="1007" w:type="pct"/>
            <w:noWrap w:val="0"/>
            <w:vAlign w:val="center"/>
          </w:tcPr>
          <w:p w14:paraId="3CF9643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注册会计师、中级会计师</w:t>
            </w:r>
          </w:p>
        </w:tc>
        <w:tc>
          <w:tcPr>
            <w:tcW w:w="2452" w:type="pct"/>
            <w:noWrap w:val="0"/>
            <w:vAlign w:val="center"/>
          </w:tcPr>
          <w:p w14:paraId="59BB9251">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bidi="ar"/>
              </w:rPr>
            </w:pPr>
            <w:r>
              <w:rPr>
                <w:rFonts w:hint="default" w:ascii="Times New Roman" w:hAnsi="Times New Roman" w:eastAsia="宋体" w:cs="Times New Roman"/>
                <w:bCs/>
                <w:snapToGrid w:val="0"/>
                <w:color w:val="auto"/>
                <w:sz w:val="21"/>
                <w:szCs w:val="21"/>
                <w:highlight w:val="none"/>
              </w:rPr>
              <w:t>负责项目总体计划的审批，项目重大风险的整体把握，对整体检查工作进行全面技术把关和指导，以保证评价工作按时按质完成；对整体项目评价结论进行最终复核。</w:t>
            </w:r>
          </w:p>
        </w:tc>
      </w:tr>
      <w:tr w14:paraId="1089A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24" w:type="pct"/>
            <w:noWrap w:val="0"/>
            <w:vAlign w:val="center"/>
          </w:tcPr>
          <w:p w14:paraId="0C77464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kern w:val="0"/>
                <w:sz w:val="21"/>
                <w:szCs w:val="21"/>
                <w:highlight w:val="none"/>
                <w:lang w:val="en-US" w:eastAsia="zh-CN" w:bidi="ar"/>
              </w:rPr>
            </w:pPr>
            <w:r>
              <w:rPr>
                <w:rFonts w:hint="default" w:eastAsia="宋体" w:cs="Times New Roman"/>
                <w:color w:val="auto"/>
                <w:kern w:val="0"/>
                <w:sz w:val="21"/>
                <w:szCs w:val="21"/>
                <w:highlight w:val="none"/>
                <w:lang w:val="en-US" w:eastAsia="zh-CN" w:bidi="ar"/>
              </w:rPr>
              <w:t>2</w:t>
            </w:r>
          </w:p>
        </w:tc>
        <w:tc>
          <w:tcPr>
            <w:tcW w:w="455" w:type="pct"/>
            <w:noWrap w:val="0"/>
            <w:vAlign w:val="center"/>
          </w:tcPr>
          <w:p w14:paraId="6761DB01">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eastAsia="宋体" w:cs="Times New Roman"/>
                <w:color w:val="auto"/>
                <w:sz w:val="21"/>
                <w:szCs w:val="21"/>
                <w:lang w:val="en-US" w:eastAsia="zh-CN"/>
              </w:rPr>
              <w:t>腊晓林</w:t>
            </w:r>
          </w:p>
        </w:tc>
        <w:tc>
          <w:tcPr>
            <w:tcW w:w="759" w:type="pct"/>
            <w:noWrap w:val="0"/>
            <w:vAlign w:val="center"/>
          </w:tcPr>
          <w:p w14:paraId="32758242">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报告复核人</w:t>
            </w:r>
          </w:p>
        </w:tc>
        <w:tc>
          <w:tcPr>
            <w:tcW w:w="1007" w:type="pct"/>
            <w:noWrap w:val="0"/>
            <w:vAlign w:val="center"/>
          </w:tcPr>
          <w:p w14:paraId="128735A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eastAsia="宋体" w:cs="Times New Roman"/>
                <w:color w:val="auto"/>
                <w:sz w:val="21"/>
                <w:szCs w:val="21"/>
                <w:highlight w:val="none"/>
                <w:lang w:val="en-US" w:eastAsia="zh-CN"/>
              </w:rPr>
              <w:t>咨询工程师</w:t>
            </w:r>
          </w:p>
        </w:tc>
        <w:tc>
          <w:tcPr>
            <w:tcW w:w="2452" w:type="pct"/>
            <w:noWrap w:val="0"/>
            <w:vAlign w:val="center"/>
          </w:tcPr>
          <w:p w14:paraId="7DC08579">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bCs/>
                <w:snapToGrid w:val="0"/>
                <w:color w:val="auto"/>
                <w:sz w:val="21"/>
                <w:szCs w:val="21"/>
                <w:highlight w:val="none"/>
                <w:lang w:val="en-US" w:eastAsia="zh-CN"/>
              </w:rPr>
            </w:pPr>
            <w:r>
              <w:rPr>
                <w:rFonts w:hint="default" w:ascii="Times New Roman" w:hAnsi="Times New Roman" w:eastAsia="宋体" w:cs="Times New Roman"/>
                <w:bCs/>
                <w:snapToGrid w:val="0"/>
                <w:color w:val="auto"/>
                <w:sz w:val="21"/>
                <w:szCs w:val="21"/>
                <w:highlight w:val="none"/>
                <w:lang w:val="en-US" w:eastAsia="zh-CN"/>
              </w:rPr>
              <w:t>审核实施方案，负责对项目成果进行复核，</w:t>
            </w:r>
            <w:r>
              <w:rPr>
                <w:rFonts w:hint="default" w:ascii="Times New Roman" w:hAnsi="Times New Roman" w:eastAsia="宋体" w:cs="Times New Roman"/>
                <w:color w:val="auto"/>
                <w:sz w:val="21"/>
                <w:szCs w:val="21"/>
                <w:highlight w:val="none"/>
              </w:rPr>
              <w:t>杜绝或减少对外出具的报告中出现不应出错或低级错误的发生，确保工作质量不出现重大纰漏。通过稽核强化工作质量管理，严格把控评价结果报告质量关，规范出具报告的标准。</w:t>
            </w:r>
          </w:p>
        </w:tc>
      </w:tr>
      <w:tr w14:paraId="1A189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24" w:type="pct"/>
            <w:noWrap w:val="0"/>
            <w:vAlign w:val="center"/>
          </w:tcPr>
          <w:p w14:paraId="2906130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eastAsia="zh-CN"/>
              </w:rPr>
            </w:pPr>
            <w:r>
              <w:rPr>
                <w:rFonts w:hint="default" w:eastAsia="宋体" w:cs="Times New Roman"/>
                <w:color w:val="auto"/>
                <w:kern w:val="0"/>
                <w:sz w:val="21"/>
                <w:szCs w:val="21"/>
                <w:highlight w:val="none"/>
                <w:lang w:val="en-US" w:eastAsia="zh-CN" w:bidi="ar"/>
              </w:rPr>
              <w:t>3</w:t>
            </w:r>
          </w:p>
        </w:tc>
        <w:tc>
          <w:tcPr>
            <w:tcW w:w="455" w:type="pct"/>
            <w:noWrap w:val="0"/>
            <w:vAlign w:val="center"/>
          </w:tcPr>
          <w:p w14:paraId="1F79C64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eastAsia="宋体" w:cs="Times New Roman"/>
                <w:color w:val="auto"/>
                <w:sz w:val="21"/>
                <w:szCs w:val="21"/>
                <w:highlight w:val="none"/>
                <w:lang w:val="en-US" w:eastAsia="zh-CN"/>
              </w:rPr>
              <w:t>郝欢</w:t>
            </w:r>
          </w:p>
        </w:tc>
        <w:tc>
          <w:tcPr>
            <w:tcW w:w="759" w:type="pct"/>
            <w:noWrap w:val="0"/>
            <w:vAlign w:val="center"/>
          </w:tcPr>
          <w:p w14:paraId="4260DB6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eastAsia="en-US"/>
              </w:rPr>
            </w:pPr>
            <w:r>
              <w:rPr>
                <w:rFonts w:hint="default" w:ascii="Times New Roman" w:hAnsi="Times New Roman" w:eastAsia="宋体" w:cs="Times New Roman"/>
                <w:color w:val="auto"/>
                <w:sz w:val="21"/>
                <w:szCs w:val="21"/>
                <w:highlight w:val="none"/>
              </w:rPr>
              <w:t>项目负责人</w:t>
            </w:r>
          </w:p>
        </w:tc>
        <w:tc>
          <w:tcPr>
            <w:tcW w:w="1007" w:type="pct"/>
            <w:noWrap w:val="0"/>
            <w:vAlign w:val="center"/>
          </w:tcPr>
          <w:p w14:paraId="42B75D8B">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项目</w:t>
            </w:r>
            <w:r>
              <w:rPr>
                <w:rFonts w:hint="default" w:ascii="Times New Roman" w:hAnsi="Times New Roman" w:eastAsia="宋体" w:cs="Times New Roman"/>
                <w:color w:val="auto"/>
                <w:sz w:val="21"/>
                <w:szCs w:val="21"/>
                <w:highlight w:val="none"/>
                <w:lang w:eastAsia="zh-Hans"/>
              </w:rPr>
              <w:t>经理</w:t>
            </w:r>
          </w:p>
        </w:tc>
        <w:tc>
          <w:tcPr>
            <w:tcW w:w="2452" w:type="pct"/>
            <w:noWrap w:val="0"/>
            <w:vAlign w:val="center"/>
          </w:tcPr>
          <w:p w14:paraId="5424D065">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eastAsia="zh-CN" w:bidi="ar"/>
              </w:rPr>
            </w:pPr>
            <w:r>
              <w:rPr>
                <w:rFonts w:hint="default" w:ascii="Times New Roman" w:hAnsi="Times New Roman" w:eastAsia="宋体" w:cs="Times New Roman"/>
                <w:bCs/>
                <w:snapToGrid w:val="0"/>
                <w:color w:val="auto"/>
                <w:sz w:val="21"/>
                <w:szCs w:val="21"/>
                <w:highlight w:val="none"/>
              </w:rPr>
              <w:t>负责制定项目实施计划，并组织开展具体评价工作，把控项目质量、项目进度和方向，推动服务方案执行和落实；讨论阶段性成果，向本单位和委托方关于本项目进展情况定期汇报进展情况；对项目过程中的技术方法提供咨询和辅导，及时完成项目成果</w:t>
            </w:r>
            <w:r>
              <w:rPr>
                <w:rFonts w:hint="default" w:ascii="Times New Roman" w:hAnsi="Times New Roman" w:eastAsia="宋体" w:cs="Times New Roman"/>
                <w:bCs/>
                <w:snapToGrid w:val="0"/>
                <w:color w:val="auto"/>
                <w:sz w:val="21"/>
                <w:szCs w:val="21"/>
                <w:highlight w:val="none"/>
                <w:lang w:eastAsia="zh-CN"/>
              </w:rPr>
              <w:t>。</w:t>
            </w:r>
          </w:p>
        </w:tc>
      </w:tr>
      <w:tr w14:paraId="3C47D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3" w:hRule="atLeast"/>
          <w:jc w:val="center"/>
        </w:trPr>
        <w:tc>
          <w:tcPr>
            <w:tcW w:w="324" w:type="pct"/>
            <w:noWrap w:val="0"/>
            <w:vAlign w:val="center"/>
          </w:tcPr>
          <w:p w14:paraId="1AB62E66">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kern w:val="0"/>
                <w:sz w:val="21"/>
                <w:szCs w:val="21"/>
                <w:highlight w:val="none"/>
                <w:lang w:eastAsia="zh-CN" w:bidi="ar"/>
              </w:rPr>
            </w:pPr>
            <w:r>
              <w:rPr>
                <w:rFonts w:hint="default" w:eastAsia="宋体" w:cs="Times New Roman"/>
                <w:color w:val="auto"/>
                <w:kern w:val="0"/>
                <w:sz w:val="21"/>
                <w:szCs w:val="21"/>
                <w:highlight w:val="none"/>
                <w:lang w:val="en-US" w:eastAsia="zh-CN" w:bidi="ar"/>
              </w:rPr>
              <w:t>4</w:t>
            </w:r>
          </w:p>
        </w:tc>
        <w:tc>
          <w:tcPr>
            <w:tcW w:w="455" w:type="pct"/>
            <w:shd w:val="clear" w:color="auto" w:fill="auto"/>
            <w:noWrap w:val="0"/>
            <w:vAlign w:val="center"/>
          </w:tcPr>
          <w:p w14:paraId="187F142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Cs/>
                <w:snapToGrid w:val="0"/>
                <w:color w:val="auto"/>
                <w:spacing w:val="6"/>
                <w:kern w:val="2"/>
                <w:sz w:val="21"/>
                <w:szCs w:val="21"/>
                <w:highlight w:val="none"/>
                <w:lang w:val="en-US" w:eastAsia="zh-CN" w:bidi="ar-SA"/>
              </w:rPr>
            </w:pPr>
            <w:r>
              <w:rPr>
                <w:rFonts w:hint="default" w:eastAsia="宋体" w:cs="Times New Roman"/>
                <w:bCs/>
                <w:snapToGrid w:val="0"/>
                <w:color w:val="auto"/>
                <w:spacing w:val="6"/>
                <w:kern w:val="2"/>
                <w:sz w:val="21"/>
                <w:szCs w:val="21"/>
                <w:highlight w:val="none"/>
                <w:lang w:val="en-US" w:eastAsia="zh-CN" w:bidi="ar-SA"/>
              </w:rPr>
              <w:t>石俊宇</w:t>
            </w:r>
          </w:p>
        </w:tc>
        <w:tc>
          <w:tcPr>
            <w:tcW w:w="759" w:type="pct"/>
            <w:shd w:val="clear" w:color="auto" w:fill="auto"/>
            <w:noWrap w:val="0"/>
            <w:vAlign w:val="center"/>
          </w:tcPr>
          <w:p w14:paraId="655892FA">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项目绩效评价人员</w:t>
            </w:r>
          </w:p>
        </w:tc>
        <w:tc>
          <w:tcPr>
            <w:tcW w:w="1007" w:type="pct"/>
            <w:shd w:val="clear" w:color="auto" w:fill="auto"/>
            <w:noWrap w:val="0"/>
            <w:vAlign w:val="center"/>
          </w:tcPr>
          <w:p w14:paraId="507CF7BD">
            <w:pPr>
              <w:keepNext w:val="0"/>
              <w:keepLines w:val="0"/>
              <w:pageBreakBefore w:val="0"/>
              <w:widowControl/>
              <w:shd w:val="clear" w:color="auto" w:fill="auto"/>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项目</w:t>
            </w:r>
            <w:r>
              <w:rPr>
                <w:rFonts w:hint="default" w:eastAsia="宋体" w:cs="Times New Roman"/>
                <w:color w:val="auto"/>
                <w:sz w:val="21"/>
                <w:szCs w:val="21"/>
                <w:highlight w:val="none"/>
                <w:lang w:val="en-US" w:eastAsia="zh-CN"/>
              </w:rPr>
              <w:t>助理</w:t>
            </w:r>
          </w:p>
        </w:tc>
        <w:tc>
          <w:tcPr>
            <w:tcW w:w="2452" w:type="pct"/>
            <w:noWrap w:val="0"/>
            <w:vAlign w:val="center"/>
          </w:tcPr>
          <w:p w14:paraId="2358F27D">
            <w:pPr>
              <w:keepNext w:val="0"/>
              <w:keepLines w:val="0"/>
              <w:pageBreakBefore w:val="0"/>
              <w:shd w:val="clear" w:color="auto" w:fill="auto"/>
              <w:kinsoku/>
              <w:wordWrap/>
              <w:overflowPunct/>
              <w:topLinePunct w:val="0"/>
              <w:autoSpaceDE/>
              <w:autoSpaceDN/>
              <w:bidi w:val="0"/>
              <w:adjustRightInd/>
              <w:snapToGrid/>
              <w:spacing w:line="240" w:lineRule="auto"/>
              <w:ind w:firstLine="0" w:firstLineChars="0"/>
              <w:jc w:val="left"/>
              <w:rPr>
                <w:rFonts w:hint="default" w:ascii="Times New Roman" w:hAnsi="Times New Roman" w:eastAsia="宋体" w:cs="Times New Roman"/>
                <w:color w:val="auto"/>
                <w:kern w:val="0"/>
                <w:sz w:val="21"/>
                <w:szCs w:val="21"/>
                <w:highlight w:val="none"/>
                <w:lang w:bidi="ar"/>
              </w:rPr>
            </w:pPr>
            <w:r>
              <w:rPr>
                <w:rFonts w:hint="default" w:ascii="Times New Roman" w:hAnsi="Times New Roman" w:eastAsia="宋体" w:cs="Times New Roman"/>
                <w:bCs/>
                <w:snapToGrid w:val="0"/>
                <w:color w:val="auto"/>
                <w:sz w:val="21"/>
                <w:szCs w:val="21"/>
                <w:highlight w:val="none"/>
              </w:rPr>
              <w:t>按照计划和分工</w:t>
            </w:r>
            <w:r>
              <w:rPr>
                <w:rFonts w:hint="default" w:ascii="Times New Roman" w:hAnsi="Times New Roman" w:eastAsia="宋体" w:cs="Times New Roman"/>
                <w:bCs/>
                <w:snapToGrid w:val="0"/>
                <w:color w:val="auto"/>
                <w:sz w:val="21"/>
                <w:szCs w:val="21"/>
                <w:highlight w:val="none"/>
                <w:lang w:eastAsia="zh-CN"/>
              </w:rPr>
              <w:t>完成</w:t>
            </w:r>
            <w:r>
              <w:rPr>
                <w:rFonts w:hint="default" w:ascii="Times New Roman" w:hAnsi="Times New Roman" w:eastAsia="宋体" w:cs="Times New Roman"/>
                <w:bCs/>
                <w:snapToGrid w:val="0"/>
                <w:color w:val="auto"/>
                <w:sz w:val="21"/>
                <w:szCs w:val="21"/>
                <w:highlight w:val="none"/>
              </w:rPr>
              <w:t>现场调研、资料收集和检查、项目相关人员访谈、问题清单整理、数据整理、撰写报告等工作。</w:t>
            </w:r>
          </w:p>
        </w:tc>
      </w:tr>
    </w:tbl>
    <w:p w14:paraId="7C765578">
      <w:pPr>
        <w:spacing w:before="0" w:after="0"/>
        <w:rPr>
          <w:rFonts w:hint="default"/>
        </w:rPr>
      </w:pPr>
    </w:p>
    <w:p w14:paraId="5045BEC6">
      <w:pPr>
        <w:pStyle w:val="4"/>
        <w:spacing w:before="0" w:after="0" w:line="360" w:lineRule="auto"/>
        <w:ind w:firstLine="641"/>
        <w:rPr>
          <w:rFonts w:hint="default" w:ascii="Times New Roman" w:hAnsi="Times New Roman" w:cs="Times New Roman"/>
          <w:color w:val="auto"/>
        </w:rPr>
      </w:pPr>
      <w:r>
        <w:rPr>
          <w:rFonts w:hint="default" w:ascii="Times New Roman" w:hAnsi="Times New Roman" w:cs="Times New Roman"/>
          <w:color w:val="auto"/>
        </w:rPr>
        <w:t>2.确定绩效评价工作方案</w:t>
      </w:r>
    </w:p>
    <w:p w14:paraId="460653B7">
      <w:pPr>
        <w:bidi w:val="0"/>
        <w:spacing w:before="0" w:after="0" w:line="360" w:lineRule="auto"/>
        <w:rPr>
          <w:rFonts w:hint="default"/>
          <w:color w:val="auto"/>
        </w:rPr>
      </w:pPr>
      <w:r>
        <w:rPr>
          <w:rFonts w:hint="default"/>
          <w:color w:val="auto"/>
        </w:rPr>
        <w:t>绩效评价小组根据前期初步收集的项目资料，根据项目实施内容及政策文件要求，</w:t>
      </w:r>
      <w:r>
        <w:rPr>
          <w:rFonts w:hint="default"/>
          <w:color w:val="auto"/>
          <w:lang w:val="en-US" w:eastAsia="zh-CN"/>
        </w:rPr>
        <w:t>于</w:t>
      </w:r>
      <w:r>
        <w:rPr>
          <w:rFonts w:hint="default" w:cs="Times New Roman"/>
          <w:color w:val="auto"/>
          <w:lang w:val="en-US" w:eastAsia="zh-CN"/>
        </w:rPr>
        <w:t>2025</w:t>
      </w:r>
      <w:r>
        <w:rPr>
          <w:rFonts w:hint="default"/>
          <w:color w:val="auto"/>
        </w:rPr>
        <w:t>年</w:t>
      </w:r>
      <w:r>
        <w:rPr>
          <w:rFonts w:hint="default" w:cs="Times New Roman"/>
          <w:color w:val="auto"/>
          <w:lang w:val="en-US" w:eastAsia="zh-CN"/>
        </w:rPr>
        <w:t>7</w:t>
      </w:r>
      <w:r>
        <w:rPr>
          <w:rFonts w:hint="default"/>
          <w:color w:val="auto"/>
        </w:rPr>
        <w:t>月</w:t>
      </w:r>
      <w:r>
        <w:rPr>
          <w:rFonts w:hint="default" w:cs="Times New Roman"/>
          <w:color w:val="auto"/>
          <w:lang w:val="en-US" w:eastAsia="zh-CN"/>
        </w:rPr>
        <w:t>10</w:t>
      </w:r>
      <w:r>
        <w:rPr>
          <w:rFonts w:hint="default"/>
          <w:color w:val="auto"/>
        </w:rPr>
        <w:t>日</w:t>
      </w:r>
      <w:r>
        <w:rPr>
          <w:rFonts w:hint="default"/>
          <w:color w:val="auto"/>
          <w:lang w:val="en-US" w:eastAsia="zh-CN"/>
        </w:rPr>
        <w:t>完成编制</w:t>
      </w:r>
      <w:r>
        <w:rPr>
          <w:rFonts w:hint="default"/>
          <w:color w:val="auto"/>
        </w:rPr>
        <w:t>《2024年中央现代职业教育质量提升计划资金</w:t>
      </w:r>
      <w:r>
        <w:rPr>
          <w:rFonts w:hint="default"/>
          <w:color w:val="auto"/>
          <w:lang w:val="en-US" w:eastAsia="zh-CN"/>
        </w:rPr>
        <w:t>项目</w:t>
      </w:r>
      <w:r>
        <w:rPr>
          <w:rFonts w:hint="default"/>
          <w:color w:val="auto"/>
        </w:rPr>
        <w:t>绩效评价实施方案》，</w:t>
      </w:r>
      <w:r>
        <w:rPr>
          <w:rFonts w:hint="default"/>
          <w:color w:val="auto"/>
          <w:lang w:val="en-US" w:eastAsia="zh-CN"/>
        </w:rPr>
        <w:t>经</w:t>
      </w:r>
      <w:r>
        <w:rPr>
          <w:rFonts w:hint="default" w:cs="Times New Roman"/>
          <w:color w:val="auto"/>
          <w:lang w:val="en-US" w:eastAsia="zh-CN"/>
        </w:rPr>
        <w:t>项目负责人</w:t>
      </w:r>
      <w:r>
        <w:rPr>
          <w:rFonts w:hint="default"/>
          <w:color w:val="auto"/>
          <w:lang w:val="en-US" w:eastAsia="zh-CN"/>
        </w:rPr>
        <w:t>审核</w:t>
      </w:r>
      <w:r>
        <w:rPr>
          <w:rFonts w:hint="default"/>
          <w:color w:val="auto"/>
        </w:rPr>
        <w:t>通过后项目绩效评价工作正式启动。</w:t>
      </w:r>
    </w:p>
    <w:p w14:paraId="72EC2729">
      <w:pPr>
        <w:pStyle w:val="4"/>
        <w:spacing w:before="0" w:after="0" w:line="360" w:lineRule="auto"/>
        <w:ind w:firstLine="641"/>
        <w:rPr>
          <w:rFonts w:ascii="Times New Roman" w:hAnsi="Times New Roman"/>
          <w:color w:val="auto"/>
        </w:rPr>
      </w:pPr>
      <w:r>
        <w:rPr>
          <w:rFonts w:ascii="Times New Roman" w:hAnsi="Times New Roman"/>
          <w:color w:val="auto"/>
        </w:rPr>
        <w:t>3.组织实施</w:t>
      </w:r>
    </w:p>
    <w:p w14:paraId="0457C609">
      <w:pPr>
        <w:spacing w:before="0" w:after="0" w:line="360" w:lineRule="auto"/>
        <w:ind w:firstLine="640"/>
        <w:rPr>
          <w:color w:val="auto"/>
        </w:rPr>
      </w:pPr>
      <w:r>
        <w:rPr>
          <w:rFonts w:hint="default" w:cs="Times New Roman"/>
          <w:color w:val="auto"/>
          <w:lang w:val="en-US" w:eastAsia="zh-CN"/>
        </w:rPr>
        <w:t>2025</w:t>
      </w:r>
      <w:r>
        <w:rPr>
          <w:rFonts w:hint="default" w:ascii="Times New Roman" w:hAnsi="Times New Roman" w:cs="Times New Roman"/>
          <w:color w:val="auto"/>
        </w:rPr>
        <w:t>年</w:t>
      </w:r>
      <w:r>
        <w:rPr>
          <w:rFonts w:hint="default" w:cs="Times New Roman"/>
          <w:color w:val="auto"/>
          <w:lang w:val="en-US" w:eastAsia="zh-CN"/>
        </w:rPr>
        <w:t>7</w:t>
      </w:r>
      <w:r>
        <w:rPr>
          <w:rFonts w:hint="default" w:ascii="Times New Roman" w:hAnsi="Times New Roman" w:cs="Times New Roman"/>
          <w:color w:val="auto"/>
        </w:rPr>
        <w:t>月</w:t>
      </w:r>
      <w:r>
        <w:rPr>
          <w:rFonts w:hint="default" w:cs="Times New Roman"/>
          <w:color w:val="auto"/>
          <w:lang w:val="en-US" w:eastAsia="zh-CN"/>
        </w:rPr>
        <w:t>11</w:t>
      </w:r>
      <w:r>
        <w:rPr>
          <w:rFonts w:hint="default" w:ascii="Times New Roman" w:hAnsi="Times New Roman" w:cs="Times New Roman"/>
          <w:color w:val="auto"/>
        </w:rPr>
        <w:t>日</w:t>
      </w:r>
      <w:r>
        <w:rPr>
          <w:rFonts w:hint="default" w:cs="Times New Roman"/>
          <w:color w:val="auto"/>
          <w:lang w:val="en-US" w:eastAsia="zh-CN"/>
        </w:rPr>
        <w:t>至2025</w:t>
      </w:r>
      <w:r>
        <w:rPr>
          <w:rFonts w:hint="default" w:ascii="Times New Roman" w:hAnsi="Times New Roman" w:cs="Times New Roman"/>
          <w:color w:val="auto"/>
        </w:rPr>
        <w:t>年</w:t>
      </w:r>
      <w:r>
        <w:rPr>
          <w:rFonts w:hint="default" w:cs="Times New Roman"/>
          <w:color w:val="auto"/>
          <w:lang w:val="en-US" w:eastAsia="zh-CN"/>
        </w:rPr>
        <w:t>7</w:t>
      </w:r>
      <w:r>
        <w:rPr>
          <w:rFonts w:hint="default" w:ascii="Times New Roman" w:hAnsi="Times New Roman" w:cs="Times New Roman"/>
          <w:color w:val="auto"/>
        </w:rPr>
        <w:t>月</w:t>
      </w:r>
      <w:r>
        <w:rPr>
          <w:rFonts w:hint="default" w:cs="Times New Roman"/>
          <w:color w:val="auto"/>
          <w:lang w:val="en-US" w:eastAsia="zh-CN"/>
        </w:rPr>
        <w:t>20</w:t>
      </w:r>
      <w:r>
        <w:rPr>
          <w:rFonts w:hint="default" w:ascii="Times New Roman" w:hAnsi="Times New Roman" w:cs="Times New Roman"/>
          <w:color w:val="auto"/>
        </w:rPr>
        <w:t>日</w:t>
      </w:r>
      <w:r>
        <w:rPr>
          <w:rFonts w:hint="default" w:cs="Times New Roman"/>
          <w:color w:val="auto"/>
          <w:lang w:eastAsia="zh-CN"/>
        </w:rPr>
        <w:t>，</w:t>
      </w:r>
      <w:r>
        <w:rPr>
          <w:color w:val="auto"/>
        </w:rPr>
        <w:t>绩效评价组采取现场和非现场评价相结合的方式开展调研、查阅基础资料、数据采集、问卷调查、访谈、数据分析等绩效评价工作，具体实施情况如下：</w:t>
      </w:r>
    </w:p>
    <w:p w14:paraId="20DDF9B1">
      <w:pPr>
        <w:spacing w:before="0" w:after="0" w:line="360" w:lineRule="auto"/>
        <w:ind w:firstLine="640"/>
        <w:rPr>
          <w:color w:val="auto"/>
        </w:rPr>
      </w:pPr>
      <w:bookmarkStart w:id="70" w:name="_Toc11994"/>
      <w:r>
        <w:rPr>
          <w:color w:val="auto"/>
        </w:rPr>
        <w:t>（1）</w:t>
      </w:r>
      <w:r>
        <w:rPr>
          <w:rFonts w:hint="default"/>
          <w:color w:val="auto"/>
        </w:rPr>
        <w:t>与</w:t>
      </w:r>
      <w:r>
        <w:rPr>
          <w:rFonts w:hint="default" w:cs="Times New Roman"/>
          <w:color w:val="auto"/>
          <w:lang w:val="en-US" w:eastAsia="zh-CN"/>
        </w:rPr>
        <w:t>吉木萨尔中等职业技术学校</w:t>
      </w:r>
      <w:r>
        <w:rPr>
          <w:rFonts w:hint="default"/>
          <w:color w:val="auto"/>
          <w:lang w:val="en-US" w:eastAsia="zh-CN"/>
        </w:rPr>
        <w:t>采购办</w:t>
      </w:r>
      <w:r>
        <w:rPr>
          <w:rFonts w:hint="default"/>
          <w:color w:val="auto"/>
        </w:rPr>
        <w:t>管理人员进行访谈沟通，全面了解项目实施的目的、预算安排、组织管理、实施结果等方面的内容。</w:t>
      </w:r>
      <w:r>
        <w:rPr>
          <w:color w:val="auto"/>
        </w:rPr>
        <w:t>根据</w:t>
      </w:r>
      <w:r>
        <w:rPr>
          <w:rFonts w:hint="default" w:cs="Times New Roman"/>
          <w:color w:val="auto"/>
          <w:lang w:val="en-US" w:eastAsia="zh-CN"/>
        </w:rPr>
        <w:t>吉木萨尔中等职业技术学校</w:t>
      </w:r>
      <w:r>
        <w:rPr>
          <w:color w:val="auto"/>
        </w:rPr>
        <w:t>提供的项目</w:t>
      </w:r>
      <w:r>
        <w:rPr>
          <w:rFonts w:hint="default"/>
          <w:color w:val="auto"/>
          <w:lang w:val="en-US" w:eastAsia="zh-CN"/>
        </w:rPr>
        <w:t>申请</w:t>
      </w:r>
      <w:r>
        <w:rPr>
          <w:color w:val="auto"/>
        </w:rPr>
        <w:t>、实施、资金使用及管理等方面的资料，对资料进行梳理、分析，并对标相关的政策依据、法律法规、单位制度等，</w:t>
      </w:r>
      <w:r>
        <w:rPr>
          <w:rFonts w:hint="default"/>
          <w:color w:val="auto"/>
        </w:rPr>
        <w:t>完成绩效评价内容所需的印证资料整理汇总。</w:t>
      </w:r>
    </w:p>
    <w:p w14:paraId="71325E84">
      <w:pPr>
        <w:ind w:firstLine="420"/>
        <w:rPr>
          <w:rFonts w:hint="default" w:eastAsiaTheme="minorEastAsia"/>
          <w:color w:val="auto"/>
          <w:lang w:val="en-US" w:eastAsia="zh-CN"/>
        </w:rPr>
      </w:pPr>
      <w:r>
        <w:rPr>
          <w:color w:val="auto"/>
        </w:rPr>
        <w:t>（</w:t>
      </w:r>
      <w:r>
        <w:rPr>
          <w:rFonts w:hint="default"/>
          <w:color w:val="auto"/>
          <w:lang w:val="en-US" w:eastAsia="zh-CN"/>
        </w:rPr>
        <w:t>2</w:t>
      </w:r>
      <w:r>
        <w:rPr>
          <w:color w:val="auto"/>
        </w:rPr>
        <w:t>）</w:t>
      </w:r>
      <w:bookmarkEnd w:id="70"/>
      <w:bookmarkStart w:id="71" w:name="_Toc419984726"/>
      <w:bookmarkStart w:id="72" w:name="_Toc428278235"/>
      <w:bookmarkStart w:id="73" w:name="_Toc26870"/>
      <w:r>
        <w:rPr>
          <w:rFonts w:hint="default"/>
          <w:color w:val="auto"/>
        </w:rPr>
        <w:t>实地调研和现场勘察</w:t>
      </w:r>
      <w:r>
        <w:rPr>
          <w:rFonts w:hint="default"/>
          <w:color w:val="auto"/>
          <w:lang w:eastAsia="zh-CN"/>
        </w:rPr>
        <w:t>，</w:t>
      </w:r>
      <w:r>
        <w:rPr>
          <w:rFonts w:hint="default" w:ascii="Times New Roman" w:hAnsi="Times New Roman" w:cs="Times New Roman"/>
          <w:color w:val="auto"/>
          <w:lang w:val="zh-TW"/>
        </w:rPr>
        <w:t>项目评价组根据项目实施过程及指标评价需求判断，</w:t>
      </w:r>
      <w:r>
        <w:rPr>
          <w:rFonts w:hint="default" w:ascii="Times New Roman" w:hAnsi="Times New Roman" w:cs="Times New Roman"/>
          <w:color w:val="auto"/>
          <w:lang w:val="en-US" w:eastAsia="zh-CN"/>
        </w:rPr>
        <w:t>对</w:t>
      </w:r>
      <w:r>
        <w:rPr>
          <w:rFonts w:hint="default" w:cs="Times New Roman"/>
          <w:color w:val="auto"/>
          <w:lang w:val="en-US" w:eastAsia="zh-CN"/>
        </w:rPr>
        <w:t>吉木萨尔中等职业技术学校项目现场</w:t>
      </w:r>
      <w:r>
        <w:rPr>
          <w:rFonts w:hint="default" w:ascii="Times New Roman" w:hAnsi="Times New Roman" w:cs="Times New Roman"/>
          <w:color w:val="auto"/>
        </w:rPr>
        <w:t>进行实地调研考察</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核实实训设备采购完成情况，使用情况</w:t>
      </w:r>
      <w:r>
        <w:rPr>
          <w:rFonts w:hint="default" w:ascii="Times New Roman" w:hAnsi="Times New Roman" w:cs="Times New Roman"/>
          <w:color w:val="auto"/>
        </w:rPr>
        <w:t>，并拍照形成图片印证材料。</w:t>
      </w:r>
    </w:p>
    <w:p w14:paraId="7F4784C8">
      <w:pPr>
        <w:spacing w:before="0" w:after="0" w:line="360" w:lineRule="auto"/>
        <w:ind w:firstLine="640"/>
        <w:rPr>
          <w:rFonts w:hint="default"/>
          <w:color w:val="auto"/>
        </w:rPr>
      </w:pPr>
      <w:r>
        <w:rPr>
          <w:rFonts w:hint="default"/>
          <w:color w:val="auto"/>
          <w:lang w:eastAsia="zh-CN"/>
        </w:rPr>
        <w:t>（</w:t>
      </w:r>
      <w:r>
        <w:rPr>
          <w:rFonts w:hint="default"/>
          <w:color w:val="auto"/>
          <w:lang w:val="en-US" w:eastAsia="zh-CN"/>
        </w:rPr>
        <w:t>3</w:t>
      </w:r>
      <w:r>
        <w:rPr>
          <w:rFonts w:hint="default"/>
          <w:color w:val="auto"/>
          <w:lang w:eastAsia="zh-CN"/>
        </w:rPr>
        <w:t>）</w:t>
      </w:r>
      <w:r>
        <w:rPr>
          <w:rFonts w:hint="default"/>
          <w:color w:val="auto"/>
        </w:rPr>
        <w:t>经调研了解，对有明确受益对象的评价项目，设计满意度调查问卷，对调查对象开展独立第三方调研工作。</w:t>
      </w:r>
      <w:r>
        <w:rPr>
          <w:rFonts w:hint="default"/>
          <w:color w:val="auto"/>
          <w:lang w:val="en-US" w:eastAsia="zh-CN"/>
        </w:rPr>
        <w:t>本次调查对象按照受益对象不低于30%确定问卷数量，</w:t>
      </w:r>
      <w:r>
        <w:rPr>
          <w:rFonts w:hint="default"/>
          <w:color w:val="auto"/>
        </w:rPr>
        <w:t>该项目问卷调查使用抽样的方式，对该项目</w:t>
      </w:r>
      <w:r>
        <w:rPr>
          <w:rFonts w:hint="default"/>
          <w:color w:val="auto"/>
          <w:lang w:val="en-US" w:eastAsia="zh-CN"/>
        </w:rPr>
        <w:t>受益学生及教师发放问卷，其中：受益学生</w:t>
      </w:r>
      <w:r>
        <w:rPr>
          <w:rFonts w:hint="default"/>
          <w:color w:val="auto"/>
        </w:rPr>
        <w:t>共发放调查问卷</w:t>
      </w:r>
      <w:r>
        <w:rPr>
          <w:rFonts w:hint="default"/>
          <w:color w:val="auto"/>
          <w:lang w:val="en-US" w:eastAsia="zh-CN"/>
        </w:rPr>
        <w:t>149</w:t>
      </w:r>
      <w:r>
        <w:rPr>
          <w:rFonts w:hint="default"/>
          <w:color w:val="auto"/>
        </w:rPr>
        <w:t>份，最终收回</w:t>
      </w:r>
      <w:r>
        <w:rPr>
          <w:rFonts w:hint="default"/>
          <w:color w:val="auto"/>
          <w:lang w:val="en-US" w:eastAsia="zh-CN"/>
        </w:rPr>
        <w:t>问卷149</w:t>
      </w:r>
      <w:r>
        <w:rPr>
          <w:rFonts w:hint="default"/>
          <w:color w:val="auto"/>
        </w:rPr>
        <w:t>份，有效问卷</w:t>
      </w:r>
      <w:r>
        <w:rPr>
          <w:rFonts w:hint="default"/>
          <w:color w:val="auto"/>
          <w:lang w:val="en-US" w:eastAsia="zh-CN"/>
        </w:rPr>
        <w:t>149</w:t>
      </w:r>
      <w:r>
        <w:rPr>
          <w:rFonts w:hint="default"/>
          <w:color w:val="auto"/>
        </w:rPr>
        <w:t>份</w:t>
      </w:r>
      <w:bookmarkEnd w:id="71"/>
      <w:bookmarkEnd w:id="72"/>
      <w:bookmarkEnd w:id="73"/>
      <w:r>
        <w:rPr>
          <w:rFonts w:hint="default"/>
          <w:b/>
          <w:bCs/>
          <w:color w:val="auto"/>
          <w:lang w:val="en-US" w:eastAsia="zh-CN"/>
        </w:rPr>
        <w:t>。</w:t>
      </w:r>
      <w:r>
        <w:rPr>
          <w:rFonts w:hint="default"/>
          <w:color w:val="auto"/>
          <w:lang w:val="en-US" w:eastAsia="zh-CN"/>
        </w:rPr>
        <w:t>受益教师</w:t>
      </w:r>
      <w:r>
        <w:rPr>
          <w:rFonts w:hint="default"/>
          <w:color w:val="auto"/>
        </w:rPr>
        <w:t>共发放调查问卷</w:t>
      </w:r>
      <w:r>
        <w:rPr>
          <w:rFonts w:hint="default"/>
          <w:color w:val="auto"/>
          <w:lang w:val="en-US" w:eastAsia="zh-CN"/>
        </w:rPr>
        <w:t>61</w:t>
      </w:r>
      <w:r>
        <w:rPr>
          <w:rFonts w:hint="default"/>
          <w:color w:val="auto"/>
        </w:rPr>
        <w:t>份，最终收回</w:t>
      </w:r>
      <w:r>
        <w:rPr>
          <w:rFonts w:hint="default"/>
          <w:color w:val="auto"/>
          <w:lang w:val="en-US" w:eastAsia="zh-CN"/>
        </w:rPr>
        <w:t>问卷61</w:t>
      </w:r>
      <w:r>
        <w:rPr>
          <w:rFonts w:hint="default"/>
          <w:color w:val="auto"/>
        </w:rPr>
        <w:t>份，有效问卷</w:t>
      </w:r>
      <w:r>
        <w:rPr>
          <w:rFonts w:hint="default"/>
          <w:color w:val="auto"/>
          <w:lang w:val="en-US" w:eastAsia="zh-CN"/>
        </w:rPr>
        <w:t>61</w:t>
      </w:r>
      <w:r>
        <w:rPr>
          <w:rFonts w:hint="default"/>
          <w:color w:val="auto"/>
        </w:rPr>
        <w:t>份</w:t>
      </w:r>
      <w:r>
        <w:rPr>
          <w:rFonts w:hint="default"/>
          <w:b/>
          <w:bCs/>
          <w:color w:val="auto"/>
          <w:lang w:val="en-US" w:eastAsia="zh-CN"/>
        </w:rPr>
        <w:t>。</w:t>
      </w:r>
    </w:p>
    <w:p w14:paraId="1102A95F">
      <w:pPr>
        <w:spacing w:before="0" w:after="0" w:line="360" w:lineRule="auto"/>
        <w:ind w:firstLine="640"/>
        <w:rPr>
          <w:color w:val="auto"/>
        </w:rPr>
      </w:pPr>
      <w:r>
        <w:rPr>
          <w:color w:val="auto"/>
          <w:kern w:val="0"/>
          <w:szCs w:val="24"/>
        </w:rPr>
        <w:t>（5）通过对采集的数据资料进行复核汇总、分类整理和综合分析，按照设立的评价指标、标准、权重、方法实施评价，并形成评价工作底稿</w:t>
      </w:r>
      <w:r>
        <w:rPr>
          <w:color w:val="auto"/>
        </w:rPr>
        <w:t>。</w:t>
      </w:r>
    </w:p>
    <w:p w14:paraId="3EF024A6">
      <w:pPr>
        <w:pStyle w:val="4"/>
        <w:spacing w:before="0" w:after="0" w:line="360" w:lineRule="auto"/>
        <w:ind w:firstLine="641"/>
        <w:rPr>
          <w:rFonts w:ascii="Times New Roman" w:hAnsi="Times New Roman"/>
          <w:color w:val="auto"/>
        </w:rPr>
      </w:pPr>
      <w:bookmarkStart w:id="74" w:name="_Toc2618"/>
      <w:r>
        <w:rPr>
          <w:rFonts w:ascii="Times New Roman" w:hAnsi="Times New Roman"/>
          <w:color w:val="auto"/>
        </w:rPr>
        <w:t>4.撰写评价报告</w:t>
      </w:r>
      <w:bookmarkEnd w:id="74"/>
    </w:p>
    <w:p w14:paraId="2A0DCCC9">
      <w:pPr>
        <w:spacing w:before="0" w:after="0" w:line="360" w:lineRule="auto"/>
        <w:ind w:firstLine="640"/>
        <w:rPr>
          <w:color w:val="auto"/>
        </w:rPr>
      </w:pPr>
      <w:r>
        <w:rPr>
          <w:rFonts w:hint="default" w:cs="Times New Roman"/>
          <w:color w:val="auto"/>
          <w:lang w:val="en-US" w:eastAsia="zh-CN"/>
        </w:rPr>
        <w:t>2025</w:t>
      </w:r>
      <w:r>
        <w:rPr>
          <w:rFonts w:hint="default" w:ascii="Times New Roman" w:hAnsi="Times New Roman" w:cs="Times New Roman"/>
          <w:color w:val="auto"/>
        </w:rPr>
        <w:t>年</w:t>
      </w:r>
      <w:r>
        <w:rPr>
          <w:rFonts w:hint="default" w:cs="Times New Roman"/>
          <w:color w:val="auto"/>
          <w:lang w:val="en-US" w:eastAsia="zh-CN"/>
        </w:rPr>
        <w:t>8</w:t>
      </w:r>
      <w:r>
        <w:rPr>
          <w:rFonts w:hint="default" w:ascii="Times New Roman" w:hAnsi="Times New Roman" w:cs="Times New Roman"/>
          <w:color w:val="auto"/>
        </w:rPr>
        <w:t>月</w:t>
      </w:r>
      <w:r>
        <w:rPr>
          <w:rFonts w:hint="default" w:cs="Times New Roman"/>
          <w:color w:val="auto"/>
          <w:lang w:val="en-US" w:eastAsia="zh-CN"/>
        </w:rPr>
        <w:t>11</w:t>
      </w:r>
      <w:r>
        <w:rPr>
          <w:rFonts w:hint="default" w:ascii="Times New Roman" w:hAnsi="Times New Roman" w:cs="Times New Roman"/>
          <w:color w:val="auto"/>
        </w:rPr>
        <w:t>日</w:t>
      </w:r>
      <w:r>
        <w:rPr>
          <w:rFonts w:hint="default" w:cs="Times New Roman"/>
          <w:color w:val="auto"/>
          <w:lang w:val="en-US" w:eastAsia="zh-CN"/>
        </w:rPr>
        <w:t>至2025</w:t>
      </w:r>
      <w:r>
        <w:rPr>
          <w:rFonts w:hint="default" w:ascii="Times New Roman" w:hAnsi="Times New Roman" w:cs="Times New Roman"/>
          <w:color w:val="auto"/>
        </w:rPr>
        <w:t>年</w:t>
      </w:r>
      <w:r>
        <w:rPr>
          <w:rFonts w:hint="default" w:cs="Times New Roman"/>
          <w:color w:val="auto"/>
          <w:lang w:val="en-US" w:eastAsia="zh-CN"/>
        </w:rPr>
        <w:t>8</w:t>
      </w:r>
      <w:r>
        <w:rPr>
          <w:rFonts w:hint="default" w:ascii="Times New Roman" w:hAnsi="Times New Roman" w:cs="Times New Roman"/>
          <w:color w:val="auto"/>
        </w:rPr>
        <w:t>月</w:t>
      </w:r>
      <w:r>
        <w:rPr>
          <w:rFonts w:hint="default" w:cs="Times New Roman"/>
          <w:color w:val="auto"/>
          <w:lang w:val="en-US" w:eastAsia="zh-CN"/>
        </w:rPr>
        <w:t>31</w:t>
      </w:r>
      <w:r>
        <w:rPr>
          <w:rFonts w:hint="default" w:ascii="Times New Roman" w:hAnsi="Times New Roman" w:cs="Times New Roman"/>
          <w:color w:val="auto"/>
        </w:rPr>
        <w:t>日</w:t>
      </w:r>
      <w:r>
        <w:rPr>
          <w:rFonts w:hint="default" w:cs="Times New Roman"/>
          <w:color w:val="auto"/>
          <w:lang w:eastAsia="zh-CN"/>
        </w:rPr>
        <w:t>，</w:t>
      </w:r>
      <w:r>
        <w:rPr>
          <w:color w:val="auto"/>
        </w:rPr>
        <w:t>归集绩效评价工作底稿，起草项目绩效评价报告，经公司内部质量审核通过后向委托人提交绩效评价报告初稿，并报送项目实施单位以及行业主管部门，进行结果反馈，充分交换意见。</w:t>
      </w:r>
    </w:p>
    <w:p w14:paraId="6848BAA4">
      <w:pPr>
        <w:pStyle w:val="4"/>
        <w:spacing w:before="0" w:after="0" w:line="360" w:lineRule="auto"/>
        <w:ind w:firstLine="641"/>
        <w:rPr>
          <w:rFonts w:hint="default" w:ascii="Times New Roman" w:hAnsi="Times New Roman" w:cs="Times New Roman"/>
          <w:color w:val="auto"/>
        </w:rPr>
      </w:pPr>
      <w:r>
        <w:rPr>
          <w:rFonts w:hint="default" w:ascii="Times New Roman" w:hAnsi="Times New Roman" w:cs="Times New Roman"/>
          <w:color w:val="auto"/>
          <w:lang w:val="en-US" w:eastAsia="zh-CN"/>
        </w:rPr>
        <w:t>5</w:t>
      </w:r>
      <w:r>
        <w:rPr>
          <w:rFonts w:hint="default" w:ascii="Times New Roman" w:hAnsi="Times New Roman" w:cs="Times New Roman"/>
          <w:color w:val="auto"/>
        </w:rPr>
        <w:t>.资料档案</w:t>
      </w:r>
    </w:p>
    <w:p w14:paraId="7EAFC602">
      <w:pPr>
        <w:spacing w:before="0" w:after="0" w:line="360" w:lineRule="auto"/>
        <w:ind w:firstLine="640"/>
        <w:rPr>
          <w:rFonts w:hint="default"/>
          <w:color w:val="auto"/>
          <w:highlight w:val="none"/>
        </w:rPr>
      </w:pPr>
      <w:r>
        <w:rPr>
          <w:rFonts w:hint="default"/>
          <w:color w:val="auto"/>
        </w:rPr>
        <w:t>第三方机构将绩效评价过程中收集的全部有效资料，主要包括绩效评价工作方案、绩效指标的佐证材料、各单位反馈意见和建议、实地调研记录、调查问卷、绩效评价报告等一并</w:t>
      </w:r>
      <w:r>
        <w:rPr>
          <w:rFonts w:hint="default"/>
          <w:color w:val="auto"/>
          <w:highlight w:val="none"/>
        </w:rPr>
        <w:t>归档，并按照有关档案管理规定妥善管理。</w:t>
      </w:r>
    </w:p>
    <w:p w14:paraId="40072753">
      <w:pPr>
        <w:pStyle w:val="2"/>
        <w:spacing w:line="360" w:lineRule="auto"/>
        <w:ind w:firstLine="482"/>
        <w:rPr>
          <w:rFonts w:ascii="Times New Roman" w:hAnsi="Times New Roman"/>
          <w:color w:val="auto"/>
          <w:highlight w:val="none"/>
        </w:rPr>
      </w:pPr>
      <w:bookmarkStart w:id="75" w:name="_Toc68364664"/>
      <w:bookmarkStart w:id="76" w:name="_Toc15317"/>
      <w:r>
        <w:rPr>
          <w:rFonts w:hint="default" w:ascii="Times New Roman" w:hAnsi="Times New Roman"/>
          <w:color w:val="auto"/>
          <w:highlight w:val="none"/>
        </w:rPr>
        <w:t>四</w:t>
      </w:r>
      <w:r>
        <w:rPr>
          <w:rFonts w:ascii="Times New Roman" w:hAnsi="Times New Roman"/>
          <w:color w:val="auto"/>
          <w:highlight w:val="none"/>
        </w:rPr>
        <w:t>、综合评价情况及评价结论</w:t>
      </w:r>
      <w:bookmarkEnd w:id="75"/>
      <w:bookmarkEnd w:id="76"/>
    </w:p>
    <w:p w14:paraId="5C76A041">
      <w:pPr>
        <w:pStyle w:val="3"/>
        <w:ind w:firstLine="482"/>
        <w:rPr>
          <w:rFonts w:ascii="Times New Roman" w:hAnsi="Times New Roman"/>
          <w:color w:val="auto"/>
          <w:highlight w:val="none"/>
          <w:lang w:val="zh-TW" w:eastAsia="zh-TW"/>
        </w:rPr>
      </w:pPr>
      <w:bookmarkStart w:id="77" w:name="_Toc26863"/>
      <w:bookmarkStart w:id="78" w:name="_Toc24941"/>
      <w:bookmarkStart w:id="79" w:name="_Toc11123"/>
      <w:r>
        <w:rPr>
          <w:rFonts w:hint="default" w:ascii="Times New Roman" w:hAnsi="Times New Roman"/>
          <w:color w:val="auto"/>
          <w:highlight w:val="none"/>
          <w:lang w:val="zh-TW" w:eastAsia="zh-TW"/>
        </w:rPr>
        <w:t>（一）评价得分情况</w:t>
      </w:r>
      <w:bookmarkEnd w:id="77"/>
    </w:p>
    <w:p w14:paraId="0221A73E">
      <w:pPr>
        <w:ind w:firstLine="420"/>
        <w:rPr>
          <w:color w:val="auto"/>
          <w:highlight w:val="none"/>
        </w:rPr>
      </w:pPr>
      <w:r>
        <w:rPr>
          <w:color w:val="auto"/>
          <w:highlight w:val="none"/>
          <w:lang w:val="zh-TW" w:eastAsia="zh-TW"/>
        </w:rPr>
        <w:t>通过调研、数据分析、访谈等方式，根据</w:t>
      </w:r>
      <w:r>
        <w:rPr>
          <w:color w:val="auto"/>
          <w:highlight w:val="none"/>
        </w:rPr>
        <w:t>绩效评价</w:t>
      </w:r>
      <w:r>
        <w:rPr>
          <w:color w:val="auto"/>
          <w:highlight w:val="none"/>
          <w:lang w:val="zh-TW" w:eastAsia="zh-TW"/>
        </w:rPr>
        <w:t>方案确定的指标体系及评分标准，对</w:t>
      </w:r>
      <w:r>
        <w:rPr>
          <w:rFonts w:hint="default"/>
          <w:color w:val="auto"/>
          <w:highlight w:val="none"/>
          <w:lang w:val="zh-TW"/>
        </w:rPr>
        <w:t>“</w:t>
      </w:r>
      <w:r>
        <w:rPr>
          <w:rFonts w:hint="default"/>
          <w:color w:val="auto"/>
          <w:highlight w:val="none"/>
          <w:lang w:val="zh-TW" w:eastAsia="zh-CN"/>
        </w:rPr>
        <w:t>2024年中央现代职业教育质量提升计划资金</w:t>
      </w:r>
      <w:r>
        <w:rPr>
          <w:rFonts w:hint="default"/>
          <w:color w:val="auto"/>
          <w:highlight w:val="none"/>
          <w:lang w:val="en-US" w:eastAsia="zh-CN"/>
        </w:rPr>
        <w:t>项目</w:t>
      </w:r>
      <w:r>
        <w:rPr>
          <w:rFonts w:hint="default"/>
          <w:color w:val="auto"/>
          <w:highlight w:val="none"/>
          <w:lang w:val="zh-TW"/>
        </w:rPr>
        <w:t>”</w:t>
      </w:r>
      <w:r>
        <w:rPr>
          <w:color w:val="auto"/>
          <w:highlight w:val="none"/>
          <w:lang w:val="zh-TW" w:eastAsia="zh-TW"/>
        </w:rPr>
        <w:t>绩效进行客观评价，最终评分结果为</w:t>
      </w:r>
      <w:r>
        <w:rPr>
          <w:rFonts w:hint="default"/>
          <w:color w:val="auto"/>
          <w:highlight w:val="none"/>
          <w:lang w:val="en-US" w:eastAsia="zh-CN"/>
        </w:rPr>
        <w:t>91.50</w:t>
      </w:r>
      <w:r>
        <w:rPr>
          <w:color w:val="auto"/>
          <w:highlight w:val="none"/>
          <w:lang w:val="zh-TW" w:eastAsia="zh-TW"/>
        </w:rPr>
        <w:t>分，绩效评级为</w:t>
      </w:r>
      <w:r>
        <w:rPr>
          <w:rFonts w:hint="default"/>
          <w:color w:val="auto"/>
          <w:highlight w:val="none"/>
          <w:lang w:val="zh-TW"/>
        </w:rPr>
        <w:t>“</w:t>
      </w:r>
      <w:r>
        <w:rPr>
          <w:rFonts w:hint="default"/>
          <w:color w:val="auto"/>
          <w:highlight w:val="none"/>
          <w:lang w:val="en-US" w:eastAsia="zh-CN"/>
        </w:rPr>
        <w:t>优</w:t>
      </w:r>
      <w:r>
        <w:rPr>
          <w:rFonts w:hint="default"/>
          <w:color w:val="auto"/>
          <w:highlight w:val="none"/>
          <w:lang w:val="zh-TW"/>
        </w:rPr>
        <w:t>”</w:t>
      </w:r>
      <w:r>
        <w:rPr>
          <w:color w:val="auto"/>
          <w:highlight w:val="none"/>
          <w:lang w:val="zh-TW" w:eastAsia="zh-TW"/>
        </w:rPr>
        <w:t>。各部分权重和绩效分值如下表</w:t>
      </w:r>
      <w:r>
        <w:rPr>
          <w:color w:val="auto"/>
          <w:highlight w:val="none"/>
          <w:lang w:val="zh-TW"/>
        </w:rPr>
        <w:t>：</w:t>
      </w:r>
    </w:p>
    <w:p w14:paraId="35FFC9FE">
      <w:pPr>
        <w:ind w:firstLine="0" w:firstLineChars="0"/>
        <w:jc w:val="center"/>
        <w:rPr>
          <w:rFonts w:eastAsia="黑体"/>
          <w:color w:val="auto"/>
          <w:szCs w:val="16"/>
          <w:highlight w:val="none"/>
        </w:rPr>
      </w:pPr>
      <w:r>
        <w:rPr>
          <w:rFonts w:eastAsia="黑体"/>
          <w:color w:val="auto"/>
          <w:szCs w:val="16"/>
          <w:highlight w:val="none"/>
          <w:lang w:val="zh-TW" w:eastAsia="zh-TW"/>
        </w:rPr>
        <w:t>表</w:t>
      </w:r>
      <w:r>
        <w:rPr>
          <w:rFonts w:hint="default" w:eastAsia="黑体"/>
          <w:color w:val="auto"/>
          <w:szCs w:val="16"/>
          <w:highlight w:val="none"/>
        </w:rPr>
        <w:t>4</w:t>
      </w:r>
      <w:r>
        <w:rPr>
          <w:rFonts w:eastAsia="黑体"/>
          <w:color w:val="auto"/>
          <w:szCs w:val="16"/>
          <w:highlight w:val="none"/>
          <w:lang w:val="zh-TW" w:eastAsia="zh-TW"/>
        </w:rPr>
        <w:t>-1</w:t>
      </w:r>
      <w:r>
        <w:rPr>
          <w:rFonts w:hint="eastAsia" w:eastAsia="黑体"/>
          <w:color w:val="auto"/>
          <w:szCs w:val="16"/>
          <w:highlight w:val="none"/>
          <w:lang w:val="zh-TW" w:eastAsia="zh-CN"/>
        </w:rPr>
        <w:t>:</w:t>
      </w:r>
      <w:r>
        <w:rPr>
          <w:rFonts w:hint="default" w:eastAsia="黑体"/>
          <w:color w:val="auto"/>
          <w:szCs w:val="16"/>
          <w:highlight w:val="none"/>
          <w:lang w:val="zh-TW" w:eastAsia="zh-CN"/>
        </w:rPr>
        <w:t>2024年中央现代职业教育质量提升计划资金</w:t>
      </w:r>
      <w:r>
        <w:rPr>
          <w:rFonts w:hint="default" w:eastAsia="黑体"/>
          <w:color w:val="auto"/>
          <w:szCs w:val="16"/>
          <w:highlight w:val="none"/>
          <w:lang w:val="en-US" w:eastAsia="zh-CN"/>
        </w:rPr>
        <w:t>项目</w:t>
      </w:r>
      <w:r>
        <w:rPr>
          <w:rFonts w:eastAsia="黑体"/>
          <w:color w:val="auto"/>
          <w:szCs w:val="16"/>
          <w:highlight w:val="none"/>
          <w:lang w:val="zh-TW"/>
        </w:rPr>
        <w:t>得分表</w:t>
      </w:r>
    </w:p>
    <w:tbl>
      <w:tblPr>
        <w:tblStyle w:val="21"/>
        <w:tblW w:w="4997"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26"/>
        <w:gridCol w:w="1435"/>
        <w:gridCol w:w="1550"/>
        <w:gridCol w:w="1550"/>
        <w:gridCol w:w="1550"/>
        <w:gridCol w:w="1550"/>
      </w:tblGrid>
      <w:tr w14:paraId="1BCE18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9" w:hRule="atLeast"/>
        </w:trPr>
        <w:tc>
          <w:tcPr>
            <w:tcW w:w="488"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DEDF62B">
            <w:pPr>
              <w:pStyle w:val="33"/>
              <w:adjustRightInd w:val="0"/>
              <w:snapToGrid w:val="0"/>
              <w:spacing w:before="0" w:after="0" w:line="240" w:lineRule="auto"/>
              <w:jc w:val="center"/>
              <w:rPr>
                <w:rFonts w:hAnsi="Times New Roman" w:eastAsia="宋体" w:cs="Times New Roman"/>
                <w:b/>
                <w:bCs/>
                <w:color w:val="auto"/>
                <w:sz w:val="21"/>
                <w:szCs w:val="21"/>
                <w:highlight w:val="none"/>
              </w:rPr>
            </w:pPr>
            <w:r>
              <w:rPr>
                <w:rFonts w:hAnsi="Times New Roman" w:eastAsia="宋体" w:cs="Times New Roman"/>
                <w:b/>
                <w:bCs/>
                <w:color w:val="auto"/>
                <w:sz w:val="21"/>
                <w:szCs w:val="21"/>
                <w:highlight w:val="none"/>
                <w:lang w:val="zh-TW" w:eastAsia="zh-TW"/>
              </w:rPr>
              <w:t>指标</w:t>
            </w:r>
          </w:p>
        </w:tc>
        <w:tc>
          <w:tcPr>
            <w:tcW w:w="847"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8F156F6">
            <w:pPr>
              <w:pStyle w:val="33"/>
              <w:adjustRightInd w:val="0"/>
              <w:snapToGrid w:val="0"/>
              <w:spacing w:before="0" w:after="0" w:line="240" w:lineRule="auto"/>
              <w:jc w:val="center"/>
              <w:rPr>
                <w:rFonts w:hAnsi="Times New Roman" w:eastAsia="宋体" w:cs="Times New Roman"/>
                <w:b/>
                <w:bCs/>
                <w:color w:val="auto"/>
                <w:sz w:val="21"/>
                <w:szCs w:val="21"/>
                <w:highlight w:val="none"/>
              </w:rPr>
            </w:pPr>
            <w:r>
              <w:rPr>
                <w:rFonts w:hAnsi="Times New Roman" w:eastAsia="宋体" w:cs="Times New Roman"/>
                <w:b/>
                <w:bCs/>
                <w:color w:val="auto"/>
                <w:sz w:val="21"/>
                <w:szCs w:val="21"/>
                <w:highlight w:val="none"/>
                <w:lang w:val="zh-TW" w:eastAsia="zh-TW"/>
              </w:rPr>
              <w:t>项目决策类</w:t>
            </w:r>
          </w:p>
        </w:tc>
        <w:tc>
          <w:tcPr>
            <w:tcW w:w="915"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7CB687A">
            <w:pPr>
              <w:pStyle w:val="33"/>
              <w:adjustRightInd w:val="0"/>
              <w:snapToGrid w:val="0"/>
              <w:spacing w:before="0" w:after="0" w:line="240" w:lineRule="auto"/>
              <w:jc w:val="center"/>
              <w:rPr>
                <w:rFonts w:hAnsi="Times New Roman" w:eastAsia="宋体" w:cs="Times New Roman"/>
                <w:b/>
                <w:bCs/>
                <w:color w:val="auto"/>
                <w:sz w:val="21"/>
                <w:szCs w:val="21"/>
                <w:highlight w:val="none"/>
              </w:rPr>
            </w:pPr>
            <w:r>
              <w:rPr>
                <w:rFonts w:hAnsi="Times New Roman" w:eastAsia="宋体" w:cs="Times New Roman"/>
                <w:b/>
                <w:bCs/>
                <w:color w:val="auto"/>
                <w:sz w:val="21"/>
                <w:szCs w:val="21"/>
                <w:highlight w:val="none"/>
                <w:lang w:val="zh-TW" w:eastAsia="zh-TW"/>
              </w:rPr>
              <w:t>项目</w:t>
            </w:r>
            <w:r>
              <w:rPr>
                <w:rFonts w:hAnsi="Times New Roman" w:eastAsia="宋体" w:cs="Times New Roman"/>
                <w:b/>
                <w:bCs/>
                <w:color w:val="auto"/>
                <w:sz w:val="21"/>
                <w:szCs w:val="21"/>
                <w:highlight w:val="none"/>
              </w:rPr>
              <w:t>过程</w:t>
            </w:r>
            <w:r>
              <w:rPr>
                <w:rFonts w:hAnsi="Times New Roman" w:eastAsia="宋体" w:cs="Times New Roman"/>
                <w:b/>
                <w:bCs/>
                <w:color w:val="auto"/>
                <w:sz w:val="21"/>
                <w:szCs w:val="21"/>
                <w:highlight w:val="none"/>
                <w:lang w:val="zh-TW" w:eastAsia="zh-TW"/>
              </w:rPr>
              <w:t>类</w:t>
            </w:r>
          </w:p>
        </w:tc>
        <w:tc>
          <w:tcPr>
            <w:tcW w:w="915"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E839572">
            <w:pPr>
              <w:pStyle w:val="33"/>
              <w:adjustRightInd w:val="0"/>
              <w:snapToGrid w:val="0"/>
              <w:spacing w:before="0" w:after="0" w:line="240" w:lineRule="auto"/>
              <w:jc w:val="center"/>
              <w:rPr>
                <w:rFonts w:hAnsi="Times New Roman" w:eastAsia="宋体" w:cs="Times New Roman"/>
                <w:b/>
                <w:bCs/>
                <w:color w:val="auto"/>
                <w:sz w:val="21"/>
                <w:szCs w:val="21"/>
                <w:highlight w:val="none"/>
              </w:rPr>
            </w:pPr>
            <w:r>
              <w:rPr>
                <w:rFonts w:hAnsi="Times New Roman" w:eastAsia="宋体" w:cs="Times New Roman"/>
                <w:b/>
                <w:bCs/>
                <w:color w:val="auto"/>
                <w:sz w:val="21"/>
                <w:szCs w:val="21"/>
                <w:highlight w:val="none"/>
                <w:lang w:val="zh-TW" w:eastAsia="zh-TW"/>
              </w:rPr>
              <w:t>项目</w:t>
            </w:r>
            <w:r>
              <w:rPr>
                <w:rFonts w:hAnsi="Times New Roman" w:eastAsia="宋体" w:cs="Times New Roman"/>
                <w:b/>
                <w:bCs/>
                <w:color w:val="auto"/>
                <w:sz w:val="21"/>
                <w:szCs w:val="21"/>
                <w:highlight w:val="none"/>
              </w:rPr>
              <w:t>产出</w:t>
            </w:r>
            <w:r>
              <w:rPr>
                <w:rFonts w:hAnsi="Times New Roman" w:eastAsia="宋体" w:cs="Times New Roman"/>
                <w:b/>
                <w:bCs/>
                <w:color w:val="auto"/>
                <w:sz w:val="21"/>
                <w:szCs w:val="21"/>
                <w:highlight w:val="none"/>
                <w:lang w:val="zh-TW" w:eastAsia="zh-TW"/>
              </w:rPr>
              <w:t>类</w:t>
            </w:r>
          </w:p>
        </w:tc>
        <w:tc>
          <w:tcPr>
            <w:tcW w:w="915"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9C6ACA0">
            <w:pPr>
              <w:pStyle w:val="33"/>
              <w:adjustRightInd w:val="0"/>
              <w:snapToGrid w:val="0"/>
              <w:spacing w:before="0" w:after="0" w:line="240" w:lineRule="auto"/>
              <w:jc w:val="center"/>
              <w:rPr>
                <w:rFonts w:hAnsi="Times New Roman" w:eastAsia="宋体" w:cs="Times New Roman"/>
                <w:b/>
                <w:bCs/>
                <w:color w:val="auto"/>
                <w:sz w:val="21"/>
                <w:szCs w:val="21"/>
                <w:highlight w:val="none"/>
                <w:lang w:val="zh-TW" w:eastAsia="zh-TW"/>
              </w:rPr>
            </w:pPr>
            <w:r>
              <w:rPr>
                <w:rFonts w:hAnsi="Times New Roman" w:eastAsia="宋体" w:cs="Times New Roman"/>
                <w:b/>
                <w:bCs/>
                <w:color w:val="auto"/>
                <w:sz w:val="21"/>
                <w:szCs w:val="21"/>
                <w:highlight w:val="none"/>
                <w:lang w:val="zh-TW" w:eastAsia="zh-TW"/>
              </w:rPr>
              <w:t>项目</w:t>
            </w:r>
            <w:r>
              <w:rPr>
                <w:rFonts w:hAnsi="Times New Roman" w:eastAsia="宋体" w:cs="Times New Roman"/>
                <w:b/>
                <w:bCs/>
                <w:color w:val="auto"/>
                <w:sz w:val="21"/>
                <w:szCs w:val="21"/>
                <w:highlight w:val="none"/>
              </w:rPr>
              <w:t>效益</w:t>
            </w:r>
            <w:r>
              <w:rPr>
                <w:rFonts w:hAnsi="Times New Roman" w:eastAsia="宋体" w:cs="Times New Roman"/>
                <w:b/>
                <w:bCs/>
                <w:color w:val="auto"/>
                <w:sz w:val="21"/>
                <w:szCs w:val="21"/>
                <w:highlight w:val="none"/>
                <w:lang w:val="zh-TW" w:eastAsia="zh-TW"/>
              </w:rPr>
              <w:t>类</w:t>
            </w:r>
          </w:p>
        </w:tc>
        <w:tc>
          <w:tcPr>
            <w:tcW w:w="915"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03F9D253">
            <w:pPr>
              <w:pStyle w:val="33"/>
              <w:adjustRightInd w:val="0"/>
              <w:snapToGrid w:val="0"/>
              <w:spacing w:before="0" w:after="0" w:line="240" w:lineRule="auto"/>
              <w:jc w:val="center"/>
              <w:rPr>
                <w:rFonts w:hAnsi="Times New Roman" w:eastAsia="宋体" w:cs="Times New Roman"/>
                <w:b/>
                <w:bCs/>
                <w:color w:val="auto"/>
                <w:sz w:val="21"/>
                <w:szCs w:val="21"/>
                <w:highlight w:val="none"/>
              </w:rPr>
            </w:pPr>
            <w:r>
              <w:rPr>
                <w:rFonts w:hAnsi="Times New Roman" w:eastAsia="宋体" w:cs="Times New Roman"/>
                <w:b/>
                <w:bCs/>
                <w:color w:val="auto"/>
                <w:sz w:val="21"/>
                <w:szCs w:val="21"/>
                <w:highlight w:val="none"/>
                <w:lang w:val="zh-TW" w:eastAsia="zh-TW"/>
              </w:rPr>
              <w:t>合计分值</w:t>
            </w:r>
          </w:p>
        </w:tc>
      </w:tr>
      <w:tr w14:paraId="6C59B2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9" w:hRule="atLeast"/>
        </w:trPr>
        <w:tc>
          <w:tcPr>
            <w:tcW w:w="488"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67918FFC">
            <w:pPr>
              <w:pStyle w:val="33"/>
              <w:adjustRightInd w:val="0"/>
              <w:snapToGrid w:val="0"/>
              <w:spacing w:before="0" w:after="0" w:line="240" w:lineRule="auto"/>
              <w:jc w:val="center"/>
              <w:rPr>
                <w:rFonts w:hAnsi="Times New Roman" w:eastAsia="宋体" w:cs="Times New Roman"/>
                <w:b/>
                <w:bCs/>
                <w:color w:val="auto"/>
                <w:sz w:val="21"/>
                <w:szCs w:val="21"/>
                <w:highlight w:val="none"/>
                <w:lang w:val="zh-TW" w:eastAsia="zh-TW"/>
              </w:rPr>
            </w:pPr>
            <w:r>
              <w:rPr>
                <w:rFonts w:hAnsi="Times New Roman" w:eastAsia="宋体" w:cs="Times New Roman"/>
                <w:b/>
                <w:bCs/>
                <w:color w:val="auto"/>
                <w:sz w:val="21"/>
                <w:szCs w:val="21"/>
                <w:highlight w:val="none"/>
                <w:lang w:val="zh-TW" w:eastAsia="zh-TW"/>
              </w:rPr>
              <w:t>权重</w:t>
            </w:r>
          </w:p>
        </w:tc>
        <w:tc>
          <w:tcPr>
            <w:tcW w:w="1435"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7B69ABDD">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10.00 </w:t>
            </w:r>
          </w:p>
        </w:tc>
        <w:tc>
          <w:tcPr>
            <w:tcW w:w="155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C92F538">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25.00 </w:t>
            </w:r>
          </w:p>
        </w:tc>
        <w:tc>
          <w:tcPr>
            <w:tcW w:w="155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032AE8BC">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30.00 </w:t>
            </w:r>
          </w:p>
        </w:tc>
        <w:tc>
          <w:tcPr>
            <w:tcW w:w="155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58322C9D">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35.00 </w:t>
            </w:r>
          </w:p>
        </w:tc>
        <w:tc>
          <w:tcPr>
            <w:tcW w:w="1550" w:type="dxa"/>
            <w:tcBorders>
              <w:top w:val="single" w:color="000000" w:sz="4" w:space="0"/>
              <w:left w:val="single" w:color="000000" w:sz="4" w:space="0"/>
              <w:bottom w:val="single" w:color="000000" w:sz="4" w:space="0"/>
              <w:right w:val="single" w:color="000000" w:sz="4" w:space="0"/>
            </w:tcBorders>
            <w:tcMar>
              <w:top w:w="80" w:type="dxa"/>
              <w:left w:w="80" w:type="dxa"/>
              <w:bottom w:w="80" w:type="dxa"/>
              <w:right w:w="80" w:type="dxa"/>
            </w:tcMar>
            <w:vAlign w:val="center"/>
          </w:tcPr>
          <w:p w14:paraId="4B574EF6">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100.00 </w:t>
            </w:r>
          </w:p>
        </w:tc>
      </w:tr>
      <w:tr w14:paraId="202B1D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9" w:hRule="atLeast"/>
        </w:trPr>
        <w:tc>
          <w:tcPr>
            <w:tcW w:w="488"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F903AD7">
            <w:pPr>
              <w:pStyle w:val="33"/>
              <w:adjustRightInd w:val="0"/>
              <w:snapToGrid w:val="0"/>
              <w:spacing w:before="0" w:after="0" w:line="240" w:lineRule="auto"/>
              <w:jc w:val="center"/>
              <w:rPr>
                <w:rFonts w:hAnsi="Times New Roman" w:eastAsia="宋体" w:cs="Times New Roman"/>
                <w:b/>
                <w:bCs/>
                <w:color w:val="auto"/>
                <w:sz w:val="21"/>
                <w:szCs w:val="21"/>
                <w:highlight w:val="none"/>
                <w:lang w:val="zh-TW" w:eastAsia="zh-TW"/>
              </w:rPr>
            </w:pPr>
            <w:r>
              <w:rPr>
                <w:rFonts w:hAnsi="Times New Roman" w:eastAsia="宋体" w:cs="Times New Roman"/>
                <w:b/>
                <w:bCs/>
                <w:color w:val="auto"/>
                <w:sz w:val="21"/>
                <w:szCs w:val="21"/>
                <w:highlight w:val="none"/>
                <w:lang w:val="zh-TW" w:eastAsia="zh-TW"/>
              </w:rPr>
              <w:t>得分</w:t>
            </w:r>
          </w:p>
        </w:tc>
        <w:tc>
          <w:tcPr>
            <w:tcW w:w="1435"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7CA1789B">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8.50 </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1B49D1AC">
            <w:pPr>
              <w:pStyle w:val="33"/>
              <w:adjustRightInd w:val="0"/>
              <w:snapToGrid w:val="0"/>
              <w:spacing w:before="0" w:after="0" w:line="240" w:lineRule="auto"/>
              <w:jc w:val="center"/>
              <w:rPr>
                <w:rFonts w:hint="default" w:hAnsi="Times New Roman" w:eastAsia="宋体" w:cs="Times New Roman"/>
                <w:b w:val="0"/>
                <w:bCs w:val="0"/>
                <w:color w:val="auto"/>
                <w:sz w:val="21"/>
                <w:szCs w:val="21"/>
                <w:highlight w:val="none"/>
                <w:lang w:val="en-US" w:eastAsia="zh-CN"/>
              </w:rPr>
            </w:pPr>
            <w:r>
              <w:rPr>
                <w:rFonts w:hint="default" w:hAnsi="Times New Roman" w:eastAsia="宋体" w:cs="Times New Roman"/>
                <w:b w:val="0"/>
                <w:bCs w:val="0"/>
                <w:color w:val="auto"/>
                <w:sz w:val="21"/>
                <w:szCs w:val="21"/>
                <w:highlight w:val="none"/>
                <w:lang w:val="en-US" w:eastAsia="zh-CN"/>
              </w:rPr>
              <w:t xml:space="preserve">22.00 </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62171E10">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29.00 </w:t>
            </w:r>
          </w:p>
        </w:tc>
        <w:tc>
          <w:tcPr>
            <w:tcW w:w="1550"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5C3B8D0">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32.00 </w:t>
            </w:r>
          </w:p>
        </w:tc>
        <w:tc>
          <w:tcPr>
            <w:tcW w:w="1550"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764C4AAB">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 xml:space="preserve">91.50 </w:t>
            </w:r>
          </w:p>
        </w:tc>
      </w:tr>
      <w:tr w14:paraId="615FF5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9" w:hRule="atLeast"/>
        </w:trPr>
        <w:tc>
          <w:tcPr>
            <w:tcW w:w="488" w:type="pct"/>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5C1C14B6">
            <w:pPr>
              <w:pStyle w:val="33"/>
              <w:adjustRightInd w:val="0"/>
              <w:snapToGrid w:val="0"/>
              <w:spacing w:before="0" w:after="0" w:line="240" w:lineRule="auto"/>
              <w:jc w:val="center"/>
              <w:rPr>
                <w:rFonts w:hAnsi="Times New Roman" w:eastAsia="宋体" w:cs="Times New Roman"/>
                <w:b/>
                <w:bCs/>
                <w:color w:val="auto"/>
                <w:sz w:val="21"/>
                <w:szCs w:val="21"/>
                <w:highlight w:val="none"/>
                <w:lang w:val="zh-TW" w:eastAsia="zh-TW"/>
              </w:rPr>
            </w:pPr>
            <w:r>
              <w:rPr>
                <w:rFonts w:hAnsi="Times New Roman" w:eastAsia="宋体" w:cs="Times New Roman"/>
                <w:b/>
                <w:bCs/>
                <w:color w:val="auto"/>
                <w:sz w:val="21"/>
                <w:szCs w:val="21"/>
                <w:highlight w:val="none"/>
                <w:lang w:val="zh-TW" w:eastAsia="zh-TW"/>
              </w:rPr>
              <w:t>得分率</w:t>
            </w:r>
          </w:p>
        </w:tc>
        <w:tc>
          <w:tcPr>
            <w:tcW w:w="1435"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2FB3ED04">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85.00%</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2A79F77E">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88.00%</w:t>
            </w:r>
          </w:p>
        </w:tc>
        <w:tc>
          <w:tcPr>
            <w:tcW w:w="1550" w:type="dxa"/>
            <w:tcBorders>
              <w:top w:val="single" w:color="000000" w:sz="4" w:space="0"/>
              <w:left w:val="single" w:color="000000" w:sz="4" w:space="0"/>
              <w:bottom w:val="single" w:color="000000" w:sz="4" w:space="0"/>
              <w:right w:val="single" w:color="000000" w:sz="4" w:space="0"/>
            </w:tcBorders>
            <w:shd w:val="clear" w:color="auto" w:fill="auto"/>
            <w:tcMar>
              <w:top w:w="80" w:type="dxa"/>
              <w:left w:w="80" w:type="dxa"/>
              <w:bottom w:w="80" w:type="dxa"/>
              <w:right w:w="80" w:type="dxa"/>
            </w:tcMar>
            <w:vAlign w:val="center"/>
          </w:tcPr>
          <w:p w14:paraId="3F819950">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96.67%</w:t>
            </w:r>
          </w:p>
        </w:tc>
        <w:tc>
          <w:tcPr>
            <w:tcW w:w="1550"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1989F507">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91.43%</w:t>
            </w:r>
          </w:p>
        </w:tc>
        <w:tc>
          <w:tcPr>
            <w:tcW w:w="1550" w:type="dxa"/>
            <w:tcBorders>
              <w:top w:val="single" w:color="000000" w:sz="4" w:space="0"/>
              <w:left w:val="single" w:color="000000" w:sz="4" w:space="0"/>
              <w:bottom w:val="single" w:color="000000" w:sz="4" w:space="0"/>
              <w:right w:val="single" w:color="000000" w:sz="4" w:space="0"/>
            </w:tcBorders>
            <w:shd w:val="clear" w:color="auto" w:fill="FFFFFF"/>
            <w:tcMar>
              <w:top w:w="80" w:type="dxa"/>
              <w:left w:w="80" w:type="dxa"/>
              <w:bottom w:w="80" w:type="dxa"/>
              <w:right w:w="80" w:type="dxa"/>
            </w:tcMar>
            <w:vAlign w:val="center"/>
          </w:tcPr>
          <w:p w14:paraId="4669A171">
            <w:pPr>
              <w:pStyle w:val="33"/>
              <w:adjustRightInd w:val="0"/>
              <w:snapToGrid w:val="0"/>
              <w:spacing w:before="0" w:after="0" w:line="240" w:lineRule="auto"/>
              <w:jc w:val="center"/>
              <w:rPr>
                <w:rFonts w:hAnsi="Times New Roman" w:eastAsia="宋体" w:cs="Times New Roman"/>
                <w:b w:val="0"/>
                <w:bCs w:val="0"/>
                <w:color w:val="auto"/>
                <w:sz w:val="21"/>
                <w:szCs w:val="21"/>
                <w:highlight w:val="none"/>
                <w:lang w:val="zh-TW" w:eastAsia="zh-TW"/>
              </w:rPr>
            </w:pPr>
            <w:r>
              <w:rPr>
                <w:rFonts w:hint="default" w:hAnsi="Times New Roman" w:eastAsia="宋体" w:cs="Times New Roman"/>
                <w:b w:val="0"/>
                <w:bCs w:val="0"/>
                <w:color w:val="auto"/>
                <w:sz w:val="21"/>
                <w:szCs w:val="21"/>
                <w:highlight w:val="none"/>
                <w:lang w:val="en-US" w:eastAsia="zh-CN"/>
              </w:rPr>
              <w:t>91.50%</w:t>
            </w:r>
          </w:p>
        </w:tc>
      </w:tr>
    </w:tbl>
    <w:p w14:paraId="1F0F81EC">
      <w:pPr>
        <w:ind w:firstLine="420"/>
        <w:rPr>
          <w:color w:val="auto"/>
          <w:highlight w:val="none"/>
          <w:lang w:val="zh-TW"/>
        </w:rPr>
      </w:pPr>
      <w:bookmarkStart w:id="80" w:name="_Toc7175"/>
      <w:bookmarkStart w:id="81" w:name="_Toc28407"/>
    </w:p>
    <w:bookmarkEnd w:id="80"/>
    <w:bookmarkEnd w:id="81"/>
    <w:p w14:paraId="4CD5C009">
      <w:pPr>
        <w:pStyle w:val="3"/>
        <w:ind w:firstLine="482"/>
        <w:rPr>
          <w:rFonts w:ascii="Times New Roman" w:hAnsi="Times New Roman"/>
          <w:color w:val="auto"/>
          <w:highlight w:val="none"/>
          <w:lang w:val="zh-TW"/>
        </w:rPr>
      </w:pPr>
      <w:r>
        <w:rPr>
          <w:rFonts w:hint="default" w:ascii="Times New Roman" w:hAnsi="Times New Roman"/>
          <w:color w:val="auto"/>
          <w:highlight w:val="none"/>
          <w:lang w:val="zh-TW"/>
        </w:rPr>
        <w:t>（</w:t>
      </w:r>
      <w:r>
        <w:rPr>
          <w:rFonts w:hint="default" w:ascii="Times New Roman" w:hAnsi="Times New Roman"/>
          <w:color w:val="auto"/>
          <w:highlight w:val="none"/>
        </w:rPr>
        <w:t>二</w:t>
      </w:r>
      <w:r>
        <w:rPr>
          <w:rFonts w:hint="default" w:ascii="Times New Roman" w:hAnsi="Times New Roman"/>
          <w:color w:val="auto"/>
          <w:highlight w:val="none"/>
          <w:lang w:val="zh-TW"/>
        </w:rPr>
        <w:t>）综合评价结论</w:t>
      </w:r>
      <w:bookmarkEnd w:id="78"/>
    </w:p>
    <w:p w14:paraId="2F10F481">
      <w:pPr>
        <w:widowControl/>
        <w:ind w:firstLine="420"/>
        <w:rPr>
          <w:color w:val="auto"/>
          <w:highlight w:val="none"/>
        </w:rPr>
      </w:pPr>
      <w:r>
        <w:rPr>
          <w:rFonts w:hint="default"/>
          <w:color w:val="auto"/>
          <w:highlight w:val="none"/>
        </w:rPr>
        <w:t>经评价分析，该项目</w:t>
      </w:r>
      <w:r>
        <w:rPr>
          <w:rFonts w:hint="default"/>
          <w:color w:val="auto"/>
          <w:highlight w:val="none"/>
          <w:lang w:val="en-US" w:eastAsia="zh-CN"/>
        </w:rPr>
        <w:t>总体实施情况良好</w:t>
      </w:r>
      <w:r>
        <w:rPr>
          <w:rFonts w:hint="default"/>
          <w:color w:val="auto"/>
          <w:highlight w:val="none"/>
        </w:rPr>
        <w:t>，项目通过采购</w:t>
      </w:r>
      <w:r>
        <w:rPr>
          <w:rFonts w:hint="default"/>
          <w:color w:val="auto"/>
          <w:highlight w:val="none"/>
          <w:lang w:val="en-US" w:eastAsia="zh-CN"/>
        </w:rPr>
        <w:t>化工及安工安全实训基地和电商实训基地的专业设备设施</w:t>
      </w:r>
      <w:r>
        <w:rPr>
          <w:rFonts w:hint="default"/>
          <w:color w:val="auto"/>
          <w:highlight w:val="none"/>
        </w:rPr>
        <w:t>，有效提升了</w:t>
      </w:r>
      <w:r>
        <w:rPr>
          <w:rFonts w:hint="default"/>
          <w:color w:val="auto"/>
          <w:highlight w:val="none"/>
          <w:lang w:val="en-US" w:eastAsia="zh-CN"/>
        </w:rPr>
        <w:t>化工及安全专业和电商</w:t>
      </w:r>
      <w:r>
        <w:rPr>
          <w:rFonts w:hint="default"/>
          <w:color w:val="auto"/>
          <w:highlight w:val="none"/>
        </w:rPr>
        <w:t>专业实训基础能力，直接受益学生</w:t>
      </w:r>
      <w:r>
        <w:rPr>
          <w:rFonts w:hint="default"/>
          <w:color w:val="auto"/>
          <w:highlight w:val="none"/>
          <w:lang w:val="en-US" w:eastAsia="zh-CN"/>
        </w:rPr>
        <w:t>157</w:t>
      </w:r>
      <w:r>
        <w:rPr>
          <w:rFonts w:hint="default"/>
          <w:color w:val="auto"/>
          <w:highlight w:val="none"/>
        </w:rPr>
        <w:t>名。但在实施过程中也存在一些不足：项目采购</w:t>
      </w:r>
      <w:r>
        <w:rPr>
          <w:rFonts w:hint="default"/>
          <w:color w:val="auto"/>
          <w:highlight w:val="none"/>
          <w:lang w:val="en-US" w:eastAsia="zh-CN"/>
        </w:rPr>
        <w:t>预算</w:t>
      </w:r>
      <w:r>
        <w:rPr>
          <w:rFonts w:hint="default"/>
          <w:color w:val="auto"/>
          <w:highlight w:val="none"/>
        </w:rPr>
        <w:t>需求计划不够准确，资产管理工作开展不到位</w:t>
      </w:r>
      <w:r>
        <w:rPr>
          <w:rFonts w:hint="default"/>
          <w:color w:val="auto"/>
          <w:highlight w:val="none"/>
          <w:lang w:val="en-US" w:eastAsia="zh-CN"/>
        </w:rPr>
        <w:t>，项目实训效果</w:t>
      </w:r>
      <w:r>
        <w:rPr>
          <w:rFonts w:hint="eastAsia"/>
          <w:color w:val="auto"/>
          <w:highlight w:val="none"/>
          <w:lang w:val="en-US" w:eastAsia="zh-CN"/>
        </w:rPr>
        <w:t>满意度</w:t>
      </w:r>
      <w:r>
        <w:rPr>
          <w:rFonts w:hint="default"/>
          <w:color w:val="auto"/>
          <w:highlight w:val="none"/>
          <w:lang w:val="en-US" w:eastAsia="zh-CN"/>
        </w:rPr>
        <w:t>仍有待提高</w:t>
      </w:r>
      <w:r>
        <w:rPr>
          <w:rFonts w:hint="default"/>
          <w:color w:val="auto"/>
          <w:highlight w:val="none"/>
          <w:lang w:val="zh-TW" w:eastAsia="zh-TW"/>
        </w:rPr>
        <w:t>。</w:t>
      </w:r>
    </w:p>
    <w:bookmarkEnd w:id="79"/>
    <w:p w14:paraId="6AC18DA5">
      <w:pPr>
        <w:pStyle w:val="2"/>
        <w:spacing w:line="360" w:lineRule="auto"/>
        <w:ind w:firstLine="482"/>
        <w:rPr>
          <w:rFonts w:ascii="Times New Roman" w:hAnsi="Times New Roman"/>
          <w:color w:val="auto"/>
        </w:rPr>
      </w:pPr>
      <w:bookmarkStart w:id="82" w:name="_Toc22544"/>
      <w:bookmarkStart w:id="83" w:name="_Toc24570"/>
      <w:bookmarkStart w:id="84" w:name="_Toc535"/>
      <w:r>
        <w:rPr>
          <w:rFonts w:hint="default" w:ascii="Times New Roman" w:hAnsi="Times New Roman"/>
          <w:color w:val="auto"/>
        </w:rPr>
        <w:t>五</w:t>
      </w:r>
      <w:r>
        <w:rPr>
          <w:rFonts w:ascii="Times New Roman" w:hAnsi="Times New Roman"/>
          <w:color w:val="auto"/>
        </w:rPr>
        <w:t>、绩效评价指标分析</w:t>
      </w:r>
      <w:bookmarkEnd w:id="82"/>
      <w:bookmarkEnd w:id="83"/>
      <w:bookmarkEnd w:id="84"/>
    </w:p>
    <w:p w14:paraId="5BFE6536">
      <w:pPr>
        <w:pStyle w:val="3"/>
        <w:ind w:firstLine="482"/>
        <w:rPr>
          <w:rFonts w:ascii="Times New Roman" w:hAnsi="Times New Roman"/>
          <w:color w:val="auto"/>
        </w:rPr>
      </w:pPr>
      <w:bookmarkStart w:id="85" w:name="_Toc22260"/>
      <w:bookmarkStart w:id="86" w:name="_Toc18078"/>
      <w:bookmarkStart w:id="87" w:name="_Toc20517"/>
      <w:r>
        <w:rPr>
          <w:rFonts w:ascii="Times New Roman" w:hAnsi="Times New Roman"/>
          <w:color w:val="auto"/>
        </w:rPr>
        <w:t>（一）项目决策情况</w:t>
      </w:r>
      <w:bookmarkEnd w:id="85"/>
      <w:bookmarkEnd w:id="86"/>
      <w:bookmarkEnd w:id="87"/>
    </w:p>
    <w:p w14:paraId="32EC3113">
      <w:pPr>
        <w:rPr>
          <w:rFonts w:eastAsia="黑体"/>
          <w:color w:val="auto"/>
          <w:szCs w:val="16"/>
        </w:rPr>
      </w:pPr>
      <w:r>
        <w:rPr>
          <w:color w:val="auto"/>
        </w:rPr>
        <w:t>项目决策类指标由3个二级指标和6个三级指标构成，权重分10.00分，实际得分</w:t>
      </w:r>
      <w:r>
        <w:rPr>
          <w:rFonts w:hint="default"/>
          <w:color w:val="auto"/>
          <w:lang w:val="en-US" w:eastAsia="zh-CN"/>
        </w:rPr>
        <w:t>8.50</w:t>
      </w:r>
      <w:r>
        <w:rPr>
          <w:color w:val="auto"/>
        </w:rPr>
        <w:t>分，得分率为</w:t>
      </w:r>
      <w:r>
        <w:rPr>
          <w:rFonts w:hint="default"/>
          <w:color w:val="auto"/>
          <w:lang w:val="en-US" w:eastAsia="zh-CN"/>
        </w:rPr>
        <w:t>85.00</w:t>
      </w:r>
      <w:r>
        <w:rPr>
          <w:color w:val="auto"/>
        </w:rPr>
        <w:t>%。各指标业绩值和绩效分值如下表所示：</w:t>
      </w:r>
    </w:p>
    <w:p w14:paraId="486F572E">
      <w:pPr>
        <w:ind w:firstLine="0" w:firstLineChars="0"/>
        <w:jc w:val="center"/>
        <w:rPr>
          <w:rFonts w:hint="default" w:ascii="Times New Roman" w:hAnsi="Times New Roman" w:eastAsia="黑体" w:cs="Times New Roman"/>
          <w:color w:val="auto"/>
          <w:szCs w:val="16"/>
          <w:highlight w:val="none"/>
          <w:lang w:val="zh-TW" w:eastAsia="zh-CN"/>
        </w:rPr>
      </w:pPr>
      <w:r>
        <w:rPr>
          <w:rFonts w:hint="default" w:ascii="Times New Roman" w:hAnsi="Times New Roman" w:eastAsia="黑体" w:cs="Times New Roman"/>
          <w:color w:val="auto"/>
          <w:szCs w:val="16"/>
          <w:highlight w:val="none"/>
          <w:lang w:val="zh-TW" w:eastAsia="zh-CN"/>
        </w:rPr>
        <w:t>表5-1：项目决策类指标及分值</w:t>
      </w:r>
    </w:p>
    <w:tbl>
      <w:tblPr>
        <w:tblStyle w:val="21"/>
        <w:tblW w:w="0" w:type="auto"/>
        <w:tblInd w:w="0" w:type="dxa"/>
        <w:tblLayout w:type="fixed"/>
        <w:tblCellMar>
          <w:top w:w="0" w:type="dxa"/>
          <w:left w:w="0" w:type="dxa"/>
          <w:bottom w:w="0" w:type="dxa"/>
          <w:right w:w="0" w:type="dxa"/>
        </w:tblCellMar>
      </w:tblPr>
      <w:tblGrid>
        <w:gridCol w:w="1174"/>
        <w:gridCol w:w="1278"/>
        <w:gridCol w:w="1981"/>
        <w:gridCol w:w="780"/>
        <w:gridCol w:w="1130"/>
        <w:gridCol w:w="600"/>
        <w:gridCol w:w="550"/>
        <w:gridCol w:w="837"/>
      </w:tblGrid>
      <w:tr w14:paraId="5D92C719">
        <w:tblPrEx>
          <w:tblCellMar>
            <w:top w:w="0" w:type="dxa"/>
            <w:left w:w="0" w:type="dxa"/>
            <w:bottom w:w="0" w:type="dxa"/>
            <w:right w:w="0" w:type="dxa"/>
          </w:tblCellMar>
        </w:tblPrEx>
        <w:trPr>
          <w:trHeight w:val="369" w:hRule="atLeast"/>
          <w:tblHeader/>
        </w:trPr>
        <w:tc>
          <w:tcPr>
            <w:tcW w:w="1174"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601398E">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一级指标</w:t>
            </w:r>
          </w:p>
        </w:tc>
        <w:tc>
          <w:tcPr>
            <w:tcW w:w="127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6973F66E">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二级指标</w:t>
            </w: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D633504">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三级指标</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F8AE1B9">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目标值</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12354F7">
            <w:pPr>
              <w:widowControl/>
              <w:adjustRightInd w:val="0"/>
              <w:snapToGrid w:val="0"/>
              <w:spacing w:line="240" w:lineRule="auto"/>
              <w:ind w:firstLine="0" w:firstLineChars="0"/>
              <w:jc w:val="center"/>
              <w:textAlignment w:val="center"/>
              <w:rPr>
                <w:rFonts w:eastAsia="宋体"/>
                <w:b/>
                <w:color w:val="auto"/>
                <w:kern w:val="0"/>
                <w:lang w:bidi="ar"/>
              </w:rPr>
            </w:pPr>
            <w:r>
              <w:rPr>
                <w:rFonts w:eastAsia="宋体"/>
                <w:b/>
                <w:color w:val="auto"/>
                <w:kern w:val="0"/>
                <w:lang w:bidi="ar"/>
              </w:rPr>
              <w:t>实际完成值</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305C7DA">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权重</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0DB1A6F">
            <w:pPr>
              <w:widowControl/>
              <w:adjustRightInd w:val="0"/>
              <w:snapToGrid w:val="0"/>
              <w:spacing w:line="240" w:lineRule="auto"/>
              <w:ind w:firstLine="0" w:firstLineChars="0"/>
              <w:jc w:val="center"/>
              <w:textAlignment w:val="center"/>
              <w:rPr>
                <w:rFonts w:eastAsia="宋体"/>
                <w:b/>
                <w:color w:val="auto"/>
              </w:rPr>
            </w:pPr>
            <w:r>
              <w:rPr>
                <w:rFonts w:eastAsia="宋体"/>
                <w:b/>
                <w:color w:val="auto"/>
                <w:kern w:val="0"/>
                <w:lang w:bidi="ar"/>
              </w:rPr>
              <w:t>得分</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AA8033F">
            <w:pPr>
              <w:widowControl/>
              <w:adjustRightInd w:val="0"/>
              <w:snapToGrid w:val="0"/>
              <w:spacing w:line="240" w:lineRule="auto"/>
              <w:ind w:firstLine="0" w:firstLineChars="0"/>
              <w:jc w:val="center"/>
              <w:textAlignment w:val="center"/>
              <w:rPr>
                <w:rFonts w:eastAsia="宋体"/>
                <w:b/>
                <w:color w:val="auto"/>
                <w:kern w:val="0"/>
                <w:lang w:bidi="ar"/>
              </w:rPr>
            </w:pPr>
            <w:r>
              <w:rPr>
                <w:rFonts w:eastAsia="宋体"/>
                <w:b/>
                <w:color w:val="auto"/>
                <w:kern w:val="0"/>
                <w:lang w:bidi="ar"/>
              </w:rPr>
              <w:t>得分率</w:t>
            </w:r>
          </w:p>
        </w:tc>
      </w:tr>
      <w:tr w14:paraId="0AA1C04E">
        <w:tblPrEx>
          <w:tblCellMar>
            <w:top w:w="0" w:type="dxa"/>
            <w:left w:w="0" w:type="dxa"/>
            <w:bottom w:w="0" w:type="dxa"/>
            <w:right w:w="0" w:type="dxa"/>
          </w:tblCellMar>
        </w:tblPrEx>
        <w:trPr>
          <w:trHeight w:val="369" w:hRule="atLeast"/>
        </w:trPr>
        <w:tc>
          <w:tcPr>
            <w:tcW w:w="1174"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306E69A7">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A决策</w:t>
            </w:r>
            <w:r>
              <w:rPr>
                <w:rFonts w:eastAsia="宋体"/>
                <w:color w:val="auto"/>
                <w:kern w:val="0"/>
                <w:lang w:bidi="ar"/>
              </w:rPr>
              <w:br w:type="textWrapping"/>
            </w:r>
            <w:r>
              <w:rPr>
                <w:rFonts w:eastAsia="宋体"/>
                <w:color w:val="auto"/>
                <w:kern w:val="0"/>
                <w:lang w:bidi="ar"/>
              </w:rPr>
              <w:t>（10.00分）　</w:t>
            </w:r>
          </w:p>
        </w:tc>
        <w:tc>
          <w:tcPr>
            <w:tcW w:w="1278"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B698526">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A1项目立项（3.00分）　</w:t>
            </w: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359DF156">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A11立项依据充分性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D781796">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充分</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032A33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充分</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0436283">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EA72DCD">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D9D9888">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100.00%</w:t>
            </w:r>
          </w:p>
        </w:tc>
      </w:tr>
      <w:tr w14:paraId="7BEEB8DE">
        <w:tblPrEx>
          <w:tblCellMar>
            <w:top w:w="0" w:type="dxa"/>
            <w:left w:w="0" w:type="dxa"/>
            <w:bottom w:w="0" w:type="dxa"/>
            <w:right w:w="0" w:type="dxa"/>
          </w:tblCellMar>
        </w:tblPrEx>
        <w:trPr>
          <w:trHeight w:val="369" w:hRule="atLeast"/>
        </w:trPr>
        <w:tc>
          <w:tcPr>
            <w:tcW w:w="117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BC16D31">
            <w:pPr>
              <w:widowControl/>
              <w:adjustRightInd w:val="0"/>
              <w:snapToGrid w:val="0"/>
              <w:spacing w:line="240" w:lineRule="auto"/>
              <w:ind w:firstLine="0" w:firstLineChars="0"/>
              <w:jc w:val="center"/>
              <w:textAlignment w:val="center"/>
              <w:rPr>
                <w:rFonts w:eastAsia="宋体"/>
                <w:color w:val="auto"/>
                <w:kern w:val="0"/>
                <w:lang w:bidi="ar"/>
              </w:rPr>
            </w:pPr>
          </w:p>
        </w:tc>
        <w:tc>
          <w:tcPr>
            <w:tcW w:w="1278"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1866715">
            <w:pPr>
              <w:widowControl/>
              <w:adjustRightInd w:val="0"/>
              <w:snapToGrid w:val="0"/>
              <w:spacing w:line="240" w:lineRule="auto"/>
              <w:ind w:firstLine="0" w:firstLineChars="0"/>
              <w:jc w:val="left"/>
              <w:textAlignment w:val="center"/>
              <w:rPr>
                <w:rFonts w:eastAsia="宋体"/>
                <w:color w:val="auto"/>
                <w:kern w:val="0"/>
                <w:lang w:bidi="ar"/>
              </w:rPr>
            </w:pP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12A362F">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w:t>
            </w:r>
            <w:r>
              <w:rPr>
                <w:rFonts w:hint="default" w:eastAsia="宋体"/>
                <w:color w:val="auto"/>
                <w:kern w:val="0"/>
                <w:lang w:val="en-US" w:eastAsia="zh-CN" w:bidi="ar"/>
              </w:rPr>
              <w:t>12</w:t>
            </w:r>
            <w:r>
              <w:rPr>
                <w:rFonts w:eastAsia="宋体"/>
                <w:color w:val="auto"/>
                <w:kern w:val="0"/>
                <w:lang w:bidi="ar"/>
              </w:rPr>
              <w:t>立项程序规范性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DCEF032">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合规</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6DD137E">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val="en-US" w:eastAsia="zh-CN" w:bidi="ar"/>
              </w:rPr>
              <w:t>较</w:t>
            </w:r>
            <w:r>
              <w:rPr>
                <w:rFonts w:hint="default" w:eastAsia="宋体"/>
                <w:color w:val="auto"/>
                <w:kern w:val="0"/>
                <w:lang w:bidi="ar"/>
              </w:rPr>
              <w:t>合规</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5B4AD2C">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C524B5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1.</w:t>
            </w:r>
            <w:r>
              <w:rPr>
                <w:rFonts w:hint="default" w:eastAsia="宋体"/>
                <w:color w:val="auto"/>
                <w:kern w:val="0"/>
                <w:lang w:val="en-US" w:eastAsia="zh-CN" w:bidi="ar"/>
              </w:rPr>
              <w:t>0</w:t>
            </w:r>
            <w:r>
              <w:rPr>
                <w:rFonts w:hint="default" w:eastAsia="宋体"/>
                <w:color w:val="auto"/>
                <w:kern w:val="0"/>
                <w:lang w:bidi="ar"/>
              </w:rPr>
              <w:t xml:space="preserve">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5B1154A">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val="en-US" w:eastAsia="zh-CN" w:bidi="ar"/>
              </w:rPr>
              <w:t>66.67</w:t>
            </w:r>
            <w:r>
              <w:rPr>
                <w:rFonts w:hint="default" w:eastAsia="宋体"/>
                <w:color w:val="auto"/>
                <w:kern w:val="0"/>
                <w:lang w:bidi="ar"/>
              </w:rPr>
              <w:t>%</w:t>
            </w:r>
          </w:p>
        </w:tc>
      </w:tr>
      <w:tr w14:paraId="469A4300">
        <w:tblPrEx>
          <w:tblCellMar>
            <w:top w:w="0" w:type="dxa"/>
            <w:left w:w="0" w:type="dxa"/>
            <w:bottom w:w="0" w:type="dxa"/>
            <w:right w:w="0" w:type="dxa"/>
          </w:tblCellMar>
        </w:tblPrEx>
        <w:trPr>
          <w:trHeight w:val="369" w:hRule="atLeast"/>
        </w:trPr>
        <w:tc>
          <w:tcPr>
            <w:tcW w:w="117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FD32367">
            <w:pPr>
              <w:widowControl/>
              <w:adjustRightInd w:val="0"/>
              <w:snapToGrid w:val="0"/>
              <w:spacing w:line="240" w:lineRule="auto"/>
              <w:ind w:firstLine="0" w:firstLineChars="0"/>
              <w:jc w:val="center"/>
              <w:textAlignment w:val="center"/>
              <w:rPr>
                <w:rFonts w:eastAsia="宋体"/>
                <w:color w:val="auto"/>
                <w:kern w:val="0"/>
                <w:lang w:bidi="ar"/>
              </w:rPr>
            </w:pPr>
          </w:p>
        </w:tc>
        <w:tc>
          <w:tcPr>
            <w:tcW w:w="1278"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617B899">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A2绩效目标（4.00分）</w:t>
            </w: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7F0675B">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A21绩效目标合理性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E247F88">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合理</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B2AE47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合理</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AEFE8EC">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2.00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7E2A94B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2.00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7372A01">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100.00%</w:t>
            </w:r>
          </w:p>
        </w:tc>
      </w:tr>
      <w:tr w14:paraId="23FFFB6C">
        <w:tblPrEx>
          <w:tblCellMar>
            <w:top w:w="0" w:type="dxa"/>
            <w:left w:w="0" w:type="dxa"/>
            <w:bottom w:w="0" w:type="dxa"/>
            <w:right w:w="0" w:type="dxa"/>
          </w:tblCellMar>
        </w:tblPrEx>
        <w:trPr>
          <w:trHeight w:val="369" w:hRule="atLeast"/>
        </w:trPr>
        <w:tc>
          <w:tcPr>
            <w:tcW w:w="117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64E8194">
            <w:pPr>
              <w:widowControl/>
              <w:adjustRightInd w:val="0"/>
              <w:snapToGrid w:val="0"/>
              <w:spacing w:line="240" w:lineRule="auto"/>
              <w:ind w:firstLine="0" w:firstLineChars="0"/>
              <w:jc w:val="center"/>
              <w:textAlignment w:val="center"/>
              <w:rPr>
                <w:rFonts w:eastAsia="宋体"/>
                <w:color w:val="auto"/>
                <w:kern w:val="0"/>
                <w:lang w:bidi="ar"/>
              </w:rPr>
            </w:pPr>
          </w:p>
        </w:tc>
        <w:tc>
          <w:tcPr>
            <w:tcW w:w="1278"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B74BBBD">
            <w:pPr>
              <w:widowControl/>
              <w:adjustRightInd w:val="0"/>
              <w:snapToGrid w:val="0"/>
              <w:spacing w:line="240" w:lineRule="auto"/>
              <w:ind w:firstLine="0" w:firstLineChars="0"/>
              <w:jc w:val="left"/>
              <w:textAlignment w:val="center"/>
              <w:rPr>
                <w:rFonts w:eastAsia="宋体"/>
                <w:color w:val="auto"/>
                <w:kern w:val="0"/>
                <w:lang w:bidi="ar"/>
              </w:rPr>
            </w:pP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9090BC8">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A22绩效指标明确性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7DF879A2">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明确</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B965B0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明确</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67F8B4C">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2.00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1437D76">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2.00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F574AF8">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100.00%</w:t>
            </w:r>
          </w:p>
        </w:tc>
      </w:tr>
      <w:tr w14:paraId="6BD89FA9">
        <w:tblPrEx>
          <w:tblCellMar>
            <w:top w:w="0" w:type="dxa"/>
            <w:left w:w="0" w:type="dxa"/>
            <w:bottom w:w="0" w:type="dxa"/>
            <w:right w:w="0" w:type="dxa"/>
          </w:tblCellMar>
        </w:tblPrEx>
        <w:trPr>
          <w:trHeight w:val="369" w:hRule="atLeast"/>
        </w:trPr>
        <w:tc>
          <w:tcPr>
            <w:tcW w:w="117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6FED0737">
            <w:pPr>
              <w:widowControl/>
              <w:adjustRightInd w:val="0"/>
              <w:snapToGrid w:val="0"/>
              <w:spacing w:line="240" w:lineRule="auto"/>
              <w:ind w:firstLine="0" w:firstLineChars="0"/>
              <w:jc w:val="center"/>
              <w:textAlignment w:val="center"/>
              <w:rPr>
                <w:rFonts w:eastAsia="宋体"/>
                <w:color w:val="auto"/>
                <w:kern w:val="0"/>
                <w:lang w:bidi="ar"/>
              </w:rPr>
            </w:pPr>
          </w:p>
        </w:tc>
        <w:tc>
          <w:tcPr>
            <w:tcW w:w="1278"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4D383189">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A3资金投入（3.00分）　</w:t>
            </w: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55620E0">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A31预算编制科学性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9F549C4">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科学</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7571F1A8">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较</w:t>
            </w:r>
            <w:r>
              <w:rPr>
                <w:rFonts w:hint="default" w:eastAsia="宋体"/>
                <w:color w:val="auto"/>
                <w:kern w:val="0"/>
                <w:lang w:val="en-US" w:eastAsia="zh-CN" w:bidi="ar"/>
              </w:rPr>
              <w:t>不</w:t>
            </w:r>
            <w:r>
              <w:rPr>
                <w:rFonts w:hint="default" w:eastAsia="宋体"/>
                <w:color w:val="auto"/>
                <w:kern w:val="0"/>
                <w:lang w:bidi="ar"/>
              </w:rPr>
              <w:t>科学</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346C99B">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05BA1D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0.5</w:t>
            </w:r>
            <w:r>
              <w:rPr>
                <w:rFonts w:hint="default" w:eastAsia="宋体"/>
                <w:color w:val="auto"/>
                <w:kern w:val="0"/>
                <w:lang w:val="en-US" w:eastAsia="zh-CN" w:bidi="ar"/>
              </w:rPr>
              <w:t>0</w:t>
            </w:r>
            <w:r>
              <w:rPr>
                <w:rFonts w:hint="default" w:eastAsia="宋体"/>
                <w:color w:val="auto"/>
                <w:kern w:val="0"/>
                <w:lang w:bidi="ar"/>
              </w:rPr>
              <w:t xml:space="preserve">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2FB13F7">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val="en-US" w:eastAsia="zh-CN" w:bidi="ar"/>
              </w:rPr>
              <w:t>33.33</w:t>
            </w:r>
            <w:r>
              <w:rPr>
                <w:rFonts w:hint="default" w:eastAsia="宋体"/>
                <w:color w:val="auto"/>
                <w:kern w:val="0"/>
                <w:lang w:bidi="ar"/>
              </w:rPr>
              <w:t>%</w:t>
            </w:r>
          </w:p>
        </w:tc>
      </w:tr>
      <w:tr w14:paraId="0AA1B26E">
        <w:tblPrEx>
          <w:tblCellMar>
            <w:top w:w="0" w:type="dxa"/>
            <w:left w:w="0" w:type="dxa"/>
            <w:bottom w:w="0" w:type="dxa"/>
            <w:right w:w="0" w:type="dxa"/>
          </w:tblCellMar>
        </w:tblPrEx>
        <w:trPr>
          <w:trHeight w:val="369" w:hRule="atLeast"/>
        </w:trPr>
        <w:tc>
          <w:tcPr>
            <w:tcW w:w="117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52CFCB90">
            <w:pPr>
              <w:widowControl/>
              <w:adjustRightInd w:val="0"/>
              <w:snapToGrid w:val="0"/>
              <w:spacing w:line="240" w:lineRule="auto"/>
              <w:ind w:firstLine="0" w:firstLineChars="0"/>
              <w:jc w:val="center"/>
              <w:textAlignment w:val="center"/>
              <w:rPr>
                <w:rFonts w:eastAsia="宋体"/>
                <w:color w:val="auto"/>
                <w:kern w:val="0"/>
                <w:lang w:bidi="ar"/>
              </w:rPr>
            </w:pPr>
          </w:p>
        </w:tc>
        <w:tc>
          <w:tcPr>
            <w:tcW w:w="1278"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1B1A255E">
            <w:pPr>
              <w:widowControl/>
              <w:adjustRightInd w:val="0"/>
              <w:snapToGrid w:val="0"/>
              <w:spacing w:line="240" w:lineRule="auto"/>
              <w:ind w:firstLine="0" w:firstLineChars="0"/>
              <w:jc w:val="left"/>
              <w:textAlignment w:val="center"/>
              <w:rPr>
                <w:rFonts w:eastAsia="宋体"/>
                <w:color w:val="auto"/>
                <w:kern w:val="0"/>
                <w:lang w:bidi="ar"/>
              </w:rPr>
            </w:pPr>
          </w:p>
        </w:tc>
        <w:tc>
          <w:tcPr>
            <w:tcW w:w="198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4AD511E">
            <w:pPr>
              <w:widowControl/>
              <w:adjustRightInd w:val="0"/>
              <w:snapToGrid w:val="0"/>
              <w:spacing w:line="240" w:lineRule="auto"/>
              <w:ind w:firstLine="0" w:firstLineChars="0"/>
              <w:jc w:val="left"/>
              <w:textAlignment w:val="center"/>
              <w:rPr>
                <w:rFonts w:eastAsia="宋体"/>
                <w:color w:val="auto"/>
                <w:kern w:val="0"/>
                <w:lang w:bidi="ar"/>
              </w:rPr>
            </w:pPr>
            <w:r>
              <w:rPr>
                <w:rFonts w:eastAsia="宋体"/>
                <w:color w:val="auto"/>
                <w:kern w:val="0"/>
                <w:lang w:bidi="ar"/>
              </w:rPr>
              <w:t>A32资金分配合理性</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D9B0D56">
            <w:pPr>
              <w:widowControl/>
              <w:adjustRightInd w:val="0"/>
              <w:snapToGrid w:val="0"/>
              <w:spacing w:line="240" w:lineRule="auto"/>
              <w:ind w:firstLine="0" w:firstLineChars="0"/>
              <w:jc w:val="center"/>
              <w:textAlignment w:val="center"/>
              <w:rPr>
                <w:rFonts w:eastAsia="宋体"/>
                <w:color w:val="auto"/>
                <w:kern w:val="0"/>
                <w:lang w:bidi="ar"/>
              </w:rPr>
            </w:pPr>
            <w:r>
              <w:rPr>
                <w:rFonts w:eastAsia="宋体"/>
                <w:color w:val="auto"/>
                <w:kern w:val="0"/>
                <w:lang w:bidi="ar"/>
              </w:rPr>
              <w:t>合理</w:t>
            </w: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38507AD">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合理</w:t>
            </w: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EADEF2F">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0D3D0D0A">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 xml:space="preserve">1.50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299F89D">
            <w:pPr>
              <w:widowControl/>
              <w:adjustRightInd w:val="0"/>
              <w:snapToGrid w:val="0"/>
              <w:spacing w:line="240" w:lineRule="auto"/>
              <w:ind w:firstLine="0" w:firstLineChars="0"/>
              <w:jc w:val="center"/>
              <w:textAlignment w:val="center"/>
              <w:rPr>
                <w:rFonts w:eastAsia="宋体"/>
                <w:color w:val="auto"/>
                <w:kern w:val="0"/>
                <w:lang w:bidi="ar"/>
              </w:rPr>
            </w:pPr>
            <w:r>
              <w:rPr>
                <w:rFonts w:hint="default" w:eastAsia="宋体"/>
                <w:color w:val="auto"/>
                <w:kern w:val="0"/>
                <w:lang w:bidi="ar"/>
              </w:rPr>
              <w:t>100.00%</w:t>
            </w:r>
          </w:p>
        </w:tc>
      </w:tr>
      <w:tr w14:paraId="5A21D6F2">
        <w:tblPrEx>
          <w:tblCellMar>
            <w:top w:w="0" w:type="dxa"/>
            <w:left w:w="0" w:type="dxa"/>
            <w:bottom w:w="0" w:type="dxa"/>
            <w:right w:w="0" w:type="dxa"/>
          </w:tblCellMar>
        </w:tblPrEx>
        <w:trPr>
          <w:trHeight w:val="369" w:hRule="atLeast"/>
        </w:trPr>
        <w:tc>
          <w:tcPr>
            <w:tcW w:w="4433" w:type="dxa"/>
            <w:gridSpan w:val="3"/>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2DA39FD2">
            <w:pPr>
              <w:widowControl/>
              <w:adjustRightInd w:val="0"/>
              <w:snapToGrid w:val="0"/>
              <w:spacing w:line="240" w:lineRule="auto"/>
              <w:ind w:firstLine="0" w:firstLineChars="0"/>
              <w:jc w:val="center"/>
              <w:textAlignment w:val="center"/>
              <w:rPr>
                <w:rFonts w:eastAsia="宋体"/>
                <w:b/>
                <w:bCs/>
                <w:color w:val="auto"/>
                <w:kern w:val="0"/>
                <w:lang w:bidi="ar"/>
              </w:rPr>
            </w:pPr>
            <w:r>
              <w:rPr>
                <w:rFonts w:hint="default" w:eastAsia="宋体"/>
                <w:b/>
                <w:bCs/>
                <w:color w:val="auto"/>
                <w:kern w:val="0"/>
                <w:lang w:bidi="ar"/>
              </w:rPr>
              <w:t>合计</w:t>
            </w:r>
          </w:p>
        </w:tc>
        <w:tc>
          <w:tcPr>
            <w:tcW w:w="780"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14:paraId="0C7AAE2B">
            <w:pPr>
              <w:widowControl/>
              <w:adjustRightInd w:val="0"/>
              <w:snapToGrid w:val="0"/>
              <w:spacing w:line="240" w:lineRule="auto"/>
              <w:ind w:firstLine="0" w:firstLineChars="0"/>
              <w:jc w:val="center"/>
              <w:textAlignment w:val="center"/>
              <w:rPr>
                <w:rFonts w:eastAsia="宋体"/>
                <w:b/>
                <w:bCs/>
                <w:color w:val="auto"/>
                <w:kern w:val="0"/>
                <w:lang w:bidi="ar"/>
              </w:rPr>
            </w:pPr>
          </w:p>
        </w:tc>
        <w:tc>
          <w:tcPr>
            <w:tcW w:w="11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DDCF4A8">
            <w:pPr>
              <w:widowControl/>
              <w:adjustRightInd w:val="0"/>
              <w:snapToGrid w:val="0"/>
              <w:spacing w:line="240" w:lineRule="auto"/>
              <w:ind w:firstLine="0" w:firstLineChars="0"/>
              <w:jc w:val="center"/>
              <w:textAlignment w:val="center"/>
              <w:rPr>
                <w:rFonts w:eastAsia="宋体"/>
                <w:b/>
                <w:bCs/>
                <w:color w:val="auto"/>
                <w:kern w:val="0"/>
                <w:lang w:bidi="ar"/>
              </w:rPr>
            </w:pPr>
          </w:p>
        </w:tc>
        <w:tc>
          <w:tcPr>
            <w:tcW w:w="60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13B1B67C">
            <w:pPr>
              <w:widowControl/>
              <w:adjustRightInd w:val="0"/>
              <w:snapToGrid w:val="0"/>
              <w:spacing w:line="240" w:lineRule="auto"/>
              <w:ind w:firstLine="0" w:firstLineChars="0"/>
              <w:jc w:val="center"/>
              <w:textAlignment w:val="center"/>
              <w:rPr>
                <w:rFonts w:eastAsia="宋体"/>
                <w:b/>
                <w:bCs/>
                <w:color w:val="auto"/>
                <w:kern w:val="0"/>
                <w:lang w:bidi="ar"/>
              </w:rPr>
            </w:pPr>
            <w:r>
              <w:rPr>
                <w:rFonts w:hint="default" w:eastAsia="宋体"/>
                <w:b/>
                <w:bCs/>
                <w:color w:val="auto"/>
                <w:kern w:val="0"/>
                <w:lang w:bidi="ar"/>
              </w:rPr>
              <w:t xml:space="preserve">10.00 </w:t>
            </w:r>
          </w:p>
        </w:tc>
        <w:tc>
          <w:tcPr>
            <w:tcW w:w="55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3506088B">
            <w:pPr>
              <w:widowControl/>
              <w:adjustRightInd w:val="0"/>
              <w:snapToGrid w:val="0"/>
              <w:spacing w:line="240" w:lineRule="auto"/>
              <w:ind w:firstLine="0" w:firstLineChars="0"/>
              <w:jc w:val="center"/>
              <w:textAlignment w:val="center"/>
              <w:rPr>
                <w:rFonts w:hint="default" w:eastAsia="宋体"/>
                <w:b/>
                <w:bCs/>
                <w:color w:val="auto"/>
                <w:kern w:val="0"/>
                <w:lang w:bidi="ar"/>
              </w:rPr>
            </w:pPr>
            <w:r>
              <w:rPr>
                <w:rFonts w:hint="default" w:eastAsia="宋体"/>
                <w:b/>
                <w:bCs/>
                <w:color w:val="auto"/>
                <w:kern w:val="0"/>
                <w:lang w:val="en-US" w:eastAsia="zh-CN" w:bidi="ar"/>
              </w:rPr>
              <w:t xml:space="preserve">8.50 </w:t>
            </w:r>
          </w:p>
        </w:tc>
        <w:tc>
          <w:tcPr>
            <w:tcW w:w="837"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4980FD2">
            <w:pPr>
              <w:widowControl/>
              <w:adjustRightInd w:val="0"/>
              <w:snapToGrid w:val="0"/>
              <w:spacing w:line="240" w:lineRule="auto"/>
              <w:ind w:firstLine="0" w:firstLineChars="0"/>
              <w:jc w:val="center"/>
              <w:textAlignment w:val="center"/>
              <w:rPr>
                <w:rFonts w:hint="default" w:eastAsia="宋体"/>
                <w:b/>
                <w:bCs/>
                <w:color w:val="auto"/>
                <w:kern w:val="0"/>
                <w:lang w:bidi="ar"/>
              </w:rPr>
            </w:pPr>
            <w:r>
              <w:rPr>
                <w:rFonts w:hint="default" w:eastAsia="宋体"/>
                <w:b/>
                <w:bCs/>
                <w:color w:val="auto"/>
                <w:kern w:val="0"/>
                <w:lang w:val="en-US" w:eastAsia="zh-CN" w:bidi="ar"/>
              </w:rPr>
              <w:t>85.00%</w:t>
            </w:r>
          </w:p>
        </w:tc>
      </w:tr>
    </w:tbl>
    <w:p w14:paraId="6ABC590C">
      <w:pPr>
        <w:ind w:firstLine="422"/>
        <w:rPr>
          <w:rFonts w:eastAsia="宋体"/>
          <w:b/>
          <w:bCs/>
          <w:color w:val="auto"/>
        </w:rPr>
      </w:pPr>
    </w:p>
    <w:p w14:paraId="1B7018F0">
      <w:pPr>
        <w:ind w:firstLine="422"/>
        <w:rPr>
          <w:b/>
          <w:bCs/>
          <w:color w:val="auto"/>
        </w:rPr>
      </w:pPr>
      <w:r>
        <w:rPr>
          <w:rFonts w:eastAsia="宋体"/>
          <w:b/>
          <w:bCs/>
          <w:color w:val="auto"/>
        </w:rPr>
        <w:t>指标得分分析</w:t>
      </w:r>
      <w:r>
        <w:rPr>
          <w:b/>
          <w:bCs/>
          <w:color w:val="auto"/>
        </w:rPr>
        <w:t>：</w:t>
      </w:r>
    </w:p>
    <w:p w14:paraId="25EEFDD1">
      <w:pPr>
        <w:widowControl/>
        <w:ind w:firstLine="422"/>
        <w:jc w:val="left"/>
        <w:rPr>
          <w:b/>
          <w:bCs/>
          <w:color w:val="auto"/>
        </w:rPr>
      </w:pPr>
      <w:r>
        <w:rPr>
          <w:b/>
          <w:bCs/>
          <w:color w:val="auto"/>
        </w:rPr>
        <w:t>（1）A11立项依据充分性</w:t>
      </w:r>
      <w:r>
        <w:rPr>
          <w:rFonts w:hint="default" w:eastAsia="宋体"/>
          <w:b/>
          <w:bCs/>
          <w:color w:val="auto"/>
        </w:rPr>
        <w:t>指标</w:t>
      </w:r>
      <w:r>
        <w:rPr>
          <w:b/>
          <w:bCs/>
          <w:color w:val="auto"/>
        </w:rPr>
        <w:t>：</w:t>
      </w:r>
    </w:p>
    <w:p w14:paraId="08B05BD4">
      <w:pPr>
        <w:ind w:firstLine="420"/>
        <w:rPr>
          <w:color w:val="auto"/>
        </w:rPr>
      </w:pPr>
      <w:r>
        <w:rPr>
          <w:color w:val="auto"/>
        </w:rPr>
        <w:t>①该项目立项符合《中华人民共和国国民经济和社会发展第十四个五年规划和2035年远景目标纲要》提出的“突出职业技术（技工）教育类型特色，深入推进改革创新，优化结构与布局，大力培养技术技能人才。完善职业技术教育国家标准，推行</w:t>
      </w:r>
      <w:r>
        <w:rPr>
          <w:rFonts w:hint="default"/>
          <w:color w:val="auto"/>
        </w:rPr>
        <w:t>‘</w:t>
      </w:r>
      <w:r>
        <w:rPr>
          <w:color w:val="auto"/>
        </w:rPr>
        <w:t>学历证书+职业技能等级证书</w:t>
      </w:r>
      <w:r>
        <w:rPr>
          <w:rFonts w:hint="default"/>
          <w:color w:val="auto"/>
        </w:rPr>
        <w:t>’</w:t>
      </w:r>
      <w:r>
        <w:rPr>
          <w:color w:val="auto"/>
        </w:rPr>
        <w:t>制度。创新办学模式，深化产教融合、校企合作，鼓励企业举办高质量职业技术教育，探索中国特色学徒制”</w:t>
      </w:r>
      <w:r>
        <w:rPr>
          <w:rFonts w:hint="default"/>
          <w:color w:val="auto"/>
          <w:lang w:val="en-US" w:eastAsia="zh-CN"/>
        </w:rPr>
        <w:t>等</w:t>
      </w:r>
      <w:r>
        <w:rPr>
          <w:color w:val="auto"/>
        </w:rPr>
        <w:t>国家相关政策。</w:t>
      </w:r>
    </w:p>
    <w:p w14:paraId="467E0C97">
      <w:pPr>
        <w:ind w:firstLine="420"/>
        <w:rPr>
          <w:color w:val="auto"/>
        </w:rPr>
      </w:pPr>
      <w:r>
        <w:rPr>
          <w:color w:val="auto"/>
        </w:rPr>
        <w:t>②该项目立项符合中共中央办公厅、国务院办公厅印发《关于推动现代职业教育高质量发展的意见》提出的“到2025年，职业教育类型特色更加鲜明，现代职业教育体系基本建成，技能型社会建设全面推进。”的目标要求，</w:t>
      </w:r>
      <w:r>
        <w:rPr>
          <w:rFonts w:hint="default"/>
          <w:color w:val="auto"/>
        </w:rPr>
        <w:t>符合</w:t>
      </w:r>
      <w:r>
        <w:rPr>
          <w:color w:val="auto"/>
        </w:rPr>
        <w:t>“丰富职业学校办学形态。职业学校要积极与优质企业开展双边多边技术协作，共建技术技能创新平台、专业化技术转移机构和大学科技园、科技企业孵化器、众创空间，服务地方中小微企业技术升级和产品研发。推动职业学校在企业设立实习实训基地、企业在职业学校建设培养培训基地。推动校企共建共管产业学院、企业学院，延伸职业学校办学空间”的具体指导</w:t>
      </w:r>
      <w:r>
        <w:rPr>
          <w:rFonts w:hint="eastAsia"/>
          <w:color w:val="auto"/>
          <w:lang w:eastAsia="zh-CN"/>
        </w:rPr>
        <w:t>，</w:t>
      </w:r>
      <w:r>
        <w:rPr>
          <w:color w:val="auto"/>
        </w:rPr>
        <w:t>项目立项符合行业发展规划和政策要求。</w:t>
      </w:r>
    </w:p>
    <w:p w14:paraId="4F37EC63">
      <w:pPr>
        <w:ind w:firstLine="420"/>
        <w:rPr>
          <w:color w:val="auto"/>
        </w:rPr>
      </w:pPr>
      <w:r>
        <w:rPr>
          <w:color w:val="auto"/>
        </w:rPr>
        <w:t>③该项目立项符合</w:t>
      </w:r>
      <w:r>
        <w:rPr>
          <w:rFonts w:hint="default"/>
          <w:color w:val="auto"/>
          <w:lang w:eastAsia="zh-CN"/>
        </w:rPr>
        <w:t>吉木萨尔中等职业技术学校</w:t>
      </w:r>
      <w:r>
        <w:rPr>
          <w:color w:val="auto"/>
        </w:rPr>
        <w:t>“</w:t>
      </w:r>
      <w:r>
        <w:rPr>
          <w:rFonts w:hint="default"/>
          <w:color w:val="auto"/>
        </w:rPr>
        <w:t>学校紧紧围绕县域经济的发展开展工作，坚持以服务为</w:t>
      </w:r>
      <w:r>
        <w:rPr>
          <w:rFonts w:hint="default"/>
          <w:color w:val="auto"/>
          <w:lang w:eastAsia="zh-CN"/>
        </w:rPr>
        <w:t>宗旨</w:t>
      </w:r>
      <w:r>
        <w:rPr>
          <w:rFonts w:hint="default"/>
          <w:color w:val="auto"/>
        </w:rPr>
        <w:t>，以就业为导向，深化教育教学改革。服务于新型工业化举办中等职业和技工教育，服务于农业产业化和新型城镇化，举办职业技能培训、职业技能鉴定、农广校、电大教育和相关基地培训工作。</w:t>
      </w:r>
      <w:r>
        <w:rPr>
          <w:color w:val="auto"/>
        </w:rPr>
        <w:t>”的部门职责，属于部门职责所需</w:t>
      </w:r>
      <w:r>
        <w:rPr>
          <w:rFonts w:hint="default"/>
          <w:color w:val="auto"/>
        </w:rPr>
        <w:t>。</w:t>
      </w:r>
    </w:p>
    <w:p w14:paraId="2FC607C1">
      <w:pPr>
        <w:ind w:firstLine="420"/>
        <w:rPr>
          <w:color w:val="auto"/>
        </w:rPr>
      </w:pPr>
      <w:r>
        <w:rPr>
          <w:color w:val="auto"/>
        </w:rPr>
        <w:t>④该项目资金为</w:t>
      </w:r>
      <w:r>
        <w:rPr>
          <w:rFonts w:hint="default"/>
          <w:color w:val="auto"/>
        </w:rPr>
        <w:t>2024年中央现代职业教育质量提升计划资金</w:t>
      </w:r>
      <w:r>
        <w:rPr>
          <w:color w:val="auto"/>
        </w:rPr>
        <w:t>，用于</w:t>
      </w:r>
      <w:r>
        <w:rPr>
          <w:rFonts w:hint="default"/>
          <w:color w:val="auto"/>
          <w:lang w:eastAsia="zh-CN"/>
        </w:rPr>
        <w:t>吉木萨尔中等职业技术学校</w:t>
      </w:r>
      <w:r>
        <w:rPr>
          <w:color w:val="auto"/>
        </w:rPr>
        <w:t>项目执行，</w:t>
      </w:r>
      <w:r>
        <w:rPr>
          <w:rFonts w:hint="default"/>
          <w:color w:val="auto"/>
        </w:rPr>
        <w:t>属于财政资金支持范围</w:t>
      </w:r>
      <w:r>
        <w:rPr>
          <w:color w:val="auto"/>
        </w:rPr>
        <w:t>。</w:t>
      </w:r>
    </w:p>
    <w:p w14:paraId="2DED6C67">
      <w:pPr>
        <w:ind w:firstLine="420"/>
        <w:rPr>
          <w:color w:val="auto"/>
        </w:rPr>
      </w:pPr>
      <w:r>
        <w:rPr>
          <w:color w:val="auto"/>
        </w:rPr>
        <w:t>⑤经查阅部门单位预决算公开文件，该项目不存在重复。</w:t>
      </w:r>
    </w:p>
    <w:p w14:paraId="1BC43236">
      <w:pPr>
        <w:ind w:firstLine="420"/>
        <w:rPr>
          <w:color w:val="auto"/>
        </w:rPr>
      </w:pPr>
      <w:r>
        <w:rPr>
          <w:color w:val="auto"/>
        </w:rPr>
        <w:t>该指标满分为</w:t>
      </w:r>
      <w:r>
        <w:rPr>
          <w:rFonts w:hint="default"/>
          <w:color w:val="auto"/>
        </w:rPr>
        <w:t>1.50</w:t>
      </w:r>
      <w:r>
        <w:rPr>
          <w:color w:val="auto"/>
        </w:rPr>
        <w:t>分，根据评分标准得</w:t>
      </w:r>
      <w:r>
        <w:rPr>
          <w:rFonts w:hint="default"/>
          <w:color w:val="auto"/>
        </w:rPr>
        <w:t>1.50</w:t>
      </w:r>
      <w:r>
        <w:rPr>
          <w:color w:val="auto"/>
        </w:rPr>
        <w:t>分。</w:t>
      </w:r>
    </w:p>
    <w:p w14:paraId="6B860019">
      <w:pPr>
        <w:widowControl/>
        <w:ind w:firstLine="422"/>
        <w:jc w:val="left"/>
        <w:rPr>
          <w:rFonts w:eastAsia="宋体"/>
          <w:color w:val="auto"/>
        </w:rPr>
      </w:pPr>
      <w:r>
        <w:rPr>
          <w:rFonts w:eastAsia="宋体"/>
          <w:b/>
          <w:bCs/>
          <w:color w:val="auto"/>
        </w:rPr>
        <w:t>（2）A</w:t>
      </w:r>
      <w:r>
        <w:rPr>
          <w:rFonts w:hint="default" w:eastAsia="宋体"/>
          <w:b/>
          <w:bCs/>
          <w:color w:val="auto"/>
          <w:lang w:val="en-US" w:eastAsia="zh-CN"/>
        </w:rPr>
        <w:t>12</w:t>
      </w:r>
      <w:r>
        <w:rPr>
          <w:rFonts w:eastAsia="宋体"/>
          <w:b/>
          <w:bCs/>
          <w:color w:val="auto"/>
        </w:rPr>
        <w:t>立项程序规范性</w:t>
      </w:r>
      <w:r>
        <w:rPr>
          <w:rFonts w:hint="default" w:eastAsia="宋体"/>
          <w:b/>
          <w:bCs/>
          <w:color w:val="auto"/>
        </w:rPr>
        <w:t>指标</w:t>
      </w:r>
      <w:r>
        <w:rPr>
          <w:rFonts w:eastAsia="宋体"/>
          <w:b/>
          <w:bCs/>
          <w:color w:val="auto"/>
        </w:rPr>
        <w:t>：</w:t>
      </w:r>
    </w:p>
    <w:p w14:paraId="19972467">
      <w:pPr>
        <w:ind w:firstLine="420"/>
        <w:rPr>
          <w:rFonts w:hint="default" w:eastAsiaTheme="minorEastAsia"/>
          <w:color w:val="auto"/>
          <w:lang w:val="en-US" w:eastAsia="zh-CN"/>
        </w:rPr>
      </w:pPr>
      <w:r>
        <w:rPr>
          <w:color w:val="auto"/>
        </w:rPr>
        <w:t>经查证，20</w:t>
      </w:r>
      <w:r>
        <w:rPr>
          <w:rFonts w:hint="default"/>
          <w:color w:val="auto"/>
        </w:rPr>
        <w:t>2</w:t>
      </w:r>
      <w:r>
        <w:rPr>
          <w:rFonts w:hint="default"/>
          <w:color w:val="auto"/>
          <w:lang w:val="en-US" w:eastAsia="zh-CN"/>
        </w:rPr>
        <w:t>3</w:t>
      </w:r>
      <w:r>
        <w:rPr>
          <w:color w:val="auto"/>
        </w:rPr>
        <w:t>年9月</w:t>
      </w:r>
      <w:r>
        <w:rPr>
          <w:rFonts w:hint="default"/>
          <w:color w:val="auto"/>
          <w:lang w:val="en-US" w:eastAsia="zh-CN"/>
        </w:rPr>
        <w:t>11</w:t>
      </w:r>
      <w:r>
        <w:rPr>
          <w:color w:val="auto"/>
        </w:rPr>
        <w:t>日，</w:t>
      </w:r>
      <w:r>
        <w:rPr>
          <w:rFonts w:hint="default"/>
          <w:color w:val="auto"/>
          <w:lang w:eastAsia="zh-CN"/>
        </w:rPr>
        <w:t>吉木萨尔中等职业技术学校</w:t>
      </w:r>
      <w:r>
        <w:rPr>
          <w:color w:val="auto"/>
        </w:rPr>
        <w:t>组织校领导及各专业负责人</w:t>
      </w:r>
      <w:r>
        <w:rPr>
          <w:rFonts w:hint="default"/>
          <w:color w:val="auto"/>
        </w:rPr>
        <w:t>研究申报实训基地建设项目</w:t>
      </w:r>
      <w:r>
        <w:rPr>
          <w:color w:val="auto"/>
        </w:rPr>
        <w:t>，结合学校实际</w:t>
      </w:r>
      <w:r>
        <w:rPr>
          <w:rFonts w:hint="default"/>
          <w:color w:val="auto"/>
        </w:rPr>
        <w:t>编制完成《</w:t>
      </w:r>
      <w:r>
        <w:rPr>
          <w:rFonts w:hint="default"/>
          <w:color w:val="auto"/>
          <w:lang w:eastAsia="zh-CN"/>
        </w:rPr>
        <w:t>2024</w:t>
      </w:r>
      <w:r>
        <w:rPr>
          <w:rFonts w:hint="default"/>
          <w:color w:val="auto"/>
        </w:rPr>
        <w:t>年职业教育建设项目申报书（实训基地建设项目）化工及化工安全实训基地</w:t>
      </w:r>
      <w:r>
        <w:rPr>
          <w:rFonts w:hint="default"/>
          <w:color w:val="auto"/>
          <w:lang w:val="en-US" w:eastAsia="zh-CN"/>
        </w:rPr>
        <w:t>项目申报书</w:t>
      </w:r>
      <w:r>
        <w:rPr>
          <w:rFonts w:hint="default"/>
          <w:color w:val="auto"/>
        </w:rPr>
        <w:t>》</w:t>
      </w:r>
      <w:r>
        <w:rPr>
          <w:rFonts w:hint="default"/>
          <w:color w:val="auto"/>
          <w:lang w:val="en-US" w:eastAsia="zh-CN"/>
        </w:rPr>
        <w:t>和</w:t>
      </w:r>
      <w:r>
        <w:rPr>
          <w:rFonts w:hint="default"/>
          <w:color w:val="auto"/>
        </w:rPr>
        <w:t>《</w:t>
      </w:r>
      <w:r>
        <w:rPr>
          <w:rFonts w:hint="default"/>
          <w:color w:val="auto"/>
          <w:lang w:eastAsia="zh-CN"/>
        </w:rPr>
        <w:t>2024</w:t>
      </w:r>
      <w:r>
        <w:rPr>
          <w:rFonts w:hint="default"/>
          <w:color w:val="auto"/>
        </w:rPr>
        <w:t>年职业教育建设项目申报书（实训基地建设项目）电商及直播运营实训基地</w:t>
      </w:r>
      <w:r>
        <w:rPr>
          <w:rFonts w:hint="default"/>
          <w:color w:val="auto"/>
          <w:lang w:val="en-US" w:eastAsia="zh-CN"/>
        </w:rPr>
        <w:t>项目申报书</w:t>
      </w:r>
      <w:r>
        <w:rPr>
          <w:rFonts w:hint="default"/>
          <w:color w:val="auto"/>
        </w:rPr>
        <w:t>》</w:t>
      </w:r>
      <w:r>
        <w:rPr>
          <w:rFonts w:hint="default"/>
          <w:color w:val="auto"/>
          <w:lang w:val="en-US" w:eastAsia="zh-CN"/>
        </w:rPr>
        <w:t>分别于</w:t>
      </w:r>
      <w:r>
        <w:rPr>
          <w:color w:val="auto"/>
          <w:highlight w:val="none"/>
        </w:rPr>
        <w:t>202</w:t>
      </w:r>
      <w:r>
        <w:rPr>
          <w:rFonts w:hint="default"/>
          <w:color w:val="auto"/>
          <w:highlight w:val="none"/>
          <w:lang w:val="en-US" w:eastAsia="zh-CN"/>
        </w:rPr>
        <w:t>3</w:t>
      </w:r>
      <w:r>
        <w:rPr>
          <w:color w:val="auto"/>
          <w:highlight w:val="none"/>
        </w:rPr>
        <w:t>年</w:t>
      </w:r>
      <w:r>
        <w:rPr>
          <w:rFonts w:hint="default"/>
          <w:color w:val="auto"/>
          <w:highlight w:val="none"/>
          <w:lang w:val="en-US" w:eastAsia="zh-CN"/>
        </w:rPr>
        <w:t>11</w:t>
      </w:r>
      <w:r>
        <w:rPr>
          <w:color w:val="auto"/>
          <w:highlight w:val="none"/>
        </w:rPr>
        <w:t>月</w:t>
      </w:r>
      <w:r>
        <w:rPr>
          <w:rFonts w:hint="default"/>
          <w:color w:val="auto"/>
          <w:highlight w:val="none"/>
          <w:lang w:val="en-US" w:eastAsia="zh-CN"/>
        </w:rPr>
        <w:t>30</w:t>
      </w:r>
      <w:r>
        <w:rPr>
          <w:color w:val="auto"/>
          <w:highlight w:val="none"/>
        </w:rPr>
        <w:t>日</w:t>
      </w:r>
      <w:r>
        <w:rPr>
          <w:rFonts w:hint="default"/>
          <w:color w:val="auto"/>
          <w:highlight w:val="none"/>
          <w:lang w:val="en-US" w:eastAsia="zh-CN"/>
        </w:rPr>
        <w:t>和2023年11月29日</w:t>
      </w:r>
      <w:r>
        <w:rPr>
          <w:rFonts w:hint="default"/>
          <w:color w:val="auto"/>
        </w:rPr>
        <w:t>经过专家审核</w:t>
      </w:r>
      <w:r>
        <w:rPr>
          <w:rFonts w:hint="default"/>
          <w:color w:val="auto"/>
          <w:highlight w:val="none"/>
        </w:rPr>
        <w:t>论证</w:t>
      </w:r>
      <w:r>
        <w:rPr>
          <w:rFonts w:hint="default"/>
          <w:color w:val="auto"/>
          <w:highlight w:val="none"/>
          <w:lang w:val="en-US" w:eastAsia="zh-CN"/>
        </w:rPr>
        <w:t>后上报</w:t>
      </w:r>
      <w:r>
        <w:rPr>
          <w:rFonts w:hint="default"/>
          <w:color w:val="auto"/>
          <w:lang w:eastAsia="zh-CN"/>
        </w:rPr>
        <w:t>昌吉州</w:t>
      </w:r>
      <w:r>
        <w:rPr>
          <w:color w:val="auto"/>
        </w:rPr>
        <w:t>地区教育局</w:t>
      </w:r>
      <w:r>
        <w:rPr>
          <w:rFonts w:hint="default"/>
          <w:color w:val="auto"/>
          <w:lang w:val="en-US" w:eastAsia="zh-CN"/>
        </w:rPr>
        <w:t>后</w:t>
      </w:r>
      <w:r>
        <w:rPr>
          <w:color w:val="auto"/>
          <w:highlight w:val="none"/>
        </w:rPr>
        <w:t>，</w:t>
      </w:r>
      <w:r>
        <w:rPr>
          <w:rFonts w:hint="default"/>
          <w:color w:val="auto"/>
          <w:highlight w:val="none"/>
          <w:lang w:val="en-US" w:eastAsia="zh-CN"/>
        </w:rPr>
        <w:t>经过</w:t>
      </w:r>
      <w:r>
        <w:rPr>
          <w:rFonts w:hint="default"/>
          <w:color w:val="auto"/>
          <w:lang w:eastAsia="zh-CN"/>
        </w:rPr>
        <w:t>昌吉州</w:t>
      </w:r>
      <w:r>
        <w:rPr>
          <w:color w:val="auto"/>
        </w:rPr>
        <w:t>地区教育局</w:t>
      </w:r>
      <w:r>
        <w:rPr>
          <w:rFonts w:hint="default"/>
          <w:color w:val="auto"/>
          <w:lang w:val="en-US" w:eastAsia="zh-CN"/>
        </w:rPr>
        <w:t>通过后上报</w:t>
      </w:r>
      <w:r>
        <w:rPr>
          <w:rFonts w:hint="default"/>
          <w:color w:val="auto"/>
        </w:rPr>
        <w:t>自治区教育厅</w:t>
      </w:r>
      <w:r>
        <w:rPr>
          <w:color w:val="auto"/>
        </w:rPr>
        <w:t>。</w:t>
      </w:r>
      <w:r>
        <w:rPr>
          <w:rFonts w:hint="default"/>
          <w:color w:val="auto"/>
          <w:lang w:val="en-US" w:eastAsia="zh-CN"/>
        </w:rPr>
        <w:t>在核查过程中发现</w:t>
      </w:r>
      <w:r>
        <w:rPr>
          <w:rFonts w:hint="default"/>
          <w:color w:val="auto"/>
        </w:rPr>
        <w:t>《</w:t>
      </w:r>
      <w:r>
        <w:rPr>
          <w:rFonts w:hint="default"/>
          <w:color w:val="auto"/>
          <w:lang w:eastAsia="zh-CN"/>
        </w:rPr>
        <w:t>2024</w:t>
      </w:r>
      <w:r>
        <w:rPr>
          <w:rFonts w:hint="default"/>
          <w:color w:val="auto"/>
        </w:rPr>
        <w:t>年职业教育建设项目申报书（实训基地建设项目）化工及化工安全实训基地</w:t>
      </w:r>
      <w:r>
        <w:rPr>
          <w:rFonts w:hint="default"/>
          <w:color w:val="auto"/>
          <w:lang w:val="en-US" w:eastAsia="zh-CN"/>
        </w:rPr>
        <w:t>项目申报书</w:t>
      </w:r>
      <w:r>
        <w:rPr>
          <w:rFonts w:hint="default"/>
          <w:color w:val="auto"/>
        </w:rPr>
        <w:t>》</w:t>
      </w:r>
      <w:r>
        <w:rPr>
          <w:rFonts w:hint="default"/>
          <w:color w:val="auto"/>
          <w:lang w:val="en-US" w:eastAsia="zh-CN"/>
        </w:rPr>
        <w:t>和</w:t>
      </w:r>
      <w:r>
        <w:rPr>
          <w:rFonts w:hint="default"/>
          <w:color w:val="auto"/>
        </w:rPr>
        <w:t>《</w:t>
      </w:r>
      <w:r>
        <w:rPr>
          <w:rFonts w:hint="default"/>
          <w:color w:val="auto"/>
          <w:lang w:eastAsia="zh-CN"/>
        </w:rPr>
        <w:t>2024</w:t>
      </w:r>
      <w:r>
        <w:rPr>
          <w:rFonts w:hint="default"/>
          <w:color w:val="auto"/>
        </w:rPr>
        <w:t>年职业教育建设项目申报书（实训基地建设项目）电商及直播运营实训基地</w:t>
      </w:r>
      <w:r>
        <w:rPr>
          <w:rFonts w:hint="default"/>
          <w:color w:val="auto"/>
          <w:lang w:val="en-US" w:eastAsia="zh-CN"/>
        </w:rPr>
        <w:t>项目申报书</w:t>
      </w:r>
      <w:r>
        <w:rPr>
          <w:rFonts w:hint="default"/>
          <w:color w:val="auto"/>
        </w:rPr>
        <w:t>》</w:t>
      </w:r>
      <w:r>
        <w:rPr>
          <w:rFonts w:hint="default"/>
          <w:color w:val="auto"/>
          <w:lang w:val="en-US" w:eastAsia="zh-CN"/>
        </w:rPr>
        <w:t>中缺少上地州市教育局意见负责人签字和盖章。根据评分标准，扣0.50分。</w:t>
      </w:r>
    </w:p>
    <w:p w14:paraId="04D2A0A8">
      <w:pPr>
        <w:ind w:firstLine="420"/>
        <w:rPr>
          <w:color w:val="auto"/>
        </w:rPr>
      </w:pPr>
      <w:r>
        <w:rPr>
          <w:rFonts w:eastAsia="宋体"/>
          <w:color w:val="auto"/>
        </w:rPr>
        <w:t>该指标满分为</w:t>
      </w:r>
      <w:r>
        <w:rPr>
          <w:rFonts w:hint="default" w:eastAsia="宋体"/>
          <w:color w:val="auto"/>
        </w:rPr>
        <w:t>1.50</w:t>
      </w:r>
      <w:r>
        <w:rPr>
          <w:rFonts w:eastAsia="宋体"/>
          <w:color w:val="auto"/>
        </w:rPr>
        <w:t>分，根据评分标准得</w:t>
      </w:r>
      <w:r>
        <w:rPr>
          <w:rFonts w:hint="default" w:eastAsia="宋体"/>
          <w:color w:val="auto"/>
        </w:rPr>
        <w:t>1.</w:t>
      </w:r>
      <w:r>
        <w:rPr>
          <w:rFonts w:hint="default" w:eastAsia="宋体"/>
          <w:color w:val="auto"/>
          <w:lang w:val="en-US" w:eastAsia="zh-CN"/>
        </w:rPr>
        <w:t>0</w:t>
      </w:r>
      <w:r>
        <w:rPr>
          <w:rFonts w:eastAsia="宋体"/>
          <w:color w:val="auto"/>
        </w:rPr>
        <w:t>0分。</w:t>
      </w:r>
    </w:p>
    <w:p w14:paraId="6B251011">
      <w:pPr>
        <w:widowControl/>
        <w:ind w:firstLine="422"/>
        <w:jc w:val="left"/>
        <w:rPr>
          <w:rFonts w:eastAsia="宋体"/>
          <w:color w:val="auto"/>
        </w:rPr>
      </w:pPr>
      <w:r>
        <w:rPr>
          <w:rFonts w:eastAsia="宋体"/>
          <w:b/>
          <w:bCs/>
          <w:color w:val="auto"/>
        </w:rPr>
        <w:t>（3）A21绩效目标合理性</w:t>
      </w:r>
      <w:r>
        <w:rPr>
          <w:rFonts w:hint="default" w:eastAsia="宋体"/>
          <w:b/>
          <w:bCs/>
          <w:color w:val="auto"/>
        </w:rPr>
        <w:t>指标</w:t>
      </w:r>
      <w:r>
        <w:rPr>
          <w:rFonts w:eastAsia="宋体"/>
          <w:b/>
          <w:bCs/>
          <w:color w:val="auto"/>
        </w:rPr>
        <w:t>：</w:t>
      </w:r>
    </w:p>
    <w:p w14:paraId="0F2D9CA3">
      <w:pPr>
        <w:ind w:firstLine="420"/>
        <w:rPr>
          <w:color w:val="auto"/>
        </w:rPr>
      </w:pPr>
      <w:r>
        <w:rPr>
          <w:rFonts w:eastAsia="宋体"/>
          <w:color w:val="auto"/>
        </w:rPr>
        <w:t>根据《项目支出绩效目标表》，项目有绩效目标</w:t>
      </w:r>
      <w:r>
        <w:rPr>
          <w:rFonts w:hint="default" w:eastAsia="宋体"/>
          <w:color w:val="auto"/>
        </w:rPr>
        <w:t>，实际</w:t>
      </w:r>
      <w:r>
        <w:rPr>
          <w:rFonts w:eastAsia="宋体"/>
          <w:color w:val="auto"/>
        </w:rPr>
        <w:t>项目</w:t>
      </w:r>
      <w:r>
        <w:rPr>
          <w:rFonts w:hint="default" w:eastAsia="宋体"/>
          <w:color w:val="auto"/>
        </w:rPr>
        <w:t>资金主要用于</w:t>
      </w:r>
      <w:r>
        <w:rPr>
          <w:rFonts w:eastAsia="宋体"/>
          <w:color w:val="auto"/>
        </w:rPr>
        <w:t>支付</w:t>
      </w:r>
      <w:r>
        <w:rPr>
          <w:rFonts w:hint="default" w:eastAsia="宋体"/>
          <w:color w:val="auto"/>
        </w:rPr>
        <w:t>设备款，</w:t>
      </w:r>
      <w:r>
        <w:rPr>
          <w:rFonts w:eastAsia="宋体"/>
          <w:color w:val="auto"/>
        </w:rPr>
        <w:t>项目绩效目标与实际工作内容具有相关性</w:t>
      </w:r>
      <w:r>
        <w:rPr>
          <w:rFonts w:hint="default" w:eastAsia="宋体"/>
          <w:color w:val="auto"/>
        </w:rPr>
        <w:t>，</w:t>
      </w:r>
      <w:r>
        <w:rPr>
          <w:rFonts w:eastAsia="宋体"/>
          <w:color w:val="auto"/>
        </w:rPr>
        <w:t>项目预期产出效益和效果符合正常的业绩水平。该项目下达预算资金</w:t>
      </w:r>
      <w:r>
        <w:rPr>
          <w:rFonts w:hint="default" w:eastAsia="宋体"/>
          <w:color w:val="auto"/>
          <w:lang w:eastAsia="zh-CN"/>
        </w:rPr>
        <w:t>700</w:t>
      </w:r>
      <w:r>
        <w:rPr>
          <w:rFonts w:eastAsia="宋体"/>
          <w:color w:val="auto"/>
        </w:rPr>
        <w:t>.00万元。根据《项目支出绩效目标表》，绩效目标表填报的预算资金额度是</w:t>
      </w:r>
      <w:r>
        <w:rPr>
          <w:rFonts w:hint="default" w:eastAsia="宋体"/>
          <w:color w:val="auto"/>
          <w:lang w:eastAsia="zh-CN"/>
        </w:rPr>
        <w:t>700</w:t>
      </w:r>
      <w:r>
        <w:rPr>
          <w:rFonts w:eastAsia="宋体"/>
          <w:color w:val="auto"/>
        </w:rPr>
        <w:t>.00万元，绩效目标确定的预算与预算确定的项目资金量匹配。</w:t>
      </w:r>
    </w:p>
    <w:p w14:paraId="1A219BB9">
      <w:pPr>
        <w:ind w:firstLine="420"/>
        <w:rPr>
          <w:color w:val="auto"/>
        </w:rPr>
      </w:pPr>
      <w:r>
        <w:rPr>
          <w:rFonts w:eastAsia="宋体"/>
          <w:color w:val="auto"/>
        </w:rPr>
        <w:t>该指标满分为2.00分，根据评分标准得2.00分。</w:t>
      </w:r>
    </w:p>
    <w:p w14:paraId="43D5E763">
      <w:pPr>
        <w:widowControl/>
        <w:ind w:firstLine="422"/>
        <w:jc w:val="left"/>
        <w:rPr>
          <w:rFonts w:eastAsia="宋体"/>
          <w:color w:val="auto"/>
        </w:rPr>
      </w:pPr>
      <w:r>
        <w:rPr>
          <w:rFonts w:eastAsia="宋体"/>
          <w:b/>
          <w:bCs/>
          <w:color w:val="auto"/>
        </w:rPr>
        <w:t>（4）A22绩效指标明确性</w:t>
      </w:r>
      <w:r>
        <w:rPr>
          <w:rFonts w:hint="default" w:eastAsia="宋体"/>
          <w:b/>
          <w:bCs/>
          <w:color w:val="auto"/>
        </w:rPr>
        <w:t>指标</w:t>
      </w:r>
      <w:r>
        <w:rPr>
          <w:rFonts w:eastAsia="宋体"/>
          <w:b/>
          <w:bCs/>
          <w:color w:val="auto"/>
        </w:rPr>
        <w:t>：</w:t>
      </w:r>
    </w:p>
    <w:p w14:paraId="615376D8">
      <w:pPr>
        <w:ind w:firstLine="420"/>
        <w:rPr>
          <w:color w:val="auto"/>
        </w:rPr>
      </w:pPr>
      <w:r>
        <w:rPr>
          <w:rFonts w:eastAsia="宋体"/>
          <w:color w:val="auto"/>
        </w:rPr>
        <w:t>根据《项目支出绩效目标表》分析可知，该项目共设立一级指标</w:t>
      </w:r>
      <w:r>
        <w:rPr>
          <w:rFonts w:hint="default" w:eastAsia="宋体"/>
          <w:color w:val="auto"/>
          <w:lang w:val="en-US" w:eastAsia="zh-CN"/>
        </w:rPr>
        <w:t>4</w:t>
      </w:r>
      <w:r>
        <w:rPr>
          <w:rFonts w:eastAsia="宋体"/>
          <w:color w:val="auto"/>
        </w:rPr>
        <w:t>个，二级指标</w:t>
      </w:r>
      <w:r>
        <w:rPr>
          <w:rFonts w:hint="default" w:eastAsia="宋体"/>
          <w:color w:val="auto"/>
        </w:rPr>
        <w:t>6</w:t>
      </w:r>
      <w:r>
        <w:rPr>
          <w:rFonts w:eastAsia="宋体"/>
          <w:color w:val="auto"/>
        </w:rPr>
        <w:t>个，三级指标</w:t>
      </w:r>
      <w:r>
        <w:rPr>
          <w:rFonts w:hint="default" w:eastAsia="宋体"/>
          <w:color w:val="auto"/>
          <w:lang w:val="en-US" w:eastAsia="zh-CN"/>
        </w:rPr>
        <w:t>9</w:t>
      </w:r>
      <w:r>
        <w:rPr>
          <w:rFonts w:eastAsia="宋体"/>
          <w:color w:val="auto"/>
        </w:rPr>
        <w:t>个，其中定量指标</w:t>
      </w:r>
      <w:r>
        <w:rPr>
          <w:rFonts w:hint="default" w:eastAsia="宋体"/>
          <w:color w:val="auto"/>
          <w:lang w:val="en-US" w:eastAsia="zh-CN"/>
        </w:rPr>
        <w:t>8</w:t>
      </w:r>
      <w:r>
        <w:rPr>
          <w:rFonts w:eastAsia="宋体"/>
          <w:color w:val="auto"/>
        </w:rPr>
        <w:t>个，定性指标</w:t>
      </w:r>
      <w:r>
        <w:rPr>
          <w:rFonts w:hint="default" w:eastAsia="宋体"/>
          <w:color w:val="auto"/>
          <w:lang w:val="en-US" w:eastAsia="zh-CN"/>
        </w:rPr>
        <w:t>1</w:t>
      </w:r>
      <w:r>
        <w:rPr>
          <w:rFonts w:eastAsia="宋体"/>
          <w:color w:val="auto"/>
        </w:rPr>
        <w:t>个，指标量化率为</w:t>
      </w:r>
      <w:r>
        <w:rPr>
          <w:rFonts w:hint="default" w:eastAsia="宋体"/>
          <w:color w:val="auto"/>
        </w:rPr>
        <w:t>8</w:t>
      </w:r>
      <w:r>
        <w:rPr>
          <w:rFonts w:hint="default" w:eastAsia="宋体"/>
          <w:color w:val="auto"/>
          <w:lang w:val="en-US" w:eastAsia="zh-CN"/>
        </w:rPr>
        <w:t>8.89</w:t>
      </w:r>
      <w:r>
        <w:rPr>
          <w:rFonts w:eastAsia="宋体"/>
          <w:color w:val="auto"/>
        </w:rPr>
        <w:t>％，指标量化率达到目标，项目实施单位已将绩效目标细化分解为具体的绩效指标。项目实施后可产生预期的社会效益及可持续影响，项目指标设置有明确的时限，项目绩效目标设置与预算关联性紧密，绩效目标和指标具备明确性、可衡量性、可实现性、相关性、时限性。</w:t>
      </w:r>
    </w:p>
    <w:p w14:paraId="3A5B09C9">
      <w:pPr>
        <w:ind w:firstLine="420"/>
        <w:rPr>
          <w:color w:val="auto"/>
        </w:rPr>
      </w:pPr>
      <w:r>
        <w:rPr>
          <w:rFonts w:eastAsia="宋体"/>
          <w:color w:val="auto"/>
        </w:rPr>
        <w:t>该指标满分为</w:t>
      </w:r>
      <w:r>
        <w:rPr>
          <w:rFonts w:hint="default" w:eastAsia="宋体"/>
          <w:color w:val="auto"/>
        </w:rPr>
        <w:t>2.00</w:t>
      </w:r>
      <w:r>
        <w:rPr>
          <w:rFonts w:eastAsia="宋体"/>
          <w:color w:val="auto"/>
        </w:rPr>
        <w:t>分，根据评分标准得</w:t>
      </w:r>
      <w:r>
        <w:rPr>
          <w:rFonts w:hint="default" w:eastAsia="宋体"/>
          <w:color w:val="auto"/>
        </w:rPr>
        <w:t>2.00</w:t>
      </w:r>
      <w:r>
        <w:rPr>
          <w:rFonts w:eastAsia="宋体"/>
          <w:color w:val="auto"/>
        </w:rPr>
        <w:t>分。</w:t>
      </w:r>
    </w:p>
    <w:p w14:paraId="34B160F0">
      <w:pPr>
        <w:widowControl/>
        <w:ind w:firstLine="422"/>
        <w:jc w:val="left"/>
        <w:rPr>
          <w:rFonts w:eastAsia="宋体"/>
          <w:color w:val="auto"/>
        </w:rPr>
      </w:pPr>
      <w:r>
        <w:rPr>
          <w:rFonts w:eastAsia="宋体"/>
          <w:b/>
          <w:bCs/>
          <w:color w:val="auto"/>
        </w:rPr>
        <w:t>（5）A31预算编制科学性</w:t>
      </w:r>
      <w:r>
        <w:rPr>
          <w:rFonts w:hint="default" w:eastAsia="宋体"/>
          <w:b/>
          <w:bCs/>
          <w:color w:val="auto"/>
        </w:rPr>
        <w:t>指标</w:t>
      </w:r>
      <w:r>
        <w:rPr>
          <w:rFonts w:eastAsia="宋体"/>
          <w:b/>
          <w:bCs/>
          <w:color w:val="auto"/>
        </w:rPr>
        <w:t>：</w:t>
      </w:r>
    </w:p>
    <w:p w14:paraId="41C02D4E">
      <w:pPr>
        <w:widowControl/>
        <w:ind w:firstLine="420"/>
        <w:jc w:val="left"/>
        <w:rPr>
          <w:rFonts w:hint="default"/>
          <w:color w:val="auto"/>
          <w:lang w:val="en-US" w:eastAsia="zh-CN" w:bidi="ar"/>
        </w:rPr>
      </w:pPr>
      <w:r>
        <w:rPr>
          <w:rFonts w:eastAsia="宋体"/>
          <w:color w:val="auto"/>
        </w:rPr>
        <w:t>经查阅</w:t>
      </w:r>
      <w:r>
        <w:rPr>
          <w:rFonts w:hint="default"/>
          <w:color w:val="auto"/>
        </w:rPr>
        <w:t>《</w:t>
      </w:r>
      <w:r>
        <w:rPr>
          <w:rFonts w:hint="default"/>
          <w:color w:val="auto"/>
          <w:lang w:eastAsia="zh-CN"/>
        </w:rPr>
        <w:t>2024</w:t>
      </w:r>
      <w:r>
        <w:rPr>
          <w:rFonts w:hint="default"/>
          <w:color w:val="auto"/>
        </w:rPr>
        <w:t>年职业教育建设项目申报书（实训基地建设项目）》</w:t>
      </w:r>
      <w:r>
        <w:rPr>
          <w:rFonts w:eastAsia="宋体"/>
          <w:color w:val="auto"/>
        </w:rPr>
        <w:t>及</w:t>
      </w:r>
      <w:r>
        <w:rPr>
          <w:rFonts w:hint="default" w:eastAsia="宋体"/>
          <w:color w:val="auto"/>
        </w:rPr>
        <w:t>资金下拨文件</w:t>
      </w:r>
      <w:r>
        <w:rPr>
          <w:rFonts w:eastAsia="宋体"/>
          <w:color w:val="auto"/>
        </w:rPr>
        <w:t>资料，项目根据学校实际</w:t>
      </w:r>
      <w:r>
        <w:rPr>
          <w:rFonts w:hint="default" w:eastAsia="宋体"/>
          <w:color w:val="auto"/>
        </w:rPr>
        <w:t>专业学生</w:t>
      </w:r>
      <w:r>
        <w:rPr>
          <w:rFonts w:eastAsia="宋体"/>
          <w:color w:val="auto"/>
        </w:rPr>
        <w:t>数量、课程需求计算实训设备所需数量，结合各项设备市场价格、基础参数、生产厂商等信息进行细分预算，预算额度测算依据充分，</w:t>
      </w:r>
      <w:r>
        <w:rPr>
          <w:rFonts w:hint="default" w:eastAsia="宋体"/>
          <w:color w:val="auto"/>
        </w:rPr>
        <w:t>项目实际批复预算资金</w:t>
      </w:r>
      <w:r>
        <w:rPr>
          <w:rFonts w:hint="default" w:eastAsia="宋体"/>
          <w:color w:val="auto"/>
          <w:lang w:eastAsia="zh-CN"/>
        </w:rPr>
        <w:t>700</w:t>
      </w:r>
      <w:r>
        <w:rPr>
          <w:rFonts w:hint="default" w:eastAsia="宋体"/>
          <w:color w:val="auto"/>
        </w:rPr>
        <w:t>.00万元，实际签订采购合同</w:t>
      </w:r>
      <w:r>
        <w:rPr>
          <w:rFonts w:hint="default" w:eastAsia="宋体"/>
          <w:color w:val="auto"/>
          <w:lang w:val="en-US" w:eastAsia="zh-CN"/>
        </w:rPr>
        <w:t>总额700.00</w:t>
      </w:r>
      <w:r>
        <w:rPr>
          <w:rFonts w:hint="default" w:eastAsia="宋体"/>
          <w:color w:val="auto"/>
        </w:rPr>
        <w:t>万元，</w:t>
      </w:r>
      <w:r>
        <w:rPr>
          <w:rFonts w:eastAsia="宋体"/>
          <w:color w:val="auto"/>
        </w:rPr>
        <w:t>在预算额度之内完成项目工作内容，故预算确定的项目资金量与工作任务相匹配。</w:t>
      </w:r>
      <w:r>
        <w:rPr>
          <w:rFonts w:hint="default"/>
          <w:color w:val="auto"/>
          <w:lang w:val="en-US" w:eastAsia="zh-CN" w:bidi="ar"/>
        </w:rPr>
        <w:t>在绩效评价过程中，我们发现资金分配额度与项目单位实际使用存在偏差情况，项目偏差如下：</w:t>
      </w:r>
    </w:p>
    <w:p w14:paraId="18587783">
      <w:pPr>
        <w:widowControl/>
        <w:ind w:firstLine="420"/>
        <w:jc w:val="left"/>
        <w:rPr>
          <w:rFonts w:hint="default"/>
          <w:color w:val="auto"/>
          <w:highlight w:val="yellow"/>
        </w:rPr>
      </w:pPr>
      <w:r>
        <w:rPr>
          <w:rFonts w:hint="default"/>
          <w:color w:val="auto"/>
          <w:lang w:eastAsia="zh-CN" w:bidi="ar"/>
        </w:rPr>
        <w:t>吉木萨尔中等职业技术学校</w:t>
      </w:r>
      <w:r>
        <w:rPr>
          <w:rFonts w:hint="default"/>
          <w:color w:val="auto"/>
        </w:rPr>
        <w:t>申请</w:t>
      </w:r>
      <w:r>
        <w:rPr>
          <w:rFonts w:hint="default"/>
          <w:color w:val="auto"/>
          <w:lang w:eastAsia="zh-CN"/>
        </w:rPr>
        <w:t>电商及直播运营实训基地</w:t>
      </w:r>
      <w:r>
        <w:rPr>
          <w:rFonts w:hint="default"/>
          <w:color w:val="auto"/>
        </w:rPr>
        <w:t>设备采购项目采购计划，计划采购金额</w:t>
      </w:r>
      <w:r>
        <w:rPr>
          <w:rFonts w:hint="default"/>
          <w:color w:val="auto"/>
          <w:lang w:val="en-US" w:eastAsia="zh-CN"/>
        </w:rPr>
        <w:t>22</w:t>
      </w:r>
      <w:r>
        <w:rPr>
          <w:rFonts w:hint="default"/>
          <w:color w:val="auto"/>
          <w:lang w:eastAsia="zh-CN"/>
        </w:rPr>
        <w:t>0</w:t>
      </w:r>
      <w:r>
        <w:rPr>
          <w:rFonts w:hint="default"/>
          <w:color w:val="auto"/>
        </w:rPr>
        <w:t>.00万元，中标金额为</w:t>
      </w:r>
      <w:r>
        <w:rPr>
          <w:rFonts w:hint="default"/>
          <w:color w:val="auto"/>
          <w:lang w:val="en-US" w:eastAsia="zh-CN"/>
        </w:rPr>
        <w:t>182.75</w:t>
      </w:r>
      <w:r>
        <w:rPr>
          <w:rFonts w:hint="default"/>
          <w:color w:val="auto"/>
        </w:rPr>
        <w:t>万元，</w:t>
      </w:r>
      <w:r>
        <w:rPr>
          <w:rFonts w:hint="default"/>
          <w:color w:val="auto"/>
          <w:lang w:val="en-US" w:eastAsia="zh-CN"/>
        </w:rPr>
        <w:t>结余17.26万元，</w:t>
      </w:r>
      <w:r>
        <w:rPr>
          <w:rFonts w:hint="default"/>
          <w:color w:val="auto"/>
        </w:rPr>
        <w:t>偏差率</w:t>
      </w:r>
      <w:r>
        <w:rPr>
          <w:rFonts w:hint="default"/>
          <w:color w:val="auto"/>
          <w:lang w:val="en-US" w:eastAsia="zh-CN"/>
        </w:rPr>
        <w:t>16.93</w:t>
      </w:r>
      <w:r>
        <w:rPr>
          <w:rFonts w:hint="default"/>
          <w:color w:val="auto"/>
        </w:rPr>
        <w:t>%</w:t>
      </w:r>
      <w:r>
        <w:rPr>
          <w:rFonts w:hint="default"/>
          <w:color w:val="auto"/>
          <w:lang w:eastAsia="zh-CN"/>
        </w:rPr>
        <w:t>；</w:t>
      </w:r>
      <w:r>
        <w:rPr>
          <w:rFonts w:hint="default"/>
          <w:color w:val="auto"/>
          <w:lang w:eastAsia="zh-CN" w:bidi="ar"/>
        </w:rPr>
        <w:t>吉木萨尔中等职业技术学校</w:t>
      </w:r>
      <w:r>
        <w:rPr>
          <w:rFonts w:hint="default"/>
          <w:color w:val="auto"/>
        </w:rPr>
        <w:t>申请</w:t>
      </w:r>
      <w:r>
        <w:rPr>
          <w:rFonts w:hint="default"/>
          <w:color w:val="auto"/>
          <w:lang w:eastAsia="zh-CN"/>
        </w:rPr>
        <w:t>化工及化工安全实训设备采购项目</w:t>
      </w:r>
      <w:r>
        <w:rPr>
          <w:rFonts w:hint="default"/>
          <w:color w:val="auto"/>
        </w:rPr>
        <w:t>采购计划，计划采购</w:t>
      </w:r>
      <w:r>
        <w:rPr>
          <w:rFonts w:hint="default"/>
          <w:color w:val="auto"/>
          <w:highlight w:val="none"/>
        </w:rPr>
        <w:t>金额</w:t>
      </w:r>
      <w:r>
        <w:rPr>
          <w:rFonts w:hint="default"/>
          <w:color w:val="auto"/>
          <w:highlight w:val="none"/>
          <w:lang w:val="en-US" w:eastAsia="zh-CN"/>
        </w:rPr>
        <w:t>500</w:t>
      </w:r>
      <w:r>
        <w:rPr>
          <w:rFonts w:hint="default"/>
          <w:color w:val="auto"/>
          <w:highlight w:val="none"/>
        </w:rPr>
        <w:t>.00万元，中标金额为</w:t>
      </w:r>
      <w:r>
        <w:rPr>
          <w:rFonts w:hint="default"/>
          <w:color w:val="auto"/>
          <w:highlight w:val="none"/>
          <w:lang w:val="en-US" w:eastAsia="zh-CN"/>
        </w:rPr>
        <w:t>428.60</w:t>
      </w:r>
      <w:r>
        <w:rPr>
          <w:rFonts w:hint="default"/>
          <w:color w:val="auto"/>
          <w:highlight w:val="none"/>
        </w:rPr>
        <w:t>万元，</w:t>
      </w:r>
      <w:r>
        <w:rPr>
          <w:rFonts w:hint="default"/>
          <w:color w:val="auto"/>
          <w:highlight w:val="none"/>
          <w:lang w:val="en-US" w:eastAsia="zh-CN"/>
        </w:rPr>
        <w:t>结余71.40万元，</w:t>
      </w:r>
      <w:r>
        <w:rPr>
          <w:rFonts w:hint="default"/>
          <w:color w:val="auto"/>
          <w:highlight w:val="none"/>
        </w:rPr>
        <w:t>偏差率</w:t>
      </w:r>
      <w:r>
        <w:rPr>
          <w:rFonts w:hint="default"/>
          <w:color w:val="auto"/>
          <w:highlight w:val="none"/>
          <w:lang w:val="en-US" w:eastAsia="zh-CN"/>
        </w:rPr>
        <w:t>14.28</w:t>
      </w:r>
      <w:r>
        <w:rPr>
          <w:rFonts w:hint="default"/>
          <w:color w:val="auto"/>
          <w:highlight w:val="none"/>
        </w:rPr>
        <w:t>%。</w:t>
      </w:r>
      <w:r>
        <w:rPr>
          <w:rFonts w:hint="default"/>
          <w:color w:val="auto"/>
          <w:highlight w:val="none"/>
          <w:lang w:val="en-US" w:eastAsia="zh-CN"/>
        </w:rPr>
        <w:t>经对比项目</w:t>
      </w:r>
      <w:r>
        <w:rPr>
          <w:rFonts w:hint="eastAsia"/>
          <w:color w:val="auto"/>
          <w:highlight w:val="none"/>
          <w:lang w:val="en-US" w:eastAsia="zh-CN"/>
        </w:rPr>
        <w:t>第一次</w:t>
      </w:r>
      <w:r>
        <w:rPr>
          <w:rFonts w:hint="default"/>
          <w:color w:val="auto"/>
          <w:highlight w:val="none"/>
          <w:lang w:val="en-US" w:eastAsia="zh-CN"/>
        </w:rPr>
        <w:t>采购计划清单和采购中标结果看，</w:t>
      </w:r>
      <w:r>
        <w:rPr>
          <w:rFonts w:hint="eastAsia"/>
          <w:color w:val="auto"/>
          <w:highlight w:val="none"/>
          <w:lang w:val="en-US" w:eastAsia="zh-CN"/>
        </w:rPr>
        <w:t>存在部分设备实际中标价格远低于采购计划的估算价格，导致项目首次采购完成后资金结余较多</w:t>
      </w:r>
      <w:r>
        <w:rPr>
          <w:rFonts w:hint="default"/>
          <w:color w:val="auto"/>
          <w:highlight w:val="none"/>
        </w:rPr>
        <w:t>。</w:t>
      </w:r>
      <w:r>
        <w:rPr>
          <w:rFonts w:hint="eastAsia"/>
          <w:color w:val="auto"/>
          <w:highlight w:val="none"/>
          <w:lang w:val="en-US" w:eastAsia="zh-CN"/>
        </w:rPr>
        <w:t>项目前期</w:t>
      </w:r>
      <w:r>
        <w:rPr>
          <w:rFonts w:hint="default"/>
          <w:color w:val="auto"/>
          <w:highlight w:val="none"/>
        </w:rPr>
        <w:t>采购计划论证不够充分，项目采购</w:t>
      </w:r>
      <w:r>
        <w:rPr>
          <w:rFonts w:hint="default"/>
          <w:color w:val="auto"/>
          <w:highlight w:val="none"/>
          <w:lang w:val="en-US" w:eastAsia="zh-CN"/>
        </w:rPr>
        <w:t>预算</w:t>
      </w:r>
      <w:r>
        <w:rPr>
          <w:rFonts w:hint="default"/>
          <w:color w:val="auto"/>
          <w:highlight w:val="none"/>
        </w:rPr>
        <w:t>需求计划不够准确，扣</w:t>
      </w:r>
      <w:r>
        <w:rPr>
          <w:rFonts w:hint="default"/>
          <w:color w:val="auto"/>
          <w:highlight w:val="none"/>
          <w:lang w:val="en-US" w:eastAsia="zh-CN"/>
        </w:rPr>
        <w:t>1.00</w:t>
      </w:r>
      <w:r>
        <w:rPr>
          <w:rFonts w:hint="default"/>
          <w:color w:val="auto"/>
          <w:highlight w:val="none"/>
        </w:rPr>
        <w:t>分。</w:t>
      </w:r>
    </w:p>
    <w:p w14:paraId="0D47BC4D">
      <w:pPr>
        <w:ind w:firstLine="420"/>
        <w:rPr>
          <w:color w:val="auto"/>
        </w:rPr>
      </w:pPr>
      <w:r>
        <w:rPr>
          <w:rFonts w:eastAsia="宋体"/>
          <w:color w:val="auto"/>
        </w:rPr>
        <w:t>该指标满分为</w:t>
      </w:r>
      <w:r>
        <w:rPr>
          <w:rFonts w:hint="default" w:eastAsia="宋体"/>
          <w:color w:val="auto"/>
        </w:rPr>
        <w:t>1.50</w:t>
      </w:r>
      <w:r>
        <w:rPr>
          <w:rFonts w:eastAsia="宋体"/>
          <w:color w:val="auto"/>
        </w:rPr>
        <w:t>分，根据评分标准得</w:t>
      </w:r>
      <w:r>
        <w:rPr>
          <w:rFonts w:hint="default" w:eastAsia="宋体"/>
          <w:color w:val="auto"/>
          <w:lang w:val="en-US" w:eastAsia="zh-CN"/>
        </w:rPr>
        <w:t>0.50</w:t>
      </w:r>
      <w:r>
        <w:rPr>
          <w:rFonts w:eastAsia="宋体"/>
          <w:color w:val="auto"/>
        </w:rPr>
        <w:t>分。</w:t>
      </w:r>
    </w:p>
    <w:p w14:paraId="090F1D9F">
      <w:pPr>
        <w:widowControl/>
        <w:ind w:firstLine="422"/>
        <w:jc w:val="left"/>
        <w:rPr>
          <w:rFonts w:eastAsia="宋体"/>
          <w:color w:val="auto"/>
        </w:rPr>
      </w:pPr>
      <w:r>
        <w:rPr>
          <w:rFonts w:eastAsia="宋体"/>
          <w:b/>
          <w:bCs/>
          <w:color w:val="auto"/>
        </w:rPr>
        <w:t>（6）A32资金分配合理性</w:t>
      </w:r>
      <w:r>
        <w:rPr>
          <w:rFonts w:hint="default" w:eastAsia="宋体"/>
          <w:b/>
          <w:bCs/>
          <w:color w:val="auto"/>
        </w:rPr>
        <w:t>指标</w:t>
      </w:r>
      <w:r>
        <w:rPr>
          <w:rFonts w:eastAsia="宋体"/>
          <w:b/>
          <w:bCs/>
          <w:color w:val="auto"/>
        </w:rPr>
        <w:t>：</w:t>
      </w:r>
    </w:p>
    <w:p w14:paraId="2AEF1435">
      <w:pPr>
        <w:ind w:firstLine="420"/>
        <w:rPr>
          <w:color w:val="auto"/>
        </w:rPr>
      </w:pPr>
      <w:r>
        <w:rPr>
          <w:rFonts w:eastAsia="宋体"/>
          <w:color w:val="auto"/>
        </w:rPr>
        <w:t>根据</w:t>
      </w:r>
      <w:r>
        <w:rPr>
          <w:rFonts w:hint="default"/>
          <w:color w:val="auto"/>
        </w:rPr>
        <w:t>《</w:t>
      </w:r>
      <w:r>
        <w:rPr>
          <w:rFonts w:hint="default"/>
          <w:color w:val="auto"/>
          <w:lang w:eastAsia="zh-CN"/>
        </w:rPr>
        <w:t>2024</w:t>
      </w:r>
      <w:r>
        <w:rPr>
          <w:rFonts w:hint="default"/>
          <w:color w:val="auto"/>
        </w:rPr>
        <w:t>年职业教育建设项目申报书（实训基地建设项目）》</w:t>
      </w:r>
      <w:r>
        <w:rPr>
          <w:rFonts w:hint="default"/>
          <w:color w:val="auto"/>
          <w:lang w:eastAsia="zh-CN"/>
        </w:rPr>
        <w:t>《关于拨付2024年现代职业教育质量提升计划专项资金的通知》（新财教〔2023〕103号）</w:t>
      </w:r>
      <w:r>
        <w:rPr>
          <w:rFonts w:hint="default"/>
          <w:color w:val="auto"/>
        </w:rPr>
        <w:t>等资料可知，项目</w:t>
      </w:r>
      <w:r>
        <w:rPr>
          <w:rFonts w:eastAsia="宋体"/>
          <w:color w:val="auto"/>
        </w:rPr>
        <w:t>预算资金</w:t>
      </w:r>
      <w:r>
        <w:rPr>
          <w:rFonts w:hint="default" w:eastAsia="宋体"/>
          <w:color w:val="auto"/>
        </w:rPr>
        <w:t>做了详细的计划，</w:t>
      </w:r>
      <w:r>
        <w:rPr>
          <w:rFonts w:hint="default" w:eastAsia="宋体"/>
          <w:color w:val="auto"/>
          <w:lang w:val="en-US" w:eastAsia="zh-CN"/>
        </w:rPr>
        <w:t>自治区教育厅和财政厅</w:t>
      </w:r>
      <w:r>
        <w:rPr>
          <w:rFonts w:hint="default" w:eastAsia="宋体"/>
          <w:color w:val="auto"/>
        </w:rPr>
        <w:t>按照项目实施单位</w:t>
      </w:r>
      <w:r>
        <w:rPr>
          <w:rFonts w:hint="default" w:eastAsia="宋体"/>
          <w:color w:val="auto"/>
          <w:lang w:val="en-US" w:eastAsia="zh-CN"/>
        </w:rPr>
        <w:t>申报预算金额批复下达项目资金700.00万元，其中：</w:t>
      </w:r>
      <w:r>
        <w:rPr>
          <w:rFonts w:hint="default"/>
          <w:color w:val="auto"/>
          <w:lang w:val="en-US" w:eastAsia="zh-CN"/>
        </w:rPr>
        <w:t>化工及化工安全实训基地建设资金500.00万元，电商及直播运营实训基地建设资金200.00万元</w:t>
      </w:r>
      <w:r>
        <w:rPr>
          <w:rFonts w:hint="default" w:eastAsia="宋体"/>
          <w:color w:val="auto"/>
          <w:lang w:eastAsia="zh-CN"/>
        </w:rPr>
        <w:t>。</w:t>
      </w:r>
      <w:r>
        <w:rPr>
          <w:rFonts w:eastAsia="宋体"/>
          <w:color w:val="auto"/>
        </w:rPr>
        <w:t>资金分配额度合理，与项目单位</w:t>
      </w:r>
      <w:r>
        <w:rPr>
          <w:rFonts w:hint="default" w:eastAsia="宋体"/>
          <w:color w:val="auto"/>
          <w:lang w:val="en-US" w:eastAsia="zh-CN"/>
        </w:rPr>
        <w:t>申报的预算金额相匹配</w:t>
      </w:r>
      <w:r>
        <w:rPr>
          <w:rFonts w:eastAsia="宋体"/>
          <w:color w:val="auto"/>
        </w:rPr>
        <w:t>。</w:t>
      </w:r>
    </w:p>
    <w:p w14:paraId="7A9D3E8B">
      <w:pPr>
        <w:ind w:firstLine="420"/>
        <w:rPr>
          <w:rFonts w:eastAsia="宋体"/>
          <w:color w:val="auto"/>
        </w:rPr>
      </w:pPr>
      <w:r>
        <w:rPr>
          <w:color w:val="auto"/>
        </w:rPr>
        <w:t>该指标满分为</w:t>
      </w:r>
      <w:r>
        <w:rPr>
          <w:rFonts w:hint="default"/>
          <w:color w:val="auto"/>
        </w:rPr>
        <w:t>1.50</w:t>
      </w:r>
      <w:r>
        <w:rPr>
          <w:color w:val="auto"/>
        </w:rPr>
        <w:t>分，根据评分标准得</w:t>
      </w:r>
      <w:r>
        <w:rPr>
          <w:rFonts w:hint="default"/>
          <w:color w:val="auto"/>
        </w:rPr>
        <w:t>1.50</w:t>
      </w:r>
      <w:r>
        <w:rPr>
          <w:color w:val="auto"/>
        </w:rPr>
        <w:t>分</w:t>
      </w:r>
      <w:r>
        <w:rPr>
          <w:rFonts w:eastAsia="宋体"/>
          <w:color w:val="auto"/>
        </w:rPr>
        <w:t>。</w:t>
      </w:r>
    </w:p>
    <w:p w14:paraId="768A5488">
      <w:pPr>
        <w:pStyle w:val="3"/>
        <w:ind w:firstLine="482"/>
        <w:rPr>
          <w:rFonts w:ascii="Times New Roman" w:hAnsi="Times New Roman"/>
          <w:color w:val="auto"/>
        </w:rPr>
      </w:pPr>
      <w:bookmarkStart w:id="88" w:name="_Toc1204"/>
      <w:r>
        <w:rPr>
          <w:rFonts w:ascii="Times New Roman" w:hAnsi="Times New Roman"/>
          <w:color w:val="auto"/>
        </w:rPr>
        <w:t>（二）项目过程情况</w:t>
      </w:r>
      <w:bookmarkEnd w:id="88"/>
    </w:p>
    <w:p w14:paraId="3C38288E">
      <w:pPr>
        <w:ind w:firstLine="420" w:firstLineChars="200"/>
        <w:jc w:val="left"/>
        <w:rPr>
          <w:rFonts w:eastAsia="黑体"/>
          <w:color w:val="auto"/>
          <w:szCs w:val="16"/>
        </w:rPr>
      </w:pPr>
      <w:r>
        <w:rPr>
          <w:rFonts w:eastAsia="宋体"/>
          <w:color w:val="auto"/>
        </w:rPr>
        <w:t>项目过程类指标由2个二级指标和5个三级指标构成，权重分25.00分，实际得分</w:t>
      </w:r>
      <w:r>
        <w:rPr>
          <w:rFonts w:hint="default" w:eastAsia="宋体"/>
          <w:color w:val="auto"/>
          <w:lang w:val="en-US" w:eastAsia="zh-CN"/>
        </w:rPr>
        <w:t>2</w:t>
      </w:r>
      <w:r>
        <w:rPr>
          <w:rFonts w:hint="eastAsia" w:eastAsia="宋体"/>
          <w:color w:val="auto"/>
          <w:lang w:val="en-US" w:eastAsia="zh-CN"/>
        </w:rPr>
        <w:t>2</w:t>
      </w:r>
      <w:r>
        <w:rPr>
          <w:rFonts w:hint="default" w:eastAsia="宋体"/>
          <w:color w:val="auto"/>
          <w:lang w:val="en-US" w:eastAsia="zh-CN"/>
        </w:rPr>
        <w:t>.00</w:t>
      </w:r>
      <w:r>
        <w:rPr>
          <w:rFonts w:eastAsia="宋体"/>
          <w:color w:val="auto"/>
        </w:rPr>
        <w:t>分，得分率为</w:t>
      </w:r>
      <w:r>
        <w:rPr>
          <w:rFonts w:hint="default" w:eastAsia="宋体"/>
          <w:color w:val="auto"/>
          <w:lang w:val="en-US" w:eastAsia="zh-CN"/>
        </w:rPr>
        <w:t>88</w:t>
      </w:r>
      <w:r>
        <w:rPr>
          <w:rFonts w:hint="default" w:eastAsia="宋体"/>
          <w:color w:val="auto"/>
        </w:rPr>
        <w:t>.00</w:t>
      </w:r>
      <w:r>
        <w:rPr>
          <w:rFonts w:eastAsia="宋体"/>
          <w:color w:val="auto"/>
        </w:rPr>
        <w:t>%。各指标业绩值和绩效分值如下表所示：</w:t>
      </w:r>
    </w:p>
    <w:p w14:paraId="0D7B29BC">
      <w:pPr>
        <w:ind w:firstLine="0" w:firstLineChars="0"/>
        <w:jc w:val="center"/>
        <w:rPr>
          <w:rFonts w:eastAsia="黑体"/>
          <w:color w:val="auto"/>
          <w:szCs w:val="16"/>
        </w:rPr>
      </w:pPr>
      <w:r>
        <w:rPr>
          <w:rFonts w:eastAsia="黑体"/>
          <w:color w:val="auto"/>
          <w:szCs w:val="16"/>
        </w:rPr>
        <w:t>表</w:t>
      </w:r>
      <w:r>
        <w:rPr>
          <w:rFonts w:hint="default" w:eastAsia="黑体"/>
          <w:color w:val="auto"/>
          <w:szCs w:val="16"/>
        </w:rPr>
        <w:t>5</w:t>
      </w:r>
      <w:r>
        <w:rPr>
          <w:rFonts w:eastAsia="黑体"/>
          <w:color w:val="auto"/>
          <w:szCs w:val="16"/>
        </w:rPr>
        <w:t>-2：项目过程类指标及分值</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963"/>
        <w:gridCol w:w="1160"/>
        <w:gridCol w:w="1962"/>
        <w:gridCol w:w="896"/>
        <w:gridCol w:w="1103"/>
        <w:gridCol w:w="754"/>
        <w:gridCol w:w="682"/>
        <w:gridCol w:w="832"/>
      </w:tblGrid>
      <w:tr w14:paraId="0B570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tblHeader/>
          <w:jc w:val="center"/>
        </w:trPr>
        <w:tc>
          <w:tcPr>
            <w:tcW w:w="576" w:type="pct"/>
            <w:vAlign w:val="center"/>
          </w:tcPr>
          <w:p w14:paraId="106F9671">
            <w:pPr>
              <w:widowControl/>
              <w:spacing w:line="240" w:lineRule="auto"/>
              <w:ind w:firstLine="0" w:firstLineChars="0"/>
              <w:jc w:val="center"/>
              <w:textAlignment w:val="center"/>
              <w:rPr>
                <w:rFonts w:eastAsia="宋体"/>
                <w:b/>
                <w:color w:val="auto"/>
              </w:rPr>
            </w:pPr>
            <w:r>
              <w:rPr>
                <w:rFonts w:eastAsia="宋体"/>
                <w:b/>
                <w:color w:val="auto"/>
                <w:kern w:val="0"/>
                <w:lang w:bidi="ar"/>
              </w:rPr>
              <w:t>一级指标</w:t>
            </w:r>
          </w:p>
        </w:tc>
        <w:tc>
          <w:tcPr>
            <w:tcW w:w="694" w:type="pct"/>
            <w:vAlign w:val="center"/>
          </w:tcPr>
          <w:p w14:paraId="40C7DA8C">
            <w:pPr>
              <w:widowControl/>
              <w:spacing w:line="240" w:lineRule="auto"/>
              <w:ind w:firstLine="0" w:firstLineChars="0"/>
              <w:jc w:val="center"/>
              <w:textAlignment w:val="center"/>
              <w:rPr>
                <w:rFonts w:eastAsia="宋体"/>
                <w:b/>
                <w:color w:val="auto"/>
              </w:rPr>
            </w:pPr>
            <w:r>
              <w:rPr>
                <w:rFonts w:eastAsia="宋体"/>
                <w:b/>
                <w:color w:val="auto"/>
                <w:kern w:val="0"/>
                <w:lang w:bidi="ar"/>
              </w:rPr>
              <w:t>二级指标</w:t>
            </w:r>
          </w:p>
        </w:tc>
        <w:tc>
          <w:tcPr>
            <w:tcW w:w="1173" w:type="pct"/>
            <w:vAlign w:val="center"/>
          </w:tcPr>
          <w:p w14:paraId="1BD9D0E1">
            <w:pPr>
              <w:widowControl/>
              <w:spacing w:line="240" w:lineRule="auto"/>
              <w:ind w:firstLine="0" w:firstLineChars="0"/>
              <w:jc w:val="center"/>
              <w:textAlignment w:val="center"/>
              <w:rPr>
                <w:rFonts w:eastAsia="宋体"/>
                <w:b/>
                <w:color w:val="auto"/>
              </w:rPr>
            </w:pPr>
            <w:r>
              <w:rPr>
                <w:rFonts w:eastAsia="宋体"/>
                <w:b/>
                <w:color w:val="auto"/>
                <w:kern w:val="0"/>
                <w:lang w:bidi="ar"/>
              </w:rPr>
              <w:t>三级指标</w:t>
            </w:r>
          </w:p>
        </w:tc>
        <w:tc>
          <w:tcPr>
            <w:tcW w:w="536" w:type="pct"/>
            <w:vAlign w:val="center"/>
          </w:tcPr>
          <w:p w14:paraId="6865B668">
            <w:pPr>
              <w:widowControl/>
              <w:spacing w:line="240" w:lineRule="auto"/>
              <w:ind w:firstLine="0" w:firstLineChars="0"/>
              <w:jc w:val="center"/>
              <w:textAlignment w:val="center"/>
              <w:rPr>
                <w:rFonts w:eastAsia="宋体"/>
                <w:b/>
                <w:color w:val="auto"/>
              </w:rPr>
            </w:pPr>
            <w:r>
              <w:rPr>
                <w:rFonts w:eastAsia="宋体"/>
                <w:b/>
                <w:color w:val="auto"/>
                <w:kern w:val="0"/>
                <w:lang w:bidi="ar"/>
              </w:rPr>
              <w:t>目标值</w:t>
            </w:r>
          </w:p>
        </w:tc>
        <w:tc>
          <w:tcPr>
            <w:tcW w:w="660" w:type="pct"/>
            <w:vAlign w:val="center"/>
          </w:tcPr>
          <w:p w14:paraId="62525441">
            <w:pPr>
              <w:widowControl/>
              <w:spacing w:line="240" w:lineRule="auto"/>
              <w:ind w:firstLine="0" w:firstLineChars="0"/>
              <w:textAlignment w:val="center"/>
              <w:rPr>
                <w:rFonts w:eastAsia="宋体"/>
                <w:b/>
                <w:color w:val="auto"/>
                <w:kern w:val="0"/>
                <w:lang w:bidi="ar"/>
              </w:rPr>
            </w:pPr>
            <w:r>
              <w:rPr>
                <w:rFonts w:eastAsia="宋体"/>
                <w:b/>
                <w:color w:val="auto"/>
                <w:kern w:val="0"/>
                <w:lang w:bidi="ar"/>
              </w:rPr>
              <w:t>实际完成值</w:t>
            </w:r>
          </w:p>
        </w:tc>
        <w:tc>
          <w:tcPr>
            <w:tcW w:w="451" w:type="pct"/>
            <w:vAlign w:val="center"/>
          </w:tcPr>
          <w:p w14:paraId="3F503324">
            <w:pPr>
              <w:widowControl/>
              <w:spacing w:line="240" w:lineRule="auto"/>
              <w:ind w:firstLine="0" w:firstLineChars="0"/>
              <w:jc w:val="center"/>
              <w:textAlignment w:val="center"/>
              <w:rPr>
                <w:rFonts w:eastAsia="宋体"/>
                <w:b/>
                <w:color w:val="auto"/>
              </w:rPr>
            </w:pPr>
            <w:r>
              <w:rPr>
                <w:rFonts w:eastAsia="宋体"/>
                <w:b/>
                <w:color w:val="auto"/>
                <w:kern w:val="0"/>
                <w:lang w:bidi="ar"/>
              </w:rPr>
              <w:t>权重</w:t>
            </w:r>
          </w:p>
        </w:tc>
        <w:tc>
          <w:tcPr>
            <w:tcW w:w="408" w:type="pct"/>
            <w:vAlign w:val="center"/>
          </w:tcPr>
          <w:p w14:paraId="4F2070D2">
            <w:pPr>
              <w:widowControl/>
              <w:spacing w:line="240" w:lineRule="auto"/>
              <w:ind w:firstLine="0" w:firstLineChars="0"/>
              <w:jc w:val="center"/>
              <w:textAlignment w:val="center"/>
              <w:rPr>
                <w:rFonts w:eastAsia="宋体"/>
                <w:b/>
                <w:color w:val="auto"/>
              </w:rPr>
            </w:pPr>
            <w:r>
              <w:rPr>
                <w:rFonts w:eastAsia="宋体"/>
                <w:b/>
                <w:color w:val="auto"/>
                <w:kern w:val="0"/>
                <w:lang w:bidi="ar"/>
              </w:rPr>
              <w:t>得分</w:t>
            </w:r>
          </w:p>
        </w:tc>
        <w:tc>
          <w:tcPr>
            <w:tcW w:w="498" w:type="pct"/>
            <w:vAlign w:val="center"/>
          </w:tcPr>
          <w:p w14:paraId="78D16C36">
            <w:pPr>
              <w:widowControl/>
              <w:spacing w:line="240" w:lineRule="auto"/>
              <w:ind w:firstLine="0" w:firstLineChars="0"/>
              <w:jc w:val="center"/>
              <w:textAlignment w:val="center"/>
              <w:rPr>
                <w:rFonts w:eastAsia="宋体"/>
                <w:b/>
                <w:color w:val="auto"/>
                <w:kern w:val="0"/>
                <w:lang w:bidi="ar"/>
              </w:rPr>
            </w:pPr>
            <w:r>
              <w:rPr>
                <w:rFonts w:eastAsia="宋体"/>
                <w:b/>
                <w:color w:val="auto"/>
                <w:kern w:val="0"/>
                <w:lang w:bidi="ar"/>
              </w:rPr>
              <w:t>得分率</w:t>
            </w:r>
          </w:p>
        </w:tc>
      </w:tr>
      <w:tr w14:paraId="244D0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6" w:type="pct"/>
            <w:vMerge w:val="restart"/>
            <w:vAlign w:val="center"/>
          </w:tcPr>
          <w:p w14:paraId="49DF4372">
            <w:pPr>
              <w:widowControl/>
              <w:spacing w:line="240" w:lineRule="auto"/>
              <w:ind w:firstLine="0" w:firstLineChars="0"/>
              <w:jc w:val="center"/>
              <w:rPr>
                <w:rFonts w:eastAsia="宋体"/>
                <w:color w:val="auto"/>
              </w:rPr>
            </w:pPr>
            <w:r>
              <w:rPr>
                <w:rFonts w:eastAsia="宋体"/>
                <w:color w:val="auto"/>
              </w:rPr>
              <w:t>B过程</w:t>
            </w:r>
            <w:r>
              <w:rPr>
                <w:rFonts w:eastAsia="宋体"/>
                <w:color w:val="auto"/>
              </w:rPr>
              <w:br w:type="textWrapping"/>
            </w:r>
            <w:r>
              <w:rPr>
                <w:rFonts w:eastAsia="宋体"/>
                <w:color w:val="auto"/>
              </w:rPr>
              <w:t>（25.00分）</w:t>
            </w:r>
          </w:p>
        </w:tc>
        <w:tc>
          <w:tcPr>
            <w:tcW w:w="694" w:type="pct"/>
            <w:vMerge w:val="restart"/>
            <w:vAlign w:val="center"/>
          </w:tcPr>
          <w:p w14:paraId="3203EB86">
            <w:pPr>
              <w:widowControl/>
              <w:spacing w:line="240" w:lineRule="auto"/>
              <w:ind w:firstLine="0" w:firstLineChars="0"/>
              <w:jc w:val="left"/>
              <w:rPr>
                <w:rFonts w:eastAsia="宋体"/>
                <w:color w:val="auto"/>
              </w:rPr>
            </w:pPr>
            <w:r>
              <w:rPr>
                <w:rFonts w:eastAsia="宋体"/>
                <w:color w:val="auto"/>
              </w:rPr>
              <w:t>B1资金管理（13.00分）　</w:t>
            </w:r>
          </w:p>
        </w:tc>
        <w:tc>
          <w:tcPr>
            <w:tcW w:w="1173" w:type="pct"/>
            <w:vAlign w:val="center"/>
          </w:tcPr>
          <w:p w14:paraId="76BFFF1F">
            <w:pPr>
              <w:widowControl/>
              <w:spacing w:line="240" w:lineRule="auto"/>
              <w:ind w:firstLine="0" w:firstLineChars="0"/>
              <w:jc w:val="left"/>
              <w:rPr>
                <w:rFonts w:eastAsia="宋体"/>
                <w:color w:val="auto"/>
              </w:rPr>
            </w:pPr>
            <w:r>
              <w:rPr>
                <w:rFonts w:eastAsia="宋体"/>
                <w:color w:val="auto"/>
              </w:rPr>
              <w:t>B11资金到位率</w:t>
            </w:r>
          </w:p>
        </w:tc>
        <w:tc>
          <w:tcPr>
            <w:tcW w:w="896" w:type="dxa"/>
            <w:vAlign w:val="center"/>
          </w:tcPr>
          <w:p w14:paraId="2EF250F2">
            <w:pPr>
              <w:widowControl/>
              <w:spacing w:line="240" w:lineRule="auto"/>
              <w:ind w:firstLine="0" w:firstLineChars="0"/>
              <w:jc w:val="center"/>
              <w:rPr>
                <w:rFonts w:eastAsia="宋体"/>
                <w:color w:val="auto"/>
              </w:rPr>
            </w:pPr>
            <w:r>
              <w:rPr>
                <w:rFonts w:hint="default" w:eastAsia="宋体"/>
                <w:color w:val="auto"/>
              </w:rPr>
              <w:t>100.00%</w:t>
            </w:r>
          </w:p>
        </w:tc>
        <w:tc>
          <w:tcPr>
            <w:tcW w:w="1103" w:type="dxa"/>
            <w:vAlign w:val="center"/>
          </w:tcPr>
          <w:p w14:paraId="31E9713C">
            <w:pPr>
              <w:widowControl/>
              <w:spacing w:line="240" w:lineRule="auto"/>
              <w:ind w:firstLine="0" w:firstLineChars="0"/>
              <w:jc w:val="center"/>
              <w:rPr>
                <w:rFonts w:eastAsia="宋体"/>
                <w:color w:val="auto"/>
              </w:rPr>
            </w:pPr>
            <w:r>
              <w:rPr>
                <w:rFonts w:hint="default" w:eastAsia="宋体"/>
                <w:color w:val="auto"/>
              </w:rPr>
              <w:t>100.00%</w:t>
            </w:r>
          </w:p>
        </w:tc>
        <w:tc>
          <w:tcPr>
            <w:tcW w:w="754" w:type="dxa"/>
            <w:vAlign w:val="center"/>
          </w:tcPr>
          <w:p w14:paraId="55EBEB2E">
            <w:pPr>
              <w:widowControl/>
              <w:spacing w:line="240" w:lineRule="auto"/>
              <w:ind w:firstLine="0" w:firstLineChars="0"/>
              <w:jc w:val="center"/>
              <w:rPr>
                <w:rFonts w:eastAsia="宋体"/>
                <w:color w:val="auto"/>
              </w:rPr>
            </w:pPr>
            <w:r>
              <w:rPr>
                <w:rFonts w:hint="default" w:eastAsia="宋体"/>
                <w:color w:val="auto"/>
              </w:rPr>
              <w:t xml:space="preserve">3.00 </w:t>
            </w:r>
          </w:p>
        </w:tc>
        <w:tc>
          <w:tcPr>
            <w:tcW w:w="682" w:type="dxa"/>
            <w:vAlign w:val="center"/>
          </w:tcPr>
          <w:p w14:paraId="6F5A826C">
            <w:pPr>
              <w:widowControl/>
              <w:spacing w:line="240" w:lineRule="auto"/>
              <w:ind w:firstLine="0" w:firstLineChars="0"/>
              <w:jc w:val="center"/>
              <w:rPr>
                <w:rFonts w:eastAsia="宋体"/>
                <w:color w:val="auto"/>
              </w:rPr>
            </w:pPr>
            <w:r>
              <w:rPr>
                <w:rFonts w:hint="default" w:eastAsia="宋体"/>
                <w:color w:val="auto"/>
              </w:rPr>
              <w:t xml:space="preserve">3.00 </w:t>
            </w:r>
          </w:p>
        </w:tc>
        <w:tc>
          <w:tcPr>
            <w:tcW w:w="832" w:type="dxa"/>
            <w:vAlign w:val="center"/>
          </w:tcPr>
          <w:p w14:paraId="104F8379">
            <w:pPr>
              <w:widowControl/>
              <w:spacing w:line="240" w:lineRule="auto"/>
              <w:ind w:firstLine="0" w:firstLineChars="0"/>
              <w:jc w:val="center"/>
              <w:rPr>
                <w:rFonts w:eastAsia="宋体"/>
                <w:color w:val="auto"/>
              </w:rPr>
            </w:pPr>
            <w:r>
              <w:rPr>
                <w:rFonts w:hint="default" w:eastAsia="宋体"/>
                <w:color w:val="auto"/>
              </w:rPr>
              <w:t>100.00%</w:t>
            </w:r>
          </w:p>
        </w:tc>
      </w:tr>
      <w:tr w14:paraId="3BD92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6" w:type="pct"/>
            <w:vMerge w:val="continue"/>
            <w:vAlign w:val="center"/>
          </w:tcPr>
          <w:p w14:paraId="0812A013">
            <w:pPr>
              <w:widowControl/>
              <w:spacing w:line="240" w:lineRule="auto"/>
              <w:ind w:firstLine="0" w:firstLineChars="0"/>
              <w:jc w:val="center"/>
              <w:rPr>
                <w:rFonts w:eastAsia="宋体"/>
                <w:color w:val="auto"/>
              </w:rPr>
            </w:pPr>
          </w:p>
        </w:tc>
        <w:tc>
          <w:tcPr>
            <w:tcW w:w="694" w:type="pct"/>
            <w:vMerge w:val="continue"/>
            <w:vAlign w:val="center"/>
          </w:tcPr>
          <w:p w14:paraId="3BBF78FC">
            <w:pPr>
              <w:widowControl/>
              <w:spacing w:line="240" w:lineRule="auto"/>
              <w:ind w:firstLine="0" w:firstLineChars="0"/>
              <w:jc w:val="left"/>
              <w:rPr>
                <w:rFonts w:eastAsia="宋体"/>
                <w:color w:val="auto"/>
              </w:rPr>
            </w:pPr>
          </w:p>
        </w:tc>
        <w:tc>
          <w:tcPr>
            <w:tcW w:w="1173" w:type="pct"/>
            <w:vAlign w:val="center"/>
          </w:tcPr>
          <w:p w14:paraId="079ACE1C">
            <w:pPr>
              <w:widowControl/>
              <w:spacing w:line="240" w:lineRule="auto"/>
              <w:ind w:firstLine="0" w:firstLineChars="0"/>
              <w:jc w:val="left"/>
              <w:rPr>
                <w:rFonts w:eastAsia="宋体"/>
                <w:color w:val="auto"/>
              </w:rPr>
            </w:pPr>
            <w:r>
              <w:rPr>
                <w:rFonts w:eastAsia="宋体"/>
                <w:color w:val="auto"/>
              </w:rPr>
              <w:t>B</w:t>
            </w:r>
            <w:r>
              <w:rPr>
                <w:rFonts w:hint="default" w:eastAsia="宋体"/>
                <w:color w:val="auto"/>
                <w:lang w:val="en-US" w:eastAsia="zh-CN"/>
              </w:rPr>
              <w:t>12</w:t>
            </w:r>
            <w:r>
              <w:rPr>
                <w:rFonts w:eastAsia="宋体"/>
                <w:color w:val="auto"/>
              </w:rPr>
              <w:t>预算执行率</w:t>
            </w:r>
          </w:p>
        </w:tc>
        <w:tc>
          <w:tcPr>
            <w:tcW w:w="896" w:type="dxa"/>
            <w:vAlign w:val="center"/>
          </w:tcPr>
          <w:p w14:paraId="1D5CBD23">
            <w:pPr>
              <w:widowControl/>
              <w:spacing w:line="240" w:lineRule="auto"/>
              <w:ind w:firstLine="0" w:firstLineChars="0"/>
              <w:jc w:val="center"/>
              <w:rPr>
                <w:rFonts w:hint="default" w:eastAsia="宋体"/>
                <w:color w:val="auto"/>
              </w:rPr>
            </w:pPr>
            <w:r>
              <w:rPr>
                <w:rFonts w:hint="default" w:eastAsia="宋体"/>
                <w:color w:val="auto"/>
              </w:rPr>
              <w:t>100.00%</w:t>
            </w:r>
          </w:p>
        </w:tc>
        <w:tc>
          <w:tcPr>
            <w:tcW w:w="1103" w:type="dxa"/>
            <w:vAlign w:val="center"/>
          </w:tcPr>
          <w:p w14:paraId="1942D4B9">
            <w:pPr>
              <w:widowControl/>
              <w:spacing w:line="240" w:lineRule="auto"/>
              <w:ind w:firstLine="0" w:firstLineChars="0"/>
              <w:jc w:val="center"/>
              <w:rPr>
                <w:rFonts w:hint="default" w:eastAsia="宋体"/>
                <w:color w:val="auto"/>
              </w:rPr>
            </w:pPr>
            <w:r>
              <w:rPr>
                <w:rFonts w:hint="default" w:eastAsia="宋体"/>
                <w:color w:val="auto"/>
              </w:rPr>
              <w:t>100.00%</w:t>
            </w:r>
          </w:p>
        </w:tc>
        <w:tc>
          <w:tcPr>
            <w:tcW w:w="754" w:type="dxa"/>
            <w:vAlign w:val="center"/>
          </w:tcPr>
          <w:p w14:paraId="5A547E3A">
            <w:pPr>
              <w:widowControl/>
              <w:spacing w:line="240" w:lineRule="auto"/>
              <w:ind w:firstLine="0" w:firstLineChars="0"/>
              <w:jc w:val="center"/>
              <w:rPr>
                <w:rFonts w:eastAsia="宋体"/>
                <w:color w:val="auto"/>
              </w:rPr>
            </w:pPr>
            <w:r>
              <w:rPr>
                <w:rFonts w:hint="default" w:eastAsia="宋体"/>
                <w:color w:val="auto"/>
              </w:rPr>
              <w:t xml:space="preserve">5.00 </w:t>
            </w:r>
          </w:p>
        </w:tc>
        <w:tc>
          <w:tcPr>
            <w:tcW w:w="682" w:type="dxa"/>
            <w:vAlign w:val="center"/>
          </w:tcPr>
          <w:p w14:paraId="329C4C8A">
            <w:pPr>
              <w:widowControl/>
              <w:spacing w:line="240" w:lineRule="auto"/>
              <w:ind w:firstLine="0" w:firstLineChars="0"/>
              <w:jc w:val="center"/>
              <w:rPr>
                <w:rFonts w:eastAsia="宋体"/>
                <w:color w:val="auto"/>
              </w:rPr>
            </w:pPr>
            <w:r>
              <w:rPr>
                <w:rFonts w:hint="default" w:eastAsia="宋体"/>
                <w:color w:val="auto"/>
              </w:rPr>
              <w:t xml:space="preserve">5.00 </w:t>
            </w:r>
          </w:p>
        </w:tc>
        <w:tc>
          <w:tcPr>
            <w:tcW w:w="832" w:type="dxa"/>
            <w:vAlign w:val="center"/>
          </w:tcPr>
          <w:p w14:paraId="4334C2D8">
            <w:pPr>
              <w:widowControl/>
              <w:spacing w:line="240" w:lineRule="auto"/>
              <w:ind w:firstLine="0" w:firstLineChars="0"/>
              <w:jc w:val="center"/>
              <w:rPr>
                <w:rFonts w:eastAsia="宋体"/>
                <w:color w:val="auto"/>
              </w:rPr>
            </w:pPr>
            <w:r>
              <w:rPr>
                <w:rFonts w:hint="default" w:eastAsia="宋体"/>
                <w:color w:val="auto"/>
              </w:rPr>
              <w:t>100.00%</w:t>
            </w:r>
          </w:p>
        </w:tc>
      </w:tr>
      <w:tr w14:paraId="4230AB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6" w:type="pct"/>
            <w:vMerge w:val="continue"/>
            <w:vAlign w:val="center"/>
          </w:tcPr>
          <w:p w14:paraId="63FD443D">
            <w:pPr>
              <w:widowControl/>
              <w:spacing w:line="240" w:lineRule="auto"/>
              <w:ind w:firstLine="0" w:firstLineChars="0"/>
              <w:jc w:val="center"/>
              <w:rPr>
                <w:rFonts w:eastAsia="宋体"/>
                <w:color w:val="auto"/>
              </w:rPr>
            </w:pPr>
          </w:p>
        </w:tc>
        <w:tc>
          <w:tcPr>
            <w:tcW w:w="694" w:type="pct"/>
            <w:vMerge w:val="continue"/>
            <w:vAlign w:val="center"/>
          </w:tcPr>
          <w:p w14:paraId="77EF5E1A">
            <w:pPr>
              <w:widowControl/>
              <w:spacing w:line="240" w:lineRule="auto"/>
              <w:ind w:firstLine="0" w:firstLineChars="0"/>
              <w:jc w:val="left"/>
              <w:rPr>
                <w:rFonts w:eastAsia="宋体"/>
                <w:color w:val="auto"/>
              </w:rPr>
            </w:pPr>
          </w:p>
        </w:tc>
        <w:tc>
          <w:tcPr>
            <w:tcW w:w="1173" w:type="pct"/>
            <w:vAlign w:val="center"/>
          </w:tcPr>
          <w:p w14:paraId="2F7DB45F">
            <w:pPr>
              <w:widowControl/>
              <w:spacing w:line="240" w:lineRule="auto"/>
              <w:ind w:firstLine="0" w:firstLineChars="0"/>
              <w:jc w:val="left"/>
              <w:rPr>
                <w:rFonts w:eastAsia="宋体"/>
                <w:color w:val="auto"/>
              </w:rPr>
            </w:pPr>
            <w:r>
              <w:rPr>
                <w:rFonts w:eastAsia="宋体"/>
                <w:color w:val="auto"/>
              </w:rPr>
              <w:t>B13资金使用合规性</w:t>
            </w:r>
          </w:p>
        </w:tc>
        <w:tc>
          <w:tcPr>
            <w:tcW w:w="896" w:type="dxa"/>
            <w:vAlign w:val="center"/>
          </w:tcPr>
          <w:p w14:paraId="0A7AEDFE">
            <w:pPr>
              <w:widowControl/>
              <w:spacing w:line="240" w:lineRule="auto"/>
              <w:ind w:firstLine="0" w:firstLineChars="0"/>
              <w:jc w:val="center"/>
              <w:rPr>
                <w:rFonts w:eastAsia="宋体"/>
                <w:color w:val="auto"/>
              </w:rPr>
            </w:pPr>
            <w:r>
              <w:rPr>
                <w:rFonts w:hint="default" w:eastAsia="宋体"/>
                <w:color w:val="auto"/>
              </w:rPr>
              <w:t>合规</w:t>
            </w:r>
          </w:p>
        </w:tc>
        <w:tc>
          <w:tcPr>
            <w:tcW w:w="1103" w:type="dxa"/>
            <w:vAlign w:val="center"/>
          </w:tcPr>
          <w:p w14:paraId="2F617E35">
            <w:pPr>
              <w:widowControl/>
              <w:spacing w:line="240" w:lineRule="auto"/>
              <w:ind w:firstLine="0" w:firstLineChars="0"/>
              <w:jc w:val="center"/>
              <w:rPr>
                <w:rFonts w:eastAsia="宋体"/>
                <w:color w:val="auto"/>
              </w:rPr>
            </w:pPr>
            <w:r>
              <w:rPr>
                <w:rFonts w:hint="default" w:eastAsia="宋体"/>
                <w:color w:val="auto"/>
              </w:rPr>
              <w:t>合规</w:t>
            </w:r>
          </w:p>
        </w:tc>
        <w:tc>
          <w:tcPr>
            <w:tcW w:w="754" w:type="dxa"/>
            <w:vAlign w:val="center"/>
          </w:tcPr>
          <w:p w14:paraId="7D63D60E">
            <w:pPr>
              <w:widowControl/>
              <w:spacing w:line="240" w:lineRule="auto"/>
              <w:ind w:firstLine="0" w:firstLineChars="0"/>
              <w:jc w:val="center"/>
              <w:rPr>
                <w:rFonts w:eastAsia="宋体"/>
                <w:color w:val="auto"/>
              </w:rPr>
            </w:pPr>
            <w:r>
              <w:rPr>
                <w:rFonts w:hint="default" w:eastAsia="宋体"/>
                <w:color w:val="auto"/>
              </w:rPr>
              <w:t xml:space="preserve">5.00 </w:t>
            </w:r>
          </w:p>
        </w:tc>
        <w:tc>
          <w:tcPr>
            <w:tcW w:w="682" w:type="dxa"/>
            <w:vAlign w:val="center"/>
          </w:tcPr>
          <w:p w14:paraId="75FBCB57">
            <w:pPr>
              <w:widowControl/>
              <w:spacing w:line="240" w:lineRule="auto"/>
              <w:ind w:firstLine="0" w:firstLineChars="0"/>
              <w:jc w:val="center"/>
              <w:rPr>
                <w:rFonts w:eastAsia="宋体"/>
                <w:color w:val="auto"/>
              </w:rPr>
            </w:pPr>
            <w:r>
              <w:rPr>
                <w:rFonts w:hint="default" w:eastAsia="宋体"/>
                <w:color w:val="auto"/>
                <w:lang w:val="en-US" w:eastAsia="zh-CN"/>
              </w:rPr>
              <w:t>5.0</w:t>
            </w:r>
            <w:r>
              <w:rPr>
                <w:rFonts w:hint="default" w:eastAsia="宋体"/>
                <w:color w:val="auto"/>
              </w:rPr>
              <w:t xml:space="preserve">0 </w:t>
            </w:r>
          </w:p>
        </w:tc>
        <w:tc>
          <w:tcPr>
            <w:tcW w:w="832" w:type="dxa"/>
            <w:vAlign w:val="center"/>
          </w:tcPr>
          <w:p w14:paraId="56BB68AE">
            <w:pPr>
              <w:widowControl/>
              <w:spacing w:line="240" w:lineRule="auto"/>
              <w:ind w:firstLine="0" w:firstLineChars="0"/>
              <w:jc w:val="center"/>
              <w:rPr>
                <w:rFonts w:eastAsia="宋体"/>
                <w:color w:val="auto"/>
              </w:rPr>
            </w:pPr>
            <w:r>
              <w:rPr>
                <w:rFonts w:hint="default" w:eastAsia="宋体"/>
                <w:color w:val="auto"/>
                <w:lang w:val="en-US" w:eastAsia="zh-CN"/>
              </w:rPr>
              <w:t>10</w:t>
            </w:r>
            <w:r>
              <w:rPr>
                <w:rFonts w:hint="default" w:eastAsia="宋体"/>
                <w:color w:val="auto"/>
              </w:rPr>
              <w:t>0.00%</w:t>
            </w:r>
          </w:p>
        </w:tc>
      </w:tr>
      <w:tr w14:paraId="18DA5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6" w:type="pct"/>
            <w:vMerge w:val="continue"/>
            <w:vAlign w:val="center"/>
          </w:tcPr>
          <w:p w14:paraId="7E38BC13">
            <w:pPr>
              <w:widowControl/>
              <w:spacing w:line="240" w:lineRule="auto"/>
              <w:ind w:firstLine="0" w:firstLineChars="0"/>
              <w:jc w:val="center"/>
              <w:rPr>
                <w:rFonts w:eastAsia="宋体"/>
                <w:color w:val="auto"/>
              </w:rPr>
            </w:pPr>
          </w:p>
        </w:tc>
        <w:tc>
          <w:tcPr>
            <w:tcW w:w="694" w:type="pct"/>
            <w:vMerge w:val="restart"/>
            <w:vAlign w:val="center"/>
          </w:tcPr>
          <w:p w14:paraId="63D4C522">
            <w:pPr>
              <w:widowControl/>
              <w:spacing w:line="240" w:lineRule="auto"/>
              <w:ind w:firstLine="0" w:firstLineChars="0"/>
              <w:jc w:val="left"/>
              <w:rPr>
                <w:rFonts w:eastAsia="宋体"/>
                <w:color w:val="auto"/>
              </w:rPr>
            </w:pPr>
            <w:r>
              <w:rPr>
                <w:rFonts w:eastAsia="宋体"/>
                <w:color w:val="auto"/>
              </w:rPr>
              <w:t>B2组织实</w:t>
            </w:r>
          </w:p>
          <w:p w14:paraId="112A1AAD">
            <w:pPr>
              <w:widowControl/>
              <w:spacing w:line="240" w:lineRule="auto"/>
              <w:ind w:firstLine="0" w:firstLineChars="0"/>
              <w:jc w:val="left"/>
              <w:rPr>
                <w:rFonts w:eastAsia="宋体"/>
                <w:color w:val="auto"/>
              </w:rPr>
            </w:pPr>
            <w:r>
              <w:rPr>
                <w:rFonts w:eastAsia="宋体"/>
                <w:color w:val="auto"/>
              </w:rPr>
              <w:t>施（</w:t>
            </w:r>
            <w:r>
              <w:rPr>
                <w:rFonts w:hint="default" w:eastAsia="宋体"/>
                <w:color w:val="auto"/>
                <w:lang w:val="en-US" w:eastAsia="zh-CN"/>
              </w:rPr>
              <w:t>12</w:t>
            </w:r>
            <w:r>
              <w:rPr>
                <w:rFonts w:eastAsia="宋体"/>
                <w:color w:val="auto"/>
              </w:rPr>
              <w:t>.00分）　</w:t>
            </w:r>
          </w:p>
        </w:tc>
        <w:tc>
          <w:tcPr>
            <w:tcW w:w="1173" w:type="pct"/>
            <w:vAlign w:val="center"/>
          </w:tcPr>
          <w:p w14:paraId="02F30843">
            <w:pPr>
              <w:widowControl/>
              <w:spacing w:line="240" w:lineRule="auto"/>
              <w:ind w:firstLine="0" w:firstLineChars="0"/>
              <w:jc w:val="left"/>
              <w:rPr>
                <w:rFonts w:eastAsia="宋体"/>
                <w:color w:val="auto"/>
              </w:rPr>
            </w:pPr>
            <w:r>
              <w:rPr>
                <w:rFonts w:eastAsia="宋体"/>
                <w:color w:val="auto"/>
              </w:rPr>
              <w:t>B21管理制度健全性</w:t>
            </w:r>
          </w:p>
        </w:tc>
        <w:tc>
          <w:tcPr>
            <w:tcW w:w="896" w:type="dxa"/>
            <w:vAlign w:val="center"/>
          </w:tcPr>
          <w:p w14:paraId="77496DB6">
            <w:pPr>
              <w:widowControl/>
              <w:spacing w:line="240" w:lineRule="auto"/>
              <w:ind w:firstLine="0" w:firstLineChars="0"/>
              <w:jc w:val="center"/>
              <w:rPr>
                <w:rFonts w:eastAsia="宋体"/>
                <w:color w:val="auto"/>
              </w:rPr>
            </w:pPr>
            <w:r>
              <w:rPr>
                <w:rFonts w:hint="default" w:eastAsia="宋体"/>
                <w:color w:val="auto"/>
              </w:rPr>
              <w:t>健全</w:t>
            </w:r>
          </w:p>
        </w:tc>
        <w:tc>
          <w:tcPr>
            <w:tcW w:w="1103" w:type="dxa"/>
            <w:vAlign w:val="center"/>
          </w:tcPr>
          <w:p w14:paraId="70DBE4B2">
            <w:pPr>
              <w:widowControl/>
              <w:spacing w:line="240" w:lineRule="auto"/>
              <w:ind w:firstLine="0" w:firstLineChars="0"/>
              <w:jc w:val="center"/>
              <w:rPr>
                <w:rFonts w:eastAsia="宋体"/>
                <w:color w:val="auto"/>
              </w:rPr>
            </w:pPr>
            <w:r>
              <w:rPr>
                <w:rFonts w:hint="eastAsia" w:eastAsia="宋体"/>
                <w:color w:val="auto"/>
                <w:lang w:val="en-US" w:eastAsia="zh-CN"/>
              </w:rPr>
              <w:t>较</w:t>
            </w:r>
            <w:r>
              <w:rPr>
                <w:rFonts w:hint="default" w:eastAsia="宋体"/>
                <w:color w:val="auto"/>
              </w:rPr>
              <w:t>健全</w:t>
            </w:r>
          </w:p>
        </w:tc>
        <w:tc>
          <w:tcPr>
            <w:tcW w:w="754" w:type="dxa"/>
            <w:vAlign w:val="center"/>
          </w:tcPr>
          <w:p w14:paraId="03D553C7">
            <w:pPr>
              <w:widowControl/>
              <w:spacing w:line="240" w:lineRule="auto"/>
              <w:ind w:firstLine="0" w:firstLineChars="0"/>
              <w:jc w:val="center"/>
              <w:rPr>
                <w:rFonts w:eastAsia="宋体"/>
                <w:color w:val="auto"/>
              </w:rPr>
            </w:pPr>
            <w:r>
              <w:rPr>
                <w:rFonts w:hint="default" w:eastAsia="宋体"/>
                <w:color w:val="auto"/>
              </w:rPr>
              <w:t xml:space="preserve">4.00 </w:t>
            </w:r>
          </w:p>
        </w:tc>
        <w:tc>
          <w:tcPr>
            <w:tcW w:w="682" w:type="dxa"/>
            <w:vAlign w:val="center"/>
          </w:tcPr>
          <w:p w14:paraId="66F6DFE5">
            <w:pPr>
              <w:widowControl/>
              <w:spacing w:line="240" w:lineRule="auto"/>
              <w:ind w:firstLine="0" w:firstLineChars="0"/>
              <w:jc w:val="center"/>
              <w:rPr>
                <w:rFonts w:eastAsia="宋体"/>
                <w:color w:val="auto"/>
              </w:rPr>
            </w:pPr>
            <w:r>
              <w:rPr>
                <w:rFonts w:hint="default" w:eastAsia="宋体"/>
                <w:color w:val="auto"/>
                <w:lang w:val="en-US" w:eastAsia="zh-CN"/>
              </w:rPr>
              <w:t>3</w:t>
            </w:r>
            <w:r>
              <w:rPr>
                <w:rFonts w:hint="default" w:eastAsia="宋体"/>
                <w:color w:val="auto"/>
              </w:rPr>
              <w:t xml:space="preserve">.00 </w:t>
            </w:r>
          </w:p>
        </w:tc>
        <w:tc>
          <w:tcPr>
            <w:tcW w:w="832" w:type="dxa"/>
            <w:vAlign w:val="center"/>
          </w:tcPr>
          <w:p w14:paraId="57AD6A7B">
            <w:pPr>
              <w:widowControl/>
              <w:spacing w:line="240" w:lineRule="auto"/>
              <w:ind w:firstLine="0" w:firstLineChars="0"/>
              <w:jc w:val="center"/>
              <w:rPr>
                <w:rFonts w:eastAsia="宋体"/>
                <w:color w:val="auto"/>
              </w:rPr>
            </w:pPr>
            <w:r>
              <w:rPr>
                <w:rFonts w:hint="default" w:eastAsia="宋体"/>
                <w:color w:val="auto"/>
                <w:lang w:val="en-US" w:eastAsia="zh-CN"/>
              </w:rPr>
              <w:t>75</w:t>
            </w:r>
            <w:r>
              <w:rPr>
                <w:rFonts w:hint="default" w:eastAsia="宋体"/>
                <w:color w:val="auto"/>
              </w:rPr>
              <w:t>.00%</w:t>
            </w:r>
          </w:p>
        </w:tc>
      </w:tr>
      <w:tr w14:paraId="627EE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6" w:type="pct"/>
            <w:vMerge w:val="continue"/>
            <w:vAlign w:val="center"/>
          </w:tcPr>
          <w:p w14:paraId="1C54D354">
            <w:pPr>
              <w:widowControl/>
              <w:spacing w:line="240" w:lineRule="auto"/>
              <w:ind w:firstLine="0" w:firstLineChars="0"/>
              <w:jc w:val="center"/>
              <w:rPr>
                <w:rFonts w:eastAsia="宋体"/>
                <w:color w:val="auto"/>
              </w:rPr>
            </w:pPr>
          </w:p>
        </w:tc>
        <w:tc>
          <w:tcPr>
            <w:tcW w:w="694" w:type="pct"/>
            <w:vMerge w:val="continue"/>
            <w:vAlign w:val="center"/>
          </w:tcPr>
          <w:p w14:paraId="3C4F40C6">
            <w:pPr>
              <w:widowControl/>
              <w:spacing w:line="240" w:lineRule="auto"/>
              <w:ind w:firstLine="0" w:firstLineChars="0"/>
              <w:jc w:val="center"/>
              <w:rPr>
                <w:rFonts w:eastAsia="宋体"/>
                <w:color w:val="auto"/>
              </w:rPr>
            </w:pPr>
          </w:p>
        </w:tc>
        <w:tc>
          <w:tcPr>
            <w:tcW w:w="1173" w:type="pct"/>
            <w:vAlign w:val="center"/>
          </w:tcPr>
          <w:p w14:paraId="424377E5">
            <w:pPr>
              <w:widowControl/>
              <w:spacing w:line="240" w:lineRule="auto"/>
              <w:ind w:firstLine="0" w:firstLineChars="0"/>
              <w:jc w:val="left"/>
              <w:rPr>
                <w:rFonts w:eastAsia="宋体"/>
                <w:color w:val="auto"/>
              </w:rPr>
            </w:pPr>
            <w:r>
              <w:rPr>
                <w:rFonts w:eastAsia="宋体"/>
                <w:color w:val="auto"/>
              </w:rPr>
              <w:t>B22制度执行有效性</w:t>
            </w:r>
          </w:p>
        </w:tc>
        <w:tc>
          <w:tcPr>
            <w:tcW w:w="896" w:type="dxa"/>
            <w:vAlign w:val="center"/>
          </w:tcPr>
          <w:p w14:paraId="2F432423">
            <w:pPr>
              <w:widowControl/>
              <w:spacing w:line="240" w:lineRule="auto"/>
              <w:ind w:firstLine="0" w:firstLineChars="0"/>
              <w:jc w:val="center"/>
              <w:rPr>
                <w:rFonts w:eastAsia="宋体"/>
                <w:color w:val="auto"/>
              </w:rPr>
            </w:pPr>
            <w:r>
              <w:rPr>
                <w:rFonts w:hint="default" w:eastAsia="宋体"/>
                <w:color w:val="auto"/>
              </w:rPr>
              <w:t>有效</w:t>
            </w:r>
          </w:p>
        </w:tc>
        <w:tc>
          <w:tcPr>
            <w:tcW w:w="1103" w:type="dxa"/>
            <w:vAlign w:val="center"/>
          </w:tcPr>
          <w:p w14:paraId="7FD4A0F6">
            <w:pPr>
              <w:widowControl/>
              <w:spacing w:line="240" w:lineRule="auto"/>
              <w:ind w:firstLine="0" w:firstLineChars="0"/>
              <w:jc w:val="center"/>
              <w:rPr>
                <w:rFonts w:eastAsia="宋体"/>
                <w:color w:val="auto"/>
              </w:rPr>
            </w:pPr>
            <w:r>
              <w:rPr>
                <w:rFonts w:hint="default" w:eastAsia="宋体"/>
                <w:color w:val="auto"/>
              </w:rPr>
              <w:t>较有效</w:t>
            </w:r>
          </w:p>
        </w:tc>
        <w:tc>
          <w:tcPr>
            <w:tcW w:w="754" w:type="dxa"/>
            <w:vAlign w:val="center"/>
          </w:tcPr>
          <w:p w14:paraId="60759F53">
            <w:pPr>
              <w:widowControl/>
              <w:spacing w:line="240" w:lineRule="auto"/>
              <w:ind w:firstLine="0" w:firstLineChars="0"/>
              <w:jc w:val="center"/>
              <w:rPr>
                <w:rFonts w:eastAsia="宋体"/>
                <w:color w:val="auto"/>
              </w:rPr>
            </w:pPr>
            <w:r>
              <w:rPr>
                <w:rFonts w:hint="default" w:eastAsia="宋体"/>
                <w:color w:val="auto"/>
              </w:rPr>
              <w:t xml:space="preserve">8.00 </w:t>
            </w:r>
          </w:p>
        </w:tc>
        <w:tc>
          <w:tcPr>
            <w:tcW w:w="682" w:type="dxa"/>
            <w:vAlign w:val="center"/>
          </w:tcPr>
          <w:p w14:paraId="06BDBDCE">
            <w:pPr>
              <w:widowControl/>
              <w:spacing w:line="240" w:lineRule="auto"/>
              <w:ind w:firstLine="0" w:firstLineChars="0"/>
              <w:jc w:val="center"/>
              <w:rPr>
                <w:rFonts w:eastAsia="宋体"/>
                <w:color w:val="auto"/>
              </w:rPr>
            </w:pPr>
            <w:r>
              <w:rPr>
                <w:rFonts w:hint="default" w:eastAsia="宋体"/>
                <w:color w:val="auto"/>
                <w:lang w:val="en-US" w:eastAsia="zh-CN"/>
              </w:rPr>
              <w:t>6</w:t>
            </w:r>
            <w:r>
              <w:rPr>
                <w:rFonts w:hint="default" w:eastAsia="宋体"/>
                <w:color w:val="auto"/>
              </w:rPr>
              <w:t xml:space="preserve">.00 </w:t>
            </w:r>
          </w:p>
        </w:tc>
        <w:tc>
          <w:tcPr>
            <w:tcW w:w="832" w:type="dxa"/>
            <w:vAlign w:val="center"/>
          </w:tcPr>
          <w:p w14:paraId="583D106A">
            <w:pPr>
              <w:widowControl/>
              <w:spacing w:line="240" w:lineRule="auto"/>
              <w:ind w:firstLine="0" w:firstLineChars="0"/>
              <w:jc w:val="center"/>
              <w:rPr>
                <w:rFonts w:eastAsia="宋体"/>
                <w:color w:val="auto"/>
              </w:rPr>
            </w:pPr>
            <w:r>
              <w:rPr>
                <w:rFonts w:hint="default" w:eastAsia="宋体"/>
                <w:color w:val="auto"/>
                <w:lang w:val="en-US" w:eastAsia="zh-CN"/>
              </w:rPr>
              <w:t>75.00</w:t>
            </w:r>
            <w:r>
              <w:rPr>
                <w:rFonts w:hint="default" w:eastAsia="宋体"/>
                <w:color w:val="auto"/>
              </w:rPr>
              <w:t>%</w:t>
            </w:r>
          </w:p>
        </w:tc>
      </w:tr>
      <w:tr w14:paraId="09F8F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444" w:type="pct"/>
            <w:gridSpan w:val="3"/>
            <w:vAlign w:val="center"/>
          </w:tcPr>
          <w:p w14:paraId="4CC8DECD">
            <w:pPr>
              <w:widowControl/>
              <w:spacing w:line="240" w:lineRule="auto"/>
              <w:ind w:firstLine="0" w:firstLineChars="0"/>
              <w:jc w:val="center"/>
              <w:rPr>
                <w:rFonts w:eastAsia="宋体"/>
                <w:b/>
                <w:bCs/>
                <w:color w:val="auto"/>
              </w:rPr>
            </w:pPr>
            <w:r>
              <w:rPr>
                <w:rFonts w:eastAsia="宋体"/>
                <w:b/>
                <w:bCs/>
                <w:color w:val="auto"/>
              </w:rPr>
              <w:t>合计</w:t>
            </w:r>
          </w:p>
        </w:tc>
        <w:tc>
          <w:tcPr>
            <w:tcW w:w="896" w:type="dxa"/>
            <w:vAlign w:val="center"/>
          </w:tcPr>
          <w:p w14:paraId="49797665">
            <w:pPr>
              <w:spacing w:line="240" w:lineRule="auto"/>
              <w:ind w:firstLine="422"/>
              <w:jc w:val="center"/>
              <w:rPr>
                <w:rFonts w:eastAsia="宋体"/>
                <w:b/>
                <w:bCs/>
                <w:color w:val="auto"/>
              </w:rPr>
            </w:pPr>
          </w:p>
        </w:tc>
        <w:tc>
          <w:tcPr>
            <w:tcW w:w="1103" w:type="dxa"/>
            <w:vAlign w:val="center"/>
          </w:tcPr>
          <w:p w14:paraId="21A6E5EB">
            <w:pPr>
              <w:widowControl/>
              <w:spacing w:line="240" w:lineRule="auto"/>
              <w:ind w:firstLine="0" w:firstLineChars="0"/>
              <w:jc w:val="center"/>
              <w:rPr>
                <w:rFonts w:eastAsia="宋体"/>
                <w:b/>
                <w:bCs/>
                <w:color w:val="auto"/>
              </w:rPr>
            </w:pPr>
          </w:p>
        </w:tc>
        <w:tc>
          <w:tcPr>
            <w:tcW w:w="754" w:type="dxa"/>
            <w:vAlign w:val="center"/>
          </w:tcPr>
          <w:p w14:paraId="3FB6C297">
            <w:pPr>
              <w:widowControl/>
              <w:spacing w:line="240" w:lineRule="auto"/>
              <w:ind w:firstLine="0" w:firstLineChars="0"/>
              <w:jc w:val="center"/>
              <w:rPr>
                <w:rFonts w:eastAsia="宋体"/>
                <w:b/>
                <w:bCs/>
                <w:color w:val="auto"/>
              </w:rPr>
            </w:pPr>
            <w:r>
              <w:rPr>
                <w:rFonts w:hint="default" w:eastAsia="宋体"/>
                <w:b/>
                <w:bCs/>
                <w:color w:val="auto"/>
              </w:rPr>
              <w:t xml:space="preserve">25.00 </w:t>
            </w:r>
          </w:p>
        </w:tc>
        <w:tc>
          <w:tcPr>
            <w:tcW w:w="682" w:type="dxa"/>
            <w:vAlign w:val="center"/>
          </w:tcPr>
          <w:p w14:paraId="6FF94FBE">
            <w:pPr>
              <w:widowControl/>
              <w:spacing w:line="240" w:lineRule="auto"/>
              <w:ind w:firstLine="0" w:firstLineChars="0"/>
              <w:jc w:val="center"/>
              <w:rPr>
                <w:rFonts w:eastAsia="宋体"/>
                <w:b/>
                <w:bCs/>
                <w:color w:val="auto"/>
              </w:rPr>
            </w:pPr>
            <w:r>
              <w:rPr>
                <w:rFonts w:hint="default" w:eastAsia="宋体"/>
                <w:b/>
                <w:bCs/>
                <w:color w:val="auto"/>
              </w:rPr>
              <w:t>2</w:t>
            </w:r>
            <w:r>
              <w:rPr>
                <w:rFonts w:hint="default" w:eastAsia="宋体"/>
                <w:b/>
                <w:bCs/>
                <w:color w:val="auto"/>
                <w:lang w:val="en-US" w:eastAsia="zh-CN"/>
              </w:rPr>
              <w:t>2.0</w:t>
            </w:r>
            <w:r>
              <w:rPr>
                <w:rFonts w:hint="default" w:eastAsia="宋体"/>
                <w:b/>
                <w:bCs/>
                <w:color w:val="auto"/>
              </w:rPr>
              <w:t xml:space="preserve">0 </w:t>
            </w:r>
          </w:p>
        </w:tc>
        <w:tc>
          <w:tcPr>
            <w:tcW w:w="832" w:type="dxa"/>
            <w:vAlign w:val="center"/>
          </w:tcPr>
          <w:p w14:paraId="1955DA17">
            <w:pPr>
              <w:widowControl/>
              <w:spacing w:line="240" w:lineRule="auto"/>
              <w:ind w:firstLine="0" w:firstLineChars="0"/>
              <w:jc w:val="center"/>
              <w:rPr>
                <w:rFonts w:eastAsia="宋体"/>
                <w:b/>
                <w:bCs/>
                <w:color w:val="auto"/>
              </w:rPr>
            </w:pPr>
            <w:r>
              <w:rPr>
                <w:rFonts w:hint="default" w:eastAsia="宋体"/>
                <w:b/>
                <w:bCs/>
                <w:color w:val="auto"/>
                <w:lang w:val="en-US" w:eastAsia="zh-CN"/>
              </w:rPr>
              <w:t>88</w:t>
            </w:r>
            <w:r>
              <w:rPr>
                <w:rFonts w:hint="default" w:eastAsia="宋体"/>
                <w:b/>
                <w:bCs/>
                <w:color w:val="auto"/>
              </w:rPr>
              <w:t>.00%</w:t>
            </w:r>
          </w:p>
        </w:tc>
      </w:tr>
    </w:tbl>
    <w:p w14:paraId="5000D61D">
      <w:pPr>
        <w:ind w:firstLine="422"/>
        <w:rPr>
          <w:rFonts w:eastAsia="宋体"/>
          <w:b/>
          <w:bCs/>
          <w:color w:val="auto"/>
        </w:rPr>
      </w:pPr>
    </w:p>
    <w:p w14:paraId="4AB0757B">
      <w:pPr>
        <w:ind w:firstLine="422"/>
        <w:rPr>
          <w:rFonts w:eastAsia="宋体"/>
          <w:color w:val="auto"/>
        </w:rPr>
      </w:pPr>
      <w:r>
        <w:rPr>
          <w:rFonts w:eastAsia="宋体"/>
          <w:b/>
          <w:bCs/>
          <w:color w:val="auto"/>
        </w:rPr>
        <w:t>指标得分分析：</w:t>
      </w:r>
    </w:p>
    <w:p w14:paraId="1596599E">
      <w:pPr>
        <w:widowControl/>
        <w:ind w:firstLine="422"/>
        <w:jc w:val="left"/>
        <w:rPr>
          <w:rFonts w:eastAsia="宋体"/>
          <w:color w:val="auto"/>
        </w:rPr>
      </w:pPr>
      <w:r>
        <w:rPr>
          <w:rFonts w:eastAsia="宋体"/>
          <w:b/>
          <w:bCs/>
          <w:color w:val="auto"/>
        </w:rPr>
        <w:t>（1）B11资金到位率</w:t>
      </w:r>
      <w:r>
        <w:rPr>
          <w:rFonts w:hint="default" w:eastAsia="宋体"/>
          <w:b/>
          <w:bCs/>
          <w:color w:val="auto"/>
        </w:rPr>
        <w:t>指标</w:t>
      </w:r>
      <w:r>
        <w:rPr>
          <w:rFonts w:eastAsia="宋体"/>
          <w:b/>
          <w:bCs/>
          <w:color w:val="auto"/>
        </w:rPr>
        <w:t>：</w:t>
      </w:r>
    </w:p>
    <w:p w14:paraId="3BCF58C8">
      <w:pPr>
        <w:ind w:firstLine="420"/>
        <w:rPr>
          <w:color w:val="auto"/>
        </w:rPr>
      </w:pPr>
      <w:r>
        <w:rPr>
          <w:color w:val="auto"/>
        </w:rPr>
        <w:t>根据</w:t>
      </w:r>
      <w:r>
        <w:rPr>
          <w:rFonts w:hint="default"/>
          <w:color w:val="auto"/>
          <w:lang w:eastAsia="zh-CN"/>
        </w:rPr>
        <w:t>《关于拨付2024年现代职业教育质量提升计划专项资金的通知》（新财教〔2023〕103号）</w:t>
      </w:r>
      <w:r>
        <w:rPr>
          <w:rFonts w:hint="default"/>
          <w:color w:val="auto"/>
        </w:rPr>
        <w:t>显示</w:t>
      </w:r>
      <w:r>
        <w:rPr>
          <w:color w:val="auto"/>
        </w:rPr>
        <w:t>，项目批复预算资金</w:t>
      </w:r>
      <w:r>
        <w:rPr>
          <w:rFonts w:hint="default"/>
          <w:color w:val="auto"/>
          <w:lang w:eastAsia="zh-CN"/>
        </w:rPr>
        <w:t>700</w:t>
      </w:r>
      <w:r>
        <w:rPr>
          <w:color w:val="auto"/>
        </w:rPr>
        <w:t>.00万元，实际到位资金</w:t>
      </w:r>
      <w:r>
        <w:rPr>
          <w:rFonts w:hint="default"/>
          <w:color w:val="auto"/>
          <w:lang w:eastAsia="zh-CN"/>
        </w:rPr>
        <w:t>700</w:t>
      </w:r>
      <w:r>
        <w:rPr>
          <w:color w:val="auto"/>
        </w:rPr>
        <w:t>.00万元，资金到位率100.00%。</w:t>
      </w:r>
    </w:p>
    <w:p w14:paraId="77757890">
      <w:pPr>
        <w:ind w:firstLine="420"/>
        <w:rPr>
          <w:color w:val="auto"/>
        </w:rPr>
      </w:pPr>
      <w:r>
        <w:rPr>
          <w:color w:val="auto"/>
        </w:rPr>
        <w:t>该指标满分为3.00分，根据评分标准得3.00分。</w:t>
      </w:r>
    </w:p>
    <w:p w14:paraId="1F692922">
      <w:pPr>
        <w:widowControl/>
        <w:ind w:firstLine="422"/>
        <w:jc w:val="left"/>
        <w:rPr>
          <w:rFonts w:eastAsia="宋体"/>
          <w:color w:val="auto"/>
        </w:rPr>
      </w:pPr>
      <w:r>
        <w:rPr>
          <w:rFonts w:eastAsia="宋体"/>
          <w:b/>
          <w:bCs/>
          <w:color w:val="auto"/>
        </w:rPr>
        <w:t>（2）B</w:t>
      </w:r>
      <w:r>
        <w:rPr>
          <w:rFonts w:hint="default" w:eastAsia="宋体"/>
          <w:b/>
          <w:bCs/>
          <w:color w:val="auto"/>
          <w:lang w:val="en-US" w:eastAsia="zh-CN"/>
        </w:rPr>
        <w:t>12</w:t>
      </w:r>
      <w:r>
        <w:rPr>
          <w:rFonts w:eastAsia="宋体"/>
          <w:b/>
          <w:bCs/>
          <w:color w:val="auto"/>
        </w:rPr>
        <w:t>预算执行率</w:t>
      </w:r>
      <w:r>
        <w:rPr>
          <w:rFonts w:hint="default" w:eastAsia="宋体"/>
          <w:b/>
          <w:bCs/>
          <w:color w:val="auto"/>
        </w:rPr>
        <w:t>指标</w:t>
      </w:r>
      <w:r>
        <w:rPr>
          <w:rFonts w:eastAsia="宋体"/>
          <w:b/>
          <w:bCs/>
          <w:color w:val="auto"/>
        </w:rPr>
        <w:t>：</w:t>
      </w:r>
    </w:p>
    <w:p w14:paraId="0E674B50">
      <w:pPr>
        <w:ind w:firstLine="420"/>
        <w:rPr>
          <w:rFonts w:eastAsia="宋体"/>
          <w:color w:val="auto"/>
        </w:rPr>
      </w:pPr>
      <w:r>
        <w:rPr>
          <w:rFonts w:hint="default"/>
          <w:color w:val="auto"/>
        </w:rPr>
        <w:t>经</w:t>
      </w:r>
      <w:r>
        <w:rPr>
          <w:color w:val="auto"/>
        </w:rPr>
        <w:t>核实该项目国库集中支付凭证，项目实际支出资金总额</w:t>
      </w:r>
      <w:r>
        <w:rPr>
          <w:rFonts w:hint="default"/>
          <w:color w:val="auto"/>
          <w:lang w:eastAsia="zh-CN"/>
        </w:rPr>
        <w:t>700</w:t>
      </w:r>
      <w:r>
        <w:rPr>
          <w:color w:val="auto"/>
        </w:rPr>
        <w:t>.00万元，</w:t>
      </w:r>
      <w:r>
        <w:rPr>
          <w:rFonts w:hint="default" w:eastAsia="宋体"/>
          <w:color w:val="auto"/>
        </w:rPr>
        <w:t>预算执行率</w:t>
      </w:r>
      <w:r>
        <w:rPr>
          <w:rFonts w:hint="default" w:eastAsia="宋体"/>
          <w:color w:val="auto"/>
          <w:lang w:val="en-US" w:eastAsia="zh-CN"/>
        </w:rPr>
        <w:t>100%</w:t>
      </w:r>
      <w:r>
        <w:rPr>
          <w:rFonts w:eastAsia="宋体"/>
          <w:color w:val="auto"/>
        </w:rPr>
        <w:t>。</w:t>
      </w:r>
    </w:p>
    <w:p w14:paraId="779711E2">
      <w:pPr>
        <w:ind w:firstLine="420"/>
        <w:rPr>
          <w:rFonts w:eastAsia="宋体"/>
          <w:color w:val="auto"/>
        </w:rPr>
      </w:pPr>
      <w:r>
        <w:rPr>
          <w:rFonts w:eastAsia="宋体"/>
          <w:color w:val="auto"/>
        </w:rPr>
        <w:t>该指标满分为5.00分，根据评分标准得5.00分。</w:t>
      </w:r>
    </w:p>
    <w:p w14:paraId="6E5C50EE">
      <w:pPr>
        <w:widowControl/>
        <w:ind w:firstLine="422"/>
        <w:jc w:val="left"/>
        <w:rPr>
          <w:rFonts w:eastAsia="宋体"/>
          <w:b/>
          <w:bCs/>
          <w:color w:val="auto"/>
        </w:rPr>
      </w:pPr>
      <w:r>
        <w:rPr>
          <w:rFonts w:eastAsia="宋体"/>
          <w:b/>
          <w:bCs/>
          <w:color w:val="auto"/>
        </w:rPr>
        <w:t>（3）B13资金使用合规性</w:t>
      </w:r>
      <w:r>
        <w:rPr>
          <w:rFonts w:hint="default" w:eastAsia="宋体"/>
          <w:b/>
          <w:bCs/>
          <w:color w:val="auto"/>
        </w:rPr>
        <w:t>指标</w:t>
      </w:r>
      <w:r>
        <w:rPr>
          <w:rFonts w:eastAsia="宋体"/>
          <w:b/>
          <w:bCs/>
          <w:color w:val="auto"/>
        </w:rPr>
        <w:t>：</w:t>
      </w:r>
    </w:p>
    <w:p w14:paraId="457FF1AF">
      <w:pPr>
        <w:ind w:firstLine="420"/>
        <w:rPr>
          <w:color w:val="auto"/>
        </w:rPr>
      </w:pPr>
      <w:r>
        <w:rPr>
          <w:rFonts w:hint="default"/>
          <w:color w:val="auto"/>
          <w:highlight w:val="none"/>
        </w:rPr>
        <w:t>经查证项目资金的使用情况，该项目支出</w:t>
      </w:r>
      <w:r>
        <w:rPr>
          <w:rFonts w:hint="default"/>
          <w:color w:val="auto"/>
        </w:rPr>
        <w:t>实际用于支付</w:t>
      </w:r>
      <w:r>
        <w:rPr>
          <w:rFonts w:hint="default"/>
          <w:color w:val="auto"/>
          <w:lang w:val="en-US" w:eastAsia="zh-CN"/>
        </w:rPr>
        <w:t>化工和电商</w:t>
      </w:r>
      <w:r>
        <w:rPr>
          <w:rFonts w:hint="default"/>
          <w:color w:val="auto"/>
        </w:rPr>
        <w:t>实训基地设备款，资金使用符合项目预算批复规定的用途。经检查该项目资金支付凭证资料，未发现截留、挤占、挪用、虚列支出等情况。</w:t>
      </w:r>
      <w:r>
        <w:rPr>
          <w:color w:val="auto"/>
        </w:rPr>
        <w:t>该项目采用国库集中支付方式</w:t>
      </w:r>
      <w:r>
        <w:rPr>
          <w:rFonts w:hint="default"/>
          <w:color w:val="auto"/>
          <w:lang w:val="en-US" w:eastAsia="zh-CN"/>
        </w:rPr>
        <w:t>拨付项目资金</w:t>
      </w:r>
      <w:r>
        <w:rPr>
          <w:color w:val="auto"/>
        </w:rPr>
        <w:t>，</w:t>
      </w:r>
      <w:r>
        <w:rPr>
          <w:rFonts w:hint="default"/>
          <w:color w:val="auto"/>
          <w:lang w:val="en-US" w:eastAsia="zh-CN"/>
        </w:rPr>
        <w:t>资金支付手续包括资金支付申请，合同，验收单，发票等资料，</w:t>
      </w:r>
      <w:r>
        <w:rPr>
          <w:rFonts w:hint="default"/>
          <w:color w:val="auto"/>
        </w:rPr>
        <w:t>资金审批程序和手续完整。</w:t>
      </w:r>
    </w:p>
    <w:p w14:paraId="1CE174D3">
      <w:pPr>
        <w:ind w:firstLine="420"/>
        <w:rPr>
          <w:color w:val="auto"/>
        </w:rPr>
      </w:pPr>
      <w:r>
        <w:rPr>
          <w:color w:val="auto"/>
        </w:rPr>
        <w:t>该指标满分为</w:t>
      </w:r>
      <w:r>
        <w:rPr>
          <w:rFonts w:hint="default"/>
          <w:color w:val="auto"/>
        </w:rPr>
        <w:t>5</w:t>
      </w:r>
      <w:r>
        <w:rPr>
          <w:color w:val="auto"/>
        </w:rPr>
        <w:t>.00分，根据评分标准得</w:t>
      </w:r>
      <w:r>
        <w:rPr>
          <w:rFonts w:hint="default"/>
          <w:color w:val="auto"/>
          <w:lang w:val="en-US" w:eastAsia="zh-CN"/>
        </w:rPr>
        <w:t>5.00</w:t>
      </w:r>
      <w:r>
        <w:rPr>
          <w:color w:val="auto"/>
        </w:rPr>
        <w:t>分。</w:t>
      </w:r>
    </w:p>
    <w:p w14:paraId="1B38F37A">
      <w:pPr>
        <w:widowControl/>
        <w:ind w:firstLine="422"/>
        <w:jc w:val="left"/>
        <w:rPr>
          <w:rFonts w:eastAsia="宋体"/>
          <w:color w:val="auto"/>
        </w:rPr>
      </w:pPr>
      <w:r>
        <w:rPr>
          <w:rFonts w:eastAsia="宋体"/>
          <w:b/>
          <w:bCs/>
          <w:color w:val="auto"/>
        </w:rPr>
        <w:t>（4）B21管理制度健全性</w:t>
      </w:r>
      <w:r>
        <w:rPr>
          <w:rFonts w:hint="default" w:eastAsia="宋体"/>
          <w:b/>
          <w:bCs/>
          <w:color w:val="auto"/>
        </w:rPr>
        <w:t>指标</w:t>
      </w:r>
      <w:r>
        <w:rPr>
          <w:rFonts w:eastAsia="宋体"/>
          <w:b/>
          <w:bCs/>
          <w:color w:val="auto"/>
        </w:rPr>
        <w:t>：</w:t>
      </w:r>
    </w:p>
    <w:p w14:paraId="64583400">
      <w:pPr>
        <w:ind w:firstLine="420"/>
        <w:jc w:val="left"/>
        <w:rPr>
          <w:rFonts w:eastAsia="宋体"/>
          <w:color w:val="auto"/>
        </w:rPr>
      </w:pPr>
      <w:r>
        <w:rPr>
          <w:rFonts w:eastAsia="宋体"/>
          <w:color w:val="auto"/>
        </w:rPr>
        <w:t>经查阅项目资料，项</w:t>
      </w:r>
      <w:r>
        <w:rPr>
          <w:rFonts w:eastAsia="宋体"/>
          <w:color w:val="auto"/>
          <w:highlight w:val="none"/>
        </w:rPr>
        <w:t>目实施单位已建立</w:t>
      </w:r>
      <w:r>
        <w:rPr>
          <w:rFonts w:hint="default" w:eastAsia="宋体"/>
          <w:color w:val="auto"/>
          <w:highlight w:val="none"/>
          <w:lang w:eastAsia="zh-CN"/>
        </w:rPr>
        <w:t>《现代职业教育质量提升计划资金管理办法》</w:t>
      </w:r>
      <w:r>
        <w:rPr>
          <w:rFonts w:hint="default" w:eastAsia="宋体"/>
          <w:color w:val="auto"/>
          <w:highlight w:val="none"/>
        </w:rPr>
        <w:t>《关于印发吉木萨尔中等职业技术学校贯彻落实党组织领导的校长负责制议事规则和职责清单的通知 》《预算管理制度》《学校资产管理制度》《吉木萨尔中等职业技术学校政府采购流程》《学校物品采购管理制度》等</w:t>
      </w:r>
      <w:r>
        <w:rPr>
          <w:rFonts w:eastAsia="宋体"/>
          <w:color w:val="auto"/>
          <w:highlight w:val="none"/>
        </w:rPr>
        <w:t>业务</w:t>
      </w:r>
      <w:r>
        <w:rPr>
          <w:rFonts w:hint="default" w:eastAsia="宋体"/>
          <w:color w:val="auto"/>
          <w:highlight w:val="none"/>
        </w:rPr>
        <w:t>内部</w:t>
      </w:r>
      <w:r>
        <w:rPr>
          <w:rFonts w:eastAsia="宋体"/>
          <w:color w:val="auto"/>
          <w:highlight w:val="none"/>
        </w:rPr>
        <w:t>管理</w:t>
      </w:r>
      <w:r>
        <w:rPr>
          <w:rFonts w:eastAsia="宋体"/>
          <w:color w:val="auto"/>
        </w:rPr>
        <w:t>制度，上述</w:t>
      </w:r>
      <w:r>
        <w:rPr>
          <w:rFonts w:hint="default" w:eastAsia="宋体"/>
          <w:color w:val="auto"/>
        </w:rPr>
        <w:t>内部</w:t>
      </w:r>
      <w:r>
        <w:rPr>
          <w:rFonts w:eastAsia="宋体"/>
          <w:color w:val="auto"/>
        </w:rPr>
        <w:t>管理制度内容</w:t>
      </w:r>
      <w:r>
        <w:rPr>
          <w:rFonts w:hint="default" w:eastAsia="宋体"/>
          <w:color w:val="auto"/>
        </w:rPr>
        <w:t>详实</w:t>
      </w:r>
      <w:r>
        <w:rPr>
          <w:rFonts w:eastAsia="宋体"/>
          <w:color w:val="auto"/>
        </w:rPr>
        <w:t>，能够从</w:t>
      </w:r>
      <w:r>
        <w:rPr>
          <w:rFonts w:hint="default" w:eastAsia="宋体"/>
          <w:color w:val="auto"/>
        </w:rPr>
        <w:t>预算</w:t>
      </w:r>
      <w:r>
        <w:rPr>
          <w:rFonts w:eastAsia="宋体"/>
          <w:color w:val="auto"/>
        </w:rPr>
        <w:t>管理、政府采购执行</w:t>
      </w:r>
      <w:r>
        <w:rPr>
          <w:rFonts w:hint="default" w:eastAsia="宋体"/>
          <w:color w:val="auto"/>
        </w:rPr>
        <w:t>、资产管理</w:t>
      </w:r>
      <w:r>
        <w:rPr>
          <w:rFonts w:eastAsia="宋体"/>
          <w:color w:val="auto"/>
        </w:rPr>
        <w:t>等方面有效指导项目规范实施</w:t>
      </w:r>
      <w:r>
        <w:rPr>
          <w:rFonts w:hint="default" w:eastAsia="宋体"/>
          <w:color w:val="auto"/>
          <w:lang w:eastAsia="zh-CN"/>
        </w:rPr>
        <w:t>，</w:t>
      </w:r>
      <w:r>
        <w:rPr>
          <w:rFonts w:hint="default" w:eastAsia="宋体"/>
          <w:color w:val="auto"/>
          <w:lang w:val="en-US" w:eastAsia="zh-CN"/>
        </w:rPr>
        <w:t>未提供单位财务管理制度和合同管理制度，根据评分标准，扣1.00分</w:t>
      </w:r>
      <w:r>
        <w:rPr>
          <w:rFonts w:hint="default" w:eastAsia="宋体"/>
          <w:color w:val="auto"/>
        </w:rPr>
        <w:t>。</w:t>
      </w:r>
    </w:p>
    <w:p w14:paraId="05242BF8">
      <w:pPr>
        <w:ind w:firstLine="420"/>
        <w:rPr>
          <w:rFonts w:eastAsia="宋体"/>
          <w:color w:val="auto"/>
        </w:rPr>
      </w:pPr>
      <w:r>
        <w:rPr>
          <w:rFonts w:eastAsia="宋体"/>
          <w:color w:val="auto"/>
        </w:rPr>
        <w:t>该指标满分为</w:t>
      </w:r>
      <w:r>
        <w:rPr>
          <w:rFonts w:hint="default" w:eastAsia="宋体"/>
          <w:color w:val="auto"/>
        </w:rPr>
        <w:t>4</w:t>
      </w:r>
      <w:r>
        <w:rPr>
          <w:rFonts w:eastAsia="宋体"/>
          <w:color w:val="auto"/>
        </w:rPr>
        <w:t>.00分，根据评分标准得</w:t>
      </w:r>
      <w:r>
        <w:rPr>
          <w:rFonts w:hint="default" w:eastAsia="宋体"/>
          <w:color w:val="auto"/>
          <w:lang w:val="en-US" w:eastAsia="zh-CN"/>
        </w:rPr>
        <w:t>3.00</w:t>
      </w:r>
      <w:r>
        <w:rPr>
          <w:rFonts w:eastAsia="宋体"/>
          <w:color w:val="auto"/>
        </w:rPr>
        <w:t>分。</w:t>
      </w:r>
    </w:p>
    <w:p w14:paraId="4A17D7A8">
      <w:pPr>
        <w:widowControl/>
        <w:ind w:firstLine="422"/>
        <w:jc w:val="left"/>
        <w:rPr>
          <w:rFonts w:eastAsia="宋体"/>
          <w:color w:val="auto"/>
        </w:rPr>
      </w:pPr>
      <w:r>
        <w:rPr>
          <w:rFonts w:eastAsia="宋体"/>
          <w:b/>
          <w:bCs/>
          <w:color w:val="auto"/>
        </w:rPr>
        <w:t>（5）B22制度执行有效性</w:t>
      </w:r>
      <w:r>
        <w:rPr>
          <w:rFonts w:hint="default" w:eastAsia="宋体"/>
          <w:b/>
          <w:bCs/>
          <w:color w:val="auto"/>
        </w:rPr>
        <w:t>指标</w:t>
      </w:r>
      <w:r>
        <w:rPr>
          <w:rFonts w:eastAsia="宋体"/>
          <w:b/>
          <w:bCs/>
          <w:color w:val="auto"/>
        </w:rPr>
        <w:t>：</w:t>
      </w:r>
    </w:p>
    <w:p w14:paraId="5F0DC4A1">
      <w:pPr>
        <w:pageBreakBefore w:val="0"/>
        <w:kinsoku/>
        <w:wordWrap/>
        <w:overflowPunct/>
        <w:topLinePunct w:val="0"/>
        <w:autoSpaceDE/>
        <w:autoSpaceDN/>
        <w:bidi w:val="0"/>
        <w:snapToGrid w:val="0"/>
        <w:spacing w:before="0" w:after="0" w:line="360" w:lineRule="auto"/>
        <w:ind w:firstLine="420"/>
        <w:rPr>
          <w:rFonts w:hint="default" w:ascii="Times New Roman" w:hAnsi="Times New Roman" w:cs="Times New Roman"/>
          <w:color w:val="auto"/>
          <w:highlight w:val="none"/>
          <w:lang w:val="en-US" w:eastAsia="zh-CN"/>
        </w:rPr>
      </w:pPr>
      <w:r>
        <w:rPr>
          <w:rFonts w:hint="default" w:ascii="Times New Roman" w:hAnsi="Times New Roman" w:cs="Times New Roman" w:eastAsiaTheme="minorEastAsia"/>
          <w:color w:val="auto"/>
          <w:highlight w:val="none"/>
        </w:rPr>
        <w:t>经检查</w:t>
      </w:r>
      <w:r>
        <w:rPr>
          <w:rFonts w:hint="default" w:ascii="Times New Roman" w:hAnsi="Times New Roman" w:cs="Times New Roman" w:eastAsiaTheme="minorEastAsia"/>
          <w:color w:val="auto"/>
          <w:highlight w:val="none"/>
          <w:lang w:val="en-US" w:eastAsia="zh-CN"/>
        </w:rPr>
        <w:t>该项目成交通知书、网上超市合同</w:t>
      </w:r>
      <w:r>
        <w:rPr>
          <w:rFonts w:hint="default" w:cs="Times New Roman"/>
          <w:color w:val="auto"/>
          <w:highlight w:val="none"/>
          <w:lang w:val="en-US" w:eastAsia="zh-CN"/>
        </w:rPr>
        <w:t>，结余资金使用调整批复，合同，验收单等资料</w:t>
      </w:r>
      <w:r>
        <w:rPr>
          <w:rFonts w:hint="default" w:ascii="Times New Roman" w:hAnsi="Times New Roman" w:cs="Times New Roman" w:eastAsiaTheme="minorEastAsia"/>
          <w:color w:val="auto"/>
          <w:highlight w:val="none"/>
          <w:lang w:val="en-US" w:eastAsia="zh-CN"/>
        </w:rPr>
        <w:t>可知，</w:t>
      </w:r>
      <w:r>
        <w:rPr>
          <w:rFonts w:hint="default" w:cs="Times New Roman"/>
          <w:color w:val="auto"/>
          <w:highlight w:val="none"/>
          <w:lang w:val="en-US" w:eastAsia="zh-CN"/>
        </w:rPr>
        <w:t>吉木萨尔县中等职业技术学校已</w:t>
      </w:r>
      <w:r>
        <w:rPr>
          <w:rFonts w:hint="default" w:ascii="Times New Roman" w:hAnsi="Times New Roman" w:cs="Times New Roman" w:eastAsiaTheme="minorEastAsia"/>
          <w:color w:val="auto"/>
          <w:highlight w:val="none"/>
          <w:lang w:val="en-US" w:eastAsia="zh-CN"/>
        </w:rPr>
        <w:t>按照</w:t>
      </w:r>
      <w:r>
        <w:rPr>
          <w:rFonts w:hint="default" w:cs="Times New Roman"/>
          <w:color w:val="auto"/>
          <w:highlight w:val="none"/>
          <w:lang w:val="en-US" w:eastAsia="zh-CN"/>
        </w:rPr>
        <w:t>《</w:t>
      </w:r>
      <w:r>
        <w:rPr>
          <w:rFonts w:hint="eastAsia" w:cs="Times New Roman"/>
          <w:color w:val="auto"/>
          <w:highlight w:val="none"/>
          <w:lang w:val="en-US" w:eastAsia="zh-CN"/>
        </w:rPr>
        <w:t>中华人民共和国政府采购法</w:t>
      </w:r>
      <w:r>
        <w:rPr>
          <w:rFonts w:hint="default" w:cs="Times New Roman"/>
          <w:color w:val="auto"/>
          <w:highlight w:val="none"/>
          <w:lang w:val="en-US" w:eastAsia="zh-CN"/>
        </w:rPr>
        <w:t>》</w:t>
      </w:r>
      <w:r>
        <w:rPr>
          <w:rFonts w:hint="default" w:ascii="Times New Roman" w:hAnsi="Times New Roman" w:cs="Times New Roman" w:eastAsiaTheme="minorEastAsia"/>
          <w:color w:val="auto"/>
          <w:highlight w:val="none"/>
          <w:lang w:val="en-US" w:eastAsia="zh-CN"/>
        </w:rPr>
        <w:t>《新疆维吾尔自治区政府采购电子卖场管理暂行办法》（新财购〔2019〕27号）要求，采用</w:t>
      </w:r>
      <w:r>
        <w:rPr>
          <w:rFonts w:hint="default" w:cs="Times New Roman"/>
          <w:color w:val="auto"/>
          <w:highlight w:val="none"/>
          <w:lang w:val="en-US" w:eastAsia="zh-CN"/>
        </w:rPr>
        <w:t>公开招标、</w:t>
      </w:r>
      <w:r>
        <w:rPr>
          <w:rFonts w:hint="default" w:ascii="Times New Roman" w:hAnsi="Times New Roman" w:cs="Times New Roman" w:eastAsiaTheme="minorEastAsia"/>
          <w:color w:val="auto"/>
          <w:highlight w:val="none"/>
          <w:lang w:val="en-US" w:eastAsia="zh-CN"/>
        </w:rPr>
        <w:t>政采云平台电子卖场（网上超市）方式购置该项目所需的</w:t>
      </w:r>
      <w:r>
        <w:rPr>
          <w:rFonts w:hint="default"/>
          <w:color w:val="auto"/>
          <w:highlight w:val="none"/>
          <w:lang w:val="en-US" w:eastAsia="zh-CN"/>
        </w:rPr>
        <w:t>化工及化工安全实训基地和</w:t>
      </w:r>
      <w:r>
        <w:rPr>
          <w:rFonts w:hint="default"/>
          <w:color w:val="auto"/>
          <w:lang w:eastAsia="zh-CN"/>
        </w:rPr>
        <w:t>电商及直播运营实训基地</w:t>
      </w:r>
      <w:r>
        <w:rPr>
          <w:rFonts w:hint="default"/>
          <w:color w:val="auto"/>
          <w:lang w:val="en-US" w:eastAsia="zh-CN"/>
        </w:rPr>
        <w:t>所需的设备、软件及硬件</w:t>
      </w:r>
      <w:r>
        <w:rPr>
          <w:rFonts w:hint="default" w:ascii="Times New Roman" w:hAnsi="Times New Roman" w:cs="Times New Roman" w:eastAsiaTheme="minorEastAsia"/>
          <w:color w:val="auto"/>
          <w:highlight w:val="none"/>
          <w:lang w:val="en-US" w:eastAsia="zh-CN"/>
        </w:rPr>
        <w:t>，采购管理规范。</w:t>
      </w:r>
      <w:r>
        <w:rPr>
          <w:rFonts w:hint="default"/>
          <w:color w:val="auto"/>
          <w:lang w:val="en-US" w:eastAsia="zh-CN"/>
        </w:rPr>
        <w:t>项目实施单位使用结余资金时已请示上级主管部门并获得批准</w:t>
      </w:r>
      <w:r>
        <w:rPr>
          <w:rFonts w:hint="eastAsia"/>
          <w:color w:val="auto"/>
          <w:lang w:val="en-US" w:eastAsia="zh-CN"/>
        </w:rPr>
        <w:t>后</w:t>
      </w:r>
      <w:r>
        <w:rPr>
          <w:rFonts w:hint="default"/>
          <w:color w:val="auto"/>
          <w:lang w:val="en-US" w:eastAsia="zh-CN"/>
        </w:rPr>
        <w:t>开展补充采购等工作，该项目调整程序手续齐全。该项目</w:t>
      </w:r>
      <w:r>
        <w:rPr>
          <w:rFonts w:hint="default" w:ascii="Times New Roman" w:hAnsi="Times New Roman" w:cs="Times New Roman"/>
          <w:color w:val="auto"/>
          <w:highlight w:val="none"/>
          <w:lang w:val="en-US" w:eastAsia="zh-CN"/>
        </w:rPr>
        <w:t>采购过程的中标公告、采购合同等采购资料已按要求及时归档</w:t>
      </w:r>
      <w:r>
        <w:rPr>
          <w:rFonts w:hint="default"/>
          <w:color w:val="auto"/>
          <w:lang w:val="en-US" w:eastAsia="zh-CN"/>
        </w:rPr>
        <w:t>。项目已按照规定验收完毕，验收单内容完整。该</w:t>
      </w:r>
      <w:r>
        <w:rPr>
          <w:rFonts w:hint="default" w:ascii="Times New Roman" w:hAnsi="Times New Roman" w:cs="Times New Roman"/>
          <w:color w:val="auto"/>
          <w:highlight w:val="none"/>
          <w:lang w:val="en-US" w:eastAsia="zh-CN"/>
        </w:rPr>
        <w:t>项目合同书、验收报告、技术鉴定等资料已及时归档；该项目采购的实训室设备已有专人管理，设备使用场地、信息支撑已落实到位。</w:t>
      </w:r>
    </w:p>
    <w:p w14:paraId="57947839">
      <w:pPr>
        <w:ind w:firstLine="420"/>
        <w:rPr>
          <w:rFonts w:hint="default"/>
          <w:color w:val="auto"/>
          <w:highlight w:val="none"/>
          <w:lang w:val="en-US" w:eastAsia="zh-CN"/>
        </w:rPr>
      </w:pPr>
      <w:r>
        <w:rPr>
          <w:rFonts w:hint="default"/>
          <w:color w:val="auto"/>
          <w:highlight w:val="none"/>
          <w:lang w:val="en-US" w:eastAsia="zh-CN"/>
        </w:rPr>
        <w:t>根据项目实施单位提供的固定资产明细账，该项目购置设备资产总价为696.16万元，其中：电商专业固定资产总价为196.16万元，化工专业固定资产总价为500.00万元。根据实施单位提供的《资产卡片列表（2024年部分资产情况表）》，其中电商专业购进的专业摄像机和信号源设备、其他卫星广播电视设备等设备资产共计31项114.33万元已录入固定资产管理系统管理，剩余81.83万元电商专业设备尚未录入固定资产管理系统；化工专业购进的化工总控工考核与培训装置、智能多功能精细化学品实训装置、新型煤化工工艺实训考核装置、化工总控工考核与培训装置、氯碱电解工艺实训考核装置、化工维修拆装设备、化工实验室基础设备、化工仪表控制拆装维修考核综合实训社保等设备资产共计17项364.49万元已录入固定资产管理系统管理，剩余135.51万元化工专业设备尚未录入固定资产管理系统。</w:t>
      </w:r>
    </w:p>
    <w:p w14:paraId="1B4B82AE">
      <w:pPr>
        <w:ind w:firstLine="420"/>
        <w:rPr>
          <w:rFonts w:eastAsia="宋体"/>
          <w:color w:val="auto"/>
        </w:rPr>
      </w:pPr>
      <w:r>
        <w:rPr>
          <w:rFonts w:eastAsia="宋体"/>
          <w:color w:val="auto"/>
        </w:rPr>
        <w:t>该指标满分为</w:t>
      </w:r>
      <w:r>
        <w:rPr>
          <w:rFonts w:hint="default" w:eastAsia="宋体"/>
          <w:color w:val="auto"/>
        </w:rPr>
        <w:t>8.00</w:t>
      </w:r>
      <w:r>
        <w:rPr>
          <w:rFonts w:eastAsia="宋体"/>
          <w:color w:val="auto"/>
        </w:rPr>
        <w:t>分，根据评分标准得</w:t>
      </w:r>
      <w:r>
        <w:rPr>
          <w:rFonts w:hint="default" w:eastAsia="宋体"/>
          <w:color w:val="auto"/>
        </w:rPr>
        <w:t>6.00</w:t>
      </w:r>
      <w:r>
        <w:rPr>
          <w:rFonts w:eastAsia="宋体"/>
          <w:color w:val="auto"/>
        </w:rPr>
        <w:t>分。</w:t>
      </w:r>
    </w:p>
    <w:p w14:paraId="63FFC03A">
      <w:pPr>
        <w:pStyle w:val="3"/>
        <w:ind w:firstLine="482"/>
        <w:rPr>
          <w:rFonts w:ascii="Times New Roman" w:hAnsi="Times New Roman"/>
          <w:color w:val="auto"/>
        </w:rPr>
      </w:pPr>
      <w:bookmarkStart w:id="89" w:name="_bookmark12"/>
      <w:bookmarkEnd w:id="89"/>
      <w:bookmarkStart w:id="90" w:name="_Toc5927"/>
      <w:bookmarkStart w:id="91" w:name="_Toc30458"/>
      <w:r>
        <w:rPr>
          <w:rFonts w:ascii="Times New Roman" w:hAnsi="Times New Roman"/>
          <w:color w:val="auto"/>
        </w:rPr>
        <w:t>（三）项目产出情况</w:t>
      </w:r>
      <w:bookmarkEnd w:id="90"/>
    </w:p>
    <w:p w14:paraId="60DF7D6A">
      <w:pPr>
        <w:ind w:firstLine="420"/>
        <w:rPr>
          <w:rFonts w:eastAsia="黑体"/>
          <w:color w:val="auto"/>
          <w:szCs w:val="16"/>
        </w:rPr>
      </w:pPr>
      <w:r>
        <w:rPr>
          <w:rFonts w:eastAsia="宋体"/>
          <w:color w:val="auto"/>
        </w:rPr>
        <w:t>项目产出指标由4个二级和</w:t>
      </w:r>
      <w:r>
        <w:rPr>
          <w:rFonts w:hint="default" w:eastAsia="宋体"/>
          <w:color w:val="auto"/>
          <w:lang w:val="en-US" w:eastAsia="zh-CN"/>
        </w:rPr>
        <w:t>5</w:t>
      </w:r>
      <w:r>
        <w:rPr>
          <w:rFonts w:eastAsia="宋体"/>
          <w:color w:val="auto"/>
        </w:rPr>
        <w:t>个三级指标构成，权重分值3</w:t>
      </w:r>
      <w:r>
        <w:rPr>
          <w:rFonts w:hint="default" w:eastAsia="宋体"/>
          <w:color w:val="auto"/>
        </w:rPr>
        <w:t>0</w:t>
      </w:r>
      <w:r>
        <w:rPr>
          <w:rFonts w:eastAsia="宋体"/>
          <w:color w:val="auto"/>
        </w:rPr>
        <w:t>.00分，实际得分</w:t>
      </w:r>
      <w:r>
        <w:rPr>
          <w:rFonts w:hint="default" w:eastAsia="宋体"/>
          <w:color w:val="auto"/>
        </w:rPr>
        <w:t>2</w:t>
      </w:r>
      <w:r>
        <w:rPr>
          <w:rFonts w:hint="default" w:eastAsia="宋体"/>
          <w:color w:val="auto"/>
          <w:lang w:val="en-US" w:eastAsia="zh-CN"/>
        </w:rPr>
        <w:t>9</w:t>
      </w:r>
      <w:r>
        <w:rPr>
          <w:rFonts w:eastAsia="宋体"/>
          <w:color w:val="auto"/>
        </w:rPr>
        <w:t>.00分，得分率为</w:t>
      </w:r>
      <w:r>
        <w:rPr>
          <w:rFonts w:hint="default" w:eastAsia="宋体"/>
          <w:color w:val="auto"/>
          <w:lang w:val="en-US" w:eastAsia="zh-CN"/>
        </w:rPr>
        <w:t>96.67</w:t>
      </w:r>
      <w:r>
        <w:rPr>
          <w:rFonts w:eastAsia="宋体"/>
          <w:color w:val="auto"/>
        </w:rPr>
        <w:t>%。各指标业绩值和绩效分值如下表所示：</w:t>
      </w:r>
    </w:p>
    <w:p w14:paraId="595E752A">
      <w:pPr>
        <w:rPr>
          <w:rFonts w:eastAsia="黑体"/>
          <w:color w:val="auto"/>
          <w:szCs w:val="16"/>
        </w:rPr>
      </w:pPr>
      <w:r>
        <w:rPr>
          <w:rFonts w:eastAsia="黑体"/>
          <w:color w:val="auto"/>
          <w:szCs w:val="16"/>
        </w:rPr>
        <w:br w:type="page"/>
      </w:r>
    </w:p>
    <w:p w14:paraId="12337903">
      <w:pPr>
        <w:ind w:firstLine="0" w:firstLineChars="0"/>
        <w:jc w:val="center"/>
        <w:rPr>
          <w:rFonts w:eastAsia="黑体"/>
          <w:color w:val="auto"/>
          <w:szCs w:val="16"/>
        </w:rPr>
      </w:pPr>
      <w:r>
        <w:rPr>
          <w:rFonts w:eastAsia="黑体"/>
          <w:color w:val="auto"/>
          <w:szCs w:val="16"/>
        </w:rPr>
        <w:t>表</w:t>
      </w:r>
      <w:r>
        <w:rPr>
          <w:rFonts w:hint="default" w:eastAsia="黑体"/>
          <w:color w:val="auto"/>
          <w:szCs w:val="16"/>
        </w:rPr>
        <w:t>5-</w:t>
      </w:r>
      <w:r>
        <w:rPr>
          <w:rFonts w:eastAsia="黑体"/>
          <w:color w:val="auto"/>
          <w:szCs w:val="16"/>
        </w:rPr>
        <w:t>3：项目产出指标及分值</w:t>
      </w:r>
    </w:p>
    <w:tbl>
      <w:tblPr>
        <w:tblStyle w:val="21"/>
        <w:tblpPr w:leftFromText="180" w:rightFromText="180" w:vertAnchor="text" w:horzAnchor="page" w:tblpX="1975" w:tblpY="61"/>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1" w:type="dxa"/>
          <w:bottom w:w="0" w:type="dxa"/>
          <w:right w:w="51" w:type="dxa"/>
        </w:tblCellMar>
      </w:tblPr>
      <w:tblGrid>
        <w:gridCol w:w="952"/>
        <w:gridCol w:w="1152"/>
        <w:gridCol w:w="1975"/>
        <w:gridCol w:w="1128"/>
        <w:gridCol w:w="1161"/>
        <w:gridCol w:w="575"/>
        <w:gridCol w:w="575"/>
        <w:gridCol w:w="890"/>
      </w:tblGrid>
      <w:tr w14:paraId="4F73B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blHeader/>
        </w:trPr>
        <w:tc>
          <w:tcPr>
            <w:tcW w:w="566" w:type="pct"/>
            <w:vAlign w:val="center"/>
          </w:tcPr>
          <w:p w14:paraId="26D81C2A">
            <w:pPr>
              <w:widowControl/>
              <w:spacing w:line="240" w:lineRule="auto"/>
              <w:ind w:firstLine="0" w:firstLineChars="0"/>
              <w:jc w:val="center"/>
              <w:rPr>
                <w:rFonts w:eastAsia="宋体"/>
                <w:b/>
                <w:bCs/>
                <w:color w:val="auto"/>
              </w:rPr>
            </w:pPr>
            <w:r>
              <w:rPr>
                <w:rFonts w:eastAsia="宋体"/>
                <w:b/>
                <w:bCs/>
                <w:color w:val="auto"/>
              </w:rPr>
              <w:t>一级指标</w:t>
            </w:r>
          </w:p>
        </w:tc>
        <w:tc>
          <w:tcPr>
            <w:tcW w:w="685" w:type="pct"/>
            <w:vAlign w:val="center"/>
          </w:tcPr>
          <w:p w14:paraId="45EEF965">
            <w:pPr>
              <w:widowControl/>
              <w:spacing w:line="240" w:lineRule="auto"/>
              <w:ind w:firstLine="0" w:firstLineChars="0"/>
              <w:jc w:val="center"/>
              <w:rPr>
                <w:rFonts w:eastAsia="宋体"/>
                <w:b/>
                <w:bCs/>
                <w:color w:val="auto"/>
              </w:rPr>
            </w:pPr>
            <w:r>
              <w:rPr>
                <w:rFonts w:eastAsia="宋体"/>
                <w:b/>
                <w:bCs/>
                <w:color w:val="auto"/>
              </w:rPr>
              <w:t>二级指标</w:t>
            </w:r>
          </w:p>
        </w:tc>
        <w:tc>
          <w:tcPr>
            <w:tcW w:w="1173" w:type="pct"/>
            <w:vAlign w:val="center"/>
          </w:tcPr>
          <w:p w14:paraId="7BA9ECD1">
            <w:pPr>
              <w:widowControl/>
              <w:spacing w:line="240" w:lineRule="auto"/>
              <w:ind w:firstLine="0" w:firstLineChars="0"/>
              <w:jc w:val="center"/>
              <w:rPr>
                <w:rFonts w:eastAsia="宋体"/>
                <w:b/>
                <w:bCs/>
                <w:color w:val="auto"/>
              </w:rPr>
            </w:pPr>
            <w:r>
              <w:rPr>
                <w:rFonts w:eastAsia="宋体"/>
                <w:b/>
                <w:bCs/>
                <w:color w:val="auto"/>
              </w:rPr>
              <w:t>三级指标</w:t>
            </w:r>
          </w:p>
        </w:tc>
        <w:tc>
          <w:tcPr>
            <w:tcW w:w="670" w:type="pct"/>
            <w:vAlign w:val="center"/>
          </w:tcPr>
          <w:p w14:paraId="7BACC18F">
            <w:pPr>
              <w:widowControl/>
              <w:spacing w:line="240" w:lineRule="auto"/>
              <w:ind w:firstLine="0" w:firstLineChars="0"/>
              <w:jc w:val="center"/>
              <w:rPr>
                <w:rFonts w:eastAsia="宋体"/>
                <w:b/>
                <w:bCs/>
                <w:color w:val="auto"/>
              </w:rPr>
            </w:pPr>
            <w:r>
              <w:rPr>
                <w:rFonts w:eastAsia="宋体"/>
                <w:b/>
                <w:bCs/>
                <w:color w:val="auto"/>
              </w:rPr>
              <w:t>目标值</w:t>
            </w:r>
          </w:p>
        </w:tc>
        <w:tc>
          <w:tcPr>
            <w:tcW w:w="690" w:type="pct"/>
            <w:vAlign w:val="center"/>
          </w:tcPr>
          <w:p w14:paraId="48861DB7">
            <w:pPr>
              <w:widowControl/>
              <w:spacing w:line="240" w:lineRule="auto"/>
              <w:ind w:firstLine="0" w:firstLineChars="0"/>
              <w:jc w:val="center"/>
              <w:rPr>
                <w:rFonts w:eastAsia="宋体"/>
                <w:b/>
                <w:bCs/>
                <w:color w:val="auto"/>
              </w:rPr>
            </w:pPr>
            <w:r>
              <w:rPr>
                <w:rFonts w:eastAsia="宋体"/>
                <w:b/>
                <w:bCs/>
                <w:color w:val="auto"/>
              </w:rPr>
              <w:t>实际完成值</w:t>
            </w:r>
          </w:p>
        </w:tc>
        <w:tc>
          <w:tcPr>
            <w:tcW w:w="341" w:type="pct"/>
            <w:vAlign w:val="center"/>
          </w:tcPr>
          <w:p w14:paraId="06C55F43">
            <w:pPr>
              <w:widowControl/>
              <w:spacing w:line="240" w:lineRule="auto"/>
              <w:ind w:firstLine="0" w:firstLineChars="0"/>
              <w:jc w:val="center"/>
              <w:rPr>
                <w:rFonts w:eastAsia="宋体"/>
                <w:b/>
                <w:bCs/>
                <w:color w:val="auto"/>
              </w:rPr>
            </w:pPr>
            <w:r>
              <w:rPr>
                <w:rFonts w:eastAsia="宋体"/>
                <w:b/>
                <w:bCs/>
                <w:color w:val="auto"/>
              </w:rPr>
              <w:t>权重</w:t>
            </w:r>
          </w:p>
        </w:tc>
        <w:tc>
          <w:tcPr>
            <w:tcW w:w="341" w:type="pct"/>
            <w:vAlign w:val="center"/>
          </w:tcPr>
          <w:p w14:paraId="25647740">
            <w:pPr>
              <w:widowControl/>
              <w:spacing w:line="240" w:lineRule="auto"/>
              <w:ind w:firstLine="0" w:firstLineChars="0"/>
              <w:jc w:val="center"/>
              <w:rPr>
                <w:rFonts w:eastAsia="宋体"/>
                <w:b/>
                <w:bCs/>
                <w:color w:val="auto"/>
              </w:rPr>
            </w:pPr>
            <w:r>
              <w:rPr>
                <w:rFonts w:eastAsia="宋体"/>
                <w:b/>
                <w:bCs/>
                <w:color w:val="auto"/>
              </w:rPr>
              <w:t>得分</w:t>
            </w:r>
          </w:p>
        </w:tc>
        <w:tc>
          <w:tcPr>
            <w:tcW w:w="529" w:type="pct"/>
            <w:vAlign w:val="center"/>
          </w:tcPr>
          <w:p w14:paraId="672FD1E6">
            <w:pPr>
              <w:widowControl/>
              <w:spacing w:line="240" w:lineRule="auto"/>
              <w:ind w:firstLine="0" w:firstLineChars="0"/>
              <w:jc w:val="center"/>
              <w:rPr>
                <w:rFonts w:eastAsia="宋体"/>
                <w:b/>
                <w:bCs/>
                <w:color w:val="auto"/>
              </w:rPr>
            </w:pPr>
            <w:r>
              <w:rPr>
                <w:rFonts w:eastAsia="宋体"/>
                <w:b/>
                <w:bCs/>
                <w:color w:val="auto"/>
              </w:rPr>
              <w:t>得分率</w:t>
            </w:r>
          </w:p>
        </w:tc>
      </w:tr>
      <w:tr w14:paraId="18E954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566" w:type="pct"/>
            <w:vMerge w:val="restart"/>
            <w:vAlign w:val="center"/>
          </w:tcPr>
          <w:p w14:paraId="4719076F">
            <w:pPr>
              <w:widowControl/>
              <w:spacing w:line="240" w:lineRule="auto"/>
              <w:ind w:firstLine="0" w:firstLineChars="0"/>
              <w:jc w:val="center"/>
              <w:rPr>
                <w:rFonts w:eastAsia="宋体"/>
                <w:color w:val="auto"/>
              </w:rPr>
            </w:pPr>
            <w:r>
              <w:rPr>
                <w:rFonts w:eastAsia="宋体"/>
                <w:color w:val="auto"/>
              </w:rPr>
              <w:t>C产出</w:t>
            </w:r>
            <w:r>
              <w:rPr>
                <w:rFonts w:eastAsia="宋体"/>
                <w:color w:val="auto"/>
              </w:rPr>
              <w:br w:type="textWrapping"/>
            </w:r>
            <w:r>
              <w:rPr>
                <w:rFonts w:eastAsia="宋体"/>
                <w:color w:val="auto"/>
              </w:rPr>
              <w:t>（3</w:t>
            </w:r>
            <w:r>
              <w:rPr>
                <w:rFonts w:hint="default" w:eastAsia="宋体"/>
                <w:color w:val="auto"/>
                <w:lang w:val="en-US" w:eastAsia="zh-CN"/>
              </w:rPr>
              <w:t>0</w:t>
            </w:r>
            <w:r>
              <w:rPr>
                <w:rFonts w:eastAsia="宋体"/>
                <w:color w:val="auto"/>
              </w:rPr>
              <w:t>.00分）</w:t>
            </w:r>
          </w:p>
        </w:tc>
        <w:tc>
          <w:tcPr>
            <w:tcW w:w="685" w:type="pct"/>
            <w:vMerge w:val="restart"/>
            <w:vAlign w:val="center"/>
          </w:tcPr>
          <w:p w14:paraId="79A4F6D5">
            <w:pPr>
              <w:widowControl/>
              <w:spacing w:line="240" w:lineRule="auto"/>
              <w:ind w:firstLine="0" w:firstLineChars="0"/>
              <w:jc w:val="left"/>
              <w:rPr>
                <w:rFonts w:eastAsia="宋体"/>
                <w:color w:val="auto"/>
              </w:rPr>
            </w:pPr>
            <w:r>
              <w:rPr>
                <w:rFonts w:hint="default" w:eastAsia="宋体"/>
                <w:color w:val="auto"/>
              </w:rPr>
              <w:t>C1产出数量（14.00分）</w:t>
            </w:r>
          </w:p>
        </w:tc>
        <w:tc>
          <w:tcPr>
            <w:tcW w:w="1173" w:type="pct"/>
            <w:vAlign w:val="center"/>
          </w:tcPr>
          <w:p w14:paraId="37A692E3">
            <w:pPr>
              <w:widowControl/>
              <w:spacing w:line="240" w:lineRule="auto"/>
              <w:ind w:firstLine="0" w:firstLineChars="0"/>
              <w:jc w:val="left"/>
              <w:rPr>
                <w:rFonts w:hint="default" w:eastAsia="宋体"/>
                <w:color w:val="auto"/>
                <w:lang w:val="en-US" w:eastAsia="zh-CN"/>
              </w:rPr>
            </w:pPr>
            <w:r>
              <w:rPr>
                <w:rFonts w:hint="default" w:eastAsia="宋体"/>
                <w:color w:val="auto"/>
                <w:lang w:val="en-US" w:eastAsia="zh-CN"/>
              </w:rPr>
              <w:t>C11化工及化工安全实训基地设备采购计划完成率</w:t>
            </w:r>
          </w:p>
        </w:tc>
        <w:tc>
          <w:tcPr>
            <w:tcW w:w="1128" w:type="dxa"/>
            <w:vAlign w:val="center"/>
          </w:tcPr>
          <w:p w14:paraId="651BCE9E">
            <w:pPr>
              <w:widowControl/>
              <w:spacing w:line="240" w:lineRule="auto"/>
              <w:ind w:firstLine="0" w:firstLineChars="0"/>
              <w:jc w:val="center"/>
              <w:rPr>
                <w:rFonts w:hint="default" w:eastAsia="宋体"/>
                <w:color w:val="auto"/>
                <w:lang w:val="en-US" w:eastAsia="zh-CN"/>
              </w:rPr>
            </w:pPr>
            <w:r>
              <w:rPr>
                <w:rFonts w:hint="default" w:eastAsia="宋体"/>
                <w:color w:val="auto"/>
                <w:lang w:val="en-US" w:eastAsia="zh-CN"/>
              </w:rPr>
              <w:t>100.00%</w:t>
            </w:r>
          </w:p>
        </w:tc>
        <w:tc>
          <w:tcPr>
            <w:tcW w:w="1161" w:type="dxa"/>
            <w:vAlign w:val="center"/>
          </w:tcPr>
          <w:p w14:paraId="59311567">
            <w:pPr>
              <w:widowControl/>
              <w:spacing w:line="240" w:lineRule="auto"/>
              <w:ind w:firstLine="0" w:firstLineChars="0"/>
              <w:jc w:val="center"/>
              <w:rPr>
                <w:rFonts w:hint="default" w:eastAsia="宋体"/>
                <w:color w:val="auto"/>
                <w:lang w:val="en-US" w:eastAsia="zh-CN"/>
              </w:rPr>
            </w:pPr>
            <w:r>
              <w:rPr>
                <w:rFonts w:hint="default" w:eastAsia="宋体"/>
                <w:color w:val="auto"/>
                <w:lang w:val="en-US" w:eastAsia="zh-CN"/>
              </w:rPr>
              <w:t>100.00%</w:t>
            </w:r>
          </w:p>
        </w:tc>
        <w:tc>
          <w:tcPr>
            <w:tcW w:w="575" w:type="dxa"/>
            <w:vAlign w:val="center"/>
          </w:tcPr>
          <w:p w14:paraId="363E3D6F">
            <w:pPr>
              <w:widowControl/>
              <w:spacing w:line="240" w:lineRule="auto"/>
              <w:ind w:firstLine="0" w:firstLineChars="0"/>
              <w:jc w:val="center"/>
              <w:rPr>
                <w:rFonts w:hint="default" w:eastAsia="宋体"/>
                <w:color w:val="auto"/>
                <w:lang w:val="en-US" w:eastAsia="zh-CN"/>
              </w:rPr>
            </w:pPr>
            <w:r>
              <w:rPr>
                <w:rFonts w:hint="eastAsia" w:eastAsia="宋体"/>
                <w:color w:val="auto"/>
                <w:lang w:val="en-US" w:eastAsia="zh-CN"/>
              </w:rPr>
              <w:t>10</w:t>
            </w:r>
            <w:r>
              <w:rPr>
                <w:rFonts w:hint="default" w:eastAsia="宋体"/>
                <w:color w:val="auto"/>
                <w:lang w:val="en-US" w:eastAsia="zh-CN"/>
              </w:rPr>
              <w:t xml:space="preserve">.00 </w:t>
            </w:r>
          </w:p>
        </w:tc>
        <w:tc>
          <w:tcPr>
            <w:tcW w:w="575" w:type="dxa"/>
            <w:vAlign w:val="center"/>
          </w:tcPr>
          <w:p w14:paraId="7A9E67EE">
            <w:pPr>
              <w:widowControl/>
              <w:spacing w:line="240" w:lineRule="auto"/>
              <w:ind w:firstLine="0" w:firstLineChars="0"/>
              <w:jc w:val="center"/>
              <w:rPr>
                <w:rFonts w:hint="default" w:eastAsia="宋体"/>
                <w:color w:val="auto"/>
                <w:lang w:val="en-US" w:eastAsia="zh-CN"/>
              </w:rPr>
            </w:pPr>
            <w:r>
              <w:rPr>
                <w:rFonts w:hint="eastAsia" w:eastAsia="宋体"/>
                <w:color w:val="auto"/>
                <w:lang w:val="en-US" w:eastAsia="zh-CN"/>
              </w:rPr>
              <w:t>10</w:t>
            </w:r>
            <w:r>
              <w:rPr>
                <w:rFonts w:hint="default" w:eastAsia="宋体"/>
                <w:color w:val="auto"/>
                <w:lang w:val="en-US" w:eastAsia="zh-CN"/>
              </w:rPr>
              <w:t xml:space="preserve">.00 </w:t>
            </w:r>
          </w:p>
        </w:tc>
        <w:tc>
          <w:tcPr>
            <w:tcW w:w="890" w:type="dxa"/>
            <w:vAlign w:val="center"/>
          </w:tcPr>
          <w:p w14:paraId="45DB7234">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1AA5F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566" w:type="pct"/>
            <w:vMerge w:val="continue"/>
            <w:vAlign w:val="center"/>
          </w:tcPr>
          <w:p w14:paraId="259BC971">
            <w:pPr>
              <w:widowControl/>
              <w:spacing w:line="240" w:lineRule="auto"/>
              <w:ind w:firstLine="0" w:firstLineChars="0"/>
              <w:jc w:val="center"/>
              <w:rPr>
                <w:rFonts w:eastAsia="宋体"/>
                <w:color w:val="auto"/>
              </w:rPr>
            </w:pPr>
          </w:p>
        </w:tc>
        <w:tc>
          <w:tcPr>
            <w:tcW w:w="685" w:type="pct"/>
            <w:vMerge w:val="continue"/>
            <w:vAlign w:val="center"/>
          </w:tcPr>
          <w:p w14:paraId="0AA31A32">
            <w:pPr>
              <w:widowControl/>
              <w:spacing w:line="240" w:lineRule="auto"/>
              <w:ind w:firstLine="0" w:firstLineChars="0"/>
              <w:jc w:val="left"/>
              <w:rPr>
                <w:rFonts w:eastAsia="宋体"/>
                <w:color w:val="auto"/>
              </w:rPr>
            </w:pPr>
          </w:p>
        </w:tc>
        <w:tc>
          <w:tcPr>
            <w:tcW w:w="1173" w:type="pct"/>
            <w:vAlign w:val="center"/>
          </w:tcPr>
          <w:p w14:paraId="398B46F1">
            <w:pPr>
              <w:widowControl/>
              <w:spacing w:line="240" w:lineRule="auto"/>
              <w:ind w:firstLine="0" w:firstLineChars="0"/>
              <w:jc w:val="left"/>
              <w:rPr>
                <w:rFonts w:hint="default" w:eastAsia="宋体"/>
                <w:color w:val="auto"/>
                <w:lang w:val="en-US" w:eastAsia="zh-CN"/>
              </w:rPr>
            </w:pPr>
            <w:r>
              <w:rPr>
                <w:rFonts w:hint="default" w:eastAsia="宋体"/>
                <w:color w:val="auto"/>
                <w:lang w:val="en-US" w:eastAsia="zh-CN"/>
              </w:rPr>
              <w:t>C12电商及直播实训基地采购计划完成率</w:t>
            </w:r>
          </w:p>
        </w:tc>
        <w:tc>
          <w:tcPr>
            <w:tcW w:w="1128" w:type="dxa"/>
            <w:vAlign w:val="center"/>
          </w:tcPr>
          <w:p w14:paraId="6E47C356">
            <w:pPr>
              <w:widowControl/>
              <w:spacing w:line="240" w:lineRule="auto"/>
              <w:ind w:firstLine="0" w:firstLineChars="0"/>
              <w:jc w:val="center"/>
              <w:rPr>
                <w:rFonts w:hint="default" w:eastAsia="宋体"/>
                <w:color w:val="auto"/>
                <w:lang w:val="en-US" w:eastAsia="zh-CN"/>
              </w:rPr>
            </w:pPr>
            <w:r>
              <w:rPr>
                <w:rFonts w:hint="default" w:eastAsia="宋体"/>
                <w:color w:val="auto"/>
                <w:lang w:val="en-US" w:eastAsia="zh-CN"/>
              </w:rPr>
              <w:t>100.00%</w:t>
            </w:r>
          </w:p>
        </w:tc>
        <w:tc>
          <w:tcPr>
            <w:tcW w:w="1161" w:type="dxa"/>
            <w:vAlign w:val="center"/>
          </w:tcPr>
          <w:p w14:paraId="3BBBDEE0">
            <w:pPr>
              <w:widowControl/>
              <w:spacing w:line="240" w:lineRule="auto"/>
              <w:ind w:firstLine="0" w:firstLineChars="0"/>
              <w:jc w:val="center"/>
              <w:rPr>
                <w:rFonts w:hint="default" w:eastAsia="宋体"/>
                <w:color w:val="auto"/>
                <w:lang w:val="en-US" w:eastAsia="zh-CN"/>
              </w:rPr>
            </w:pPr>
            <w:r>
              <w:rPr>
                <w:rFonts w:hint="default" w:eastAsia="宋体"/>
                <w:color w:val="auto"/>
                <w:lang w:val="en-US" w:eastAsia="zh-CN"/>
              </w:rPr>
              <w:t>100.00%</w:t>
            </w:r>
          </w:p>
        </w:tc>
        <w:tc>
          <w:tcPr>
            <w:tcW w:w="575" w:type="dxa"/>
            <w:vAlign w:val="center"/>
          </w:tcPr>
          <w:p w14:paraId="1DE33674">
            <w:pPr>
              <w:widowControl/>
              <w:spacing w:line="240" w:lineRule="auto"/>
              <w:ind w:firstLine="0" w:firstLineChars="0"/>
              <w:jc w:val="center"/>
              <w:rPr>
                <w:rFonts w:hint="default" w:eastAsia="宋体"/>
                <w:color w:val="auto"/>
                <w:lang w:val="en-US" w:eastAsia="zh-CN"/>
              </w:rPr>
            </w:pPr>
            <w:r>
              <w:rPr>
                <w:rFonts w:hint="eastAsia" w:eastAsia="宋体"/>
                <w:color w:val="auto"/>
                <w:lang w:val="en-US" w:eastAsia="zh-CN"/>
              </w:rPr>
              <w:t>4</w:t>
            </w:r>
            <w:r>
              <w:rPr>
                <w:rFonts w:hint="default" w:eastAsia="宋体"/>
                <w:color w:val="auto"/>
                <w:lang w:val="en-US" w:eastAsia="zh-CN"/>
              </w:rPr>
              <w:t xml:space="preserve">.00 </w:t>
            </w:r>
          </w:p>
        </w:tc>
        <w:tc>
          <w:tcPr>
            <w:tcW w:w="575" w:type="dxa"/>
            <w:vAlign w:val="center"/>
          </w:tcPr>
          <w:p w14:paraId="4D5232F8">
            <w:pPr>
              <w:widowControl/>
              <w:spacing w:line="240" w:lineRule="auto"/>
              <w:ind w:firstLine="0" w:firstLineChars="0"/>
              <w:jc w:val="center"/>
              <w:rPr>
                <w:rFonts w:hint="default" w:eastAsia="宋体"/>
                <w:color w:val="auto"/>
                <w:lang w:val="en-US" w:eastAsia="zh-CN"/>
              </w:rPr>
            </w:pPr>
            <w:r>
              <w:rPr>
                <w:rFonts w:hint="eastAsia" w:eastAsia="宋体"/>
                <w:color w:val="auto"/>
                <w:lang w:val="en-US" w:eastAsia="zh-CN"/>
              </w:rPr>
              <w:t>4</w:t>
            </w:r>
            <w:r>
              <w:rPr>
                <w:rFonts w:hint="default" w:eastAsia="宋体"/>
                <w:color w:val="auto"/>
                <w:lang w:val="en-US" w:eastAsia="zh-CN"/>
              </w:rPr>
              <w:t xml:space="preserve">.00 </w:t>
            </w:r>
          </w:p>
        </w:tc>
        <w:tc>
          <w:tcPr>
            <w:tcW w:w="890" w:type="dxa"/>
            <w:vAlign w:val="center"/>
          </w:tcPr>
          <w:p w14:paraId="6C1E22E0">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63D6C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566" w:type="pct"/>
            <w:vMerge w:val="continue"/>
            <w:vAlign w:val="center"/>
          </w:tcPr>
          <w:p w14:paraId="7E779E53">
            <w:pPr>
              <w:widowControl/>
              <w:spacing w:line="240" w:lineRule="auto"/>
              <w:ind w:firstLine="0" w:firstLineChars="0"/>
              <w:jc w:val="center"/>
              <w:rPr>
                <w:rFonts w:eastAsia="宋体"/>
                <w:color w:val="auto"/>
              </w:rPr>
            </w:pPr>
          </w:p>
        </w:tc>
        <w:tc>
          <w:tcPr>
            <w:tcW w:w="685" w:type="pct"/>
            <w:vAlign w:val="center"/>
          </w:tcPr>
          <w:p w14:paraId="1848E0D8">
            <w:pPr>
              <w:widowControl/>
              <w:spacing w:line="240" w:lineRule="auto"/>
              <w:ind w:firstLine="0" w:firstLineChars="0"/>
              <w:jc w:val="left"/>
              <w:rPr>
                <w:rFonts w:eastAsia="宋体"/>
                <w:color w:val="auto"/>
              </w:rPr>
            </w:pPr>
            <w:r>
              <w:rPr>
                <w:rFonts w:hint="default" w:eastAsia="宋体"/>
                <w:color w:val="auto"/>
              </w:rPr>
              <w:t>C2产出质量（5.00分）</w:t>
            </w:r>
          </w:p>
        </w:tc>
        <w:tc>
          <w:tcPr>
            <w:tcW w:w="1173" w:type="pct"/>
            <w:vAlign w:val="center"/>
          </w:tcPr>
          <w:p w14:paraId="54129069">
            <w:pPr>
              <w:widowControl/>
              <w:spacing w:line="240" w:lineRule="auto"/>
              <w:ind w:firstLine="0" w:firstLineChars="0"/>
              <w:jc w:val="left"/>
              <w:rPr>
                <w:rFonts w:eastAsia="宋体"/>
                <w:color w:val="auto"/>
              </w:rPr>
            </w:pPr>
            <w:r>
              <w:rPr>
                <w:rFonts w:hint="default" w:eastAsia="宋体"/>
                <w:color w:val="auto"/>
              </w:rPr>
              <w:t>C21设备验收合格率</w:t>
            </w:r>
          </w:p>
        </w:tc>
        <w:tc>
          <w:tcPr>
            <w:tcW w:w="1128" w:type="dxa"/>
            <w:vAlign w:val="center"/>
          </w:tcPr>
          <w:p w14:paraId="6656A304">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1161" w:type="dxa"/>
            <w:vAlign w:val="center"/>
          </w:tcPr>
          <w:p w14:paraId="60275E88">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575" w:type="dxa"/>
            <w:vAlign w:val="center"/>
          </w:tcPr>
          <w:p w14:paraId="5EEBA140">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5.00 </w:t>
            </w:r>
          </w:p>
        </w:tc>
        <w:tc>
          <w:tcPr>
            <w:tcW w:w="575" w:type="dxa"/>
            <w:vAlign w:val="center"/>
          </w:tcPr>
          <w:p w14:paraId="00A58BF3">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5.00 </w:t>
            </w:r>
          </w:p>
        </w:tc>
        <w:tc>
          <w:tcPr>
            <w:tcW w:w="890" w:type="dxa"/>
            <w:vAlign w:val="center"/>
          </w:tcPr>
          <w:p w14:paraId="2DDB7C3E">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6FE23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566" w:type="pct"/>
            <w:vMerge w:val="continue"/>
            <w:vAlign w:val="center"/>
          </w:tcPr>
          <w:p w14:paraId="10C5AFE7">
            <w:pPr>
              <w:widowControl/>
              <w:spacing w:line="240" w:lineRule="auto"/>
              <w:ind w:firstLine="0" w:firstLineChars="0"/>
              <w:jc w:val="center"/>
              <w:rPr>
                <w:rFonts w:eastAsia="宋体"/>
                <w:color w:val="auto"/>
              </w:rPr>
            </w:pPr>
          </w:p>
        </w:tc>
        <w:tc>
          <w:tcPr>
            <w:tcW w:w="685" w:type="pct"/>
            <w:vAlign w:val="center"/>
          </w:tcPr>
          <w:p w14:paraId="736179CA">
            <w:pPr>
              <w:widowControl/>
              <w:spacing w:line="240" w:lineRule="auto"/>
              <w:ind w:firstLine="0" w:firstLineChars="0"/>
              <w:jc w:val="left"/>
              <w:rPr>
                <w:rFonts w:eastAsia="宋体"/>
                <w:color w:val="auto"/>
              </w:rPr>
            </w:pPr>
            <w:r>
              <w:rPr>
                <w:rFonts w:hint="default" w:eastAsia="宋体"/>
                <w:color w:val="auto"/>
              </w:rPr>
              <w:t>C3产出时效（6.00分）</w:t>
            </w:r>
          </w:p>
        </w:tc>
        <w:tc>
          <w:tcPr>
            <w:tcW w:w="1173" w:type="pct"/>
            <w:vAlign w:val="center"/>
          </w:tcPr>
          <w:p w14:paraId="73779C70">
            <w:pPr>
              <w:widowControl/>
              <w:spacing w:line="240" w:lineRule="auto"/>
              <w:ind w:firstLine="0" w:firstLineChars="0"/>
              <w:jc w:val="left"/>
              <w:rPr>
                <w:rFonts w:hint="default" w:eastAsia="宋体"/>
                <w:color w:val="auto"/>
                <w:lang w:val="en-US" w:eastAsia="zh-CN"/>
              </w:rPr>
            </w:pPr>
            <w:r>
              <w:rPr>
                <w:rFonts w:hint="default" w:eastAsia="宋体"/>
                <w:color w:val="auto"/>
              </w:rPr>
              <w:t>C31项目</w:t>
            </w:r>
            <w:r>
              <w:rPr>
                <w:rFonts w:hint="default" w:eastAsia="宋体"/>
                <w:color w:val="auto"/>
                <w:lang w:val="en-US" w:eastAsia="zh-CN"/>
              </w:rPr>
              <w:t>采购完成及时率</w:t>
            </w:r>
          </w:p>
        </w:tc>
        <w:tc>
          <w:tcPr>
            <w:tcW w:w="1128" w:type="dxa"/>
            <w:vAlign w:val="center"/>
          </w:tcPr>
          <w:p w14:paraId="0AD65983">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1161" w:type="dxa"/>
            <w:vAlign w:val="center"/>
          </w:tcPr>
          <w:p w14:paraId="17132570">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575" w:type="dxa"/>
            <w:vAlign w:val="center"/>
          </w:tcPr>
          <w:p w14:paraId="32A259B5">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6.00 </w:t>
            </w:r>
          </w:p>
        </w:tc>
        <w:tc>
          <w:tcPr>
            <w:tcW w:w="575" w:type="dxa"/>
            <w:vAlign w:val="center"/>
          </w:tcPr>
          <w:p w14:paraId="156D731A">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6.00 </w:t>
            </w:r>
          </w:p>
        </w:tc>
        <w:tc>
          <w:tcPr>
            <w:tcW w:w="890" w:type="dxa"/>
            <w:vAlign w:val="center"/>
          </w:tcPr>
          <w:p w14:paraId="79BC1E0B">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7E44A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566" w:type="pct"/>
            <w:vMerge w:val="continue"/>
            <w:vAlign w:val="center"/>
          </w:tcPr>
          <w:p w14:paraId="64CB8CC0">
            <w:pPr>
              <w:widowControl/>
              <w:spacing w:line="240" w:lineRule="auto"/>
              <w:ind w:firstLine="0" w:firstLineChars="0"/>
              <w:jc w:val="center"/>
              <w:rPr>
                <w:rFonts w:eastAsia="宋体"/>
                <w:color w:val="auto"/>
              </w:rPr>
            </w:pPr>
          </w:p>
        </w:tc>
        <w:tc>
          <w:tcPr>
            <w:tcW w:w="685" w:type="pct"/>
            <w:vAlign w:val="center"/>
          </w:tcPr>
          <w:p w14:paraId="69B27636">
            <w:pPr>
              <w:widowControl/>
              <w:spacing w:line="240" w:lineRule="auto"/>
              <w:ind w:firstLine="0" w:firstLineChars="0"/>
              <w:jc w:val="left"/>
              <w:rPr>
                <w:rFonts w:eastAsia="宋体"/>
                <w:color w:val="auto"/>
              </w:rPr>
            </w:pPr>
            <w:r>
              <w:rPr>
                <w:rFonts w:hint="default" w:eastAsia="宋体"/>
                <w:color w:val="auto"/>
              </w:rPr>
              <w:t>C4产出成本（5.00分）</w:t>
            </w:r>
          </w:p>
        </w:tc>
        <w:tc>
          <w:tcPr>
            <w:tcW w:w="1173" w:type="pct"/>
            <w:vAlign w:val="center"/>
          </w:tcPr>
          <w:p w14:paraId="4464741E">
            <w:pPr>
              <w:widowControl/>
              <w:spacing w:line="240" w:lineRule="auto"/>
              <w:ind w:firstLine="0" w:firstLineChars="0"/>
              <w:jc w:val="left"/>
              <w:rPr>
                <w:rFonts w:eastAsia="宋体"/>
                <w:color w:val="auto"/>
              </w:rPr>
            </w:pPr>
            <w:r>
              <w:rPr>
                <w:rFonts w:hint="default" w:eastAsia="宋体"/>
                <w:color w:val="auto"/>
              </w:rPr>
              <w:t>C41成本节约率</w:t>
            </w:r>
          </w:p>
        </w:tc>
        <w:tc>
          <w:tcPr>
            <w:tcW w:w="1128" w:type="dxa"/>
            <w:vAlign w:val="center"/>
          </w:tcPr>
          <w:p w14:paraId="4D0CA7F7">
            <w:pPr>
              <w:widowControl/>
              <w:spacing w:line="240" w:lineRule="auto"/>
              <w:ind w:firstLine="0" w:firstLineChars="0"/>
              <w:jc w:val="center"/>
              <w:rPr>
                <w:rFonts w:hint="default" w:eastAsiaTheme="minorEastAsia"/>
                <w:color w:val="auto"/>
                <w:highlight w:val="none"/>
                <w:lang w:val="en-US" w:eastAsia="zh-CN"/>
              </w:rPr>
            </w:pPr>
            <w:r>
              <w:rPr>
                <w:rFonts w:hint="default" w:eastAsia="宋体"/>
                <w:color w:val="auto"/>
                <w:highlight w:val="none"/>
                <w:lang w:val="en-US" w:eastAsia="zh-CN"/>
              </w:rPr>
              <w:t>0%</w:t>
            </w:r>
            <w:r>
              <w:rPr>
                <w:rFonts w:hint="default"/>
                <w:highlight w:val="none"/>
                <w:lang w:val="en-US" w:eastAsia="zh-CN"/>
              </w:rPr>
              <w:t>-10%</w:t>
            </w:r>
          </w:p>
        </w:tc>
        <w:tc>
          <w:tcPr>
            <w:tcW w:w="1161" w:type="dxa"/>
            <w:vAlign w:val="center"/>
          </w:tcPr>
          <w:p w14:paraId="1888F694">
            <w:pPr>
              <w:widowControl/>
              <w:spacing w:line="240" w:lineRule="auto"/>
              <w:ind w:firstLine="0" w:firstLineChars="0"/>
              <w:jc w:val="center"/>
              <w:rPr>
                <w:rFonts w:hint="default" w:eastAsia="宋体"/>
                <w:color w:val="auto"/>
                <w:highlight w:val="none"/>
              </w:rPr>
            </w:pPr>
            <w:r>
              <w:rPr>
                <w:rFonts w:hint="default" w:eastAsia="宋体"/>
                <w:color w:val="auto"/>
                <w:highlight w:val="none"/>
                <w:lang w:val="en-US" w:eastAsia="zh-CN"/>
              </w:rPr>
              <w:t>0.00%</w:t>
            </w:r>
          </w:p>
        </w:tc>
        <w:tc>
          <w:tcPr>
            <w:tcW w:w="575" w:type="dxa"/>
            <w:vAlign w:val="center"/>
          </w:tcPr>
          <w:p w14:paraId="4DF33308">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5.00 </w:t>
            </w:r>
          </w:p>
        </w:tc>
        <w:tc>
          <w:tcPr>
            <w:tcW w:w="575" w:type="dxa"/>
            <w:vAlign w:val="center"/>
          </w:tcPr>
          <w:p w14:paraId="47B31A42">
            <w:pPr>
              <w:widowControl/>
              <w:spacing w:line="240" w:lineRule="auto"/>
              <w:ind w:firstLine="0" w:firstLineChars="0"/>
              <w:jc w:val="center"/>
              <w:rPr>
                <w:rFonts w:hint="default" w:eastAsia="宋体"/>
                <w:color w:val="auto"/>
              </w:rPr>
            </w:pPr>
            <w:r>
              <w:rPr>
                <w:rFonts w:hint="default" w:eastAsia="宋体"/>
                <w:color w:val="auto"/>
                <w:lang w:val="en-US" w:eastAsia="zh-CN"/>
              </w:rPr>
              <w:t xml:space="preserve">4.00 </w:t>
            </w:r>
          </w:p>
        </w:tc>
        <w:tc>
          <w:tcPr>
            <w:tcW w:w="890" w:type="dxa"/>
            <w:vAlign w:val="center"/>
          </w:tcPr>
          <w:p w14:paraId="02229488">
            <w:pPr>
              <w:widowControl/>
              <w:spacing w:line="240" w:lineRule="auto"/>
              <w:ind w:firstLine="0" w:firstLineChars="0"/>
              <w:jc w:val="center"/>
              <w:rPr>
                <w:rFonts w:hint="default" w:eastAsia="宋体"/>
                <w:color w:val="auto"/>
              </w:rPr>
            </w:pPr>
            <w:r>
              <w:rPr>
                <w:rFonts w:hint="default" w:eastAsia="宋体"/>
                <w:color w:val="auto"/>
                <w:lang w:val="en-US" w:eastAsia="zh-CN"/>
              </w:rPr>
              <w:t>80.00%</w:t>
            </w:r>
          </w:p>
        </w:tc>
      </w:tr>
      <w:tr w14:paraId="31DFE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trPr>
        <w:tc>
          <w:tcPr>
            <w:tcW w:w="2425" w:type="pct"/>
            <w:gridSpan w:val="3"/>
            <w:vAlign w:val="center"/>
          </w:tcPr>
          <w:p w14:paraId="4BD402B8">
            <w:pPr>
              <w:widowControl/>
              <w:spacing w:line="240" w:lineRule="auto"/>
              <w:ind w:firstLine="0" w:firstLineChars="0"/>
              <w:jc w:val="center"/>
              <w:rPr>
                <w:rFonts w:eastAsia="宋体"/>
                <w:b/>
                <w:bCs/>
                <w:color w:val="auto"/>
              </w:rPr>
            </w:pPr>
            <w:r>
              <w:rPr>
                <w:rFonts w:eastAsia="宋体"/>
                <w:b/>
                <w:bCs/>
                <w:color w:val="auto"/>
              </w:rPr>
              <w:t>合计</w:t>
            </w:r>
          </w:p>
        </w:tc>
        <w:tc>
          <w:tcPr>
            <w:tcW w:w="1128" w:type="dxa"/>
            <w:vAlign w:val="center"/>
          </w:tcPr>
          <w:p w14:paraId="4255E667">
            <w:pPr>
              <w:jc w:val="center"/>
              <w:rPr>
                <w:rFonts w:eastAsia="宋体"/>
                <w:b/>
                <w:bCs/>
                <w:color w:val="auto"/>
              </w:rPr>
            </w:pPr>
          </w:p>
        </w:tc>
        <w:tc>
          <w:tcPr>
            <w:tcW w:w="1161" w:type="dxa"/>
            <w:vAlign w:val="center"/>
          </w:tcPr>
          <w:p w14:paraId="0B2CD051">
            <w:pPr>
              <w:widowControl/>
              <w:spacing w:line="240" w:lineRule="auto"/>
              <w:ind w:firstLine="0" w:firstLineChars="0"/>
              <w:jc w:val="center"/>
              <w:rPr>
                <w:rFonts w:eastAsia="宋体"/>
                <w:b/>
                <w:bCs/>
                <w:color w:val="auto"/>
              </w:rPr>
            </w:pPr>
          </w:p>
        </w:tc>
        <w:tc>
          <w:tcPr>
            <w:tcW w:w="575" w:type="dxa"/>
            <w:vAlign w:val="center"/>
          </w:tcPr>
          <w:p w14:paraId="7D44B857">
            <w:pPr>
              <w:widowControl/>
              <w:spacing w:line="240" w:lineRule="auto"/>
              <w:ind w:firstLine="0" w:firstLineChars="0"/>
              <w:jc w:val="center"/>
              <w:rPr>
                <w:rFonts w:eastAsia="宋体"/>
                <w:b/>
                <w:bCs/>
                <w:color w:val="auto"/>
              </w:rPr>
            </w:pPr>
            <w:r>
              <w:rPr>
                <w:rFonts w:hint="default" w:eastAsia="宋体"/>
                <w:b/>
                <w:bCs/>
                <w:color w:val="auto"/>
                <w:lang w:val="en-US" w:eastAsia="zh-CN"/>
              </w:rPr>
              <w:t xml:space="preserve">30.00 </w:t>
            </w:r>
          </w:p>
        </w:tc>
        <w:tc>
          <w:tcPr>
            <w:tcW w:w="575" w:type="dxa"/>
            <w:vAlign w:val="center"/>
          </w:tcPr>
          <w:p w14:paraId="6E66EF26">
            <w:pPr>
              <w:widowControl/>
              <w:spacing w:line="240" w:lineRule="auto"/>
              <w:ind w:firstLine="0" w:firstLineChars="0"/>
              <w:jc w:val="center"/>
              <w:rPr>
                <w:rFonts w:eastAsia="宋体"/>
                <w:b/>
                <w:bCs/>
                <w:color w:val="auto"/>
              </w:rPr>
            </w:pPr>
            <w:r>
              <w:rPr>
                <w:rFonts w:hint="default" w:eastAsia="宋体"/>
                <w:b/>
                <w:bCs/>
                <w:color w:val="auto"/>
                <w:lang w:val="en-US" w:eastAsia="zh-CN"/>
              </w:rPr>
              <w:t xml:space="preserve">29.00 </w:t>
            </w:r>
          </w:p>
        </w:tc>
        <w:tc>
          <w:tcPr>
            <w:tcW w:w="890" w:type="dxa"/>
            <w:vAlign w:val="center"/>
          </w:tcPr>
          <w:p w14:paraId="5048BE37">
            <w:pPr>
              <w:widowControl/>
              <w:spacing w:line="240" w:lineRule="auto"/>
              <w:ind w:firstLine="0" w:firstLineChars="0"/>
              <w:jc w:val="center"/>
              <w:rPr>
                <w:rFonts w:eastAsia="宋体"/>
                <w:b/>
                <w:bCs/>
                <w:color w:val="auto"/>
              </w:rPr>
            </w:pPr>
            <w:r>
              <w:rPr>
                <w:rFonts w:hint="default" w:eastAsia="宋体"/>
                <w:b/>
                <w:bCs/>
                <w:color w:val="auto"/>
                <w:lang w:val="en-US" w:eastAsia="zh-CN"/>
              </w:rPr>
              <w:t>96.67%</w:t>
            </w:r>
          </w:p>
        </w:tc>
      </w:tr>
    </w:tbl>
    <w:p w14:paraId="1D795A1D">
      <w:pPr>
        <w:ind w:firstLine="422"/>
        <w:rPr>
          <w:rFonts w:eastAsia="宋体"/>
          <w:b/>
          <w:bCs/>
          <w:color w:val="auto"/>
        </w:rPr>
      </w:pPr>
    </w:p>
    <w:p w14:paraId="660B2DC5">
      <w:pPr>
        <w:ind w:firstLine="422"/>
        <w:rPr>
          <w:rFonts w:eastAsia="宋体"/>
          <w:b/>
          <w:bCs/>
          <w:color w:val="auto"/>
        </w:rPr>
      </w:pPr>
      <w:r>
        <w:rPr>
          <w:rFonts w:eastAsia="宋体"/>
          <w:b/>
          <w:bCs/>
          <w:color w:val="auto"/>
        </w:rPr>
        <w:t>指标得分分析：</w:t>
      </w:r>
    </w:p>
    <w:p w14:paraId="2172EF81">
      <w:pPr>
        <w:ind w:firstLine="422"/>
        <w:rPr>
          <w:rFonts w:eastAsia="宋体"/>
          <w:b/>
          <w:bCs/>
          <w:color w:val="auto"/>
        </w:rPr>
      </w:pPr>
      <w:r>
        <w:rPr>
          <w:rFonts w:eastAsia="宋体"/>
          <w:b/>
          <w:bCs/>
          <w:color w:val="auto"/>
        </w:rPr>
        <w:t>（1）</w:t>
      </w:r>
      <w:r>
        <w:rPr>
          <w:rFonts w:hint="default" w:eastAsia="宋体"/>
          <w:b/>
          <w:bCs/>
          <w:color w:val="auto"/>
          <w:lang w:eastAsia="zh-CN"/>
        </w:rPr>
        <w:t>C11化工及化工安全实训基地设备采购计划完成率</w:t>
      </w:r>
      <w:r>
        <w:rPr>
          <w:rFonts w:hint="default" w:eastAsia="宋体"/>
          <w:b/>
          <w:bCs/>
          <w:color w:val="auto"/>
        </w:rPr>
        <w:t>：</w:t>
      </w:r>
    </w:p>
    <w:p w14:paraId="40CE908D">
      <w:pPr>
        <w:ind w:firstLine="416"/>
        <w:rPr>
          <w:rFonts w:hint="default" w:eastAsia="宋体"/>
          <w:color w:val="auto"/>
          <w:spacing w:val="3"/>
          <w:lang w:val="en-US" w:eastAsia="zh-CN"/>
        </w:rPr>
      </w:pPr>
      <w:r>
        <w:rPr>
          <w:rFonts w:hint="default" w:eastAsia="宋体"/>
          <w:color w:val="auto"/>
          <w:spacing w:val="3"/>
          <w:lang w:eastAsia="zh-CN"/>
        </w:rPr>
        <w:t>经查阅《</w:t>
      </w:r>
      <w:r>
        <w:rPr>
          <w:rFonts w:hint="default" w:eastAsia="宋体"/>
          <w:color w:val="auto"/>
          <w:spacing w:val="3"/>
          <w:lang w:val="en-US" w:eastAsia="zh-CN"/>
        </w:rPr>
        <w:t>采购项目验收报告单</w:t>
      </w:r>
      <w:r>
        <w:rPr>
          <w:rFonts w:hint="default" w:eastAsia="宋体"/>
          <w:color w:val="auto"/>
          <w:spacing w:val="3"/>
          <w:lang w:eastAsia="zh-CN"/>
        </w:rPr>
        <w:t>》</w:t>
      </w:r>
      <w:r>
        <w:rPr>
          <w:rFonts w:hint="default" w:eastAsia="宋体"/>
          <w:color w:val="auto"/>
          <w:spacing w:val="3"/>
          <w:lang w:val="en-US" w:eastAsia="zh-CN"/>
        </w:rPr>
        <w:t>以及合同书</w:t>
      </w:r>
      <w:r>
        <w:rPr>
          <w:rFonts w:hint="default" w:eastAsia="宋体"/>
          <w:color w:val="auto"/>
          <w:spacing w:val="3"/>
          <w:lang w:eastAsia="zh-CN"/>
        </w:rPr>
        <w:t>等资料，该项目已建设完成化工及化工安全实训基地设备采购化工实训基地采购数量，采购供货商天津市睿智天成科技发展有限公司、新疆新诺睿博科教设备有限公司、昌吉市诺诚科教设备经销部已按照设备采购清单将设备运送至化工及化工安全实训基地，</w:t>
      </w:r>
      <w:r>
        <w:rPr>
          <w:rFonts w:hint="default" w:eastAsia="宋体"/>
          <w:color w:val="auto"/>
          <w:spacing w:val="3"/>
          <w:lang w:val="en-US" w:eastAsia="zh-CN"/>
        </w:rPr>
        <w:t>第一批</w:t>
      </w:r>
      <w:r>
        <w:rPr>
          <w:rFonts w:hint="default" w:eastAsia="宋体"/>
          <w:color w:val="auto"/>
          <w:spacing w:val="3"/>
          <w:lang w:eastAsia="zh-CN"/>
        </w:rPr>
        <w:t>于2024年</w:t>
      </w:r>
      <w:r>
        <w:rPr>
          <w:rFonts w:hint="default" w:eastAsia="宋体"/>
          <w:color w:val="auto"/>
          <w:spacing w:val="3"/>
          <w:lang w:val="en-US" w:eastAsia="zh-CN"/>
        </w:rPr>
        <w:t>9</w:t>
      </w:r>
      <w:r>
        <w:rPr>
          <w:rFonts w:hint="default" w:eastAsia="宋体"/>
          <w:color w:val="auto"/>
          <w:spacing w:val="3"/>
          <w:lang w:eastAsia="zh-CN"/>
        </w:rPr>
        <w:t>月1</w:t>
      </w:r>
      <w:r>
        <w:rPr>
          <w:rFonts w:hint="default" w:eastAsia="宋体"/>
          <w:color w:val="auto"/>
          <w:spacing w:val="3"/>
          <w:lang w:val="en-US" w:eastAsia="zh-CN"/>
        </w:rPr>
        <w:t>0</w:t>
      </w:r>
      <w:r>
        <w:rPr>
          <w:rFonts w:hint="default" w:eastAsia="宋体"/>
          <w:color w:val="auto"/>
          <w:spacing w:val="3"/>
          <w:lang w:eastAsia="zh-CN"/>
        </w:rPr>
        <w:t>日全部送达化工实训基地，第二</w:t>
      </w:r>
      <w:r>
        <w:rPr>
          <w:rFonts w:hint="default" w:eastAsia="宋体"/>
          <w:color w:val="auto"/>
          <w:spacing w:val="3"/>
          <w:lang w:val="en-US" w:eastAsia="zh-CN"/>
        </w:rPr>
        <w:t>批</w:t>
      </w:r>
      <w:r>
        <w:rPr>
          <w:rFonts w:hint="default" w:eastAsia="宋体"/>
          <w:color w:val="auto"/>
          <w:spacing w:val="3"/>
          <w:lang w:eastAsia="zh-CN"/>
        </w:rPr>
        <w:t>于2024年</w:t>
      </w:r>
      <w:r>
        <w:rPr>
          <w:rFonts w:hint="default" w:eastAsia="宋体"/>
          <w:color w:val="auto"/>
          <w:spacing w:val="3"/>
          <w:lang w:val="en-US" w:eastAsia="zh-CN"/>
        </w:rPr>
        <w:t>12</w:t>
      </w:r>
      <w:r>
        <w:rPr>
          <w:rFonts w:hint="default" w:eastAsia="宋体"/>
          <w:color w:val="auto"/>
          <w:spacing w:val="3"/>
          <w:lang w:eastAsia="zh-CN"/>
        </w:rPr>
        <w:t>月</w:t>
      </w:r>
      <w:r>
        <w:rPr>
          <w:rFonts w:hint="default" w:eastAsia="宋体"/>
          <w:color w:val="auto"/>
          <w:spacing w:val="3"/>
          <w:lang w:val="en-US" w:eastAsia="zh-CN"/>
        </w:rPr>
        <w:t>1</w:t>
      </w:r>
      <w:r>
        <w:rPr>
          <w:rFonts w:hint="default" w:eastAsia="宋体"/>
          <w:color w:val="auto"/>
          <w:spacing w:val="3"/>
          <w:lang w:eastAsia="zh-CN"/>
        </w:rPr>
        <w:t>日采购</w:t>
      </w:r>
      <w:r>
        <w:rPr>
          <w:rFonts w:hint="default" w:eastAsia="宋体"/>
          <w:color w:val="auto"/>
          <w:spacing w:val="3"/>
          <w:lang w:val="en-US" w:eastAsia="zh-CN"/>
        </w:rPr>
        <w:t>完成</w:t>
      </w:r>
      <w:r>
        <w:rPr>
          <w:rFonts w:hint="default" w:eastAsia="宋体"/>
          <w:color w:val="auto"/>
          <w:spacing w:val="3"/>
          <w:lang w:eastAsia="zh-CN"/>
        </w:rPr>
        <w:t>，第三</w:t>
      </w:r>
      <w:r>
        <w:rPr>
          <w:rFonts w:hint="default" w:eastAsia="宋体"/>
          <w:color w:val="auto"/>
          <w:spacing w:val="3"/>
          <w:lang w:val="en-US" w:eastAsia="zh-CN"/>
        </w:rPr>
        <w:t>批于2024年12月5日</w:t>
      </w:r>
      <w:r>
        <w:rPr>
          <w:rFonts w:hint="default" w:eastAsia="宋体"/>
          <w:color w:val="auto"/>
          <w:spacing w:val="3"/>
          <w:lang w:eastAsia="zh-CN"/>
        </w:rPr>
        <w:t>采购</w:t>
      </w:r>
      <w:r>
        <w:rPr>
          <w:rFonts w:hint="default" w:eastAsia="宋体"/>
          <w:color w:val="auto"/>
          <w:spacing w:val="3"/>
          <w:lang w:val="en-US" w:eastAsia="zh-CN"/>
        </w:rPr>
        <w:t>完成</w:t>
      </w:r>
      <w:r>
        <w:rPr>
          <w:rFonts w:hint="default" w:eastAsia="宋体"/>
          <w:color w:val="auto"/>
          <w:spacing w:val="3"/>
          <w:lang w:eastAsia="zh-CN"/>
        </w:rPr>
        <w:t>，已按照合同约定送达化工实训基地安装完成，并且验收通过，化工及化工安全实训基地设备采购</w:t>
      </w:r>
      <w:r>
        <w:rPr>
          <w:rFonts w:hint="default" w:eastAsia="宋体"/>
          <w:color w:val="auto"/>
          <w:spacing w:val="3"/>
          <w:lang w:val="en-US" w:eastAsia="zh-CN"/>
        </w:rPr>
        <w:t>计划已按照采购合同完成采购，达到预期目标</w:t>
      </w:r>
      <w:r>
        <w:rPr>
          <w:rFonts w:hint="default" w:eastAsia="宋体"/>
          <w:color w:val="auto"/>
          <w:spacing w:val="3"/>
          <w:lang w:eastAsia="zh-CN"/>
        </w:rPr>
        <w:t>。</w:t>
      </w:r>
      <w:r>
        <w:rPr>
          <w:rFonts w:hint="default" w:eastAsia="宋体"/>
          <w:color w:val="auto"/>
          <w:spacing w:val="3"/>
          <w:lang w:val="en-US" w:eastAsia="zh-CN"/>
        </w:rPr>
        <w:t>详见基础表2中附表2-3，附表2-4，附表2-5。</w:t>
      </w:r>
    </w:p>
    <w:p w14:paraId="4CBF0932">
      <w:pPr>
        <w:ind w:firstLine="416"/>
        <w:rPr>
          <w:rFonts w:eastAsia="宋体"/>
          <w:color w:val="auto"/>
        </w:rPr>
      </w:pPr>
      <w:r>
        <w:rPr>
          <w:rFonts w:eastAsia="宋体"/>
          <w:color w:val="auto"/>
          <w:spacing w:val="-1"/>
        </w:rPr>
        <w:t>该指标</w:t>
      </w:r>
      <w:r>
        <w:rPr>
          <w:rFonts w:eastAsia="宋体"/>
          <w:color w:val="auto"/>
        </w:rPr>
        <w:t>满分为</w:t>
      </w:r>
      <w:r>
        <w:rPr>
          <w:rFonts w:hint="eastAsia" w:eastAsia="宋体"/>
          <w:color w:val="auto"/>
          <w:lang w:eastAsia="zh-CN"/>
        </w:rPr>
        <w:t>1</w:t>
      </w:r>
      <w:r>
        <w:rPr>
          <w:rFonts w:hint="eastAsia" w:eastAsia="宋体"/>
          <w:color w:val="auto"/>
          <w:lang w:val="en-US" w:eastAsia="zh-CN"/>
        </w:rPr>
        <w:t>0</w:t>
      </w:r>
      <w:r>
        <w:rPr>
          <w:rFonts w:eastAsia="宋体"/>
          <w:color w:val="auto"/>
        </w:rPr>
        <w:t>.00分，根据评分标准得</w:t>
      </w:r>
      <w:r>
        <w:rPr>
          <w:rFonts w:hint="eastAsia" w:eastAsia="宋体"/>
          <w:color w:val="auto"/>
          <w:lang w:val="en-US" w:eastAsia="zh-CN"/>
        </w:rPr>
        <w:t>10</w:t>
      </w:r>
      <w:r>
        <w:rPr>
          <w:rFonts w:hint="default" w:eastAsia="宋体"/>
          <w:color w:val="auto"/>
          <w:lang w:val="en-US" w:eastAsia="zh-CN"/>
        </w:rPr>
        <w:t>.</w:t>
      </w:r>
      <w:r>
        <w:rPr>
          <w:rFonts w:eastAsia="宋体"/>
          <w:color w:val="auto"/>
        </w:rPr>
        <w:t>00分。</w:t>
      </w:r>
    </w:p>
    <w:p w14:paraId="4F745F69">
      <w:pPr>
        <w:ind w:firstLine="422"/>
        <w:rPr>
          <w:rFonts w:eastAsia="宋体"/>
          <w:b/>
          <w:bCs/>
          <w:color w:val="auto"/>
        </w:rPr>
      </w:pPr>
      <w:r>
        <w:rPr>
          <w:rFonts w:hint="default" w:eastAsia="宋体"/>
          <w:b/>
          <w:bCs/>
          <w:color w:val="auto"/>
        </w:rPr>
        <w:t>（2）</w:t>
      </w:r>
      <w:r>
        <w:rPr>
          <w:rFonts w:hint="default" w:eastAsia="宋体"/>
          <w:b/>
          <w:bCs/>
          <w:color w:val="auto"/>
          <w:lang w:eastAsia="zh-CN"/>
        </w:rPr>
        <w:t>C</w:t>
      </w:r>
      <w:r>
        <w:rPr>
          <w:rFonts w:hint="default" w:eastAsia="宋体"/>
          <w:b/>
          <w:bCs/>
          <w:color w:val="auto"/>
          <w:lang w:val="en-US" w:eastAsia="zh-CN"/>
        </w:rPr>
        <w:t>12</w:t>
      </w:r>
      <w:r>
        <w:rPr>
          <w:rFonts w:hint="default" w:eastAsia="宋体"/>
          <w:b/>
          <w:bCs/>
          <w:color w:val="auto"/>
          <w:lang w:eastAsia="zh-CN"/>
        </w:rPr>
        <w:t>电商及直播实训基地采购计划完成率</w:t>
      </w:r>
      <w:r>
        <w:rPr>
          <w:rFonts w:eastAsia="宋体"/>
          <w:b/>
          <w:bCs/>
          <w:color w:val="auto"/>
        </w:rPr>
        <w:t>：</w:t>
      </w:r>
    </w:p>
    <w:p w14:paraId="5EF0C40A">
      <w:pPr>
        <w:ind w:firstLine="416"/>
        <w:rPr>
          <w:rFonts w:hint="default" w:eastAsia="宋体"/>
          <w:color w:val="auto"/>
          <w:spacing w:val="3"/>
          <w:lang w:eastAsia="zh-CN"/>
        </w:rPr>
      </w:pPr>
      <w:r>
        <w:rPr>
          <w:rFonts w:hint="default" w:eastAsia="宋体"/>
          <w:color w:val="auto"/>
          <w:spacing w:val="3"/>
          <w:lang w:eastAsia="zh-CN"/>
        </w:rPr>
        <w:t>经查《</w:t>
      </w:r>
      <w:r>
        <w:rPr>
          <w:rFonts w:hint="default" w:eastAsia="宋体"/>
          <w:color w:val="auto"/>
          <w:spacing w:val="3"/>
          <w:lang w:val="en-US" w:eastAsia="zh-CN"/>
        </w:rPr>
        <w:t>采购项目验收报告单</w:t>
      </w:r>
      <w:r>
        <w:rPr>
          <w:rFonts w:hint="default" w:eastAsia="宋体"/>
          <w:color w:val="auto"/>
          <w:spacing w:val="3"/>
          <w:lang w:eastAsia="zh-CN"/>
        </w:rPr>
        <w:t>》</w:t>
      </w:r>
      <w:r>
        <w:rPr>
          <w:rFonts w:hint="default" w:eastAsia="宋体"/>
          <w:color w:val="auto"/>
          <w:spacing w:val="3"/>
          <w:lang w:val="en-US" w:eastAsia="zh-CN"/>
        </w:rPr>
        <w:t>以及合同书</w:t>
      </w:r>
      <w:r>
        <w:rPr>
          <w:rFonts w:hint="default" w:eastAsia="宋体"/>
          <w:color w:val="auto"/>
          <w:spacing w:val="3"/>
          <w:lang w:eastAsia="zh-CN"/>
        </w:rPr>
        <w:t>等资料，该项目已建设完成电商及直播实训基地采购数量，采购供货商新疆金鸿瑞科教设备有限公司和新疆盯云智能科技有限公司已按照设备采购清单将设备运送至电商及直播实训基地，</w:t>
      </w:r>
      <w:r>
        <w:rPr>
          <w:rFonts w:hint="default" w:eastAsia="宋体"/>
          <w:color w:val="auto"/>
          <w:spacing w:val="3"/>
          <w:lang w:val="en-US" w:eastAsia="zh-CN"/>
        </w:rPr>
        <w:t>第一批</w:t>
      </w:r>
      <w:r>
        <w:rPr>
          <w:rFonts w:hint="default" w:eastAsia="宋体"/>
          <w:color w:val="auto"/>
          <w:spacing w:val="3"/>
          <w:lang w:eastAsia="zh-CN"/>
        </w:rPr>
        <w:t>于2024年</w:t>
      </w:r>
      <w:r>
        <w:rPr>
          <w:rFonts w:hint="default" w:eastAsia="宋体"/>
          <w:color w:val="auto"/>
          <w:spacing w:val="3"/>
          <w:lang w:val="en-US" w:eastAsia="zh-CN"/>
        </w:rPr>
        <w:t>9</w:t>
      </w:r>
      <w:r>
        <w:rPr>
          <w:rFonts w:hint="default" w:eastAsia="宋体"/>
          <w:color w:val="auto"/>
          <w:spacing w:val="3"/>
          <w:lang w:eastAsia="zh-CN"/>
        </w:rPr>
        <w:t>月</w:t>
      </w:r>
      <w:r>
        <w:rPr>
          <w:rFonts w:hint="default" w:eastAsia="宋体"/>
          <w:color w:val="auto"/>
          <w:spacing w:val="3"/>
          <w:lang w:val="en-US" w:eastAsia="zh-CN"/>
        </w:rPr>
        <w:t>6</w:t>
      </w:r>
      <w:r>
        <w:rPr>
          <w:rFonts w:hint="default" w:eastAsia="宋体"/>
          <w:color w:val="auto"/>
          <w:spacing w:val="3"/>
          <w:lang w:eastAsia="zh-CN"/>
        </w:rPr>
        <w:t>日送达电商及直播实训基地，第二</w:t>
      </w:r>
      <w:r>
        <w:rPr>
          <w:rFonts w:hint="default" w:eastAsia="宋体"/>
          <w:color w:val="auto"/>
          <w:spacing w:val="3"/>
          <w:lang w:val="en-US" w:eastAsia="zh-CN"/>
        </w:rPr>
        <w:t>批于2024年10月28日采购完成</w:t>
      </w:r>
      <w:r>
        <w:rPr>
          <w:rFonts w:hint="default" w:eastAsia="宋体"/>
          <w:color w:val="auto"/>
          <w:spacing w:val="3"/>
          <w:lang w:eastAsia="zh-CN"/>
        </w:rPr>
        <w:t>，设备已按照合同约定全部送达电商及直播实训基地并安装完毕，并且验收通过，电商及直播实训基地设备采购</w:t>
      </w:r>
      <w:r>
        <w:rPr>
          <w:rFonts w:hint="default" w:eastAsia="宋体"/>
          <w:color w:val="auto"/>
          <w:spacing w:val="3"/>
          <w:lang w:val="en-US" w:eastAsia="zh-CN"/>
        </w:rPr>
        <w:t>计划已按照采购合同完成采购，达到预期目标</w:t>
      </w:r>
      <w:r>
        <w:rPr>
          <w:rFonts w:hint="default" w:eastAsia="宋体"/>
          <w:color w:val="auto"/>
          <w:spacing w:val="3"/>
          <w:lang w:eastAsia="zh-CN"/>
        </w:rPr>
        <w:t>。</w:t>
      </w:r>
      <w:r>
        <w:rPr>
          <w:rFonts w:hint="default" w:eastAsia="宋体"/>
          <w:color w:val="auto"/>
          <w:spacing w:val="3"/>
          <w:lang w:val="en-US" w:eastAsia="zh-CN"/>
        </w:rPr>
        <w:t>详见基础表2中附表2-6，附表2-7。</w:t>
      </w:r>
    </w:p>
    <w:p w14:paraId="7B074E0C">
      <w:pPr>
        <w:ind w:firstLine="416"/>
        <w:rPr>
          <w:rFonts w:eastAsia="宋体"/>
          <w:color w:val="auto"/>
        </w:rPr>
      </w:pPr>
      <w:r>
        <w:rPr>
          <w:rFonts w:eastAsia="宋体"/>
          <w:color w:val="auto"/>
          <w:spacing w:val="-1"/>
        </w:rPr>
        <w:t>该指标</w:t>
      </w:r>
      <w:r>
        <w:rPr>
          <w:rFonts w:eastAsia="宋体"/>
          <w:color w:val="auto"/>
        </w:rPr>
        <w:t>满分为</w:t>
      </w:r>
      <w:r>
        <w:rPr>
          <w:rFonts w:hint="eastAsia" w:eastAsia="宋体"/>
          <w:color w:val="auto"/>
          <w:lang w:eastAsia="zh-CN"/>
        </w:rPr>
        <w:t>4</w:t>
      </w:r>
      <w:r>
        <w:rPr>
          <w:rFonts w:eastAsia="宋体"/>
          <w:color w:val="auto"/>
        </w:rPr>
        <w:t>.00分，根据评分标准得</w:t>
      </w:r>
      <w:r>
        <w:rPr>
          <w:rFonts w:hint="eastAsia" w:eastAsia="宋体"/>
          <w:color w:val="auto"/>
          <w:lang w:val="en-US" w:eastAsia="zh-CN"/>
        </w:rPr>
        <w:t>4</w:t>
      </w:r>
      <w:r>
        <w:rPr>
          <w:rFonts w:eastAsia="宋体"/>
          <w:color w:val="auto"/>
        </w:rPr>
        <w:t>.00分。</w:t>
      </w:r>
    </w:p>
    <w:p w14:paraId="498D621F">
      <w:pPr>
        <w:ind w:firstLine="422"/>
        <w:rPr>
          <w:rFonts w:eastAsia="宋体"/>
          <w:b/>
          <w:bCs/>
          <w:color w:val="auto"/>
        </w:rPr>
      </w:pPr>
      <w:r>
        <w:rPr>
          <w:rFonts w:eastAsia="宋体"/>
          <w:b/>
          <w:bCs/>
          <w:color w:val="auto"/>
        </w:rPr>
        <w:t>（</w:t>
      </w:r>
      <w:r>
        <w:rPr>
          <w:rFonts w:hint="default" w:eastAsia="宋体"/>
          <w:b/>
          <w:bCs/>
          <w:color w:val="auto"/>
        </w:rPr>
        <w:t>3</w:t>
      </w:r>
      <w:r>
        <w:rPr>
          <w:rFonts w:eastAsia="宋体"/>
          <w:b/>
          <w:bCs/>
          <w:color w:val="auto"/>
        </w:rPr>
        <w:t>）C21设备验收合格率指标：</w:t>
      </w:r>
    </w:p>
    <w:p w14:paraId="45B6A679">
      <w:pPr>
        <w:ind w:firstLine="452"/>
        <w:rPr>
          <w:rFonts w:eastAsia="宋体"/>
          <w:color w:val="auto"/>
          <w:spacing w:val="8"/>
        </w:rPr>
      </w:pPr>
      <w:r>
        <w:rPr>
          <w:rFonts w:eastAsia="宋体"/>
          <w:color w:val="auto"/>
          <w:spacing w:val="8"/>
        </w:rPr>
        <w:t>根据实施单位提供的</w:t>
      </w:r>
      <w:r>
        <w:rPr>
          <w:rFonts w:hint="default" w:eastAsia="宋体"/>
          <w:color w:val="auto"/>
          <w:spacing w:val="8"/>
        </w:rPr>
        <w:t>《</w:t>
      </w:r>
      <w:r>
        <w:rPr>
          <w:rFonts w:hint="default" w:eastAsia="宋体"/>
          <w:color w:val="auto"/>
          <w:spacing w:val="8"/>
          <w:lang w:val="en-US" w:eastAsia="zh-CN"/>
        </w:rPr>
        <w:t>采购项目验收报告单</w:t>
      </w:r>
      <w:r>
        <w:rPr>
          <w:rFonts w:hint="default" w:eastAsia="宋体"/>
          <w:color w:val="auto"/>
          <w:spacing w:val="8"/>
        </w:rPr>
        <w:t>》</w:t>
      </w:r>
      <w:r>
        <w:rPr>
          <w:rFonts w:eastAsia="宋体"/>
          <w:color w:val="auto"/>
          <w:spacing w:val="8"/>
        </w:rPr>
        <w:t>分析可知</w:t>
      </w:r>
      <w:r>
        <w:rPr>
          <w:rFonts w:hint="default" w:eastAsia="宋体"/>
          <w:color w:val="auto"/>
          <w:spacing w:val="8"/>
        </w:rPr>
        <w:t>：</w:t>
      </w:r>
    </w:p>
    <w:p w14:paraId="1CAB24E8">
      <w:pPr>
        <w:ind w:firstLine="452"/>
        <w:rPr>
          <w:rFonts w:hint="default" w:eastAsia="宋体"/>
          <w:color w:val="auto"/>
          <w:spacing w:val="8"/>
          <w:lang w:eastAsia="zh-CN"/>
        </w:rPr>
      </w:pPr>
      <w:r>
        <w:rPr>
          <w:rFonts w:hint="default" w:eastAsia="宋体"/>
          <w:color w:val="auto"/>
          <w:spacing w:val="8"/>
        </w:rPr>
        <w:t>①化工及化工安全实训设备采购项目</w:t>
      </w:r>
      <w:r>
        <w:rPr>
          <w:rFonts w:hint="default" w:eastAsia="宋体"/>
          <w:color w:val="auto"/>
          <w:spacing w:val="8"/>
          <w:lang w:eastAsia="zh-CN"/>
        </w:rPr>
        <w:t>：</w:t>
      </w:r>
    </w:p>
    <w:p w14:paraId="2D966EEA">
      <w:pPr>
        <w:ind w:firstLine="452"/>
        <w:rPr>
          <w:rFonts w:hint="default" w:eastAsia="宋体"/>
          <w:color w:val="auto"/>
          <w:spacing w:val="8"/>
          <w:lang w:eastAsia="zh-CN"/>
        </w:rPr>
      </w:pPr>
      <w:r>
        <w:rPr>
          <w:rFonts w:hint="default" w:eastAsia="宋体"/>
          <w:color w:val="auto"/>
          <w:spacing w:val="8"/>
          <w:lang w:val="en-US" w:eastAsia="zh-CN"/>
        </w:rPr>
        <w:t>第一批采购计划实际</w:t>
      </w:r>
      <w:r>
        <w:rPr>
          <w:rFonts w:hint="default" w:eastAsia="宋体"/>
          <w:color w:val="auto"/>
          <w:spacing w:val="8"/>
          <w:lang w:eastAsia="zh-CN"/>
        </w:rPr>
        <w:t>于2024年9月10日完成设备采购安装调试，由项目实施单位对天津市睿智天成科技发展有限公司提</w:t>
      </w:r>
      <w:r>
        <w:rPr>
          <w:rFonts w:hint="eastAsia" w:eastAsia="宋体"/>
          <w:color w:val="auto"/>
          <w:spacing w:val="8"/>
          <w:lang w:eastAsia="zh-CN"/>
        </w:rPr>
        <w:t>供的</w:t>
      </w:r>
      <w:r>
        <w:rPr>
          <w:rFonts w:hint="default" w:eastAsia="宋体"/>
          <w:color w:val="auto"/>
          <w:spacing w:val="8"/>
          <w:lang w:eastAsia="zh-CN"/>
        </w:rPr>
        <w:t>货物进行验收，验收内容为“实训终端机、智慧黑板、考核系统、仿真软件、精馏国赛装置等化工及化工安全实训设备”，验收结果为“设备安装调试完成、可以正常操作运转、培训已完成”。</w:t>
      </w:r>
    </w:p>
    <w:p w14:paraId="34592370">
      <w:pPr>
        <w:ind w:firstLine="452"/>
        <w:rPr>
          <w:rFonts w:hint="default" w:eastAsia="宋体"/>
          <w:color w:val="auto"/>
          <w:spacing w:val="8"/>
          <w:lang w:eastAsia="zh-CN"/>
        </w:rPr>
      </w:pPr>
      <w:r>
        <w:rPr>
          <w:rFonts w:hint="default" w:eastAsia="宋体"/>
          <w:color w:val="auto"/>
          <w:spacing w:val="8"/>
          <w:lang w:val="en-US" w:eastAsia="zh-CN"/>
        </w:rPr>
        <w:t>第二批采购计划实际</w:t>
      </w:r>
      <w:r>
        <w:rPr>
          <w:rFonts w:hint="default" w:eastAsia="宋体"/>
          <w:color w:val="auto"/>
          <w:spacing w:val="8"/>
          <w:lang w:eastAsia="zh-CN"/>
        </w:rPr>
        <w:t>于2024年12月1日完成设备采购，由项目实施单位对新疆新诺睿博科教设备有限公司提供货物进行验收，验收内容为4套设备，由实施单位接收并签字</w:t>
      </w:r>
      <w:r>
        <w:rPr>
          <w:rFonts w:hint="default" w:eastAsia="宋体"/>
          <w:color w:val="auto"/>
          <w:spacing w:val="8"/>
          <w:lang w:val="en-US" w:eastAsia="zh-CN"/>
        </w:rPr>
        <w:t>验收</w:t>
      </w:r>
      <w:r>
        <w:rPr>
          <w:rFonts w:hint="default" w:eastAsia="宋体"/>
          <w:color w:val="auto"/>
          <w:spacing w:val="8"/>
          <w:lang w:eastAsia="zh-CN"/>
        </w:rPr>
        <w:t>。</w:t>
      </w:r>
    </w:p>
    <w:p w14:paraId="2F8B9A34">
      <w:pPr>
        <w:ind w:firstLine="452"/>
        <w:rPr>
          <w:rFonts w:hint="default" w:eastAsia="宋体"/>
          <w:color w:val="auto"/>
          <w:spacing w:val="8"/>
          <w:lang w:val="en-US" w:eastAsia="zh-CN"/>
        </w:rPr>
      </w:pPr>
      <w:r>
        <w:rPr>
          <w:rFonts w:hint="default" w:eastAsia="宋体"/>
          <w:color w:val="auto"/>
          <w:spacing w:val="8"/>
          <w:lang w:val="en-US" w:eastAsia="zh-CN"/>
        </w:rPr>
        <w:t>第三批采购计划实际</w:t>
      </w:r>
      <w:r>
        <w:rPr>
          <w:rFonts w:hint="default" w:eastAsia="宋体"/>
          <w:color w:val="auto"/>
          <w:spacing w:val="8"/>
          <w:lang w:eastAsia="zh-CN"/>
        </w:rPr>
        <w:t>于2024年12月15日完成设备采购，由项目实施单位对昌吉市诺诚科教设备经销部提供货物进行验收，验收内容为化工实训模型1套，由实施单位接收并签字。验收结果为：“设备模型安装完成，数量齐全”。</w:t>
      </w:r>
    </w:p>
    <w:p w14:paraId="1FE17D8F">
      <w:pPr>
        <w:ind w:firstLine="452"/>
        <w:rPr>
          <w:rFonts w:hint="default" w:eastAsia="宋体"/>
          <w:color w:val="auto"/>
          <w:spacing w:val="8"/>
          <w:lang w:eastAsia="zh-CN"/>
        </w:rPr>
      </w:pPr>
      <w:r>
        <w:rPr>
          <w:rFonts w:hint="default" w:eastAsia="宋体"/>
          <w:color w:val="auto"/>
          <w:spacing w:val="8"/>
        </w:rPr>
        <w:t>②电商及直播设备实训设备采购项目</w:t>
      </w:r>
      <w:r>
        <w:rPr>
          <w:rFonts w:hint="default" w:eastAsia="宋体"/>
          <w:color w:val="auto"/>
          <w:spacing w:val="8"/>
          <w:lang w:eastAsia="zh-CN"/>
        </w:rPr>
        <w:t>：</w:t>
      </w:r>
    </w:p>
    <w:p w14:paraId="0DB67134">
      <w:pPr>
        <w:ind w:firstLine="452"/>
        <w:rPr>
          <w:rFonts w:eastAsia="宋体"/>
          <w:color w:val="auto"/>
          <w:spacing w:val="8"/>
        </w:rPr>
      </w:pPr>
      <w:r>
        <w:rPr>
          <w:rFonts w:hint="default" w:eastAsia="宋体"/>
          <w:color w:val="auto"/>
          <w:spacing w:val="8"/>
          <w:lang w:val="en-US" w:eastAsia="zh-CN"/>
        </w:rPr>
        <w:t>第一批次采购计划实际</w:t>
      </w:r>
      <w:r>
        <w:rPr>
          <w:rFonts w:hint="default" w:eastAsia="宋体"/>
          <w:color w:val="auto"/>
          <w:spacing w:val="8"/>
        </w:rPr>
        <w:t>于</w:t>
      </w:r>
      <w:r>
        <w:rPr>
          <w:rFonts w:eastAsia="宋体"/>
          <w:color w:val="auto"/>
          <w:spacing w:val="8"/>
        </w:rPr>
        <w:t>202</w:t>
      </w:r>
      <w:r>
        <w:rPr>
          <w:rFonts w:hint="default" w:eastAsia="宋体"/>
          <w:color w:val="auto"/>
          <w:spacing w:val="8"/>
          <w:lang w:val="en-US" w:eastAsia="zh-CN"/>
        </w:rPr>
        <w:t>4</w:t>
      </w:r>
      <w:r>
        <w:rPr>
          <w:rFonts w:eastAsia="宋体"/>
          <w:color w:val="auto"/>
          <w:spacing w:val="8"/>
        </w:rPr>
        <w:t>年</w:t>
      </w:r>
      <w:r>
        <w:rPr>
          <w:rFonts w:hint="default" w:eastAsia="宋体"/>
          <w:color w:val="auto"/>
          <w:spacing w:val="8"/>
          <w:lang w:val="en-US" w:eastAsia="zh-CN"/>
        </w:rPr>
        <w:t>9</w:t>
      </w:r>
      <w:r>
        <w:rPr>
          <w:rFonts w:eastAsia="宋体"/>
          <w:color w:val="auto"/>
          <w:spacing w:val="8"/>
        </w:rPr>
        <w:t>月</w:t>
      </w:r>
      <w:r>
        <w:rPr>
          <w:rFonts w:hint="default" w:eastAsia="宋体"/>
          <w:color w:val="auto"/>
          <w:spacing w:val="8"/>
          <w:lang w:val="en-US" w:eastAsia="zh-CN"/>
        </w:rPr>
        <w:t>6</w:t>
      </w:r>
      <w:r>
        <w:rPr>
          <w:rFonts w:eastAsia="宋体"/>
          <w:color w:val="auto"/>
          <w:spacing w:val="8"/>
        </w:rPr>
        <w:t>日</w:t>
      </w:r>
      <w:r>
        <w:rPr>
          <w:rFonts w:hint="default" w:eastAsia="宋体"/>
          <w:color w:val="auto"/>
          <w:spacing w:val="8"/>
          <w:lang w:val="en-US" w:eastAsia="zh-CN"/>
        </w:rPr>
        <w:t>完成</w:t>
      </w:r>
      <w:r>
        <w:rPr>
          <w:rFonts w:hint="default" w:eastAsia="宋体"/>
          <w:color w:val="auto"/>
          <w:spacing w:val="8"/>
        </w:rPr>
        <w:t>设备</w:t>
      </w:r>
      <w:r>
        <w:rPr>
          <w:rFonts w:hint="default" w:eastAsia="宋体"/>
          <w:color w:val="auto"/>
          <w:spacing w:val="8"/>
          <w:lang w:val="en-US" w:eastAsia="zh-CN"/>
        </w:rPr>
        <w:t>采购，</w:t>
      </w:r>
      <w:r>
        <w:rPr>
          <w:rFonts w:hint="default" w:eastAsia="宋体"/>
          <w:color w:val="auto"/>
          <w:spacing w:val="8"/>
        </w:rPr>
        <w:t>经项目实施单位采购单位代表、专业技术（使用人员）、验收监督人员</w:t>
      </w:r>
      <w:r>
        <w:rPr>
          <w:rFonts w:hint="default" w:eastAsia="宋体"/>
          <w:color w:val="auto"/>
          <w:spacing w:val="8"/>
          <w:lang w:val="en-US" w:eastAsia="zh-CN"/>
        </w:rPr>
        <w:t>共同进行验收</w:t>
      </w:r>
      <w:r>
        <w:rPr>
          <w:rFonts w:hint="default" w:eastAsia="宋体"/>
          <w:color w:val="auto"/>
          <w:spacing w:val="8"/>
        </w:rPr>
        <w:t>，</w:t>
      </w:r>
      <w:r>
        <w:rPr>
          <w:rFonts w:eastAsia="宋体"/>
          <w:color w:val="auto"/>
          <w:spacing w:val="8"/>
        </w:rPr>
        <w:t>验收结果为</w:t>
      </w:r>
      <w:r>
        <w:rPr>
          <w:rFonts w:hint="default" w:eastAsia="宋体"/>
          <w:color w:val="auto"/>
          <w:spacing w:val="8"/>
          <w:lang w:eastAsia="zh-CN"/>
        </w:rPr>
        <w:t>：</w:t>
      </w:r>
      <w:r>
        <w:rPr>
          <w:rFonts w:hint="default" w:cs="Times New Roman"/>
          <w:b w:val="0"/>
          <w:bCs w:val="0"/>
          <w:color w:val="auto"/>
          <w:kern w:val="2"/>
          <w:sz w:val="21"/>
          <w:szCs w:val="21"/>
          <w:highlight w:val="none"/>
          <w:lang w:val="en-US" w:eastAsia="zh-CN" w:bidi="ar-SA"/>
        </w:rPr>
        <w:t>“设备齐全，已安装调试完成，可以正常使用，培训</w:t>
      </w:r>
      <w:r>
        <w:rPr>
          <w:rFonts w:hint="eastAsia" w:cs="Times New Roman"/>
          <w:b w:val="0"/>
          <w:bCs w:val="0"/>
          <w:color w:val="auto"/>
          <w:kern w:val="2"/>
          <w:sz w:val="21"/>
          <w:szCs w:val="21"/>
          <w:highlight w:val="none"/>
          <w:lang w:val="en-US" w:eastAsia="zh-CN" w:bidi="ar-SA"/>
        </w:rPr>
        <w:t>已完成</w:t>
      </w:r>
      <w:r>
        <w:rPr>
          <w:rFonts w:hint="default" w:cs="Times New Roman"/>
          <w:b w:val="0"/>
          <w:bCs w:val="0"/>
          <w:color w:val="auto"/>
          <w:kern w:val="2"/>
          <w:sz w:val="21"/>
          <w:szCs w:val="21"/>
          <w:highlight w:val="none"/>
          <w:lang w:val="en-US" w:eastAsia="zh-CN" w:bidi="ar-SA"/>
        </w:rPr>
        <w:t>，可独立操作使用”</w:t>
      </w:r>
      <w:r>
        <w:rPr>
          <w:rFonts w:eastAsia="宋体"/>
          <w:color w:val="auto"/>
          <w:spacing w:val="8"/>
        </w:rPr>
        <w:t>。</w:t>
      </w:r>
    </w:p>
    <w:p w14:paraId="4B9FF862">
      <w:pPr>
        <w:ind w:firstLine="452"/>
        <w:rPr>
          <w:rFonts w:hint="default"/>
          <w:color w:val="auto"/>
          <w:highlight w:val="none"/>
          <w:lang w:val="en-US" w:eastAsia="zh-CN"/>
        </w:rPr>
      </w:pPr>
      <w:r>
        <w:rPr>
          <w:rFonts w:hint="default" w:eastAsia="宋体"/>
          <w:color w:val="auto"/>
          <w:spacing w:val="8"/>
          <w:lang w:val="en-US" w:eastAsia="zh-CN"/>
        </w:rPr>
        <w:t>第二批次采购计划实际</w:t>
      </w:r>
      <w:r>
        <w:rPr>
          <w:rFonts w:hint="default" w:eastAsia="宋体"/>
          <w:color w:val="auto"/>
          <w:spacing w:val="8"/>
        </w:rPr>
        <w:t>于</w:t>
      </w:r>
      <w:r>
        <w:rPr>
          <w:rFonts w:eastAsia="宋体"/>
          <w:color w:val="auto"/>
          <w:spacing w:val="8"/>
          <w:highlight w:val="none"/>
        </w:rPr>
        <w:t>202</w:t>
      </w:r>
      <w:r>
        <w:rPr>
          <w:rFonts w:hint="default" w:eastAsia="宋体"/>
          <w:color w:val="auto"/>
          <w:spacing w:val="8"/>
          <w:highlight w:val="none"/>
          <w:lang w:val="en-US" w:eastAsia="zh-CN"/>
        </w:rPr>
        <w:t>4</w:t>
      </w:r>
      <w:r>
        <w:rPr>
          <w:rFonts w:eastAsia="宋体"/>
          <w:color w:val="auto"/>
          <w:spacing w:val="8"/>
          <w:highlight w:val="none"/>
        </w:rPr>
        <w:t>年</w:t>
      </w:r>
      <w:r>
        <w:rPr>
          <w:rFonts w:hint="default" w:eastAsia="宋体"/>
          <w:color w:val="auto"/>
          <w:spacing w:val="8"/>
          <w:highlight w:val="none"/>
          <w:lang w:val="en-US" w:eastAsia="zh-CN"/>
        </w:rPr>
        <w:t>10</w:t>
      </w:r>
      <w:r>
        <w:rPr>
          <w:rFonts w:eastAsia="宋体"/>
          <w:color w:val="auto"/>
          <w:spacing w:val="8"/>
          <w:highlight w:val="none"/>
        </w:rPr>
        <w:t>月</w:t>
      </w:r>
      <w:r>
        <w:rPr>
          <w:rFonts w:hint="default" w:eastAsia="宋体"/>
          <w:color w:val="auto"/>
          <w:spacing w:val="8"/>
          <w:highlight w:val="none"/>
          <w:lang w:val="en-US" w:eastAsia="zh-CN"/>
        </w:rPr>
        <w:t>28</w:t>
      </w:r>
      <w:r>
        <w:rPr>
          <w:rFonts w:eastAsia="宋体"/>
          <w:color w:val="auto"/>
          <w:spacing w:val="8"/>
          <w:highlight w:val="none"/>
        </w:rPr>
        <w:t>日</w:t>
      </w:r>
      <w:r>
        <w:rPr>
          <w:rFonts w:hint="default" w:eastAsia="宋体"/>
          <w:color w:val="auto"/>
          <w:spacing w:val="8"/>
          <w:highlight w:val="none"/>
          <w:lang w:val="en-US" w:eastAsia="zh-CN"/>
        </w:rPr>
        <w:t>完成</w:t>
      </w:r>
      <w:r>
        <w:rPr>
          <w:rFonts w:hint="default" w:eastAsia="宋体"/>
          <w:color w:val="auto"/>
          <w:spacing w:val="8"/>
          <w:highlight w:val="none"/>
        </w:rPr>
        <w:t>设备</w:t>
      </w:r>
      <w:r>
        <w:rPr>
          <w:rFonts w:hint="default" w:eastAsia="宋体"/>
          <w:color w:val="auto"/>
          <w:spacing w:val="8"/>
          <w:highlight w:val="none"/>
          <w:lang w:val="en-US" w:eastAsia="zh-CN"/>
        </w:rPr>
        <w:t>采购，</w:t>
      </w:r>
      <w:r>
        <w:rPr>
          <w:rFonts w:hint="default" w:eastAsia="宋体"/>
          <w:color w:val="auto"/>
          <w:spacing w:val="8"/>
        </w:rPr>
        <w:t>经项目实施</w:t>
      </w:r>
      <w:r>
        <w:rPr>
          <w:rFonts w:hint="default" w:eastAsia="宋体"/>
          <w:color w:val="auto"/>
          <w:spacing w:val="8"/>
          <w:highlight w:val="none"/>
        </w:rPr>
        <w:t>单位采购单位代表、专业技术（使用人员）、验收监督人员</w:t>
      </w:r>
      <w:r>
        <w:rPr>
          <w:rFonts w:hint="default" w:eastAsia="宋体"/>
          <w:color w:val="auto"/>
          <w:spacing w:val="8"/>
          <w:lang w:val="en-US" w:eastAsia="zh-CN"/>
        </w:rPr>
        <w:t>共同进行验收</w:t>
      </w:r>
      <w:r>
        <w:rPr>
          <w:rFonts w:hint="default" w:eastAsia="宋体"/>
          <w:color w:val="auto"/>
          <w:spacing w:val="8"/>
          <w:highlight w:val="none"/>
        </w:rPr>
        <w:t>，</w:t>
      </w:r>
      <w:r>
        <w:rPr>
          <w:rFonts w:eastAsia="宋体"/>
          <w:color w:val="auto"/>
          <w:spacing w:val="8"/>
          <w:highlight w:val="none"/>
        </w:rPr>
        <w:t>验收结果为</w:t>
      </w:r>
      <w:r>
        <w:rPr>
          <w:rFonts w:hint="default"/>
          <w:color w:val="auto"/>
          <w:highlight w:val="none"/>
          <w:lang w:val="en-US" w:eastAsia="zh-CN"/>
        </w:rPr>
        <w:t>：“收到货物数量与订单数量一致”。</w:t>
      </w:r>
    </w:p>
    <w:p w14:paraId="5DCAB8C1">
      <w:pPr>
        <w:ind w:firstLine="452"/>
        <w:rPr>
          <w:rFonts w:hint="default"/>
          <w:color w:val="auto"/>
          <w:highlight w:val="none"/>
          <w:lang w:val="en-US" w:eastAsia="zh-CN"/>
        </w:rPr>
      </w:pPr>
      <w:r>
        <w:rPr>
          <w:rFonts w:hint="default"/>
          <w:color w:val="auto"/>
          <w:highlight w:val="none"/>
          <w:lang w:val="en-US" w:eastAsia="zh-CN"/>
        </w:rPr>
        <w:t>综上分析可知，设备验收合格率均为100.00%。</w:t>
      </w:r>
    </w:p>
    <w:p w14:paraId="2740167C">
      <w:pPr>
        <w:ind w:firstLine="416"/>
        <w:rPr>
          <w:rFonts w:eastAsia="宋体"/>
          <w:color w:val="auto"/>
          <w:highlight w:val="none"/>
        </w:rPr>
      </w:pPr>
      <w:r>
        <w:rPr>
          <w:rFonts w:eastAsia="宋体"/>
          <w:color w:val="auto"/>
          <w:spacing w:val="-1"/>
          <w:highlight w:val="none"/>
        </w:rPr>
        <w:t>该指标</w:t>
      </w:r>
      <w:r>
        <w:rPr>
          <w:rFonts w:eastAsia="宋体"/>
          <w:color w:val="auto"/>
          <w:highlight w:val="none"/>
        </w:rPr>
        <w:t>满分为</w:t>
      </w:r>
      <w:r>
        <w:rPr>
          <w:rFonts w:hint="default" w:eastAsia="宋体"/>
          <w:color w:val="auto"/>
          <w:highlight w:val="none"/>
          <w:lang w:val="en-US" w:eastAsia="zh-CN"/>
        </w:rPr>
        <w:t>6</w:t>
      </w:r>
      <w:r>
        <w:rPr>
          <w:rFonts w:eastAsia="宋体"/>
          <w:color w:val="auto"/>
          <w:highlight w:val="none"/>
        </w:rPr>
        <w:t>.00分，根据评分标准得</w:t>
      </w:r>
      <w:r>
        <w:rPr>
          <w:rFonts w:hint="default" w:eastAsia="宋体"/>
          <w:color w:val="auto"/>
          <w:highlight w:val="none"/>
          <w:lang w:val="en-US" w:eastAsia="zh-CN"/>
        </w:rPr>
        <w:t>6</w:t>
      </w:r>
      <w:r>
        <w:rPr>
          <w:rFonts w:eastAsia="宋体"/>
          <w:color w:val="auto"/>
          <w:highlight w:val="none"/>
        </w:rPr>
        <w:t>.00分。</w:t>
      </w:r>
    </w:p>
    <w:p w14:paraId="192BBAF2">
      <w:pPr>
        <w:ind w:firstLine="422"/>
        <w:rPr>
          <w:rFonts w:eastAsia="宋体"/>
          <w:b/>
          <w:bCs/>
          <w:color w:val="auto"/>
        </w:rPr>
      </w:pPr>
      <w:r>
        <w:rPr>
          <w:rFonts w:eastAsia="宋体"/>
          <w:b/>
          <w:bCs/>
          <w:color w:val="auto"/>
        </w:rPr>
        <w:t>（</w:t>
      </w:r>
      <w:r>
        <w:rPr>
          <w:rFonts w:hint="default" w:eastAsia="宋体"/>
          <w:b/>
          <w:bCs/>
          <w:color w:val="auto"/>
        </w:rPr>
        <w:t>4）C31</w:t>
      </w:r>
      <w:r>
        <w:rPr>
          <w:rFonts w:hint="default" w:eastAsia="宋体"/>
          <w:b/>
          <w:bCs/>
          <w:color w:val="auto"/>
          <w:lang w:eastAsia="zh-CN"/>
        </w:rPr>
        <w:t>采购完成及时率</w:t>
      </w:r>
      <w:r>
        <w:rPr>
          <w:rFonts w:eastAsia="宋体"/>
          <w:b/>
          <w:bCs/>
          <w:color w:val="auto"/>
        </w:rPr>
        <w:t>指标：</w:t>
      </w:r>
    </w:p>
    <w:p w14:paraId="1CD45817">
      <w:pPr>
        <w:ind w:firstLine="444"/>
        <w:rPr>
          <w:rFonts w:eastAsia="宋体"/>
          <w:color w:val="auto"/>
        </w:rPr>
      </w:pPr>
      <w:r>
        <w:rPr>
          <w:rFonts w:eastAsia="宋体"/>
          <w:color w:val="auto"/>
          <w:spacing w:val="6"/>
        </w:rPr>
        <w:t>经查阅项目</w:t>
      </w:r>
      <w:r>
        <w:rPr>
          <w:rFonts w:hint="default" w:eastAsia="宋体"/>
          <w:color w:val="auto"/>
          <w:spacing w:val="6"/>
        </w:rPr>
        <w:t>资金批复文件、</w:t>
      </w:r>
      <w:r>
        <w:rPr>
          <w:rFonts w:eastAsia="宋体"/>
          <w:color w:val="auto"/>
          <w:spacing w:val="6"/>
        </w:rPr>
        <w:t>采购合同、验收单及资金支付凭证等，项目</w:t>
      </w:r>
      <w:r>
        <w:rPr>
          <w:rFonts w:hint="default" w:eastAsia="宋体"/>
          <w:color w:val="auto"/>
          <w:spacing w:val="6"/>
        </w:rPr>
        <w:t>资金批复文件</w:t>
      </w:r>
      <w:r>
        <w:rPr>
          <w:rFonts w:eastAsia="宋体"/>
          <w:color w:val="auto"/>
          <w:spacing w:val="6"/>
        </w:rPr>
        <w:t>计划完成时间为</w:t>
      </w:r>
      <w:r>
        <w:rPr>
          <w:rFonts w:hint="default" w:eastAsia="宋体"/>
          <w:color w:val="auto"/>
          <w:spacing w:val="6"/>
          <w:lang w:eastAsia="zh-CN"/>
        </w:rPr>
        <w:t>2024</w:t>
      </w:r>
      <w:r>
        <w:rPr>
          <w:rFonts w:eastAsia="宋体"/>
          <w:color w:val="auto"/>
          <w:spacing w:val="6"/>
        </w:rPr>
        <w:t>年</w:t>
      </w:r>
      <w:r>
        <w:rPr>
          <w:rFonts w:hint="default" w:eastAsia="宋体"/>
          <w:color w:val="auto"/>
          <w:spacing w:val="6"/>
          <w:lang w:val="en-US" w:eastAsia="zh-CN"/>
        </w:rPr>
        <w:t>12</w:t>
      </w:r>
      <w:r>
        <w:rPr>
          <w:rFonts w:eastAsia="宋体"/>
          <w:color w:val="auto"/>
          <w:spacing w:val="6"/>
        </w:rPr>
        <w:t>月</w:t>
      </w:r>
      <w:r>
        <w:rPr>
          <w:rFonts w:hint="default" w:eastAsia="宋体"/>
          <w:color w:val="auto"/>
          <w:spacing w:val="6"/>
        </w:rPr>
        <w:t>31日前完成</w:t>
      </w:r>
      <w:r>
        <w:rPr>
          <w:rFonts w:eastAsia="宋体"/>
          <w:color w:val="auto"/>
          <w:spacing w:val="6"/>
        </w:rPr>
        <w:t>，项目实际完成</w:t>
      </w:r>
      <w:r>
        <w:rPr>
          <w:rFonts w:hint="default" w:eastAsia="宋体"/>
          <w:color w:val="auto"/>
          <w:spacing w:val="6"/>
          <w:lang w:val="en-US" w:eastAsia="zh-CN"/>
        </w:rPr>
        <w:t>第一批设备采购验收时间是</w:t>
      </w:r>
      <w:r>
        <w:rPr>
          <w:rFonts w:eastAsia="宋体"/>
          <w:color w:val="auto"/>
          <w:spacing w:val="8"/>
        </w:rPr>
        <w:t>202</w:t>
      </w:r>
      <w:r>
        <w:rPr>
          <w:rFonts w:hint="default" w:eastAsia="宋体"/>
          <w:color w:val="auto"/>
          <w:spacing w:val="8"/>
          <w:lang w:val="en-US" w:eastAsia="zh-CN"/>
        </w:rPr>
        <w:t>4</w:t>
      </w:r>
      <w:r>
        <w:rPr>
          <w:rFonts w:eastAsia="宋体"/>
          <w:color w:val="auto"/>
          <w:spacing w:val="8"/>
        </w:rPr>
        <w:t>年</w:t>
      </w:r>
      <w:r>
        <w:rPr>
          <w:rFonts w:hint="default" w:eastAsia="宋体"/>
          <w:color w:val="auto"/>
          <w:spacing w:val="8"/>
          <w:lang w:val="en-US" w:eastAsia="zh-CN"/>
        </w:rPr>
        <w:t>9</w:t>
      </w:r>
      <w:r>
        <w:rPr>
          <w:rFonts w:eastAsia="宋体"/>
          <w:color w:val="auto"/>
          <w:spacing w:val="8"/>
        </w:rPr>
        <w:t>月</w:t>
      </w:r>
      <w:r>
        <w:rPr>
          <w:rFonts w:hint="default" w:eastAsia="宋体"/>
          <w:color w:val="auto"/>
          <w:spacing w:val="8"/>
          <w:lang w:val="en-US" w:eastAsia="zh-CN"/>
        </w:rPr>
        <w:t>6</w:t>
      </w:r>
      <w:r>
        <w:rPr>
          <w:rFonts w:eastAsia="宋体"/>
          <w:color w:val="auto"/>
          <w:spacing w:val="8"/>
        </w:rPr>
        <w:t>日</w:t>
      </w:r>
      <w:r>
        <w:rPr>
          <w:rFonts w:hint="default" w:eastAsia="宋体"/>
          <w:color w:val="auto"/>
          <w:spacing w:val="8"/>
          <w:lang w:eastAsia="zh-CN"/>
        </w:rPr>
        <w:t>、</w:t>
      </w:r>
      <w:r>
        <w:rPr>
          <w:rFonts w:hint="default" w:eastAsia="宋体"/>
          <w:color w:val="auto"/>
          <w:spacing w:val="6"/>
          <w:lang w:val="en-US" w:eastAsia="zh-CN"/>
        </w:rPr>
        <w:t>最后一批次的</w:t>
      </w:r>
      <w:r>
        <w:rPr>
          <w:rFonts w:eastAsia="宋体"/>
          <w:color w:val="auto"/>
          <w:spacing w:val="6"/>
        </w:rPr>
        <w:t>设备采购验收的时间为</w:t>
      </w:r>
      <w:r>
        <w:rPr>
          <w:rFonts w:hint="default" w:eastAsia="宋体"/>
          <w:color w:val="auto"/>
          <w:spacing w:val="6"/>
          <w:lang w:eastAsia="zh-CN"/>
        </w:rPr>
        <w:t>2024</w:t>
      </w:r>
      <w:r>
        <w:rPr>
          <w:rFonts w:eastAsia="宋体"/>
          <w:color w:val="auto"/>
          <w:spacing w:val="6"/>
        </w:rPr>
        <w:t>年1</w:t>
      </w:r>
      <w:r>
        <w:rPr>
          <w:rFonts w:hint="default" w:eastAsia="宋体"/>
          <w:color w:val="auto"/>
          <w:spacing w:val="6"/>
          <w:lang w:val="en-US" w:eastAsia="zh-CN"/>
        </w:rPr>
        <w:t>2</w:t>
      </w:r>
      <w:r>
        <w:rPr>
          <w:rFonts w:eastAsia="宋体"/>
          <w:color w:val="auto"/>
          <w:spacing w:val="6"/>
        </w:rPr>
        <w:t>月</w:t>
      </w:r>
      <w:r>
        <w:rPr>
          <w:rFonts w:hint="default" w:eastAsia="宋体"/>
          <w:color w:val="auto"/>
          <w:spacing w:val="6"/>
          <w:lang w:val="en-US" w:eastAsia="zh-CN"/>
        </w:rPr>
        <w:t>15</w:t>
      </w:r>
      <w:r>
        <w:rPr>
          <w:rFonts w:eastAsia="宋体"/>
          <w:color w:val="auto"/>
          <w:spacing w:val="6"/>
        </w:rPr>
        <w:t>日</w:t>
      </w:r>
      <w:r>
        <w:rPr>
          <w:rFonts w:hint="default" w:eastAsia="宋体"/>
          <w:color w:val="auto"/>
          <w:spacing w:val="6"/>
        </w:rPr>
        <w:t>，该项目已按规定时间完成</w:t>
      </w:r>
      <w:r>
        <w:rPr>
          <w:rFonts w:eastAsia="宋体"/>
          <w:color w:val="auto"/>
          <w:spacing w:val="6"/>
        </w:rPr>
        <w:t>。</w:t>
      </w:r>
    </w:p>
    <w:p w14:paraId="4B029ACF">
      <w:pPr>
        <w:ind w:firstLine="416"/>
        <w:rPr>
          <w:rFonts w:eastAsia="宋体"/>
          <w:color w:val="auto"/>
        </w:rPr>
      </w:pPr>
      <w:r>
        <w:rPr>
          <w:rFonts w:eastAsia="宋体"/>
          <w:color w:val="auto"/>
          <w:spacing w:val="-1"/>
        </w:rPr>
        <w:t>该指标</w:t>
      </w:r>
      <w:r>
        <w:rPr>
          <w:rFonts w:eastAsia="宋体"/>
          <w:color w:val="auto"/>
        </w:rPr>
        <w:t>满分为</w:t>
      </w:r>
      <w:r>
        <w:rPr>
          <w:rFonts w:hint="default" w:eastAsia="宋体"/>
          <w:color w:val="auto"/>
          <w:lang w:val="en-US" w:eastAsia="zh-CN"/>
        </w:rPr>
        <w:t>5</w:t>
      </w:r>
      <w:r>
        <w:rPr>
          <w:rFonts w:eastAsia="宋体"/>
          <w:color w:val="auto"/>
        </w:rPr>
        <w:t>.00分，根据评分标准得</w:t>
      </w:r>
      <w:r>
        <w:rPr>
          <w:rFonts w:hint="default" w:eastAsia="宋体"/>
          <w:color w:val="auto"/>
          <w:lang w:val="en-US" w:eastAsia="zh-CN"/>
        </w:rPr>
        <w:t>5</w:t>
      </w:r>
      <w:r>
        <w:rPr>
          <w:rFonts w:eastAsia="宋体"/>
          <w:color w:val="auto"/>
        </w:rPr>
        <w:t>.00分。</w:t>
      </w:r>
    </w:p>
    <w:p w14:paraId="574E46F6">
      <w:pPr>
        <w:ind w:firstLine="422"/>
        <w:rPr>
          <w:rFonts w:eastAsia="宋体"/>
          <w:b/>
          <w:bCs/>
          <w:color w:val="auto"/>
        </w:rPr>
      </w:pPr>
      <w:r>
        <w:rPr>
          <w:rFonts w:eastAsia="宋体"/>
          <w:b/>
          <w:bCs/>
          <w:color w:val="auto"/>
        </w:rPr>
        <w:t>（</w:t>
      </w:r>
      <w:r>
        <w:rPr>
          <w:rFonts w:hint="default" w:eastAsia="宋体"/>
          <w:b/>
          <w:bCs/>
          <w:color w:val="auto"/>
          <w:lang w:val="en-US" w:eastAsia="zh-CN"/>
        </w:rPr>
        <w:t>5</w:t>
      </w:r>
      <w:r>
        <w:rPr>
          <w:rFonts w:eastAsia="宋体"/>
          <w:b/>
          <w:bCs/>
          <w:color w:val="auto"/>
        </w:rPr>
        <w:t>）</w:t>
      </w:r>
      <w:r>
        <w:rPr>
          <w:rFonts w:hint="default" w:eastAsia="宋体"/>
          <w:b/>
          <w:bCs/>
          <w:color w:val="auto"/>
        </w:rPr>
        <w:t>C41成本节约率</w:t>
      </w:r>
      <w:r>
        <w:rPr>
          <w:rFonts w:eastAsia="宋体"/>
          <w:b/>
          <w:bCs/>
          <w:color w:val="auto"/>
        </w:rPr>
        <w:t>指标：</w:t>
      </w:r>
    </w:p>
    <w:p w14:paraId="1E2FACE5">
      <w:pPr>
        <w:ind w:firstLine="420"/>
        <w:rPr>
          <w:color w:val="auto"/>
        </w:rPr>
      </w:pPr>
      <w:r>
        <w:rPr>
          <w:color w:val="auto"/>
        </w:rPr>
        <w:t>根据实施单位提供的</w:t>
      </w:r>
      <w:r>
        <w:rPr>
          <w:rFonts w:hint="default"/>
          <w:color w:val="auto"/>
        </w:rPr>
        <w:t>政府采购计划申请</w:t>
      </w:r>
      <w:r>
        <w:rPr>
          <w:color w:val="auto"/>
        </w:rPr>
        <w:t>、</w:t>
      </w:r>
      <w:r>
        <w:rPr>
          <w:rFonts w:hint="default"/>
          <w:color w:val="auto"/>
        </w:rPr>
        <w:t>中标通知书、采购合同</w:t>
      </w:r>
      <w:r>
        <w:rPr>
          <w:color w:val="auto"/>
        </w:rPr>
        <w:t>等资料显示，</w:t>
      </w:r>
      <w:r>
        <w:rPr>
          <w:rFonts w:hint="default"/>
          <w:color w:val="auto"/>
        </w:rPr>
        <w:t>该项目采购预算为</w:t>
      </w:r>
      <w:r>
        <w:rPr>
          <w:rFonts w:hint="default"/>
          <w:color w:val="auto"/>
          <w:lang w:eastAsia="zh-CN"/>
        </w:rPr>
        <w:t>700</w:t>
      </w:r>
      <w:r>
        <w:rPr>
          <w:rFonts w:hint="default"/>
          <w:color w:val="auto"/>
        </w:rPr>
        <w:t>.00万元，通过政府采购方式</w:t>
      </w:r>
      <w:r>
        <w:rPr>
          <w:rFonts w:hint="default"/>
          <w:color w:val="auto"/>
          <w:lang w:val="en-US" w:eastAsia="zh-CN"/>
        </w:rPr>
        <w:t>共进行了5次采购，累计签订</w:t>
      </w:r>
      <w:r>
        <w:rPr>
          <w:rFonts w:hint="default"/>
          <w:color w:val="auto"/>
        </w:rPr>
        <w:t>采购合同价款为</w:t>
      </w:r>
      <w:r>
        <w:rPr>
          <w:rFonts w:hint="default"/>
          <w:color w:val="auto"/>
          <w:lang w:val="en-US" w:eastAsia="zh-CN"/>
        </w:rPr>
        <w:t>700.00</w:t>
      </w:r>
      <w:r>
        <w:rPr>
          <w:rFonts w:hint="default"/>
          <w:color w:val="auto"/>
        </w:rPr>
        <w:t>万元，经计算成本节约率为</w:t>
      </w:r>
      <w:r>
        <w:rPr>
          <w:rFonts w:hint="default"/>
          <w:color w:val="auto"/>
          <w:lang w:val="en-US" w:eastAsia="zh-CN"/>
        </w:rPr>
        <w:t>0</w:t>
      </w:r>
      <w:r>
        <w:rPr>
          <w:rFonts w:hint="default"/>
          <w:color w:val="auto"/>
        </w:rPr>
        <w:t>%，</w:t>
      </w:r>
      <w:r>
        <w:rPr>
          <w:rFonts w:hint="default"/>
          <w:color w:val="auto"/>
          <w:lang w:val="en-US" w:eastAsia="zh-CN"/>
        </w:rPr>
        <w:t>根据评分标准，扣1.00分</w:t>
      </w:r>
      <w:r>
        <w:rPr>
          <w:rFonts w:hint="default"/>
          <w:color w:val="auto"/>
        </w:rPr>
        <w:t>。</w:t>
      </w:r>
    </w:p>
    <w:p w14:paraId="7A427999">
      <w:pPr>
        <w:ind w:firstLine="416"/>
        <w:rPr>
          <w:rFonts w:eastAsia="宋体"/>
          <w:color w:val="auto"/>
        </w:rPr>
      </w:pPr>
      <w:r>
        <w:rPr>
          <w:rFonts w:eastAsia="宋体"/>
          <w:color w:val="auto"/>
          <w:spacing w:val="-1"/>
        </w:rPr>
        <w:t>该指标</w:t>
      </w:r>
      <w:r>
        <w:rPr>
          <w:rFonts w:eastAsia="宋体"/>
          <w:color w:val="auto"/>
        </w:rPr>
        <w:t>满分为</w:t>
      </w:r>
      <w:r>
        <w:rPr>
          <w:rFonts w:hint="default" w:eastAsia="宋体"/>
          <w:color w:val="auto"/>
        </w:rPr>
        <w:t>5</w:t>
      </w:r>
      <w:r>
        <w:rPr>
          <w:rFonts w:eastAsia="宋体"/>
          <w:color w:val="auto"/>
        </w:rPr>
        <w:t>.00分，根据评分标准得</w:t>
      </w:r>
      <w:r>
        <w:rPr>
          <w:rFonts w:hint="default" w:eastAsia="宋体"/>
          <w:color w:val="auto"/>
          <w:lang w:val="en-US" w:eastAsia="zh-CN"/>
        </w:rPr>
        <w:t>4.00</w:t>
      </w:r>
      <w:r>
        <w:rPr>
          <w:rFonts w:eastAsia="宋体"/>
          <w:color w:val="auto"/>
        </w:rPr>
        <w:t>分。</w:t>
      </w:r>
    </w:p>
    <w:p w14:paraId="5651812C">
      <w:pPr>
        <w:pStyle w:val="3"/>
        <w:ind w:firstLine="482"/>
        <w:rPr>
          <w:rFonts w:ascii="Times New Roman" w:hAnsi="Times New Roman"/>
          <w:color w:val="auto"/>
        </w:rPr>
      </w:pPr>
      <w:bookmarkStart w:id="92" w:name="_Toc8986"/>
      <w:r>
        <w:rPr>
          <w:rFonts w:ascii="Times New Roman" w:hAnsi="Times New Roman"/>
          <w:color w:val="auto"/>
        </w:rPr>
        <w:t>（四）项目效益情况</w:t>
      </w:r>
      <w:bookmarkEnd w:id="92"/>
    </w:p>
    <w:p w14:paraId="2FE47957">
      <w:pPr>
        <w:ind w:firstLine="420"/>
        <w:rPr>
          <w:rFonts w:eastAsia="宋体"/>
          <w:color w:val="auto"/>
        </w:rPr>
      </w:pPr>
      <w:r>
        <w:rPr>
          <w:rFonts w:eastAsia="宋体"/>
          <w:color w:val="auto"/>
        </w:rPr>
        <w:t>项目效益指标由</w:t>
      </w:r>
      <w:r>
        <w:rPr>
          <w:rFonts w:hint="default" w:eastAsia="宋体"/>
          <w:color w:val="auto"/>
        </w:rPr>
        <w:t>2</w:t>
      </w:r>
      <w:r>
        <w:rPr>
          <w:rFonts w:eastAsia="宋体"/>
          <w:color w:val="auto"/>
        </w:rPr>
        <w:t>个二级和</w:t>
      </w:r>
      <w:r>
        <w:rPr>
          <w:rFonts w:hint="default" w:eastAsia="宋体"/>
          <w:color w:val="auto"/>
        </w:rPr>
        <w:t>4</w:t>
      </w:r>
      <w:r>
        <w:rPr>
          <w:rFonts w:eastAsia="宋体"/>
          <w:color w:val="auto"/>
        </w:rPr>
        <w:t>个三级指标构成，权重分值</w:t>
      </w:r>
      <w:r>
        <w:rPr>
          <w:rFonts w:hint="default" w:eastAsia="宋体"/>
          <w:color w:val="auto"/>
        </w:rPr>
        <w:t>35.00</w:t>
      </w:r>
      <w:r>
        <w:rPr>
          <w:rFonts w:eastAsia="宋体"/>
          <w:color w:val="auto"/>
        </w:rPr>
        <w:t>分，实际得分</w:t>
      </w:r>
      <w:r>
        <w:rPr>
          <w:rFonts w:hint="default" w:eastAsia="宋体"/>
          <w:color w:val="auto"/>
        </w:rPr>
        <w:t>3</w:t>
      </w:r>
      <w:r>
        <w:rPr>
          <w:rFonts w:hint="default" w:eastAsia="宋体"/>
          <w:color w:val="auto"/>
          <w:lang w:val="en-US" w:eastAsia="zh-CN"/>
        </w:rPr>
        <w:t>2.00</w:t>
      </w:r>
      <w:r>
        <w:rPr>
          <w:rFonts w:eastAsia="宋体"/>
          <w:color w:val="auto"/>
        </w:rPr>
        <w:t>分，得分率为</w:t>
      </w:r>
      <w:r>
        <w:rPr>
          <w:rFonts w:hint="default" w:eastAsia="宋体"/>
          <w:color w:val="auto"/>
          <w:lang w:val="en-US" w:eastAsia="zh-CN"/>
        </w:rPr>
        <w:t>91.43</w:t>
      </w:r>
      <w:r>
        <w:rPr>
          <w:rFonts w:eastAsia="宋体"/>
          <w:color w:val="auto"/>
        </w:rPr>
        <w:t>%。各指标业绩值和绩效分值如下表所示：</w:t>
      </w:r>
    </w:p>
    <w:p w14:paraId="642684C0">
      <w:pPr>
        <w:ind w:firstLine="0" w:firstLineChars="0"/>
        <w:jc w:val="center"/>
        <w:rPr>
          <w:rFonts w:eastAsia="黑体"/>
          <w:color w:val="auto"/>
        </w:rPr>
      </w:pPr>
      <w:r>
        <w:rPr>
          <w:rFonts w:eastAsia="黑体"/>
          <w:color w:val="auto"/>
        </w:rPr>
        <w:t>表</w:t>
      </w:r>
      <w:r>
        <w:rPr>
          <w:rFonts w:hint="default" w:eastAsia="黑体"/>
          <w:color w:val="auto"/>
        </w:rPr>
        <w:t>5</w:t>
      </w:r>
      <w:r>
        <w:rPr>
          <w:rFonts w:eastAsia="黑体"/>
          <w:color w:val="auto"/>
        </w:rPr>
        <w:t>-4：项目效益指标及分值</w:t>
      </w:r>
    </w:p>
    <w:tbl>
      <w:tblPr>
        <w:tblStyle w:val="2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1" w:type="dxa"/>
          <w:bottom w:w="0" w:type="dxa"/>
          <w:right w:w="51" w:type="dxa"/>
        </w:tblCellMar>
      </w:tblPr>
      <w:tblGrid>
        <w:gridCol w:w="984"/>
        <w:gridCol w:w="1404"/>
        <w:gridCol w:w="1701"/>
        <w:gridCol w:w="900"/>
        <w:gridCol w:w="1412"/>
        <w:gridCol w:w="575"/>
        <w:gridCol w:w="575"/>
        <w:gridCol w:w="857"/>
      </w:tblGrid>
      <w:tr w14:paraId="11F60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634" w:hRule="atLeast"/>
          <w:tblHeader/>
        </w:trPr>
        <w:tc>
          <w:tcPr>
            <w:tcW w:w="585" w:type="pct"/>
            <w:vAlign w:val="center"/>
          </w:tcPr>
          <w:p w14:paraId="420996A9">
            <w:pPr>
              <w:widowControl/>
              <w:spacing w:line="240" w:lineRule="auto"/>
              <w:ind w:firstLine="0" w:firstLineChars="0"/>
              <w:jc w:val="center"/>
              <w:textAlignment w:val="center"/>
              <w:rPr>
                <w:rFonts w:eastAsia="宋体"/>
                <w:b/>
                <w:color w:val="auto"/>
              </w:rPr>
            </w:pPr>
            <w:r>
              <w:rPr>
                <w:rFonts w:eastAsia="宋体"/>
                <w:b/>
                <w:color w:val="auto"/>
                <w:kern w:val="0"/>
                <w:lang w:bidi="ar"/>
              </w:rPr>
              <w:t>一级指标</w:t>
            </w:r>
          </w:p>
        </w:tc>
        <w:tc>
          <w:tcPr>
            <w:tcW w:w="835" w:type="pct"/>
            <w:vAlign w:val="center"/>
          </w:tcPr>
          <w:p w14:paraId="2F206CFD">
            <w:pPr>
              <w:widowControl/>
              <w:spacing w:line="240" w:lineRule="auto"/>
              <w:ind w:firstLine="0" w:firstLineChars="0"/>
              <w:jc w:val="center"/>
              <w:textAlignment w:val="center"/>
              <w:rPr>
                <w:rFonts w:eastAsia="宋体"/>
                <w:b/>
                <w:color w:val="auto"/>
              </w:rPr>
            </w:pPr>
            <w:r>
              <w:rPr>
                <w:rFonts w:eastAsia="宋体"/>
                <w:b/>
                <w:color w:val="auto"/>
                <w:kern w:val="0"/>
                <w:lang w:bidi="ar"/>
              </w:rPr>
              <w:t>二级指标</w:t>
            </w:r>
          </w:p>
        </w:tc>
        <w:tc>
          <w:tcPr>
            <w:tcW w:w="1010" w:type="pct"/>
            <w:vAlign w:val="center"/>
          </w:tcPr>
          <w:p w14:paraId="78F60BB7">
            <w:pPr>
              <w:widowControl/>
              <w:spacing w:line="240" w:lineRule="auto"/>
              <w:ind w:firstLine="0" w:firstLineChars="0"/>
              <w:jc w:val="center"/>
              <w:textAlignment w:val="center"/>
              <w:rPr>
                <w:rFonts w:eastAsia="宋体"/>
                <w:b/>
                <w:color w:val="auto"/>
              </w:rPr>
            </w:pPr>
            <w:r>
              <w:rPr>
                <w:rFonts w:eastAsia="宋体"/>
                <w:b/>
                <w:color w:val="auto"/>
                <w:kern w:val="0"/>
                <w:lang w:bidi="ar"/>
              </w:rPr>
              <w:t>三级指标</w:t>
            </w:r>
          </w:p>
        </w:tc>
        <w:tc>
          <w:tcPr>
            <w:tcW w:w="535" w:type="pct"/>
            <w:vAlign w:val="center"/>
          </w:tcPr>
          <w:p w14:paraId="21867910">
            <w:pPr>
              <w:widowControl/>
              <w:spacing w:line="240" w:lineRule="auto"/>
              <w:ind w:firstLine="0" w:firstLineChars="0"/>
              <w:jc w:val="center"/>
              <w:textAlignment w:val="center"/>
              <w:rPr>
                <w:rFonts w:eastAsia="宋体"/>
                <w:b/>
                <w:color w:val="auto"/>
              </w:rPr>
            </w:pPr>
            <w:r>
              <w:rPr>
                <w:rFonts w:eastAsia="宋体"/>
                <w:b/>
                <w:color w:val="auto"/>
                <w:kern w:val="0"/>
                <w:lang w:bidi="ar"/>
              </w:rPr>
              <w:t>目标值</w:t>
            </w:r>
          </w:p>
        </w:tc>
        <w:tc>
          <w:tcPr>
            <w:tcW w:w="839" w:type="pct"/>
            <w:vAlign w:val="center"/>
          </w:tcPr>
          <w:p w14:paraId="405519C3">
            <w:pPr>
              <w:widowControl/>
              <w:spacing w:line="240" w:lineRule="auto"/>
              <w:ind w:firstLine="0" w:firstLineChars="0"/>
              <w:jc w:val="center"/>
              <w:textAlignment w:val="center"/>
              <w:rPr>
                <w:rFonts w:eastAsia="宋体"/>
                <w:b/>
                <w:color w:val="auto"/>
                <w:kern w:val="0"/>
                <w:lang w:bidi="ar"/>
              </w:rPr>
            </w:pPr>
            <w:r>
              <w:rPr>
                <w:rFonts w:eastAsia="宋体"/>
                <w:b/>
                <w:color w:val="auto"/>
                <w:kern w:val="0"/>
                <w:lang w:bidi="ar"/>
              </w:rPr>
              <w:t>实际完成值</w:t>
            </w:r>
          </w:p>
        </w:tc>
        <w:tc>
          <w:tcPr>
            <w:tcW w:w="341" w:type="pct"/>
            <w:vAlign w:val="center"/>
          </w:tcPr>
          <w:p w14:paraId="733FD628">
            <w:pPr>
              <w:widowControl/>
              <w:spacing w:line="240" w:lineRule="auto"/>
              <w:ind w:firstLine="0" w:firstLineChars="0"/>
              <w:jc w:val="center"/>
              <w:textAlignment w:val="center"/>
              <w:rPr>
                <w:rFonts w:eastAsia="宋体"/>
                <w:b/>
                <w:color w:val="auto"/>
              </w:rPr>
            </w:pPr>
            <w:r>
              <w:rPr>
                <w:rFonts w:eastAsia="宋体"/>
                <w:b/>
                <w:color w:val="auto"/>
                <w:kern w:val="0"/>
                <w:lang w:bidi="ar"/>
              </w:rPr>
              <w:t>权重</w:t>
            </w:r>
          </w:p>
        </w:tc>
        <w:tc>
          <w:tcPr>
            <w:tcW w:w="341" w:type="pct"/>
            <w:vAlign w:val="center"/>
          </w:tcPr>
          <w:p w14:paraId="097FB35C">
            <w:pPr>
              <w:widowControl/>
              <w:spacing w:line="240" w:lineRule="auto"/>
              <w:ind w:firstLine="0" w:firstLineChars="0"/>
              <w:jc w:val="center"/>
              <w:textAlignment w:val="center"/>
              <w:rPr>
                <w:rFonts w:eastAsia="宋体"/>
                <w:b/>
                <w:color w:val="auto"/>
              </w:rPr>
            </w:pPr>
            <w:r>
              <w:rPr>
                <w:rFonts w:eastAsia="宋体"/>
                <w:b/>
                <w:color w:val="auto"/>
                <w:kern w:val="0"/>
                <w:lang w:bidi="ar"/>
              </w:rPr>
              <w:t>得分</w:t>
            </w:r>
          </w:p>
        </w:tc>
        <w:tc>
          <w:tcPr>
            <w:tcW w:w="509" w:type="pct"/>
            <w:vAlign w:val="center"/>
          </w:tcPr>
          <w:p w14:paraId="62F84E35">
            <w:pPr>
              <w:widowControl/>
              <w:spacing w:line="240" w:lineRule="auto"/>
              <w:ind w:firstLine="0" w:firstLineChars="0"/>
              <w:jc w:val="center"/>
              <w:textAlignment w:val="center"/>
              <w:rPr>
                <w:rFonts w:eastAsia="宋体"/>
                <w:b/>
                <w:color w:val="auto"/>
                <w:kern w:val="0"/>
                <w:lang w:bidi="ar"/>
              </w:rPr>
            </w:pPr>
            <w:r>
              <w:rPr>
                <w:rFonts w:eastAsia="宋体"/>
                <w:b/>
                <w:color w:val="auto"/>
                <w:kern w:val="0"/>
                <w:lang w:bidi="ar"/>
              </w:rPr>
              <w:t>得分率</w:t>
            </w:r>
          </w:p>
        </w:tc>
      </w:tr>
      <w:tr w14:paraId="4F0671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282" w:hRule="atLeast"/>
        </w:trPr>
        <w:tc>
          <w:tcPr>
            <w:tcW w:w="585" w:type="pct"/>
            <w:vMerge w:val="restart"/>
            <w:vAlign w:val="center"/>
          </w:tcPr>
          <w:p w14:paraId="0E8A890B">
            <w:pPr>
              <w:widowControl/>
              <w:spacing w:line="240" w:lineRule="auto"/>
              <w:ind w:firstLine="0" w:firstLineChars="0"/>
              <w:jc w:val="left"/>
              <w:rPr>
                <w:rFonts w:eastAsia="宋体"/>
                <w:color w:val="auto"/>
              </w:rPr>
            </w:pPr>
            <w:r>
              <w:rPr>
                <w:rFonts w:eastAsia="宋体"/>
                <w:color w:val="auto"/>
              </w:rPr>
              <w:t>D效益</w:t>
            </w:r>
          </w:p>
          <w:p w14:paraId="78B88744">
            <w:pPr>
              <w:widowControl/>
              <w:spacing w:line="240" w:lineRule="auto"/>
              <w:ind w:firstLine="0" w:firstLineChars="0"/>
              <w:jc w:val="left"/>
              <w:rPr>
                <w:rFonts w:eastAsia="宋体"/>
                <w:color w:val="auto"/>
              </w:rPr>
            </w:pPr>
            <w:r>
              <w:rPr>
                <w:rFonts w:eastAsia="宋体"/>
                <w:color w:val="auto"/>
              </w:rPr>
              <w:t>（3</w:t>
            </w:r>
            <w:r>
              <w:rPr>
                <w:rFonts w:hint="default" w:eastAsia="宋体"/>
                <w:color w:val="auto"/>
                <w:lang w:val="en-US" w:eastAsia="zh-CN"/>
              </w:rPr>
              <w:t>5.</w:t>
            </w:r>
            <w:r>
              <w:rPr>
                <w:rFonts w:eastAsia="宋体"/>
                <w:color w:val="auto"/>
              </w:rPr>
              <w:t>00分）</w:t>
            </w:r>
          </w:p>
        </w:tc>
        <w:tc>
          <w:tcPr>
            <w:tcW w:w="835" w:type="pct"/>
            <w:vMerge w:val="restart"/>
            <w:vAlign w:val="center"/>
          </w:tcPr>
          <w:p w14:paraId="4A07ED1C">
            <w:pPr>
              <w:widowControl/>
              <w:spacing w:line="240" w:lineRule="auto"/>
              <w:ind w:firstLine="0" w:firstLineChars="0"/>
              <w:jc w:val="left"/>
              <w:rPr>
                <w:rFonts w:eastAsia="宋体"/>
                <w:color w:val="auto"/>
              </w:rPr>
            </w:pPr>
            <w:r>
              <w:rPr>
                <w:rFonts w:eastAsia="宋体"/>
                <w:color w:val="auto"/>
              </w:rPr>
              <w:t>D</w:t>
            </w:r>
            <w:r>
              <w:rPr>
                <w:rFonts w:hint="default" w:eastAsia="宋体"/>
                <w:color w:val="auto"/>
              </w:rPr>
              <w:t>1</w:t>
            </w:r>
            <w:r>
              <w:rPr>
                <w:rFonts w:eastAsia="宋体"/>
                <w:color w:val="auto"/>
              </w:rPr>
              <w:t>社会效益指标（</w:t>
            </w:r>
            <w:r>
              <w:rPr>
                <w:rFonts w:hint="eastAsia" w:eastAsia="宋体"/>
                <w:color w:val="auto"/>
                <w:lang w:val="en-US" w:eastAsia="zh-CN"/>
              </w:rPr>
              <w:t>20</w:t>
            </w:r>
            <w:r>
              <w:rPr>
                <w:rFonts w:eastAsia="宋体"/>
                <w:color w:val="auto"/>
              </w:rPr>
              <w:t>.00分）</w:t>
            </w:r>
          </w:p>
        </w:tc>
        <w:tc>
          <w:tcPr>
            <w:tcW w:w="1010" w:type="pct"/>
            <w:vAlign w:val="center"/>
          </w:tcPr>
          <w:p w14:paraId="3D82A2D1">
            <w:pPr>
              <w:widowControl/>
              <w:spacing w:line="240" w:lineRule="auto"/>
              <w:ind w:firstLine="0" w:firstLineChars="0"/>
              <w:jc w:val="left"/>
              <w:rPr>
                <w:rFonts w:eastAsia="宋体"/>
                <w:color w:val="auto"/>
              </w:rPr>
            </w:pPr>
            <w:r>
              <w:rPr>
                <w:rFonts w:hint="default" w:eastAsia="宋体"/>
                <w:color w:val="auto"/>
              </w:rPr>
              <w:t>D11设备利用率</w:t>
            </w:r>
          </w:p>
        </w:tc>
        <w:tc>
          <w:tcPr>
            <w:tcW w:w="535" w:type="pct"/>
            <w:vAlign w:val="center"/>
          </w:tcPr>
          <w:p w14:paraId="313DCD60">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839" w:type="pct"/>
            <w:vAlign w:val="center"/>
          </w:tcPr>
          <w:p w14:paraId="39FF9D6D">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c>
          <w:tcPr>
            <w:tcW w:w="341" w:type="pct"/>
            <w:vAlign w:val="center"/>
          </w:tcPr>
          <w:p w14:paraId="67E3A80F">
            <w:pPr>
              <w:widowControl/>
              <w:spacing w:line="240" w:lineRule="auto"/>
              <w:ind w:firstLine="0" w:firstLineChars="0"/>
              <w:jc w:val="center"/>
              <w:rPr>
                <w:rFonts w:hint="default" w:eastAsia="宋体"/>
                <w:color w:val="auto"/>
              </w:rPr>
            </w:pPr>
            <w:r>
              <w:rPr>
                <w:rFonts w:hint="default" w:eastAsia="宋体"/>
                <w:color w:val="auto"/>
                <w:lang w:val="en-US" w:eastAsia="zh-CN"/>
              </w:rPr>
              <w:t>10.00</w:t>
            </w:r>
          </w:p>
        </w:tc>
        <w:tc>
          <w:tcPr>
            <w:tcW w:w="341" w:type="pct"/>
            <w:vAlign w:val="center"/>
          </w:tcPr>
          <w:p w14:paraId="444667C6">
            <w:pPr>
              <w:widowControl/>
              <w:spacing w:line="240" w:lineRule="auto"/>
              <w:ind w:firstLine="0" w:firstLineChars="0"/>
              <w:jc w:val="center"/>
              <w:rPr>
                <w:rFonts w:hint="default" w:eastAsia="宋体"/>
                <w:color w:val="auto"/>
              </w:rPr>
            </w:pPr>
            <w:r>
              <w:rPr>
                <w:rFonts w:hint="default" w:eastAsia="宋体"/>
                <w:color w:val="auto"/>
                <w:lang w:val="en-US" w:eastAsia="zh-CN"/>
              </w:rPr>
              <w:t>10.00</w:t>
            </w:r>
          </w:p>
        </w:tc>
        <w:tc>
          <w:tcPr>
            <w:tcW w:w="509" w:type="pct"/>
            <w:vAlign w:val="center"/>
          </w:tcPr>
          <w:p w14:paraId="53A5C8F0">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7384F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282" w:hRule="atLeast"/>
        </w:trPr>
        <w:tc>
          <w:tcPr>
            <w:tcW w:w="585" w:type="pct"/>
            <w:vMerge w:val="continue"/>
            <w:vAlign w:val="center"/>
          </w:tcPr>
          <w:p w14:paraId="547D012B">
            <w:pPr>
              <w:widowControl/>
              <w:spacing w:line="240" w:lineRule="auto"/>
              <w:ind w:firstLine="0" w:firstLineChars="0"/>
              <w:jc w:val="left"/>
              <w:rPr>
                <w:rFonts w:eastAsia="宋体"/>
                <w:color w:val="auto"/>
              </w:rPr>
            </w:pPr>
          </w:p>
        </w:tc>
        <w:tc>
          <w:tcPr>
            <w:tcW w:w="835" w:type="pct"/>
            <w:vMerge w:val="continue"/>
            <w:vAlign w:val="center"/>
          </w:tcPr>
          <w:p w14:paraId="1356EF3A">
            <w:pPr>
              <w:widowControl/>
              <w:spacing w:line="240" w:lineRule="auto"/>
              <w:ind w:firstLine="0" w:firstLineChars="0"/>
              <w:jc w:val="left"/>
              <w:rPr>
                <w:rFonts w:eastAsia="宋体"/>
                <w:color w:val="auto"/>
              </w:rPr>
            </w:pPr>
          </w:p>
        </w:tc>
        <w:tc>
          <w:tcPr>
            <w:tcW w:w="1010" w:type="pct"/>
            <w:vAlign w:val="center"/>
          </w:tcPr>
          <w:p w14:paraId="374B71E9">
            <w:pPr>
              <w:widowControl/>
              <w:spacing w:line="240" w:lineRule="auto"/>
              <w:ind w:firstLine="0" w:firstLineChars="0"/>
              <w:jc w:val="left"/>
              <w:rPr>
                <w:rFonts w:eastAsia="宋体"/>
                <w:color w:val="auto"/>
              </w:rPr>
            </w:pPr>
            <w:r>
              <w:rPr>
                <w:rFonts w:hint="default" w:eastAsia="宋体"/>
                <w:color w:val="auto"/>
              </w:rPr>
              <w:t>D</w:t>
            </w:r>
            <w:r>
              <w:rPr>
                <w:rFonts w:hint="default" w:eastAsia="宋体"/>
                <w:color w:val="auto"/>
                <w:lang w:val="en-US" w:eastAsia="zh-CN"/>
              </w:rPr>
              <w:t>12</w:t>
            </w:r>
            <w:r>
              <w:rPr>
                <w:rFonts w:hint="default" w:eastAsia="宋体"/>
                <w:color w:val="auto"/>
              </w:rPr>
              <w:t>受益学生人数</w:t>
            </w:r>
          </w:p>
        </w:tc>
        <w:tc>
          <w:tcPr>
            <w:tcW w:w="535" w:type="pct"/>
            <w:vAlign w:val="center"/>
          </w:tcPr>
          <w:p w14:paraId="34160AFB">
            <w:pPr>
              <w:widowControl/>
              <w:spacing w:line="240" w:lineRule="auto"/>
              <w:ind w:firstLine="0" w:firstLineChars="0"/>
              <w:jc w:val="center"/>
              <w:rPr>
                <w:rFonts w:hint="default" w:eastAsia="宋体"/>
                <w:color w:val="auto"/>
              </w:rPr>
            </w:pPr>
            <w:r>
              <w:rPr>
                <w:rFonts w:hint="default" w:eastAsia="宋体"/>
                <w:color w:val="auto"/>
                <w:lang w:val="en-US" w:eastAsia="zh-CN"/>
              </w:rPr>
              <w:t>≥150人</w:t>
            </w:r>
          </w:p>
        </w:tc>
        <w:tc>
          <w:tcPr>
            <w:tcW w:w="839" w:type="pct"/>
            <w:vAlign w:val="center"/>
          </w:tcPr>
          <w:p w14:paraId="4C8A8690">
            <w:pPr>
              <w:widowControl/>
              <w:spacing w:line="240" w:lineRule="auto"/>
              <w:ind w:firstLine="0" w:firstLineChars="0"/>
              <w:jc w:val="center"/>
              <w:rPr>
                <w:rFonts w:hint="default" w:eastAsia="宋体"/>
                <w:color w:val="auto"/>
              </w:rPr>
            </w:pPr>
            <w:r>
              <w:rPr>
                <w:rFonts w:hint="default" w:eastAsia="宋体"/>
                <w:color w:val="auto"/>
                <w:lang w:val="en-US" w:eastAsia="zh-CN"/>
              </w:rPr>
              <w:t>157人</w:t>
            </w:r>
          </w:p>
        </w:tc>
        <w:tc>
          <w:tcPr>
            <w:tcW w:w="341" w:type="pct"/>
            <w:vAlign w:val="center"/>
          </w:tcPr>
          <w:p w14:paraId="33AE8B65">
            <w:pPr>
              <w:widowControl/>
              <w:spacing w:line="240" w:lineRule="auto"/>
              <w:ind w:firstLine="0" w:firstLineChars="0"/>
              <w:jc w:val="center"/>
              <w:rPr>
                <w:rFonts w:hint="default" w:eastAsia="宋体"/>
                <w:color w:val="auto"/>
              </w:rPr>
            </w:pPr>
            <w:r>
              <w:rPr>
                <w:rFonts w:hint="default" w:eastAsia="宋体"/>
                <w:color w:val="auto"/>
                <w:lang w:val="en-US" w:eastAsia="zh-CN"/>
              </w:rPr>
              <w:t>10.00</w:t>
            </w:r>
          </w:p>
        </w:tc>
        <w:tc>
          <w:tcPr>
            <w:tcW w:w="341" w:type="pct"/>
            <w:vAlign w:val="center"/>
          </w:tcPr>
          <w:p w14:paraId="2CD4ADE0">
            <w:pPr>
              <w:widowControl/>
              <w:spacing w:line="240" w:lineRule="auto"/>
              <w:ind w:firstLine="0" w:firstLineChars="0"/>
              <w:jc w:val="center"/>
              <w:rPr>
                <w:rFonts w:hint="default" w:eastAsia="宋体"/>
                <w:color w:val="auto"/>
              </w:rPr>
            </w:pPr>
            <w:r>
              <w:rPr>
                <w:rFonts w:hint="default" w:eastAsia="宋体"/>
                <w:color w:val="auto"/>
                <w:lang w:val="en-US" w:eastAsia="zh-CN"/>
              </w:rPr>
              <w:t>10.00</w:t>
            </w:r>
          </w:p>
        </w:tc>
        <w:tc>
          <w:tcPr>
            <w:tcW w:w="509" w:type="pct"/>
            <w:vAlign w:val="center"/>
          </w:tcPr>
          <w:p w14:paraId="2182E6B5">
            <w:pPr>
              <w:widowControl/>
              <w:spacing w:line="240" w:lineRule="auto"/>
              <w:ind w:firstLine="0" w:firstLineChars="0"/>
              <w:jc w:val="center"/>
              <w:rPr>
                <w:rFonts w:hint="default" w:eastAsia="宋体"/>
                <w:color w:val="auto"/>
              </w:rPr>
            </w:pPr>
            <w:r>
              <w:rPr>
                <w:rFonts w:hint="default" w:eastAsia="宋体"/>
                <w:color w:val="auto"/>
                <w:lang w:val="en-US" w:eastAsia="zh-CN"/>
              </w:rPr>
              <w:t>100.00%</w:t>
            </w:r>
          </w:p>
        </w:tc>
      </w:tr>
      <w:tr w14:paraId="07FE5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270" w:hRule="atLeast"/>
        </w:trPr>
        <w:tc>
          <w:tcPr>
            <w:tcW w:w="585" w:type="pct"/>
            <w:vMerge w:val="continue"/>
            <w:vAlign w:val="center"/>
          </w:tcPr>
          <w:p w14:paraId="3432700B">
            <w:pPr>
              <w:widowControl/>
              <w:spacing w:line="240" w:lineRule="auto"/>
              <w:ind w:firstLine="0" w:firstLineChars="0"/>
              <w:jc w:val="left"/>
              <w:rPr>
                <w:rFonts w:eastAsia="宋体"/>
                <w:color w:val="auto"/>
              </w:rPr>
            </w:pPr>
          </w:p>
        </w:tc>
        <w:tc>
          <w:tcPr>
            <w:tcW w:w="835" w:type="pct"/>
            <w:vMerge w:val="restart"/>
            <w:vAlign w:val="center"/>
          </w:tcPr>
          <w:p w14:paraId="797D68D4">
            <w:pPr>
              <w:widowControl/>
              <w:spacing w:line="240" w:lineRule="auto"/>
              <w:ind w:firstLine="0" w:firstLineChars="0"/>
              <w:jc w:val="left"/>
              <w:rPr>
                <w:rFonts w:eastAsia="宋体"/>
                <w:color w:val="auto"/>
              </w:rPr>
            </w:pPr>
            <w:r>
              <w:rPr>
                <w:rFonts w:hint="default" w:eastAsia="宋体"/>
                <w:color w:val="auto"/>
              </w:rPr>
              <w:t>D2服务对象满意度指标（</w:t>
            </w:r>
            <w:r>
              <w:rPr>
                <w:rFonts w:hint="default" w:eastAsia="宋体"/>
                <w:color w:val="auto"/>
                <w:lang w:val="en-US" w:eastAsia="zh-CN"/>
              </w:rPr>
              <w:t>1</w:t>
            </w:r>
            <w:r>
              <w:rPr>
                <w:rFonts w:hint="eastAsia" w:eastAsia="宋体"/>
                <w:color w:val="auto"/>
                <w:lang w:val="en-US" w:eastAsia="zh-CN"/>
              </w:rPr>
              <w:t>5</w:t>
            </w:r>
            <w:r>
              <w:rPr>
                <w:rFonts w:hint="default" w:eastAsia="宋体"/>
                <w:color w:val="auto"/>
              </w:rPr>
              <w:t>.00分）</w:t>
            </w:r>
          </w:p>
        </w:tc>
        <w:tc>
          <w:tcPr>
            <w:tcW w:w="1010" w:type="pct"/>
            <w:vAlign w:val="center"/>
          </w:tcPr>
          <w:p w14:paraId="7D55D8B9">
            <w:pPr>
              <w:widowControl/>
              <w:spacing w:line="240" w:lineRule="auto"/>
              <w:ind w:firstLine="0" w:firstLineChars="0"/>
              <w:jc w:val="left"/>
              <w:rPr>
                <w:rFonts w:eastAsia="宋体"/>
                <w:color w:val="auto"/>
              </w:rPr>
            </w:pPr>
            <w:r>
              <w:rPr>
                <w:rFonts w:hint="default" w:eastAsia="宋体"/>
                <w:color w:val="auto"/>
              </w:rPr>
              <w:t>D21教师满意度</w:t>
            </w:r>
          </w:p>
        </w:tc>
        <w:tc>
          <w:tcPr>
            <w:tcW w:w="535" w:type="pct"/>
            <w:vAlign w:val="center"/>
          </w:tcPr>
          <w:p w14:paraId="3500A280">
            <w:pPr>
              <w:widowControl/>
              <w:spacing w:line="240" w:lineRule="auto"/>
              <w:ind w:firstLine="0" w:firstLineChars="0"/>
              <w:jc w:val="center"/>
              <w:rPr>
                <w:rFonts w:hint="default" w:eastAsia="宋体"/>
                <w:color w:val="auto"/>
              </w:rPr>
            </w:pPr>
            <w:r>
              <w:rPr>
                <w:rFonts w:hint="default" w:eastAsia="宋体"/>
                <w:color w:val="auto"/>
                <w:lang w:val="en-US" w:eastAsia="zh-CN"/>
              </w:rPr>
              <w:t>≥90.00%</w:t>
            </w:r>
          </w:p>
        </w:tc>
        <w:tc>
          <w:tcPr>
            <w:tcW w:w="839" w:type="pct"/>
            <w:vAlign w:val="center"/>
          </w:tcPr>
          <w:p w14:paraId="3CDECB28">
            <w:pPr>
              <w:widowControl/>
              <w:spacing w:line="240" w:lineRule="auto"/>
              <w:ind w:firstLine="0" w:firstLineChars="0"/>
              <w:jc w:val="center"/>
              <w:rPr>
                <w:rFonts w:hint="default" w:eastAsia="宋体"/>
                <w:color w:val="auto"/>
              </w:rPr>
            </w:pPr>
            <w:r>
              <w:rPr>
                <w:rFonts w:hint="default" w:eastAsia="宋体"/>
                <w:color w:val="auto"/>
                <w:lang w:val="en-US" w:eastAsia="zh-CN"/>
              </w:rPr>
              <w:t>83.74%</w:t>
            </w:r>
          </w:p>
        </w:tc>
        <w:tc>
          <w:tcPr>
            <w:tcW w:w="341" w:type="pct"/>
            <w:vAlign w:val="center"/>
          </w:tcPr>
          <w:p w14:paraId="1C021AB9">
            <w:pPr>
              <w:widowControl/>
              <w:spacing w:line="240" w:lineRule="auto"/>
              <w:ind w:firstLine="0" w:firstLineChars="0"/>
              <w:jc w:val="center"/>
              <w:rPr>
                <w:rFonts w:hint="default" w:eastAsia="宋体"/>
                <w:color w:val="auto"/>
              </w:rPr>
            </w:pPr>
            <w:r>
              <w:rPr>
                <w:rFonts w:hint="default" w:eastAsia="宋体"/>
                <w:color w:val="auto"/>
                <w:lang w:val="en-US" w:eastAsia="zh-CN"/>
              </w:rPr>
              <w:t>8.00</w:t>
            </w:r>
          </w:p>
        </w:tc>
        <w:tc>
          <w:tcPr>
            <w:tcW w:w="341" w:type="pct"/>
            <w:vAlign w:val="center"/>
          </w:tcPr>
          <w:p w14:paraId="377435FF">
            <w:pPr>
              <w:widowControl/>
              <w:spacing w:line="240" w:lineRule="auto"/>
              <w:ind w:firstLine="0" w:firstLineChars="0"/>
              <w:jc w:val="center"/>
              <w:rPr>
                <w:rFonts w:hint="default" w:eastAsia="宋体"/>
                <w:color w:val="auto"/>
              </w:rPr>
            </w:pPr>
            <w:r>
              <w:rPr>
                <w:rFonts w:hint="default" w:eastAsia="宋体"/>
                <w:color w:val="auto"/>
                <w:lang w:val="en-US" w:eastAsia="zh-CN"/>
              </w:rPr>
              <w:t>6.40</w:t>
            </w:r>
          </w:p>
        </w:tc>
        <w:tc>
          <w:tcPr>
            <w:tcW w:w="509" w:type="pct"/>
            <w:vAlign w:val="center"/>
          </w:tcPr>
          <w:p w14:paraId="31A51046">
            <w:pPr>
              <w:widowControl/>
              <w:spacing w:line="240" w:lineRule="auto"/>
              <w:ind w:firstLine="0" w:firstLineChars="0"/>
              <w:jc w:val="center"/>
              <w:rPr>
                <w:rFonts w:hint="default" w:eastAsia="宋体"/>
                <w:color w:val="auto"/>
              </w:rPr>
            </w:pPr>
            <w:r>
              <w:rPr>
                <w:rFonts w:hint="default" w:eastAsia="宋体"/>
                <w:color w:val="auto"/>
                <w:lang w:val="en-US" w:eastAsia="zh-CN"/>
              </w:rPr>
              <w:t>80.00%</w:t>
            </w:r>
          </w:p>
        </w:tc>
      </w:tr>
      <w:tr w14:paraId="25BF9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95" w:hRule="atLeast"/>
        </w:trPr>
        <w:tc>
          <w:tcPr>
            <w:tcW w:w="585" w:type="pct"/>
            <w:vMerge w:val="continue"/>
            <w:vAlign w:val="center"/>
          </w:tcPr>
          <w:p w14:paraId="58D9C594">
            <w:pPr>
              <w:widowControl/>
              <w:spacing w:line="240" w:lineRule="auto"/>
              <w:ind w:firstLine="0" w:firstLineChars="0"/>
              <w:jc w:val="left"/>
              <w:rPr>
                <w:rFonts w:eastAsia="宋体"/>
                <w:color w:val="auto"/>
              </w:rPr>
            </w:pPr>
          </w:p>
        </w:tc>
        <w:tc>
          <w:tcPr>
            <w:tcW w:w="835" w:type="pct"/>
            <w:vMerge w:val="continue"/>
            <w:vAlign w:val="center"/>
          </w:tcPr>
          <w:p w14:paraId="0E9E7A22">
            <w:pPr>
              <w:widowControl/>
              <w:spacing w:line="240" w:lineRule="auto"/>
              <w:ind w:firstLine="0" w:firstLineChars="0"/>
              <w:jc w:val="left"/>
              <w:rPr>
                <w:rFonts w:eastAsia="宋体"/>
                <w:color w:val="auto"/>
              </w:rPr>
            </w:pPr>
          </w:p>
        </w:tc>
        <w:tc>
          <w:tcPr>
            <w:tcW w:w="1010" w:type="pct"/>
            <w:vAlign w:val="center"/>
          </w:tcPr>
          <w:p w14:paraId="2C99D46B">
            <w:pPr>
              <w:widowControl/>
              <w:spacing w:line="240" w:lineRule="auto"/>
              <w:ind w:firstLine="0" w:firstLineChars="0"/>
              <w:jc w:val="left"/>
              <w:rPr>
                <w:rFonts w:eastAsia="宋体"/>
                <w:color w:val="auto"/>
              </w:rPr>
            </w:pPr>
            <w:r>
              <w:rPr>
                <w:rFonts w:hint="default" w:eastAsia="宋体"/>
                <w:color w:val="auto"/>
              </w:rPr>
              <w:t>D22受益学生满意度</w:t>
            </w:r>
          </w:p>
        </w:tc>
        <w:tc>
          <w:tcPr>
            <w:tcW w:w="535" w:type="pct"/>
            <w:vAlign w:val="center"/>
          </w:tcPr>
          <w:p w14:paraId="6269AF7C">
            <w:pPr>
              <w:widowControl/>
              <w:spacing w:line="240" w:lineRule="auto"/>
              <w:ind w:firstLine="0" w:firstLineChars="0"/>
              <w:jc w:val="center"/>
              <w:rPr>
                <w:rFonts w:hint="default" w:eastAsia="宋体"/>
                <w:color w:val="auto"/>
              </w:rPr>
            </w:pPr>
            <w:r>
              <w:rPr>
                <w:rFonts w:hint="default" w:eastAsia="宋体"/>
                <w:color w:val="auto"/>
                <w:lang w:val="en-US" w:eastAsia="zh-CN"/>
              </w:rPr>
              <w:t>≥90.00%</w:t>
            </w:r>
          </w:p>
        </w:tc>
        <w:tc>
          <w:tcPr>
            <w:tcW w:w="839" w:type="pct"/>
            <w:vAlign w:val="center"/>
          </w:tcPr>
          <w:p w14:paraId="6B564193">
            <w:pPr>
              <w:widowControl/>
              <w:spacing w:line="240" w:lineRule="auto"/>
              <w:ind w:firstLine="0" w:firstLineChars="0"/>
              <w:jc w:val="center"/>
              <w:rPr>
                <w:rFonts w:hint="default" w:eastAsia="宋体"/>
                <w:color w:val="auto"/>
              </w:rPr>
            </w:pPr>
            <w:r>
              <w:rPr>
                <w:rFonts w:hint="default" w:eastAsia="宋体"/>
                <w:color w:val="auto"/>
                <w:lang w:val="en-US" w:eastAsia="zh-CN"/>
              </w:rPr>
              <w:t>86.11%</w:t>
            </w:r>
          </w:p>
        </w:tc>
        <w:tc>
          <w:tcPr>
            <w:tcW w:w="341" w:type="pct"/>
            <w:vAlign w:val="center"/>
          </w:tcPr>
          <w:p w14:paraId="3E274726">
            <w:pPr>
              <w:widowControl/>
              <w:spacing w:line="240" w:lineRule="auto"/>
              <w:ind w:firstLine="0" w:firstLineChars="0"/>
              <w:jc w:val="center"/>
              <w:rPr>
                <w:rFonts w:hint="default" w:eastAsia="宋体"/>
                <w:color w:val="auto"/>
              </w:rPr>
            </w:pPr>
            <w:r>
              <w:rPr>
                <w:rFonts w:hint="default" w:eastAsia="宋体"/>
                <w:color w:val="auto"/>
                <w:lang w:val="en-US" w:eastAsia="zh-CN"/>
              </w:rPr>
              <w:t>7.00</w:t>
            </w:r>
          </w:p>
        </w:tc>
        <w:tc>
          <w:tcPr>
            <w:tcW w:w="341" w:type="pct"/>
            <w:vAlign w:val="center"/>
          </w:tcPr>
          <w:p w14:paraId="02DD0B6F">
            <w:pPr>
              <w:widowControl/>
              <w:spacing w:line="240" w:lineRule="auto"/>
              <w:ind w:firstLine="0" w:firstLineChars="0"/>
              <w:jc w:val="center"/>
              <w:rPr>
                <w:rFonts w:hint="default" w:eastAsia="宋体"/>
                <w:color w:val="auto"/>
              </w:rPr>
            </w:pPr>
            <w:r>
              <w:rPr>
                <w:rFonts w:hint="default" w:eastAsia="宋体"/>
                <w:color w:val="auto"/>
                <w:lang w:val="en-US" w:eastAsia="zh-CN"/>
              </w:rPr>
              <w:t>5.60</w:t>
            </w:r>
          </w:p>
        </w:tc>
        <w:tc>
          <w:tcPr>
            <w:tcW w:w="509" w:type="pct"/>
            <w:vAlign w:val="center"/>
          </w:tcPr>
          <w:p w14:paraId="71FF3EB2">
            <w:pPr>
              <w:widowControl/>
              <w:spacing w:line="240" w:lineRule="auto"/>
              <w:ind w:firstLine="0" w:firstLineChars="0"/>
              <w:jc w:val="center"/>
              <w:rPr>
                <w:rFonts w:hint="default" w:eastAsia="宋体"/>
                <w:color w:val="auto"/>
              </w:rPr>
            </w:pPr>
            <w:r>
              <w:rPr>
                <w:rFonts w:hint="default" w:eastAsia="宋体"/>
                <w:color w:val="auto"/>
                <w:lang w:val="en-US" w:eastAsia="zh-CN"/>
              </w:rPr>
              <w:t>80.00%</w:t>
            </w:r>
          </w:p>
        </w:tc>
      </w:tr>
      <w:tr w14:paraId="17769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90" w:hRule="atLeast"/>
        </w:trPr>
        <w:tc>
          <w:tcPr>
            <w:tcW w:w="2431" w:type="pct"/>
            <w:gridSpan w:val="3"/>
            <w:vAlign w:val="center"/>
          </w:tcPr>
          <w:p w14:paraId="2F4843C0">
            <w:pPr>
              <w:widowControl/>
              <w:spacing w:line="240" w:lineRule="auto"/>
              <w:ind w:firstLine="0" w:firstLineChars="0"/>
              <w:jc w:val="center"/>
              <w:rPr>
                <w:rFonts w:hint="default" w:eastAsia="宋体"/>
                <w:b/>
                <w:bCs/>
                <w:color w:val="auto"/>
                <w:lang w:val="en-US" w:eastAsia="zh-CN"/>
              </w:rPr>
            </w:pPr>
            <w:r>
              <w:rPr>
                <w:rFonts w:hint="default" w:eastAsia="宋体"/>
                <w:b/>
                <w:bCs/>
                <w:color w:val="auto"/>
                <w:lang w:val="en-US" w:eastAsia="zh-CN"/>
              </w:rPr>
              <w:t>合计</w:t>
            </w:r>
          </w:p>
        </w:tc>
        <w:tc>
          <w:tcPr>
            <w:tcW w:w="535" w:type="pct"/>
            <w:vAlign w:val="center"/>
          </w:tcPr>
          <w:p w14:paraId="4D2E2C19">
            <w:pPr>
              <w:jc w:val="center"/>
              <w:rPr>
                <w:rFonts w:hint="default" w:eastAsia="宋体"/>
                <w:color w:val="auto"/>
                <w:lang w:val="en-US" w:eastAsia="zh-CN"/>
              </w:rPr>
            </w:pPr>
          </w:p>
        </w:tc>
        <w:tc>
          <w:tcPr>
            <w:tcW w:w="839" w:type="pct"/>
            <w:vAlign w:val="center"/>
          </w:tcPr>
          <w:p w14:paraId="654EC826">
            <w:pPr>
              <w:jc w:val="center"/>
              <w:rPr>
                <w:rFonts w:hint="default" w:eastAsia="宋体"/>
                <w:color w:val="auto"/>
                <w:lang w:val="en-US" w:eastAsia="zh-CN"/>
              </w:rPr>
            </w:pPr>
          </w:p>
        </w:tc>
        <w:tc>
          <w:tcPr>
            <w:tcW w:w="341" w:type="pct"/>
            <w:vAlign w:val="center"/>
          </w:tcPr>
          <w:p w14:paraId="374B5BFE">
            <w:pPr>
              <w:widowControl/>
              <w:spacing w:line="240" w:lineRule="auto"/>
              <w:ind w:firstLine="0" w:firstLineChars="0"/>
              <w:jc w:val="center"/>
              <w:rPr>
                <w:rFonts w:hint="default" w:eastAsia="宋体"/>
                <w:b/>
                <w:bCs/>
                <w:color w:val="auto"/>
                <w:lang w:val="en-US" w:eastAsia="zh-CN"/>
              </w:rPr>
            </w:pPr>
            <w:r>
              <w:rPr>
                <w:rFonts w:hint="default" w:eastAsia="宋体"/>
                <w:b/>
                <w:bCs/>
                <w:color w:val="auto"/>
                <w:lang w:val="en-US" w:eastAsia="zh-CN"/>
              </w:rPr>
              <w:t xml:space="preserve">35.00 </w:t>
            </w:r>
          </w:p>
        </w:tc>
        <w:tc>
          <w:tcPr>
            <w:tcW w:w="341" w:type="pct"/>
            <w:vAlign w:val="center"/>
          </w:tcPr>
          <w:p w14:paraId="1CE573EF">
            <w:pPr>
              <w:widowControl/>
              <w:spacing w:line="240" w:lineRule="auto"/>
              <w:ind w:firstLine="0" w:firstLineChars="0"/>
              <w:jc w:val="center"/>
              <w:rPr>
                <w:rFonts w:hint="default" w:eastAsia="宋体"/>
                <w:b/>
                <w:bCs/>
                <w:color w:val="auto"/>
                <w:lang w:val="en-US" w:eastAsia="zh-CN"/>
              </w:rPr>
            </w:pPr>
            <w:r>
              <w:rPr>
                <w:rFonts w:hint="default" w:eastAsia="宋体"/>
                <w:b/>
                <w:bCs/>
                <w:color w:val="auto"/>
                <w:lang w:val="en-US" w:eastAsia="zh-CN"/>
              </w:rPr>
              <w:t xml:space="preserve">32.00 </w:t>
            </w:r>
          </w:p>
        </w:tc>
        <w:tc>
          <w:tcPr>
            <w:tcW w:w="509" w:type="pct"/>
            <w:vAlign w:val="center"/>
          </w:tcPr>
          <w:p w14:paraId="6215141B">
            <w:pPr>
              <w:widowControl/>
              <w:spacing w:line="240" w:lineRule="auto"/>
              <w:ind w:firstLine="0" w:firstLineChars="0"/>
              <w:jc w:val="center"/>
              <w:rPr>
                <w:rFonts w:hint="default" w:eastAsia="宋体"/>
                <w:b/>
                <w:bCs/>
                <w:color w:val="auto"/>
                <w:lang w:val="en-US" w:eastAsia="zh-CN"/>
              </w:rPr>
            </w:pPr>
            <w:r>
              <w:rPr>
                <w:rFonts w:hint="default" w:eastAsia="宋体"/>
                <w:b/>
                <w:bCs/>
                <w:color w:val="auto"/>
                <w:lang w:val="en-US" w:eastAsia="zh-CN"/>
              </w:rPr>
              <w:t>91.43%</w:t>
            </w:r>
          </w:p>
        </w:tc>
      </w:tr>
    </w:tbl>
    <w:p w14:paraId="361BEDFC">
      <w:pPr>
        <w:spacing w:line="240" w:lineRule="auto"/>
        <w:ind w:firstLine="422"/>
        <w:rPr>
          <w:rFonts w:eastAsia="宋体"/>
          <w:b/>
          <w:bCs/>
          <w:color w:val="auto"/>
        </w:rPr>
      </w:pPr>
    </w:p>
    <w:p w14:paraId="29A33821">
      <w:pPr>
        <w:ind w:firstLine="422"/>
        <w:rPr>
          <w:rFonts w:eastAsia="宋体"/>
          <w:color w:val="auto"/>
        </w:rPr>
      </w:pPr>
      <w:r>
        <w:rPr>
          <w:rFonts w:eastAsia="宋体"/>
          <w:b/>
          <w:bCs/>
          <w:color w:val="auto"/>
        </w:rPr>
        <w:t>指标得分分析：</w:t>
      </w:r>
    </w:p>
    <w:p w14:paraId="650EF88C">
      <w:pPr>
        <w:ind w:firstLine="422"/>
        <w:rPr>
          <w:rFonts w:eastAsia="宋体"/>
          <w:b/>
          <w:bCs/>
          <w:color w:val="auto"/>
        </w:rPr>
      </w:pPr>
      <w:r>
        <w:rPr>
          <w:rFonts w:eastAsia="宋体"/>
          <w:b/>
          <w:bCs/>
          <w:color w:val="auto"/>
        </w:rPr>
        <w:t>（1）</w:t>
      </w:r>
      <w:r>
        <w:rPr>
          <w:rFonts w:hint="default" w:eastAsia="宋体"/>
          <w:b/>
          <w:bCs/>
          <w:color w:val="auto"/>
        </w:rPr>
        <w:t>D11设备利用率</w:t>
      </w:r>
      <w:r>
        <w:rPr>
          <w:rFonts w:eastAsia="宋体"/>
          <w:b/>
          <w:bCs/>
          <w:color w:val="auto"/>
        </w:rPr>
        <w:t>指标：</w:t>
      </w:r>
    </w:p>
    <w:p w14:paraId="74DE8DBA">
      <w:pPr>
        <w:ind w:firstLine="420"/>
        <w:rPr>
          <w:rFonts w:hint="default"/>
          <w:color w:val="auto"/>
          <w:lang w:val="en-US" w:eastAsia="zh-CN"/>
        </w:rPr>
      </w:pPr>
      <w:r>
        <w:rPr>
          <w:rFonts w:hint="default"/>
          <w:color w:val="auto"/>
          <w:lang w:val="en-US" w:eastAsia="zh-CN"/>
        </w:rPr>
        <w:t>根据项目实施单位提供的化工专业实训室《实训室登记记录册》反映的使用时间、使用节次和班级等内容显示，化工专业实训室在2024年8月26日已开始记录使用，</w:t>
      </w:r>
      <w:r>
        <w:rPr>
          <w:rFonts w:hint="eastAsia"/>
          <w:color w:val="auto"/>
          <w:lang w:val="en-US" w:eastAsia="zh-CN"/>
        </w:rPr>
        <w:t>截至</w:t>
      </w:r>
      <w:r>
        <w:rPr>
          <w:rFonts w:hint="default"/>
          <w:color w:val="auto"/>
          <w:lang w:val="en-US" w:eastAsia="zh-CN"/>
        </w:rPr>
        <w:t>2025年5月31日，化工专业实训室共使用40次，设备登记使用情况均为正常。</w:t>
      </w:r>
    </w:p>
    <w:p w14:paraId="08D43A82">
      <w:pPr>
        <w:ind w:firstLine="420"/>
        <w:rPr>
          <w:rFonts w:hint="default"/>
          <w:color w:val="auto"/>
          <w:lang w:val="en-US" w:eastAsia="zh-CN"/>
        </w:rPr>
      </w:pPr>
      <w:r>
        <w:rPr>
          <w:rFonts w:hint="default"/>
          <w:color w:val="auto"/>
          <w:lang w:val="en-US" w:eastAsia="zh-CN"/>
        </w:rPr>
        <w:t>根据项目实施单位提供的电子商务专业实训室《实训室登记记录册》反映的使用时间、使用节次和班级等内容显示，电子商务专业实训室在2025年4月20日已开始记录使用，</w:t>
      </w:r>
      <w:r>
        <w:rPr>
          <w:rFonts w:hint="eastAsia"/>
          <w:color w:val="auto"/>
          <w:lang w:val="en-US" w:eastAsia="zh-CN"/>
        </w:rPr>
        <w:t>截至</w:t>
      </w:r>
      <w:r>
        <w:rPr>
          <w:rFonts w:hint="default"/>
          <w:color w:val="auto"/>
          <w:lang w:val="en-US" w:eastAsia="zh-CN"/>
        </w:rPr>
        <w:t>2025年5月31日，电子商务专业实训室共使用6次，设备登记使用情况均为正常。</w:t>
      </w:r>
    </w:p>
    <w:p w14:paraId="1E31537F">
      <w:pPr>
        <w:rPr>
          <w:rFonts w:eastAsia="宋体"/>
          <w:color w:val="auto"/>
        </w:rPr>
      </w:pPr>
      <w:r>
        <w:rPr>
          <w:rFonts w:eastAsia="宋体"/>
          <w:color w:val="auto"/>
        </w:rPr>
        <w:t>该指标满分为</w:t>
      </w:r>
      <w:r>
        <w:rPr>
          <w:rFonts w:hint="default" w:eastAsia="宋体"/>
          <w:color w:val="auto"/>
          <w:lang w:val="en-US" w:eastAsia="zh-CN"/>
        </w:rPr>
        <w:t>10</w:t>
      </w:r>
      <w:r>
        <w:rPr>
          <w:rFonts w:eastAsia="宋体"/>
          <w:color w:val="auto"/>
        </w:rPr>
        <w:t>.00分，根据评分标准得</w:t>
      </w:r>
      <w:r>
        <w:rPr>
          <w:rFonts w:hint="default" w:eastAsia="宋体"/>
          <w:color w:val="auto"/>
          <w:lang w:val="en-US" w:eastAsia="zh-CN"/>
        </w:rPr>
        <w:t>10</w:t>
      </w:r>
      <w:r>
        <w:rPr>
          <w:rFonts w:eastAsia="宋体"/>
          <w:color w:val="auto"/>
        </w:rPr>
        <w:t>.00分。</w:t>
      </w:r>
    </w:p>
    <w:p w14:paraId="482747C3">
      <w:pPr>
        <w:ind w:firstLine="422"/>
        <w:rPr>
          <w:rFonts w:eastAsia="宋体"/>
          <w:b/>
          <w:bCs/>
          <w:color w:val="auto"/>
        </w:rPr>
      </w:pPr>
      <w:r>
        <w:rPr>
          <w:rFonts w:eastAsia="宋体"/>
          <w:b/>
          <w:bCs/>
          <w:color w:val="auto"/>
        </w:rPr>
        <w:t>（2）D</w:t>
      </w:r>
      <w:r>
        <w:rPr>
          <w:rFonts w:hint="default" w:eastAsia="宋体"/>
          <w:b/>
          <w:bCs/>
          <w:color w:val="auto"/>
          <w:lang w:val="en-US" w:eastAsia="zh-CN"/>
        </w:rPr>
        <w:t>12</w:t>
      </w:r>
      <w:r>
        <w:rPr>
          <w:rFonts w:eastAsia="宋体"/>
          <w:b/>
          <w:bCs/>
          <w:color w:val="auto"/>
        </w:rPr>
        <w:t>受益学生人数指标：</w:t>
      </w:r>
    </w:p>
    <w:p w14:paraId="24D2DBAB">
      <w:pPr>
        <w:ind w:firstLine="420"/>
        <w:rPr>
          <w:color w:val="auto"/>
        </w:rPr>
      </w:pPr>
      <w:r>
        <w:rPr>
          <w:rFonts w:hint="default" w:eastAsia="宋体"/>
          <w:color w:val="auto"/>
        </w:rPr>
        <w:t>根据实施单位提供的《</w:t>
      </w:r>
      <w:r>
        <w:rPr>
          <w:rFonts w:hint="default" w:eastAsia="宋体"/>
          <w:color w:val="auto"/>
          <w:lang w:eastAsia="zh-CN"/>
        </w:rPr>
        <w:t>电子商务专业在校生综合信息查询</w:t>
      </w:r>
      <w:r>
        <w:rPr>
          <w:rFonts w:hint="default" w:eastAsia="宋体"/>
          <w:color w:val="auto"/>
        </w:rPr>
        <w:t>》</w:t>
      </w:r>
      <w:r>
        <w:rPr>
          <w:rFonts w:hint="default" w:eastAsia="宋体"/>
          <w:color w:val="auto"/>
          <w:lang w:eastAsia="zh-CN"/>
        </w:rPr>
        <w:t>《化工专业在校生综合信息查询》</w:t>
      </w:r>
      <w:r>
        <w:rPr>
          <w:rFonts w:hint="default" w:eastAsia="宋体"/>
          <w:color w:val="auto"/>
        </w:rPr>
        <w:t>，</w:t>
      </w:r>
      <w:r>
        <w:rPr>
          <w:rFonts w:hint="default" w:eastAsia="宋体"/>
          <w:color w:val="auto"/>
          <w:lang w:val="en-US" w:eastAsia="zh-CN"/>
        </w:rPr>
        <w:t>项目主要受益学生为在校生</w:t>
      </w:r>
      <w:r>
        <w:rPr>
          <w:rFonts w:hint="default" w:eastAsia="宋体"/>
          <w:color w:val="auto"/>
        </w:rPr>
        <w:t>并招生</w:t>
      </w:r>
      <w:r>
        <w:rPr>
          <w:rFonts w:hint="default" w:eastAsia="宋体"/>
          <w:color w:val="auto"/>
          <w:lang w:val="en-US" w:eastAsia="zh-CN"/>
        </w:rPr>
        <w:t>157</w:t>
      </w:r>
      <w:r>
        <w:rPr>
          <w:rFonts w:hint="default" w:eastAsia="宋体"/>
          <w:color w:val="auto"/>
        </w:rPr>
        <w:t>人，</w:t>
      </w:r>
      <w:r>
        <w:rPr>
          <w:rFonts w:hint="default" w:eastAsia="宋体"/>
          <w:color w:val="auto"/>
          <w:lang w:val="en-US" w:eastAsia="zh-CN"/>
        </w:rPr>
        <w:t>其中电子商务专业79人，化工专业78人；</w:t>
      </w:r>
      <w:r>
        <w:rPr>
          <w:rFonts w:hint="eastAsia" w:eastAsia="宋体"/>
          <w:color w:val="auto"/>
          <w:lang w:val="en-US" w:eastAsia="zh-CN"/>
        </w:rPr>
        <w:t>截至</w:t>
      </w:r>
      <w:r>
        <w:rPr>
          <w:rFonts w:hint="default" w:eastAsia="宋体"/>
          <w:color w:val="auto"/>
          <w:lang w:val="en-US" w:eastAsia="zh-CN"/>
        </w:rPr>
        <w:t>2025年5月31日，</w:t>
      </w:r>
      <w:r>
        <w:rPr>
          <w:rFonts w:hint="default" w:eastAsia="宋体"/>
          <w:color w:val="auto"/>
        </w:rPr>
        <w:t>根据实施单位提供的</w:t>
      </w:r>
      <w:r>
        <w:rPr>
          <w:rFonts w:hint="default"/>
          <w:color w:val="auto"/>
          <w:highlight w:val="none"/>
          <w:lang w:val="en-US" w:eastAsia="zh-CN"/>
        </w:rPr>
        <w:t>《教学进程安排表》</w:t>
      </w:r>
      <w:r>
        <w:rPr>
          <w:rFonts w:hint="default"/>
          <w:color w:val="auto"/>
          <w:lang w:val="en-US" w:eastAsia="zh-CN"/>
        </w:rPr>
        <w:t>《实训室登记记录册》显示</w:t>
      </w:r>
      <w:r>
        <w:rPr>
          <w:rFonts w:hint="default" w:eastAsia="宋体"/>
          <w:color w:val="auto"/>
          <w:lang w:val="en-US" w:eastAsia="zh-CN"/>
        </w:rPr>
        <w:t>，</w:t>
      </w:r>
      <w:r>
        <w:rPr>
          <w:rFonts w:hint="default"/>
          <w:color w:val="auto"/>
          <w:lang w:val="en-US" w:eastAsia="zh-CN"/>
        </w:rPr>
        <w:t>化工专业实训室和</w:t>
      </w:r>
      <w:r>
        <w:rPr>
          <w:rFonts w:hint="default" w:eastAsia="宋体"/>
          <w:color w:val="auto"/>
          <w:lang w:val="en-US" w:eastAsia="zh-CN"/>
        </w:rPr>
        <w:t>电商专业实训室均投入使用，项目实际受益学生达到157人，达到预期目标</w:t>
      </w:r>
      <w:r>
        <w:rPr>
          <w:rFonts w:hint="default"/>
          <w:color w:val="auto"/>
        </w:rPr>
        <w:t>。</w:t>
      </w:r>
    </w:p>
    <w:p w14:paraId="2A7E59D8">
      <w:pPr>
        <w:ind w:firstLine="420"/>
        <w:rPr>
          <w:rFonts w:eastAsia="宋体"/>
          <w:color w:val="auto"/>
        </w:rPr>
      </w:pPr>
      <w:r>
        <w:rPr>
          <w:rFonts w:eastAsia="宋体"/>
          <w:color w:val="auto"/>
        </w:rPr>
        <w:t>该指标满分为</w:t>
      </w:r>
      <w:r>
        <w:rPr>
          <w:rFonts w:hint="default" w:eastAsia="宋体"/>
          <w:color w:val="auto"/>
          <w:lang w:val="en-US" w:eastAsia="zh-CN"/>
        </w:rPr>
        <w:t>10</w:t>
      </w:r>
      <w:r>
        <w:rPr>
          <w:rFonts w:eastAsia="宋体"/>
          <w:color w:val="auto"/>
        </w:rPr>
        <w:t>.00分，根据评分标准得</w:t>
      </w:r>
      <w:r>
        <w:rPr>
          <w:rFonts w:hint="default" w:eastAsia="宋体"/>
          <w:color w:val="auto"/>
          <w:lang w:val="en-US" w:eastAsia="zh-CN"/>
        </w:rPr>
        <w:t>10.00</w:t>
      </w:r>
      <w:r>
        <w:rPr>
          <w:rFonts w:eastAsia="宋体"/>
          <w:color w:val="auto"/>
        </w:rPr>
        <w:t>分。</w:t>
      </w:r>
    </w:p>
    <w:p w14:paraId="7B6F9E6D">
      <w:pPr>
        <w:ind w:firstLine="422"/>
        <w:rPr>
          <w:rFonts w:eastAsia="宋体"/>
          <w:b/>
          <w:bCs/>
          <w:color w:val="auto"/>
        </w:rPr>
      </w:pPr>
      <w:r>
        <w:rPr>
          <w:rFonts w:eastAsia="宋体"/>
          <w:b/>
          <w:bCs/>
          <w:color w:val="auto"/>
        </w:rPr>
        <w:t>（3）D</w:t>
      </w:r>
      <w:r>
        <w:rPr>
          <w:rFonts w:hint="default" w:eastAsia="宋体"/>
          <w:b/>
          <w:bCs/>
          <w:color w:val="auto"/>
        </w:rPr>
        <w:t>21</w:t>
      </w:r>
      <w:r>
        <w:rPr>
          <w:rFonts w:eastAsia="宋体"/>
          <w:b/>
          <w:bCs/>
          <w:color w:val="auto"/>
        </w:rPr>
        <w:t>教师满意度指标：</w:t>
      </w:r>
    </w:p>
    <w:p w14:paraId="796D9E3A">
      <w:pPr>
        <w:ind w:firstLine="420"/>
        <w:rPr>
          <w:color w:val="auto"/>
        </w:rPr>
      </w:pPr>
      <w:r>
        <w:rPr>
          <w:color w:val="auto"/>
        </w:rPr>
        <w:t>该效益指标主要采用公众评判法，通过问卷抽样调查方式评价项目受益</w:t>
      </w:r>
      <w:r>
        <w:rPr>
          <w:rFonts w:hint="default"/>
          <w:color w:val="auto"/>
          <w:lang w:val="en-US" w:eastAsia="zh-CN"/>
        </w:rPr>
        <w:t>教师的满</w:t>
      </w:r>
      <w:r>
        <w:rPr>
          <w:color w:val="auto"/>
        </w:rPr>
        <w:t>意度。绩效评价组制作《</w:t>
      </w:r>
      <w:r>
        <w:rPr>
          <w:rFonts w:hint="default"/>
          <w:color w:val="auto"/>
          <w:lang w:eastAsia="zh-CN"/>
        </w:rPr>
        <w:t>2024年中央现代职业教育质量提升计划资金</w:t>
      </w:r>
      <w:r>
        <w:rPr>
          <w:color w:val="auto"/>
        </w:rPr>
        <w:t>调研问卷》，</w:t>
      </w:r>
      <w:r>
        <w:rPr>
          <w:rFonts w:hint="default"/>
          <w:color w:val="auto"/>
        </w:rPr>
        <w:t>向受益教师发放线上调研问卷</w:t>
      </w:r>
      <w:r>
        <w:rPr>
          <w:rFonts w:hint="default"/>
          <w:color w:val="auto"/>
          <w:lang w:eastAsia="zh-CN"/>
        </w:rPr>
        <w:t>61</w:t>
      </w:r>
      <w:r>
        <w:rPr>
          <w:rFonts w:hint="default"/>
          <w:color w:val="auto"/>
        </w:rPr>
        <w:t>份</w:t>
      </w:r>
      <w:r>
        <w:rPr>
          <w:color w:val="auto"/>
        </w:rPr>
        <w:t>，收回有效问卷</w:t>
      </w:r>
      <w:r>
        <w:rPr>
          <w:rFonts w:hint="default"/>
          <w:color w:val="auto"/>
          <w:lang w:eastAsia="zh-CN"/>
        </w:rPr>
        <w:t>61</w:t>
      </w:r>
      <w:r>
        <w:rPr>
          <w:color w:val="auto"/>
        </w:rPr>
        <w:t>份</w:t>
      </w:r>
      <w:r>
        <w:rPr>
          <w:rFonts w:hint="default"/>
          <w:color w:val="auto"/>
        </w:rPr>
        <w:t>；</w:t>
      </w:r>
      <w:r>
        <w:rPr>
          <w:rFonts w:hint="default"/>
          <w:color w:val="auto"/>
          <w:lang w:val="en-US" w:eastAsia="zh-CN"/>
        </w:rPr>
        <w:t>调查问卷共设置11个问题，最终根据问卷中2-11的结果，计算本次教师满意度指标，经计算</w:t>
      </w:r>
      <w:r>
        <w:rPr>
          <w:color w:val="auto"/>
        </w:rPr>
        <w:t>教师满意度达</w:t>
      </w:r>
      <w:r>
        <w:rPr>
          <w:rFonts w:hint="default"/>
          <w:color w:val="auto"/>
          <w:lang w:val="en-US" w:eastAsia="zh-CN"/>
        </w:rPr>
        <w:t>83.74</w:t>
      </w:r>
      <w:r>
        <w:rPr>
          <w:color w:val="auto"/>
        </w:rPr>
        <w:t>%，根据评分标准，若80.00%≤完成率&lt;90.00%，得分=80.00%×权重=</w:t>
      </w:r>
      <w:r>
        <w:rPr>
          <w:rFonts w:hint="eastAsia"/>
          <w:color w:val="auto"/>
          <w:lang w:val="en-US" w:eastAsia="zh-CN"/>
        </w:rPr>
        <w:t>6.40</w:t>
      </w:r>
      <w:r>
        <w:rPr>
          <w:color w:val="auto"/>
        </w:rPr>
        <w:t>分。</w:t>
      </w:r>
    </w:p>
    <w:p w14:paraId="1AE7C032">
      <w:pPr>
        <w:ind w:firstLine="420"/>
        <w:rPr>
          <w:rFonts w:eastAsia="宋体"/>
          <w:color w:val="auto"/>
        </w:rPr>
      </w:pPr>
      <w:r>
        <w:rPr>
          <w:rFonts w:eastAsia="宋体"/>
          <w:color w:val="auto"/>
        </w:rPr>
        <w:t>该指标满分为</w:t>
      </w:r>
      <w:r>
        <w:rPr>
          <w:rFonts w:hint="eastAsia" w:eastAsia="宋体"/>
          <w:color w:val="auto"/>
          <w:lang w:val="en-US" w:eastAsia="zh-CN"/>
        </w:rPr>
        <w:t>8</w:t>
      </w:r>
      <w:r>
        <w:rPr>
          <w:rFonts w:hint="default" w:eastAsia="宋体"/>
          <w:color w:val="auto"/>
        </w:rPr>
        <w:t>.</w:t>
      </w:r>
      <w:r>
        <w:rPr>
          <w:rFonts w:eastAsia="宋体"/>
          <w:color w:val="auto"/>
        </w:rPr>
        <w:t>00分，根据评分标准得</w:t>
      </w:r>
      <w:r>
        <w:rPr>
          <w:rFonts w:hint="eastAsia" w:eastAsia="宋体"/>
          <w:color w:val="auto"/>
          <w:lang w:val="en-US" w:eastAsia="zh-CN"/>
        </w:rPr>
        <w:t>6.40</w:t>
      </w:r>
      <w:r>
        <w:rPr>
          <w:rFonts w:eastAsia="宋体"/>
          <w:color w:val="auto"/>
        </w:rPr>
        <w:t>分。</w:t>
      </w:r>
    </w:p>
    <w:p w14:paraId="38F42DB0">
      <w:pPr>
        <w:ind w:firstLine="422"/>
        <w:rPr>
          <w:rFonts w:eastAsia="宋体"/>
          <w:b/>
          <w:bCs/>
          <w:color w:val="auto"/>
        </w:rPr>
      </w:pPr>
      <w:r>
        <w:rPr>
          <w:rFonts w:eastAsia="宋体"/>
          <w:b/>
          <w:bCs/>
          <w:color w:val="auto"/>
        </w:rPr>
        <w:t>（4）D</w:t>
      </w:r>
      <w:r>
        <w:rPr>
          <w:rFonts w:hint="default" w:eastAsia="宋体"/>
          <w:b/>
          <w:bCs/>
          <w:color w:val="auto"/>
        </w:rPr>
        <w:t>22</w:t>
      </w:r>
      <w:r>
        <w:rPr>
          <w:rFonts w:eastAsia="宋体"/>
          <w:b/>
          <w:bCs/>
          <w:color w:val="auto"/>
        </w:rPr>
        <w:t>受益学生满意度指标：</w:t>
      </w:r>
    </w:p>
    <w:p w14:paraId="6E3B991C">
      <w:pPr>
        <w:ind w:firstLine="420"/>
        <w:rPr>
          <w:color w:val="auto"/>
        </w:rPr>
      </w:pPr>
      <w:r>
        <w:rPr>
          <w:color w:val="auto"/>
        </w:rPr>
        <w:t>该效益指标主要采用公众评判法，通过问卷抽样调查方式评价项目受益</w:t>
      </w:r>
      <w:r>
        <w:rPr>
          <w:rFonts w:hint="default"/>
          <w:color w:val="auto"/>
          <w:lang w:val="en-US" w:eastAsia="zh-CN"/>
        </w:rPr>
        <w:t>学生的满</w:t>
      </w:r>
      <w:r>
        <w:rPr>
          <w:color w:val="auto"/>
        </w:rPr>
        <w:t>意度。绩效评价组制作《</w:t>
      </w:r>
      <w:r>
        <w:rPr>
          <w:rFonts w:hint="default"/>
          <w:color w:val="auto"/>
          <w:lang w:eastAsia="zh-CN"/>
        </w:rPr>
        <w:t>2024年中央现代职业教育质量提升计划资金</w:t>
      </w:r>
      <w:r>
        <w:rPr>
          <w:color w:val="auto"/>
        </w:rPr>
        <w:t>调研问卷》，</w:t>
      </w:r>
      <w:r>
        <w:rPr>
          <w:rFonts w:hint="default"/>
          <w:color w:val="auto"/>
        </w:rPr>
        <w:t>向受益学生发放线上调研问卷</w:t>
      </w:r>
      <w:r>
        <w:rPr>
          <w:rFonts w:hint="default"/>
          <w:color w:val="auto"/>
          <w:lang w:val="en-US" w:eastAsia="zh-CN"/>
        </w:rPr>
        <w:t>149</w:t>
      </w:r>
      <w:r>
        <w:rPr>
          <w:rFonts w:hint="default"/>
          <w:color w:val="auto"/>
        </w:rPr>
        <w:t>份</w:t>
      </w:r>
      <w:r>
        <w:rPr>
          <w:color w:val="auto"/>
        </w:rPr>
        <w:t>，收回有效问卷</w:t>
      </w:r>
      <w:r>
        <w:rPr>
          <w:rFonts w:hint="default"/>
          <w:color w:val="auto"/>
          <w:lang w:val="en-US" w:eastAsia="zh-CN"/>
        </w:rPr>
        <w:t>149</w:t>
      </w:r>
      <w:r>
        <w:rPr>
          <w:color w:val="auto"/>
        </w:rPr>
        <w:t>份</w:t>
      </w:r>
      <w:r>
        <w:rPr>
          <w:rFonts w:hint="default"/>
          <w:color w:val="auto"/>
        </w:rPr>
        <w:t>；</w:t>
      </w:r>
      <w:r>
        <w:rPr>
          <w:rFonts w:hint="default"/>
          <w:color w:val="auto"/>
          <w:lang w:val="en-US" w:eastAsia="zh-CN"/>
        </w:rPr>
        <w:t>调查问卷共设置3个问题，最终根据问卷中问题2、问题3的结果计算本次学生满意度指标，经计算学生</w:t>
      </w:r>
      <w:r>
        <w:rPr>
          <w:color w:val="auto"/>
        </w:rPr>
        <w:t>满意度达</w:t>
      </w:r>
      <w:r>
        <w:rPr>
          <w:rFonts w:hint="default"/>
          <w:color w:val="auto"/>
          <w:lang w:val="en-US" w:eastAsia="zh-CN"/>
        </w:rPr>
        <w:t>86.11</w:t>
      </w:r>
      <w:r>
        <w:rPr>
          <w:color w:val="auto"/>
        </w:rPr>
        <w:t>%</w:t>
      </w:r>
      <w:r>
        <w:rPr>
          <w:rFonts w:hint="eastAsia"/>
          <w:color w:val="auto"/>
          <w:lang w:eastAsia="zh-CN"/>
        </w:rPr>
        <w:t>，</w:t>
      </w:r>
      <w:r>
        <w:rPr>
          <w:color w:val="auto"/>
        </w:rPr>
        <w:t>根据评分标准，若80.00%≤完成率&lt;90.00%，得分=80.00%×权重=</w:t>
      </w:r>
      <w:r>
        <w:rPr>
          <w:rFonts w:hint="eastAsia"/>
          <w:color w:val="auto"/>
          <w:lang w:val="en-US" w:eastAsia="zh-CN"/>
        </w:rPr>
        <w:t>5.60</w:t>
      </w:r>
      <w:r>
        <w:rPr>
          <w:color w:val="auto"/>
        </w:rPr>
        <w:t>分。</w:t>
      </w:r>
    </w:p>
    <w:p w14:paraId="5C050E44">
      <w:pPr>
        <w:ind w:firstLine="420"/>
        <w:rPr>
          <w:color w:val="auto"/>
        </w:rPr>
      </w:pPr>
      <w:r>
        <w:rPr>
          <w:rFonts w:eastAsia="宋体"/>
          <w:color w:val="auto"/>
        </w:rPr>
        <w:t>该指标满分为</w:t>
      </w:r>
      <w:r>
        <w:rPr>
          <w:rFonts w:hint="eastAsia" w:eastAsia="宋体"/>
          <w:color w:val="auto"/>
          <w:lang w:val="en-US" w:eastAsia="zh-CN"/>
        </w:rPr>
        <w:t>7</w:t>
      </w:r>
      <w:r>
        <w:rPr>
          <w:rFonts w:hint="default" w:eastAsia="宋体"/>
          <w:color w:val="auto"/>
        </w:rPr>
        <w:t>.</w:t>
      </w:r>
      <w:r>
        <w:rPr>
          <w:rFonts w:eastAsia="宋体"/>
          <w:color w:val="auto"/>
        </w:rPr>
        <w:t>00分，根据评分标准得</w:t>
      </w:r>
      <w:r>
        <w:rPr>
          <w:rFonts w:hint="eastAsia" w:eastAsia="宋体"/>
          <w:color w:val="auto"/>
          <w:lang w:val="en-US" w:eastAsia="zh-CN"/>
        </w:rPr>
        <w:t>5.60</w:t>
      </w:r>
      <w:r>
        <w:rPr>
          <w:rFonts w:eastAsia="宋体"/>
          <w:color w:val="auto"/>
        </w:rPr>
        <w:t>分。</w:t>
      </w:r>
    </w:p>
    <w:p w14:paraId="2DFA1F88">
      <w:pPr>
        <w:pStyle w:val="2"/>
        <w:spacing w:line="360" w:lineRule="auto"/>
        <w:ind w:firstLine="482"/>
        <w:rPr>
          <w:rFonts w:ascii="Times New Roman" w:hAnsi="Times New Roman"/>
          <w:color w:val="auto"/>
          <w:szCs w:val="24"/>
        </w:rPr>
      </w:pPr>
      <w:bookmarkStart w:id="93" w:name="_Toc31307"/>
      <w:r>
        <w:rPr>
          <w:rFonts w:hint="default" w:ascii="Times New Roman" w:hAnsi="Times New Roman"/>
          <w:color w:val="auto"/>
          <w:szCs w:val="24"/>
        </w:rPr>
        <w:t>六</w:t>
      </w:r>
      <w:r>
        <w:rPr>
          <w:rFonts w:ascii="Times New Roman" w:hAnsi="Times New Roman"/>
          <w:color w:val="auto"/>
          <w:szCs w:val="24"/>
        </w:rPr>
        <w:t>、主要经验及做法、存在的问题及原因分析</w:t>
      </w:r>
      <w:bookmarkEnd w:id="91"/>
      <w:bookmarkEnd w:id="93"/>
    </w:p>
    <w:p w14:paraId="2300DFBD">
      <w:pPr>
        <w:pStyle w:val="3"/>
        <w:ind w:firstLine="422"/>
        <w:rPr>
          <w:rFonts w:ascii="Times New Roman" w:hAnsi="Times New Roman"/>
          <w:color w:val="auto"/>
          <w:sz w:val="21"/>
          <w:szCs w:val="21"/>
        </w:rPr>
      </w:pPr>
      <w:bookmarkStart w:id="94" w:name="_Toc29897"/>
      <w:bookmarkStart w:id="95" w:name="_Toc15518"/>
      <w:bookmarkStart w:id="96" w:name="_Toc14662"/>
      <w:bookmarkStart w:id="97" w:name="_Toc16974"/>
      <w:r>
        <w:rPr>
          <w:rFonts w:ascii="Times New Roman" w:hAnsi="Times New Roman"/>
          <w:color w:val="auto"/>
          <w:sz w:val="21"/>
          <w:szCs w:val="21"/>
        </w:rPr>
        <w:t>（一）主要经验及做法</w:t>
      </w:r>
      <w:bookmarkEnd w:id="94"/>
      <w:bookmarkEnd w:id="95"/>
      <w:bookmarkEnd w:id="96"/>
      <w:bookmarkEnd w:id="97"/>
    </w:p>
    <w:p w14:paraId="47000C6E">
      <w:pPr>
        <w:ind w:firstLine="420"/>
        <w:rPr>
          <w:rFonts w:hint="default"/>
          <w:color w:val="auto"/>
        </w:rPr>
      </w:pPr>
      <w:r>
        <w:rPr>
          <w:rFonts w:hint="eastAsia"/>
          <w:color w:val="auto"/>
          <w:lang w:val="en-US" w:eastAsia="zh-CN"/>
        </w:rPr>
        <w:t>一是项目立项阶段，</w:t>
      </w:r>
      <w:r>
        <w:rPr>
          <w:rFonts w:hint="default"/>
          <w:color w:val="auto"/>
          <w:lang w:val="en-US" w:eastAsia="zh-CN"/>
        </w:rPr>
        <w:t>吉木萨尔县中等职业技术学校根据</w:t>
      </w:r>
      <w:r>
        <w:rPr>
          <w:color w:val="auto"/>
        </w:rPr>
        <w:t>《关于推动现代职业教育高质量发展的意见》</w:t>
      </w:r>
      <w:r>
        <w:rPr>
          <w:rFonts w:hint="default"/>
          <w:color w:val="auto"/>
          <w:lang w:val="en-US" w:eastAsia="zh-CN"/>
        </w:rPr>
        <w:t>要求</w:t>
      </w:r>
      <w:r>
        <w:rPr>
          <w:rFonts w:hint="default"/>
          <w:color w:val="auto"/>
        </w:rPr>
        <w:t>，联合</w:t>
      </w:r>
      <w:r>
        <w:rPr>
          <w:rFonts w:hint="default"/>
          <w:color w:val="auto"/>
          <w:lang w:val="en-US" w:eastAsia="zh-CN"/>
        </w:rPr>
        <w:t>县</w:t>
      </w:r>
      <w:r>
        <w:rPr>
          <w:rFonts w:hint="default"/>
          <w:color w:val="auto"/>
        </w:rPr>
        <w:t>发改、</w:t>
      </w:r>
      <w:r>
        <w:rPr>
          <w:rFonts w:hint="eastAsia"/>
          <w:color w:val="auto"/>
          <w:lang w:eastAsia="zh-CN"/>
        </w:rPr>
        <w:t>工业</w:t>
      </w:r>
      <w:r>
        <w:rPr>
          <w:rFonts w:hint="default"/>
          <w:color w:val="auto"/>
        </w:rPr>
        <w:t>园区深入调研油气煤化工、跨境电商产业链，</w:t>
      </w:r>
      <w:r>
        <w:rPr>
          <w:rFonts w:hint="eastAsia"/>
          <w:color w:val="auto"/>
          <w:lang w:val="en-US" w:eastAsia="zh-CN"/>
        </w:rPr>
        <w:t>为满足</w:t>
      </w:r>
      <w:r>
        <w:rPr>
          <w:rFonts w:hint="default"/>
          <w:color w:val="auto"/>
        </w:rPr>
        <w:t>紧缺岗位技能</w:t>
      </w:r>
      <w:r>
        <w:rPr>
          <w:rFonts w:hint="eastAsia"/>
          <w:color w:val="auto"/>
          <w:lang w:val="en-US" w:eastAsia="zh-CN"/>
        </w:rPr>
        <w:t>需要</w:t>
      </w:r>
      <w:r>
        <w:rPr>
          <w:rFonts w:hint="default"/>
          <w:color w:val="auto"/>
        </w:rPr>
        <w:t>，把实训基地立项为</w:t>
      </w:r>
      <w:r>
        <w:rPr>
          <w:rFonts w:hint="eastAsia"/>
          <w:color w:val="auto"/>
          <w:lang w:val="en-US" w:eastAsia="zh-CN"/>
        </w:rPr>
        <w:t>电商和化工专业</w:t>
      </w:r>
      <w:r>
        <w:rPr>
          <w:rFonts w:hint="default"/>
          <w:color w:val="auto"/>
        </w:rPr>
        <w:t>，</w:t>
      </w:r>
      <w:r>
        <w:rPr>
          <w:color w:val="auto"/>
        </w:rPr>
        <w:t>推进校企深度合作，</w:t>
      </w:r>
      <w:r>
        <w:rPr>
          <w:rFonts w:hint="eastAsia"/>
          <w:color w:val="auto"/>
          <w:lang w:val="en-US" w:eastAsia="zh-CN"/>
        </w:rPr>
        <w:t>推动</w:t>
      </w:r>
      <w:r>
        <w:rPr>
          <w:color w:val="auto"/>
        </w:rPr>
        <w:t>现代职业教育高质量发展</w:t>
      </w:r>
      <w:r>
        <w:rPr>
          <w:rFonts w:hint="default"/>
          <w:color w:val="auto"/>
        </w:rPr>
        <w:t>。</w:t>
      </w:r>
      <w:r>
        <w:rPr>
          <w:rFonts w:hint="eastAsia"/>
          <w:color w:val="auto"/>
          <w:lang w:val="en-US" w:eastAsia="zh-CN"/>
        </w:rPr>
        <w:t>二</w:t>
      </w:r>
      <w:r>
        <w:rPr>
          <w:rFonts w:hint="default"/>
          <w:color w:val="auto"/>
          <w:lang w:val="en-US" w:eastAsia="zh-CN"/>
        </w:rPr>
        <w:t>是</w:t>
      </w:r>
      <w:r>
        <w:rPr>
          <w:rFonts w:hint="eastAsia"/>
          <w:color w:val="auto"/>
          <w:lang w:val="en-US" w:eastAsia="zh-CN"/>
        </w:rPr>
        <w:t>单位</w:t>
      </w:r>
      <w:r>
        <w:rPr>
          <w:rFonts w:hint="default"/>
          <w:color w:val="auto"/>
          <w:lang w:val="en-US" w:eastAsia="zh-CN"/>
        </w:rPr>
        <w:t>加强组织领导，项目实施单位明确责任分工，严格按照政府采购制度完成采购计划申报、采购、合同签订、验收及调试工作</w:t>
      </w:r>
      <w:r>
        <w:rPr>
          <w:rFonts w:hint="eastAsia"/>
          <w:color w:val="auto"/>
          <w:lang w:val="en-US" w:eastAsia="zh-CN"/>
        </w:rPr>
        <w:t>，保障项目目标如期实现</w:t>
      </w:r>
      <w:r>
        <w:rPr>
          <w:rFonts w:hint="default"/>
          <w:color w:val="auto"/>
          <w:lang w:val="en-US" w:eastAsia="zh-CN"/>
        </w:rPr>
        <w:t>。</w:t>
      </w:r>
      <w:r>
        <w:rPr>
          <w:rFonts w:hint="eastAsia"/>
          <w:color w:val="auto"/>
          <w:lang w:val="en-US" w:eastAsia="zh-CN"/>
        </w:rPr>
        <w:t>三</w:t>
      </w:r>
      <w:r>
        <w:rPr>
          <w:rFonts w:hint="default"/>
          <w:color w:val="auto"/>
          <w:lang w:val="en-US" w:eastAsia="zh-CN"/>
        </w:rPr>
        <w:t>是项目实施单位组织单位工作人员对专用设备及软件系统进行培训，使该项目所涉工作人员能全面地了解设备，增强维护和使用设备的技能，使管理和使用设备的人员不仅对设备有足够的认识，且能胜任平常的维护以及解决常见故障的工作，确保设备安全可靠地运行</w:t>
      </w:r>
      <w:r>
        <w:rPr>
          <w:rFonts w:hint="eastAsia"/>
          <w:color w:val="auto"/>
          <w:lang w:val="en-US" w:eastAsia="zh-CN"/>
        </w:rPr>
        <w:t>。</w:t>
      </w:r>
    </w:p>
    <w:p w14:paraId="68F99F7D">
      <w:pPr>
        <w:pStyle w:val="3"/>
        <w:ind w:firstLine="422"/>
        <w:rPr>
          <w:rFonts w:ascii="Times New Roman" w:hAnsi="Times New Roman"/>
          <w:color w:val="auto"/>
          <w:sz w:val="21"/>
          <w:szCs w:val="21"/>
        </w:rPr>
      </w:pPr>
      <w:bookmarkStart w:id="98" w:name="_Toc4015"/>
      <w:bookmarkStart w:id="99" w:name="_Toc29069"/>
      <w:bookmarkStart w:id="100" w:name="_Toc370"/>
      <w:bookmarkStart w:id="101" w:name="_Toc13318"/>
      <w:r>
        <w:rPr>
          <w:rFonts w:ascii="Times New Roman" w:hAnsi="Times New Roman"/>
          <w:color w:val="auto"/>
          <w:sz w:val="21"/>
          <w:szCs w:val="21"/>
        </w:rPr>
        <w:t>（二）存在的问题</w:t>
      </w:r>
      <w:bookmarkEnd w:id="98"/>
      <w:bookmarkEnd w:id="99"/>
      <w:bookmarkEnd w:id="100"/>
      <w:bookmarkEnd w:id="101"/>
    </w:p>
    <w:p w14:paraId="2242E334">
      <w:pPr>
        <w:ind w:firstLine="422"/>
        <w:rPr>
          <w:b/>
          <w:bCs/>
          <w:color w:val="auto"/>
        </w:rPr>
      </w:pPr>
      <w:bookmarkStart w:id="102" w:name="_Toc15177"/>
      <w:bookmarkStart w:id="103" w:name="_Toc13947"/>
      <w:bookmarkStart w:id="104" w:name="_Toc8112"/>
      <w:r>
        <w:rPr>
          <w:b/>
          <w:bCs/>
          <w:color w:val="auto"/>
        </w:rPr>
        <w:t>1.</w:t>
      </w:r>
      <w:r>
        <w:rPr>
          <w:rFonts w:hint="default"/>
          <w:b/>
          <w:bCs/>
          <w:color w:val="auto"/>
        </w:rPr>
        <w:t>项目采购</w:t>
      </w:r>
      <w:r>
        <w:rPr>
          <w:rFonts w:hint="default"/>
          <w:b/>
          <w:bCs/>
          <w:color w:val="auto"/>
          <w:lang w:val="en-US" w:eastAsia="zh-CN"/>
        </w:rPr>
        <w:t>预算</w:t>
      </w:r>
      <w:r>
        <w:rPr>
          <w:rFonts w:hint="default"/>
          <w:b/>
          <w:bCs/>
          <w:color w:val="auto"/>
        </w:rPr>
        <w:t>需求计划不够准确</w:t>
      </w:r>
    </w:p>
    <w:p w14:paraId="2D02B255">
      <w:pPr>
        <w:widowControl/>
        <w:ind w:firstLine="420"/>
        <w:jc w:val="left"/>
        <w:rPr>
          <w:color w:val="auto"/>
        </w:rPr>
      </w:pPr>
      <w:r>
        <w:rPr>
          <w:rFonts w:hint="default"/>
          <w:color w:val="auto"/>
          <w:lang w:eastAsia="zh-CN" w:bidi="ar"/>
        </w:rPr>
        <w:t>吉木萨尔中等职业技术学校</w:t>
      </w:r>
      <w:r>
        <w:rPr>
          <w:rFonts w:hint="default"/>
          <w:color w:val="auto"/>
        </w:rPr>
        <w:t>申请</w:t>
      </w:r>
      <w:r>
        <w:rPr>
          <w:rFonts w:hint="default"/>
          <w:color w:val="auto"/>
          <w:lang w:eastAsia="zh-CN"/>
        </w:rPr>
        <w:t>电商及直播运营实训基地</w:t>
      </w:r>
      <w:r>
        <w:rPr>
          <w:rFonts w:hint="default"/>
          <w:color w:val="auto"/>
        </w:rPr>
        <w:t>设备采购项目采购计划，计划采购金额</w:t>
      </w:r>
      <w:r>
        <w:rPr>
          <w:rFonts w:hint="default"/>
          <w:color w:val="auto"/>
          <w:lang w:val="en-US" w:eastAsia="zh-CN"/>
        </w:rPr>
        <w:t>22</w:t>
      </w:r>
      <w:r>
        <w:rPr>
          <w:rFonts w:hint="default"/>
          <w:color w:val="auto"/>
          <w:lang w:eastAsia="zh-CN"/>
        </w:rPr>
        <w:t>0</w:t>
      </w:r>
      <w:r>
        <w:rPr>
          <w:rFonts w:hint="default"/>
          <w:color w:val="auto"/>
        </w:rPr>
        <w:t>.00万元，中标金额为</w:t>
      </w:r>
      <w:r>
        <w:rPr>
          <w:rFonts w:hint="default"/>
          <w:color w:val="auto"/>
          <w:lang w:val="en-US" w:eastAsia="zh-CN"/>
        </w:rPr>
        <w:t>182.75</w:t>
      </w:r>
      <w:r>
        <w:rPr>
          <w:rFonts w:hint="default"/>
          <w:color w:val="auto"/>
        </w:rPr>
        <w:t>万元，偏差率</w:t>
      </w:r>
      <w:r>
        <w:rPr>
          <w:rFonts w:hint="default"/>
          <w:color w:val="auto"/>
          <w:lang w:val="en-US" w:eastAsia="zh-CN"/>
        </w:rPr>
        <w:t>达到16.93</w:t>
      </w:r>
      <w:r>
        <w:rPr>
          <w:rFonts w:hint="default"/>
          <w:color w:val="auto"/>
        </w:rPr>
        <w:t>%。</w:t>
      </w:r>
      <w:r>
        <w:rPr>
          <w:rFonts w:hint="default"/>
          <w:color w:val="auto"/>
          <w:lang w:eastAsia="zh-CN" w:bidi="ar"/>
        </w:rPr>
        <w:t>吉木萨尔中等职业技术学校</w:t>
      </w:r>
      <w:r>
        <w:rPr>
          <w:rFonts w:hint="default"/>
          <w:color w:val="auto"/>
        </w:rPr>
        <w:t>申请</w:t>
      </w:r>
      <w:r>
        <w:rPr>
          <w:rFonts w:hint="default"/>
          <w:color w:val="auto"/>
          <w:lang w:eastAsia="zh-CN"/>
        </w:rPr>
        <w:t>化工及化工安全实训设备采购项目</w:t>
      </w:r>
      <w:r>
        <w:rPr>
          <w:rFonts w:hint="default"/>
          <w:color w:val="auto"/>
        </w:rPr>
        <w:t>采购计划，计划采购</w:t>
      </w:r>
      <w:r>
        <w:rPr>
          <w:rFonts w:hint="default"/>
          <w:color w:val="auto"/>
          <w:highlight w:val="none"/>
        </w:rPr>
        <w:t>金额</w:t>
      </w:r>
      <w:r>
        <w:rPr>
          <w:rFonts w:hint="default"/>
          <w:color w:val="auto"/>
          <w:highlight w:val="none"/>
          <w:lang w:val="en-US" w:eastAsia="zh-CN"/>
        </w:rPr>
        <w:t>500</w:t>
      </w:r>
      <w:r>
        <w:rPr>
          <w:rFonts w:hint="default"/>
          <w:color w:val="auto"/>
          <w:highlight w:val="none"/>
        </w:rPr>
        <w:t>.00万元，中标金额为</w:t>
      </w:r>
      <w:r>
        <w:rPr>
          <w:rFonts w:hint="default"/>
          <w:color w:val="auto"/>
          <w:highlight w:val="none"/>
          <w:lang w:val="en-US" w:eastAsia="zh-CN"/>
        </w:rPr>
        <w:t>428.60</w:t>
      </w:r>
      <w:r>
        <w:rPr>
          <w:rFonts w:hint="default"/>
          <w:color w:val="auto"/>
          <w:highlight w:val="none"/>
        </w:rPr>
        <w:t>万元，偏差率</w:t>
      </w:r>
      <w:r>
        <w:rPr>
          <w:rFonts w:hint="default"/>
          <w:color w:val="auto"/>
          <w:highlight w:val="none"/>
          <w:lang w:val="en-US" w:eastAsia="zh-CN"/>
        </w:rPr>
        <w:t>达到14.28</w:t>
      </w:r>
      <w:r>
        <w:rPr>
          <w:rFonts w:hint="default"/>
          <w:color w:val="auto"/>
          <w:highlight w:val="none"/>
        </w:rPr>
        <w:t>%。</w:t>
      </w:r>
      <w:r>
        <w:rPr>
          <w:rFonts w:hint="default"/>
          <w:color w:val="auto"/>
          <w:highlight w:val="none"/>
          <w:lang w:val="en-US" w:eastAsia="zh-CN"/>
        </w:rPr>
        <w:t>经对比项目采购计划清单和采购中标结果看，</w:t>
      </w:r>
      <w:r>
        <w:rPr>
          <w:rFonts w:hint="default"/>
          <w:color w:val="auto"/>
          <w:highlight w:val="none"/>
        </w:rPr>
        <w:t>该</w:t>
      </w:r>
      <w:r>
        <w:rPr>
          <w:rFonts w:hint="eastAsia"/>
          <w:color w:val="auto"/>
          <w:highlight w:val="none"/>
          <w:lang w:val="en-US" w:eastAsia="zh-CN"/>
        </w:rPr>
        <w:t>项目前期</w:t>
      </w:r>
      <w:r>
        <w:rPr>
          <w:rFonts w:hint="default"/>
          <w:color w:val="auto"/>
          <w:highlight w:val="none"/>
        </w:rPr>
        <w:t>采购计划论证不够充分</w:t>
      </w:r>
      <w:r>
        <w:rPr>
          <w:rFonts w:hint="eastAsia"/>
          <w:color w:val="auto"/>
          <w:highlight w:val="none"/>
          <w:lang w:eastAsia="zh-CN"/>
        </w:rPr>
        <w:t>，</w:t>
      </w:r>
      <w:r>
        <w:rPr>
          <w:rFonts w:hint="eastAsia"/>
          <w:color w:val="auto"/>
          <w:highlight w:val="none"/>
          <w:lang w:val="en-US" w:eastAsia="zh-CN"/>
        </w:rPr>
        <w:t>存在部分设备实际中标价格远低于采购计划的估算价格，导致项目首次采购完成后资金结余较多</w:t>
      </w:r>
      <w:r>
        <w:rPr>
          <w:rFonts w:hint="default"/>
          <w:color w:val="auto"/>
        </w:rPr>
        <w:t>。</w:t>
      </w:r>
    </w:p>
    <w:p w14:paraId="217FBCA9">
      <w:pPr>
        <w:ind w:firstLine="422"/>
        <w:rPr>
          <w:rFonts w:hint="default" w:eastAsiaTheme="minorEastAsia"/>
          <w:b/>
          <w:bCs/>
          <w:color w:val="auto"/>
          <w:highlight w:val="none"/>
          <w:lang w:val="en-US" w:eastAsia="zh-CN"/>
        </w:rPr>
      </w:pPr>
      <w:r>
        <w:rPr>
          <w:rFonts w:hint="default"/>
          <w:b/>
          <w:bCs/>
          <w:color w:val="auto"/>
          <w:highlight w:val="none"/>
        </w:rPr>
        <w:t>2.</w:t>
      </w:r>
      <w:r>
        <w:rPr>
          <w:rFonts w:hint="default"/>
          <w:b/>
          <w:bCs/>
          <w:color w:val="auto"/>
          <w:highlight w:val="none"/>
          <w:lang w:val="en-US" w:eastAsia="zh-CN"/>
        </w:rPr>
        <w:t>购置设备资产</w:t>
      </w:r>
      <w:r>
        <w:rPr>
          <w:rFonts w:hint="eastAsia"/>
          <w:b/>
          <w:bCs/>
          <w:color w:val="auto"/>
          <w:highlight w:val="none"/>
          <w:lang w:val="en-US" w:eastAsia="zh-CN"/>
        </w:rPr>
        <w:t>未及时全部录入固定资产管理系统</w:t>
      </w:r>
    </w:p>
    <w:p w14:paraId="498E9A8B">
      <w:pPr>
        <w:ind w:firstLine="420"/>
        <w:rPr>
          <w:color w:val="auto"/>
          <w:highlight w:val="yellow"/>
        </w:rPr>
      </w:pPr>
      <w:r>
        <w:rPr>
          <w:rFonts w:hint="eastAsia"/>
          <w:color w:val="auto"/>
          <w:highlight w:val="none"/>
          <w:lang w:val="en-US" w:eastAsia="zh-CN"/>
        </w:rPr>
        <w:t>根据项目</w:t>
      </w:r>
      <w:r>
        <w:rPr>
          <w:rFonts w:hint="default"/>
          <w:color w:val="auto"/>
          <w:highlight w:val="none"/>
          <w:lang w:val="en-US" w:eastAsia="zh-CN"/>
        </w:rPr>
        <w:t>实施单位提供</w:t>
      </w:r>
      <w:r>
        <w:rPr>
          <w:rFonts w:hint="eastAsia"/>
          <w:color w:val="auto"/>
          <w:highlight w:val="none"/>
          <w:lang w:val="en-US" w:eastAsia="zh-CN"/>
        </w:rPr>
        <w:t>的</w:t>
      </w:r>
      <w:r>
        <w:rPr>
          <w:rFonts w:hint="default"/>
          <w:color w:val="auto"/>
          <w:highlight w:val="none"/>
          <w:lang w:val="en-US" w:eastAsia="zh-CN"/>
        </w:rPr>
        <w:t>固定资产明细账，</w:t>
      </w:r>
      <w:r>
        <w:rPr>
          <w:rFonts w:hint="eastAsia"/>
          <w:color w:val="auto"/>
          <w:highlight w:val="none"/>
          <w:lang w:val="en-US" w:eastAsia="zh-CN"/>
        </w:rPr>
        <w:t>该项目购置</w:t>
      </w:r>
      <w:r>
        <w:rPr>
          <w:rFonts w:hint="default"/>
          <w:color w:val="auto"/>
          <w:highlight w:val="none"/>
          <w:lang w:val="en-US" w:eastAsia="zh-CN"/>
        </w:rPr>
        <w:t>设备</w:t>
      </w:r>
      <w:r>
        <w:rPr>
          <w:rFonts w:hint="eastAsia"/>
          <w:color w:val="auto"/>
          <w:highlight w:val="none"/>
          <w:lang w:val="en-US" w:eastAsia="zh-CN"/>
        </w:rPr>
        <w:t>资产总价为696.16万元，其中：电商专业固定资产总价为196.16万元，化工专业固定资产总价为500.00万元</w:t>
      </w:r>
      <w:r>
        <w:rPr>
          <w:rFonts w:hint="default"/>
          <w:color w:val="auto"/>
          <w:highlight w:val="none"/>
          <w:lang w:val="en-US" w:eastAsia="zh-CN"/>
        </w:rPr>
        <w:t>。根据实施单位提供的《资产卡片列表（2024年部分资产情况表）》，</w:t>
      </w:r>
      <w:r>
        <w:rPr>
          <w:rFonts w:hint="eastAsia"/>
          <w:color w:val="auto"/>
          <w:highlight w:val="none"/>
          <w:lang w:val="en-US" w:eastAsia="zh-CN"/>
        </w:rPr>
        <w:t>其中电商专业购进的专业摄像机和信号源设备、其他卫星广播电视设备等设备资产共计31项114.33万元已录入固定资产管理系统管理，剩余81.83万元电商专业设备尚未录入固定资产管理系统；化工专业购进的</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智能多功能精细化学品实训装置</w:t>
      </w:r>
      <w:r>
        <w:rPr>
          <w:rFonts w:hint="eastAsia"/>
          <w:color w:val="auto"/>
          <w:highlight w:val="none"/>
          <w:lang w:val="en-US" w:eastAsia="zh-CN"/>
        </w:rPr>
        <w:t>、</w:t>
      </w:r>
      <w:r>
        <w:rPr>
          <w:rFonts w:hint="default"/>
          <w:color w:val="auto"/>
          <w:highlight w:val="none"/>
          <w:lang w:val="en-US" w:eastAsia="zh-CN"/>
        </w:rPr>
        <w:t>新型煤化工工艺实训考核装置</w:t>
      </w:r>
      <w:r>
        <w:rPr>
          <w:rFonts w:hint="eastAsia"/>
          <w:color w:val="auto"/>
          <w:highlight w:val="none"/>
          <w:lang w:val="en-US" w:eastAsia="zh-CN"/>
        </w:rPr>
        <w:t>、</w:t>
      </w:r>
      <w:r>
        <w:rPr>
          <w:rFonts w:hint="default"/>
          <w:color w:val="auto"/>
          <w:highlight w:val="none"/>
          <w:lang w:val="en-US" w:eastAsia="zh-CN"/>
        </w:rPr>
        <w:t>化工总控工考核与培训装置</w:t>
      </w:r>
      <w:r>
        <w:rPr>
          <w:rFonts w:hint="eastAsia"/>
          <w:color w:val="auto"/>
          <w:highlight w:val="none"/>
          <w:lang w:val="en-US" w:eastAsia="zh-CN"/>
        </w:rPr>
        <w:t>、</w:t>
      </w:r>
      <w:r>
        <w:rPr>
          <w:rFonts w:hint="default"/>
          <w:color w:val="auto"/>
          <w:highlight w:val="none"/>
          <w:lang w:val="en-US" w:eastAsia="zh-CN"/>
        </w:rPr>
        <w:t>氯碱电解工艺实训考核装置</w:t>
      </w:r>
      <w:r>
        <w:rPr>
          <w:rFonts w:hint="eastAsia"/>
          <w:color w:val="auto"/>
          <w:highlight w:val="none"/>
          <w:lang w:val="en-US" w:eastAsia="zh-CN"/>
        </w:rPr>
        <w:t>、</w:t>
      </w:r>
      <w:r>
        <w:rPr>
          <w:rFonts w:hint="default"/>
          <w:color w:val="auto"/>
          <w:highlight w:val="none"/>
          <w:lang w:val="en-US" w:eastAsia="zh-CN"/>
        </w:rPr>
        <w:t>化工维修拆装设备</w:t>
      </w:r>
      <w:r>
        <w:rPr>
          <w:rFonts w:hint="eastAsia"/>
          <w:color w:val="auto"/>
          <w:highlight w:val="none"/>
          <w:lang w:val="en-US" w:eastAsia="zh-CN"/>
        </w:rPr>
        <w:t>、</w:t>
      </w:r>
      <w:r>
        <w:rPr>
          <w:rFonts w:hint="default"/>
          <w:color w:val="auto"/>
          <w:highlight w:val="none"/>
          <w:lang w:val="en-US" w:eastAsia="zh-CN"/>
        </w:rPr>
        <w:t>化工实验室基础设备</w:t>
      </w:r>
      <w:r>
        <w:rPr>
          <w:rFonts w:hint="eastAsia"/>
          <w:color w:val="auto"/>
          <w:highlight w:val="none"/>
          <w:lang w:val="en-US" w:eastAsia="zh-CN"/>
        </w:rPr>
        <w:t>、</w:t>
      </w:r>
      <w:r>
        <w:rPr>
          <w:rFonts w:hint="default"/>
          <w:color w:val="auto"/>
          <w:highlight w:val="none"/>
          <w:lang w:val="en-US" w:eastAsia="zh-CN"/>
        </w:rPr>
        <w:t>化工仪表控制拆装维修考核综合实训社保</w:t>
      </w:r>
      <w:r>
        <w:rPr>
          <w:rFonts w:hint="eastAsia"/>
          <w:color w:val="auto"/>
          <w:highlight w:val="none"/>
          <w:lang w:val="en-US" w:eastAsia="zh-CN"/>
        </w:rPr>
        <w:t>等设备资产共计17项364.49万元已录入固定资产管理系统管理，剩余135.51万元化工专业设备尚未录入固定资产管理系统</w:t>
      </w:r>
      <w:r>
        <w:rPr>
          <w:rFonts w:hint="default"/>
          <w:color w:val="auto"/>
          <w:highlight w:val="none"/>
          <w:lang w:val="en-US" w:eastAsia="zh-CN"/>
        </w:rPr>
        <w:t>。</w:t>
      </w:r>
    </w:p>
    <w:p w14:paraId="52EBEEE1">
      <w:pPr>
        <w:ind w:firstLine="422"/>
        <w:rPr>
          <w:b/>
          <w:bCs/>
          <w:color w:val="auto"/>
        </w:rPr>
      </w:pPr>
      <w:r>
        <w:rPr>
          <w:rFonts w:hint="default"/>
          <w:b/>
          <w:bCs/>
          <w:color w:val="auto"/>
        </w:rPr>
        <w:t>3</w:t>
      </w:r>
      <w:r>
        <w:rPr>
          <w:b/>
          <w:bCs/>
          <w:color w:val="auto"/>
        </w:rPr>
        <w:t>.</w:t>
      </w:r>
      <w:r>
        <w:rPr>
          <w:rFonts w:hint="default"/>
          <w:b/>
          <w:bCs/>
          <w:color w:val="auto"/>
        </w:rPr>
        <w:t>项目满意度</w:t>
      </w:r>
      <w:r>
        <w:rPr>
          <w:rFonts w:hint="eastAsia"/>
          <w:b/>
          <w:bCs/>
          <w:color w:val="auto"/>
          <w:lang w:val="en-US" w:eastAsia="zh-CN"/>
        </w:rPr>
        <w:t>结果反馈实训效果仍有待提高</w:t>
      </w:r>
    </w:p>
    <w:p w14:paraId="02C7BCA6">
      <w:pPr>
        <w:widowControl/>
        <w:ind w:firstLine="420"/>
        <w:jc w:val="left"/>
        <w:rPr>
          <w:rFonts w:hint="default" w:eastAsiaTheme="minorEastAsia"/>
          <w:color w:val="auto"/>
          <w:lang w:val="en-US" w:eastAsia="zh-CN"/>
        </w:rPr>
      </w:pPr>
      <w:r>
        <w:rPr>
          <w:rFonts w:hint="default"/>
          <w:color w:val="auto"/>
        </w:rPr>
        <w:t>依据问卷调研统计结果分析反映，</w:t>
      </w:r>
      <w:r>
        <w:rPr>
          <w:rFonts w:hint="eastAsia"/>
          <w:color w:val="auto"/>
          <w:lang w:val="en-US" w:eastAsia="zh-CN"/>
        </w:rPr>
        <w:t>有部分的师生反馈</w:t>
      </w:r>
      <w:r>
        <w:rPr>
          <w:rFonts w:hint="default"/>
          <w:color w:val="auto"/>
          <w:lang w:val="en-US" w:eastAsia="zh-CN"/>
        </w:rPr>
        <w:t>实训基地的设备更新速度与化工或电商专业行业前沿技术教学需求有一定差距</w:t>
      </w:r>
      <w:r>
        <w:rPr>
          <w:rFonts w:hint="eastAsia"/>
          <w:color w:val="auto"/>
          <w:lang w:val="en-US" w:eastAsia="zh-CN"/>
        </w:rPr>
        <w:t>，</w:t>
      </w:r>
      <w:r>
        <w:rPr>
          <w:rFonts w:hint="default"/>
          <w:color w:val="auto"/>
          <w:lang w:val="en-US" w:eastAsia="zh-CN"/>
        </w:rPr>
        <w:t>专业实训与理论课程教学结合不够紧密</w:t>
      </w:r>
      <w:r>
        <w:rPr>
          <w:rFonts w:hint="eastAsia"/>
          <w:color w:val="auto"/>
          <w:lang w:val="en-US" w:eastAsia="zh-CN"/>
        </w:rPr>
        <w:t>，教</w:t>
      </w:r>
      <w:r>
        <w:rPr>
          <w:rFonts w:hint="eastAsia" w:asciiTheme="minorEastAsia" w:hAnsiTheme="minorEastAsia" w:cstheme="minorEastAsia"/>
          <w:color w:val="auto"/>
          <w:highlight w:val="none"/>
          <w:lang w:val="en-US" w:eastAsia="zh-CN"/>
        </w:rPr>
        <w:t>学形式、教学指导和实训指导方面需要改善，实训效果仍有待提高</w:t>
      </w:r>
      <w:r>
        <w:rPr>
          <w:color w:val="auto"/>
        </w:rPr>
        <w:t>。</w:t>
      </w:r>
    </w:p>
    <w:p w14:paraId="20640202">
      <w:pPr>
        <w:pStyle w:val="2"/>
        <w:spacing w:line="360" w:lineRule="auto"/>
        <w:ind w:firstLine="482"/>
        <w:rPr>
          <w:rFonts w:ascii="Times New Roman" w:hAnsi="Times New Roman"/>
          <w:color w:val="auto"/>
        </w:rPr>
      </w:pPr>
      <w:bookmarkStart w:id="105" w:name="_Toc12596"/>
      <w:r>
        <w:rPr>
          <w:rFonts w:hint="default" w:ascii="Times New Roman" w:hAnsi="Times New Roman"/>
          <w:color w:val="auto"/>
        </w:rPr>
        <w:t>七</w:t>
      </w:r>
      <w:r>
        <w:rPr>
          <w:rFonts w:ascii="Times New Roman" w:hAnsi="Times New Roman"/>
          <w:color w:val="auto"/>
        </w:rPr>
        <w:t>、有关建议</w:t>
      </w:r>
      <w:bookmarkEnd w:id="102"/>
      <w:bookmarkEnd w:id="103"/>
      <w:bookmarkEnd w:id="104"/>
      <w:bookmarkEnd w:id="105"/>
    </w:p>
    <w:p w14:paraId="1F51E949">
      <w:pPr>
        <w:widowControl/>
        <w:ind w:firstLine="402"/>
        <w:jc w:val="left"/>
        <w:rPr>
          <w:b/>
          <w:bCs/>
          <w:color w:val="auto"/>
          <w:lang w:bidi="ar"/>
        </w:rPr>
      </w:pPr>
      <w:bookmarkStart w:id="106" w:name="_Toc32445"/>
      <w:r>
        <w:rPr>
          <w:rFonts w:hint="default" w:eastAsia="宋体"/>
          <w:b/>
          <w:bCs/>
          <w:color w:val="auto"/>
          <w:kern w:val="0"/>
          <w:sz w:val="20"/>
          <w:szCs w:val="20"/>
          <w:lang w:bidi="ar"/>
        </w:rPr>
        <w:t>1</w:t>
      </w:r>
      <w:r>
        <w:rPr>
          <w:rFonts w:eastAsia="宋体"/>
          <w:b/>
          <w:bCs/>
          <w:color w:val="auto"/>
          <w:kern w:val="0"/>
          <w:sz w:val="20"/>
          <w:szCs w:val="20"/>
          <w:lang w:bidi="ar"/>
        </w:rPr>
        <w:t>.</w:t>
      </w:r>
      <w:r>
        <w:rPr>
          <w:rFonts w:hint="eastAsia" w:eastAsia="宋体"/>
          <w:b/>
          <w:bCs/>
          <w:color w:val="auto"/>
          <w:kern w:val="0"/>
          <w:sz w:val="20"/>
          <w:szCs w:val="20"/>
          <w:lang w:val="en-US" w:eastAsia="zh-CN" w:bidi="ar"/>
        </w:rPr>
        <w:t>加强采购预算编制管理</w:t>
      </w:r>
      <w:r>
        <w:rPr>
          <w:rFonts w:hint="eastAsia" w:eastAsia="宋体"/>
          <w:b/>
          <w:bCs/>
          <w:color w:val="auto"/>
          <w:kern w:val="0"/>
          <w:sz w:val="20"/>
          <w:szCs w:val="20"/>
          <w:lang w:bidi="ar"/>
        </w:rPr>
        <w:t>，‌确保采购计划科学合理，</w:t>
      </w:r>
      <w:r>
        <w:rPr>
          <w:rFonts w:hint="eastAsia" w:eastAsia="宋体"/>
          <w:b/>
          <w:bCs/>
          <w:color w:val="auto"/>
          <w:kern w:val="0"/>
          <w:sz w:val="20"/>
          <w:szCs w:val="20"/>
          <w:lang w:val="en-US" w:eastAsia="zh-CN" w:bidi="ar"/>
        </w:rPr>
        <w:t>项目</w:t>
      </w:r>
      <w:r>
        <w:rPr>
          <w:rFonts w:hint="eastAsia" w:eastAsia="宋体"/>
          <w:b/>
          <w:bCs/>
          <w:color w:val="auto"/>
          <w:kern w:val="0"/>
          <w:sz w:val="20"/>
          <w:szCs w:val="20"/>
          <w:lang w:bidi="ar"/>
        </w:rPr>
        <w:t>预算精准可控</w:t>
      </w:r>
    </w:p>
    <w:p w14:paraId="0ABB8C58">
      <w:pPr>
        <w:widowControl/>
        <w:ind w:firstLine="420"/>
        <w:jc w:val="left"/>
        <w:rPr>
          <w:color w:val="auto"/>
          <w:lang w:bidi="ar"/>
        </w:rPr>
      </w:pPr>
      <w:r>
        <w:rPr>
          <w:rFonts w:hint="default" w:cs="Times New Roman"/>
          <w:lang w:val="en-US" w:eastAsia="zh-CN"/>
        </w:rPr>
        <w:t>建议项目</w:t>
      </w:r>
      <w:r>
        <w:rPr>
          <w:rFonts w:hint="eastAsia" w:cs="Times New Roman"/>
          <w:lang w:val="en-US" w:eastAsia="zh-CN"/>
        </w:rPr>
        <w:t>实施</w:t>
      </w:r>
      <w:r>
        <w:rPr>
          <w:rFonts w:hint="default" w:cs="Times New Roman"/>
          <w:lang w:val="en-US" w:eastAsia="zh-CN"/>
        </w:rPr>
        <w:t>单位严格遵循《中华人民共和国政府采购法》等相关规定，加强对政府采购管理的内部控制，坚持“无预算、不采购”的原则，提前谋划项目采购计划、采购方式以及编制采购预算，</w:t>
      </w:r>
      <w:r>
        <w:rPr>
          <w:rFonts w:hint="eastAsia"/>
          <w:color w:val="auto"/>
          <w:lang w:val="en-US" w:eastAsia="zh-CN" w:bidi="ar"/>
        </w:rPr>
        <w:t>在</w:t>
      </w:r>
      <w:r>
        <w:rPr>
          <w:rFonts w:hint="default"/>
          <w:color w:val="auto"/>
          <w:lang w:bidi="ar"/>
        </w:rPr>
        <w:t>项目申报前</w:t>
      </w:r>
      <w:r>
        <w:rPr>
          <w:rFonts w:hint="eastAsia"/>
          <w:color w:val="auto"/>
          <w:lang w:val="en-US" w:eastAsia="zh-CN" w:bidi="ar"/>
        </w:rPr>
        <w:t>通过开展</w:t>
      </w:r>
      <w:r>
        <w:rPr>
          <w:rFonts w:hint="default"/>
          <w:color w:val="auto"/>
          <w:lang w:bidi="ar"/>
        </w:rPr>
        <w:t>市场询价、同类院校比价</w:t>
      </w:r>
      <w:r>
        <w:rPr>
          <w:rFonts w:hint="eastAsia"/>
          <w:color w:val="auto"/>
          <w:lang w:val="en-US" w:eastAsia="zh-CN" w:bidi="ar"/>
        </w:rPr>
        <w:t>，必要时引入</w:t>
      </w:r>
      <w:r>
        <w:rPr>
          <w:rFonts w:hint="default"/>
          <w:color w:val="auto"/>
          <w:lang w:bidi="ar"/>
        </w:rPr>
        <w:t>第三方</w:t>
      </w:r>
      <w:r>
        <w:rPr>
          <w:rFonts w:hint="eastAsia"/>
          <w:color w:val="auto"/>
          <w:lang w:val="en-US" w:eastAsia="zh-CN" w:bidi="ar"/>
        </w:rPr>
        <w:t>机构评审等方式</w:t>
      </w:r>
      <w:r>
        <w:rPr>
          <w:rFonts w:hint="default" w:cs="Times New Roman"/>
          <w:lang w:val="en-US" w:eastAsia="zh-CN"/>
        </w:rPr>
        <w:t>对采购内容进行必要的论证和评估，‌确保采购计划科学合理</w:t>
      </w:r>
      <w:r>
        <w:rPr>
          <w:rFonts w:hint="eastAsia" w:cs="Times New Roman"/>
          <w:lang w:val="en-US" w:eastAsia="zh-CN"/>
        </w:rPr>
        <w:t>，</w:t>
      </w:r>
      <w:r>
        <w:rPr>
          <w:rFonts w:hint="default"/>
          <w:color w:val="auto"/>
          <w:lang w:bidi="ar"/>
        </w:rPr>
        <w:t>预算精准可控。</w:t>
      </w:r>
    </w:p>
    <w:p w14:paraId="41FB1748">
      <w:pPr>
        <w:widowControl/>
        <w:ind w:firstLine="402"/>
        <w:jc w:val="left"/>
        <w:rPr>
          <w:rFonts w:hint="default" w:ascii="Times New Roman" w:hAnsi="Times New Roman" w:eastAsia="宋体" w:cs="Times New Roman"/>
          <w:b/>
          <w:bCs/>
          <w:color w:val="auto"/>
          <w:kern w:val="0"/>
          <w:sz w:val="20"/>
          <w:szCs w:val="20"/>
          <w:lang w:val="en-US" w:eastAsia="zh-CN" w:bidi="ar"/>
        </w:rPr>
      </w:pPr>
      <w:r>
        <w:rPr>
          <w:rFonts w:hint="default" w:ascii="Times New Roman" w:hAnsi="Times New Roman" w:eastAsia="宋体" w:cs="Times New Roman"/>
          <w:b/>
          <w:bCs/>
          <w:color w:val="auto"/>
          <w:kern w:val="0"/>
          <w:sz w:val="20"/>
          <w:szCs w:val="20"/>
          <w:lang w:val="en-US" w:eastAsia="zh-CN" w:bidi="ar"/>
        </w:rPr>
        <w:t>2.加强学校新购置资产的管理使用</w:t>
      </w:r>
    </w:p>
    <w:p w14:paraId="6BB9E72C">
      <w:pPr>
        <w:wordWrap w:val="0"/>
        <w:topLinePunct/>
        <w:spacing w:line="360" w:lineRule="auto"/>
        <w:ind w:firstLine="420"/>
        <w:rPr>
          <w:rFonts w:hint="eastAsia" w:ascii="Times New Roman" w:hAnsi="Times New Roman" w:eastAsia="宋体" w:cs="Times New Roman"/>
          <w:color w:val="auto"/>
        </w:rPr>
      </w:pPr>
      <w:r>
        <w:rPr>
          <w:rFonts w:hint="default"/>
          <w:color w:val="auto"/>
          <w:lang w:val="en-US" w:eastAsia="zh-CN" w:bidi="ar"/>
        </w:rPr>
        <w:t>建议项目实施单位根据《吉木萨尔中等职业学校资产管理制度》要求规范管理学校各类资产，</w:t>
      </w:r>
      <w:r>
        <w:rPr>
          <w:rFonts w:hint="default"/>
          <w:color w:val="auto"/>
          <w:lang w:bidi="ar"/>
        </w:rPr>
        <w:t>对</w:t>
      </w:r>
      <w:r>
        <w:rPr>
          <w:rFonts w:hint="default"/>
          <w:color w:val="auto"/>
          <w:lang w:val="en-US" w:eastAsia="zh-CN" w:bidi="ar"/>
        </w:rPr>
        <w:t>新购置的设备资产及时办理资产入账并纳入统一的资产管理信息系统，确保学校资产台账清晰完整以及资产账表、账证、账实、账账相符</w:t>
      </w:r>
      <w:r>
        <w:rPr>
          <w:rFonts w:hint="eastAsia" w:ascii="Times New Roman" w:hAnsi="Times New Roman" w:eastAsia="宋体" w:cs="Times New Roman"/>
          <w:color w:val="auto"/>
          <w:u w:val="none"/>
          <w:lang w:val="zh-TW" w:eastAsia="zh-TW"/>
        </w:rPr>
        <w:t>；</w:t>
      </w:r>
      <w:r>
        <w:rPr>
          <w:rFonts w:hint="eastAsia" w:ascii="Times New Roman" w:hAnsi="Times New Roman" w:eastAsia="宋体" w:cs="Times New Roman"/>
          <w:color w:val="auto"/>
          <w:u w:val="none"/>
          <w:lang w:val="en-US" w:eastAsia="zh-CN"/>
        </w:rPr>
        <w:t>按照</w:t>
      </w:r>
      <w:r>
        <w:rPr>
          <w:rFonts w:hint="eastAsia" w:ascii="Times New Roman" w:hAnsi="Times New Roman" w:eastAsia="宋体" w:cs="Times New Roman"/>
          <w:color w:val="auto"/>
          <w:u w:val="none"/>
          <w:lang w:val="zh-TW" w:eastAsia="zh-TW"/>
        </w:rPr>
        <w:t>要求</w:t>
      </w:r>
      <w:r>
        <w:rPr>
          <w:rFonts w:hint="eastAsia" w:ascii="Times New Roman" w:hAnsi="Times New Roman" w:eastAsia="宋体" w:cs="Times New Roman"/>
          <w:color w:val="auto"/>
          <w:u w:val="none"/>
          <w:lang w:val="en-US" w:eastAsia="zh-CN"/>
        </w:rPr>
        <w:t>做好</w:t>
      </w:r>
      <w:r>
        <w:rPr>
          <w:rFonts w:hint="eastAsia" w:ascii="Times New Roman" w:hAnsi="Times New Roman" w:eastAsia="宋体" w:cs="Times New Roman"/>
          <w:color w:val="auto"/>
          <w:u w:val="none"/>
          <w:lang w:val="zh-TW" w:eastAsia="zh-TW"/>
        </w:rPr>
        <w:t>固定资产</w:t>
      </w:r>
      <w:r>
        <w:rPr>
          <w:rFonts w:hint="eastAsia" w:ascii="Times New Roman" w:hAnsi="Times New Roman" w:eastAsia="宋体" w:cs="Times New Roman"/>
          <w:color w:val="auto"/>
          <w:u w:val="none"/>
          <w:lang w:val="zh-TW" w:eastAsia="zh-CN"/>
        </w:rPr>
        <w:t>的</w:t>
      </w:r>
      <w:r>
        <w:rPr>
          <w:rFonts w:hint="eastAsia" w:ascii="Times New Roman" w:hAnsi="Times New Roman" w:eastAsia="宋体" w:cs="Times New Roman"/>
          <w:color w:val="auto"/>
          <w:u w:val="none"/>
          <w:lang w:val="zh-TW" w:eastAsia="zh-TW"/>
        </w:rPr>
        <w:t>盘</w:t>
      </w:r>
      <w:r>
        <w:rPr>
          <w:rFonts w:hint="eastAsia" w:ascii="Times New Roman" w:hAnsi="Times New Roman" w:eastAsia="宋体" w:cs="Times New Roman"/>
          <w:color w:val="auto"/>
        </w:rPr>
        <w:t>点</w:t>
      </w:r>
      <w:r>
        <w:rPr>
          <w:rFonts w:hint="eastAsia" w:ascii="Times New Roman" w:hAnsi="Times New Roman" w:eastAsia="宋体" w:cs="Times New Roman"/>
          <w:color w:val="auto"/>
          <w:lang w:val="en-US" w:eastAsia="zh-CN"/>
        </w:rPr>
        <w:t>工作</w:t>
      </w:r>
      <w:r>
        <w:rPr>
          <w:rFonts w:hint="eastAsia" w:ascii="Times New Roman" w:hAnsi="Times New Roman" w:eastAsia="宋体" w:cs="Times New Roman"/>
          <w:color w:val="auto"/>
          <w:lang w:eastAsia="zh-CN"/>
        </w:rPr>
        <w:t>，</w:t>
      </w:r>
      <w:r>
        <w:rPr>
          <w:rFonts w:hint="eastAsia" w:ascii="Times New Roman" w:hAnsi="Times New Roman" w:eastAsia="宋体" w:cs="Times New Roman"/>
          <w:color w:val="auto"/>
        </w:rPr>
        <w:t>强化日常监管，针对单位固定资产管理制度是否完善、基础工作是否扎实、使用是否高效等开展监督检查，进一步加强对固定资产使用、处置等关键环节的管控，确保固定资产安全完整，高效利用。</w:t>
      </w:r>
    </w:p>
    <w:p w14:paraId="2EF1E657">
      <w:pPr>
        <w:widowControl/>
        <w:ind w:firstLine="402"/>
        <w:jc w:val="left"/>
        <w:rPr>
          <w:color w:val="auto"/>
        </w:rPr>
      </w:pPr>
      <w:r>
        <w:rPr>
          <w:rFonts w:hint="default" w:eastAsia="宋体"/>
          <w:b/>
          <w:bCs/>
          <w:color w:val="auto"/>
          <w:kern w:val="0"/>
          <w:sz w:val="20"/>
          <w:szCs w:val="20"/>
          <w:lang w:val="en-US" w:eastAsia="zh-CN" w:bidi="ar"/>
        </w:rPr>
        <w:t>3</w:t>
      </w:r>
      <w:r>
        <w:rPr>
          <w:rFonts w:eastAsia="宋体"/>
          <w:b/>
          <w:bCs/>
          <w:color w:val="auto"/>
          <w:kern w:val="0"/>
          <w:sz w:val="20"/>
          <w:szCs w:val="20"/>
          <w:lang w:bidi="ar"/>
        </w:rPr>
        <w:t>.</w:t>
      </w:r>
      <w:r>
        <w:rPr>
          <w:rFonts w:hint="default" w:ascii="Times New Roman" w:hAnsi="Times New Roman" w:eastAsia="宋体" w:cs="Times New Roman"/>
          <w:b/>
          <w:bCs/>
          <w:color w:val="auto"/>
          <w:kern w:val="0"/>
          <w:sz w:val="20"/>
          <w:szCs w:val="20"/>
          <w:lang w:bidi="ar"/>
        </w:rPr>
        <w:t>以问卷结果为切入点，加强实训条件保障，提升实训效果</w:t>
      </w:r>
    </w:p>
    <w:p w14:paraId="133BF261">
      <w:pPr>
        <w:ind w:firstLine="420"/>
        <w:rPr>
          <w:color w:val="auto"/>
        </w:rPr>
      </w:pPr>
      <w:r>
        <w:rPr>
          <w:rFonts w:hint="default"/>
          <w:color w:val="auto"/>
        </w:rPr>
        <w:t>建议</w:t>
      </w:r>
      <w:r>
        <w:rPr>
          <w:rFonts w:hint="default"/>
          <w:color w:val="auto"/>
          <w:lang w:bidi="ar"/>
        </w:rPr>
        <w:t>项目实施单位充分进行需求调研，</w:t>
      </w:r>
      <w:r>
        <w:rPr>
          <w:rFonts w:hint="default"/>
          <w:color w:val="auto"/>
        </w:rPr>
        <w:t>按照学校发展总体规划和专业学科建设目标，统筹做好设备配置计划；加大学生</w:t>
      </w:r>
      <w:r>
        <w:rPr>
          <w:rFonts w:hint="default"/>
          <w:color w:val="auto"/>
          <w:lang w:val="en-US" w:eastAsia="zh-CN"/>
        </w:rPr>
        <w:t>化工及电商专业</w:t>
      </w:r>
      <w:r>
        <w:rPr>
          <w:rFonts w:hint="default"/>
          <w:color w:val="auto"/>
        </w:rPr>
        <w:t>实训培训力度，丰富</w:t>
      </w:r>
      <w:r>
        <w:rPr>
          <w:rFonts w:hint="default"/>
          <w:color w:val="auto"/>
          <w:lang w:val="en-US" w:eastAsia="zh-CN"/>
        </w:rPr>
        <w:t>化工及电商专业</w:t>
      </w:r>
      <w:r>
        <w:rPr>
          <w:rFonts w:hint="default"/>
          <w:color w:val="auto"/>
        </w:rPr>
        <w:t>课程内容及形式，</w:t>
      </w:r>
      <w:r>
        <w:rPr>
          <w:rFonts w:hint="default"/>
          <w:color w:val="auto"/>
          <w:lang w:val="en-US" w:eastAsia="zh-CN"/>
        </w:rPr>
        <w:t>开发化工及电商专业实训室新兴教学模式，</w:t>
      </w:r>
      <w:r>
        <w:rPr>
          <w:rFonts w:hint="default"/>
          <w:color w:val="auto"/>
        </w:rPr>
        <w:t>进一步提升学生专业技能，达到</w:t>
      </w:r>
      <w:r>
        <w:rPr>
          <w:rFonts w:hint="default"/>
          <w:color w:val="auto"/>
          <w:lang w:val="en-US" w:eastAsia="zh-CN"/>
        </w:rPr>
        <w:t>化工及电商专业</w:t>
      </w:r>
      <w:r>
        <w:rPr>
          <w:rFonts w:hint="default"/>
          <w:color w:val="auto"/>
        </w:rPr>
        <w:t>预期实训效果。</w:t>
      </w:r>
    </w:p>
    <w:p w14:paraId="507EDA24">
      <w:pPr>
        <w:pStyle w:val="2"/>
        <w:spacing w:line="360" w:lineRule="auto"/>
        <w:ind w:firstLine="482"/>
        <w:rPr>
          <w:rFonts w:hint="default" w:ascii="Times New Roman" w:hAnsi="Times New Roman" w:eastAsia="宋体" w:cs="Times New Roman"/>
          <w:b/>
          <w:bCs/>
          <w:color w:val="auto"/>
          <w:kern w:val="44"/>
          <w:sz w:val="24"/>
          <w:szCs w:val="44"/>
          <w:lang w:val="en-US" w:eastAsia="zh-CN" w:bidi="ar-SA"/>
        </w:rPr>
      </w:pPr>
      <w:bookmarkStart w:id="107" w:name="_Toc12773"/>
      <w:bookmarkStart w:id="108" w:name="_Toc8277"/>
      <w:r>
        <w:rPr>
          <w:rFonts w:hint="default" w:ascii="Times New Roman" w:hAnsi="Times New Roman"/>
          <w:lang w:val="en-US" w:eastAsia="zh-CN"/>
        </w:rPr>
        <w:t>八、</w:t>
      </w:r>
      <w:r>
        <w:rPr>
          <w:rFonts w:hint="default" w:ascii="Times New Roman" w:hAnsi="Times New Roman" w:eastAsia="宋体" w:cs="Times New Roman"/>
          <w:b/>
          <w:bCs/>
          <w:color w:val="auto"/>
          <w:kern w:val="44"/>
          <w:sz w:val="24"/>
          <w:szCs w:val="44"/>
          <w:lang w:val="en-US" w:eastAsia="zh-CN" w:bidi="ar-SA"/>
        </w:rPr>
        <w:t>绩效评价结果应用建议</w:t>
      </w:r>
      <w:bookmarkEnd w:id="107"/>
      <w:bookmarkEnd w:id="108"/>
    </w:p>
    <w:p w14:paraId="0C2B0C14">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eastAsia="宋体" w:cs="Times New Roman"/>
          <w:b/>
          <w:bCs/>
          <w:color w:val="auto"/>
          <w:kern w:val="2"/>
          <w:sz w:val="21"/>
          <w:szCs w:val="21"/>
          <w:lang w:val="en-US" w:eastAsia="zh-CN" w:bidi="ar-SA"/>
        </w:rPr>
      </w:pPr>
      <w:bookmarkStart w:id="109" w:name="_Toc32318"/>
      <w:bookmarkStart w:id="110" w:name="_Toc6367"/>
      <w:r>
        <w:rPr>
          <w:rFonts w:hint="default" w:ascii="Times New Roman" w:hAnsi="Times New Roman"/>
          <w:b/>
          <w:bCs/>
          <w:color w:val="auto"/>
          <w:lang w:val="en-US" w:eastAsia="zh-CN"/>
        </w:rPr>
        <w:t>（一）绩效结果挂钩次年预算资金安排</w:t>
      </w:r>
      <w:bookmarkEnd w:id="109"/>
      <w:bookmarkEnd w:id="110"/>
    </w:p>
    <w:p w14:paraId="2F03D338">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为有效提高财政预算资金的经济性、效率性、效益性和公平性，建议将本次绩效评价结果作为预算单位次年预算编制的重要依据，并优化支出结构、完善相关办法、改进预算管理。</w:t>
      </w:r>
    </w:p>
    <w:p w14:paraId="61FF002B">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b/>
          <w:bCs/>
          <w:color w:val="auto"/>
          <w:lang w:val="en-US" w:eastAsia="zh-CN"/>
        </w:rPr>
      </w:pPr>
      <w:bookmarkStart w:id="111" w:name="_Toc12255"/>
      <w:bookmarkStart w:id="112" w:name="_Toc11498"/>
      <w:r>
        <w:rPr>
          <w:rFonts w:hint="default" w:ascii="Times New Roman" w:hAnsi="Times New Roman"/>
          <w:b/>
          <w:bCs/>
          <w:color w:val="auto"/>
          <w:lang w:val="en-US" w:eastAsia="zh-CN"/>
        </w:rPr>
        <w:t>（二）绩效结果挂钩整改措施</w:t>
      </w:r>
      <w:bookmarkEnd w:id="111"/>
      <w:bookmarkEnd w:id="112"/>
    </w:p>
    <w:p w14:paraId="6B9E2159">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color w:val="auto"/>
          <w:lang w:val="en-US" w:eastAsia="zh-CN"/>
        </w:rPr>
      </w:pPr>
      <w:r>
        <w:rPr>
          <w:rFonts w:hint="default" w:ascii="Times New Roman" w:hAnsi="Times New Roman"/>
          <w:color w:val="auto"/>
          <w:lang w:val="en-US" w:eastAsia="zh-CN"/>
        </w:rPr>
        <w:t>根据本次绩效评价报告中所反馈的问题和建议，由项目实施单位及时研究制定整改措施，积极落实整改要求，切实改进资金管理和项目管理，并在规定的时间内，将整改情况向</w:t>
      </w:r>
      <w:r>
        <w:rPr>
          <w:rFonts w:hint="default"/>
          <w:color w:val="auto"/>
          <w:lang w:val="en-US" w:eastAsia="zh-CN"/>
        </w:rPr>
        <w:t>吉木萨尔县</w:t>
      </w:r>
      <w:r>
        <w:rPr>
          <w:rFonts w:hint="default" w:ascii="Times New Roman" w:hAnsi="Times New Roman"/>
          <w:color w:val="auto"/>
          <w:lang w:val="en-US" w:eastAsia="zh-CN"/>
        </w:rPr>
        <w:t>财政局行文报告，并附《绩效评价结果整改报告》。</w:t>
      </w:r>
    </w:p>
    <w:p w14:paraId="4912AD68">
      <w:pPr>
        <w:keepNext w:val="0"/>
        <w:keepLines w:val="0"/>
        <w:pageBreakBefore w:val="0"/>
        <w:widowControl w:val="0"/>
        <w:kinsoku/>
        <w:wordWrap/>
        <w:overflowPunct/>
        <w:topLinePunct w:val="0"/>
        <w:autoSpaceDE/>
        <w:autoSpaceDN/>
        <w:bidi w:val="0"/>
        <w:adjustRightInd w:val="0"/>
        <w:snapToGrid w:val="0"/>
        <w:spacing w:line="360" w:lineRule="auto"/>
        <w:ind w:firstLine="420"/>
        <w:textAlignment w:val="auto"/>
        <w:outlineLvl w:val="1"/>
        <w:rPr>
          <w:rFonts w:hint="default" w:ascii="Times New Roman" w:hAnsi="Times New Roman"/>
          <w:b/>
          <w:bCs/>
          <w:color w:val="auto"/>
          <w:lang w:val="en-US" w:eastAsia="zh-CN"/>
        </w:rPr>
      </w:pPr>
      <w:bookmarkStart w:id="113" w:name="_Toc9131"/>
      <w:bookmarkStart w:id="114" w:name="_Toc18817"/>
      <w:r>
        <w:rPr>
          <w:rFonts w:hint="default" w:ascii="Times New Roman" w:hAnsi="Times New Roman"/>
          <w:b/>
          <w:bCs/>
          <w:color w:val="auto"/>
          <w:lang w:val="en-US" w:eastAsia="zh-CN"/>
        </w:rPr>
        <w:t>（三）绩效结果挂钩报告公开</w:t>
      </w:r>
      <w:bookmarkEnd w:id="113"/>
      <w:bookmarkEnd w:id="114"/>
    </w:p>
    <w:p w14:paraId="7F252A9B">
      <w:pPr>
        <w:pageBreakBefore w:val="0"/>
        <w:widowControl w:val="0"/>
        <w:kinsoku/>
        <w:wordWrap/>
        <w:overflowPunct/>
        <w:topLinePunct w:val="0"/>
        <w:autoSpaceDE/>
        <w:autoSpaceDN/>
        <w:bidi w:val="0"/>
        <w:adjustRightInd w:val="0"/>
        <w:snapToGrid w:val="0"/>
        <w:spacing w:line="360" w:lineRule="auto"/>
        <w:ind w:firstLine="420"/>
        <w:textAlignment w:val="auto"/>
        <w:outlineLvl w:val="9"/>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olor w:val="auto"/>
          <w:lang w:val="en-US" w:eastAsia="zh-CN"/>
        </w:rPr>
        <w:t>积极推进评价结果和评价报告</w:t>
      </w:r>
      <w:r>
        <w:rPr>
          <w:rFonts w:hint="default" w:ascii="Times New Roman" w:hAnsi="Times New Roman" w:eastAsia="宋体" w:cs="Times New Roman"/>
          <w:b w:val="0"/>
          <w:bCs w:val="0"/>
          <w:color w:val="auto"/>
          <w:kern w:val="2"/>
          <w:sz w:val="21"/>
          <w:szCs w:val="21"/>
          <w:lang w:val="en-US" w:eastAsia="zh-CN" w:bidi="ar-SA"/>
        </w:rPr>
        <w:t>等绩效信息的公开。按照政府信息公开有关规定，由</w:t>
      </w:r>
      <w:r>
        <w:rPr>
          <w:rFonts w:hint="default" w:eastAsia="宋体" w:cs="Times New Roman"/>
          <w:b w:val="0"/>
          <w:bCs w:val="0"/>
          <w:color w:val="auto"/>
          <w:kern w:val="2"/>
          <w:sz w:val="21"/>
          <w:szCs w:val="21"/>
          <w:lang w:val="en-US" w:eastAsia="zh-CN" w:bidi="ar-SA"/>
        </w:rPr>
        <w:t>吉木萨尔县</w:t>
      </w:r>
      <w:r>
        <w:rPr>
          <w:rFonts w:hint="default" w:ascii="Times New Roman" w:hAnsi="Times New Roman" w:eastAsia="宋体" w:cs="Times New Roman"/>
          <w:b w:val="0"/>
          <w:bCs w:val="0"/>
          <w:color w:val="auto"/>
          <w:kern w:val="2"/>
          <w:sz w:val="21"/>
          <w:szCs w:val="21"/>
          <w:lang w:val="en-US" w:eastAsia="zh-CN" w:bidi="ar-SA"/>
        </w:rPr>
        <w:t>财政局将本次绩效评价的结果信息进行公开，加强社会和舆论监督，提高财政资金使用透明度。</w:t>
      </w:r>
    </w:p>
    <w:p w14:paraId="0E3EC0D5">
      <w:pPr>
        <w:pStyle w:val="2"/>
        <w:spacing w:line="360" w:lineRule="auto"/>
        <w:ind w:firstLine="482"/>
        <w:rPr>
          <w:rFonts w:ascii="Times New Roman" w:hAnsi="Times New Roman"/>
          <w:color w:val="auto"/>
        </w:rPr>
      </w:pPr>
      <w:bookmarkStart w:id="115" w:name="_Toc13450"/>
      <w:r>
        <w:rPr>
          <w:rFonts w:hint="default" w:ascii="Times New Roman" w:hAnsi="Times New Roman"/>
          <w:color w:val="auto"/>
          <w:lang w:val="en-US" w:eastAsia="zh-CN"/>
        </w:rPr>
        <w:t>九、</w:t>
      </w:r>
      <w:r>
        <w:rPr>
          <w:rFonts w:ascii="Times New Roman" w:hAnsi="Times New Roman"/>
          <w:color w:val="auto"/>
        </w:rPr>
        <w:t>其他需要说明的问题</w:t>
      </w:r>
      <w:bookmarkEnd w:id="106"/>
      <w:bookmarkEnd w:id="115"/>
    </w:p>
    <w:p w14:paraId="7B6AAB40">
      <w:pPr>
        <w:ind w:firstLine="420"/>
        <w:rPr>
          <w:color w:val="auto"/>
        </w:rPr>
      </w:pPr>
      <w:r>
        <w:rPr>
          <w:rFonts w:hint="default" w:ascii="Times New Roman" w:hAnsi="Times New Roman" w:cs="Times New Roman"/>
          <w:color w:val="auto"/>
        </w:rPr>
        <w:t>该项目的绩效评价结论可靠性基于相关部门和项目单位提供项目资料的全面性、真实性和准确性，绩效评价组尽可能地收集更为全面、有效、准确的文件和数据，但由于受客观因素的限制，只能在相关部门和单位提供的现有资料的基础上核实、分析，作出绩效评价结论。绩效评价人员在评价过程中遵循独立、客观、公正原则，恪守职业道德规范，尽可能地确保数据与结论的真实性与可靠性</w:t>
      </w:r>
      <w:r>
        <w:rPr>
          <w:color w:val="auto"/>
        </w:rPr>
        <w:t>。</w:t>
      </w:r>
    </w:p>
    <w:p w14:paraId="09D10D2B">
      <w:pPr>
        <w:ind w:firstLine="420"/>
        <w:rPr>
          <w:color w:val="auto"/>
        </w:rPr>
      </w:pPr>
    </w:p>
    <w:p w14:paraId="3C86933B">
      <w:pPr>
        <w:ind w:firstLine="3150" w:firstLineChars="1500"/>
        <w:rPr>
          <w:rFonts w:eastAsia="黑体"/>
          <w:color w:val="auto"/>
        </w:rPr>
      </w:pPr>
      <w:r>
        <w:rPr>
          <w:rFonts w:eastAsia="黑体"/>
          <w:color w:val="auto"/>
        </w:rPr>
        <w:t>评价机构：新疆驰远天合有限责任会计师事务所</w:t>
      </w:r>
    </w:p>
    <w:p w14:paraId="0A09B39B">
      <w:pPr>
        <w:ind w:firstLine="3150" w:firstLineChars="1500"/>
        <w:rPr>
          <w:rFonts w:ascii="Times New Roman" w:hAnsi="Times New Roman" w:eastAsia="黑体" w:cs="Times New Roman"/>
          <w:color w:val="auto"/>
        </w:rPr>
        <w:sectPr>
          <w:headerReference r:id="rId10" w:type="default"/>
          <w:footerReference r:id="rId11" w:type="default"/>
          <w:pgSz w:w="11906" w:h="16838"/>
          <w:pgMar w:top="1440" w:right="1800" w:bottom="1440" w:left="1800" w:header="851" w:footer="907" w:gutter="0"/>
          <w:pgNumType w:start="1"/>
          <w:cols w:space="425" w:num="1"/>
          <w:docGrid w:type="lines" w:linePitch="312" w:charSpace="0"/>
        </w:sectPr>
      </w:pPr>
      <w:r>
        <w:rPr>
          <w:rFonts w:eastAsia="黑体"/>
          <w:color w:val="auto"/>
        </w:rPr>
        <w:t>评价时间：202</w:t>
      </w:r>
      <w:r>
        <w:rPr>
          <w:rFonts w:hint="default" w:eastAsia="黑体"/>
          <w:color w:val="auto"/>
          <w:lang w:val="en-US" w:eastAsia="zh-CN"/>
        </w:rPr>
        <w:t>5</w:t>
      </w:r>
      <w:r>
        <w:rPr>
          <w:rFonts w:eastAsia="黑体"/>
          <w:color w:val="auto"/>
        </w:rPr>
        <w:t>年</w:t>
      </w:r>
      <w:r>
        <w:rPr>
          <w:rFonts w:hint="eastAsia" w:eastAsia="黑体"/>
          <w:color w:val="auto"/>
          <w:lang w:val="en-US" w:eastAsia="zh-CN"/>
        </w:rPr>
        <w:t>8</w:t>
      </w:r>
      <w:r>
        <w:rPr>
          <w:rFonts w:eastAsia="黑体"/>
          <w:color w:val="auto"/>
        </w:rPr>
        <w:t>月</w:t>
      </w:r>
    </w:p>
    <w:p w14:paraId="40A9C7C6">
      <w:pPr>
        <w:pStyle w:val="2"/>
        <w:ind w:firstLine="0" w:firstLineChars="0"/>
        <w:rPr>
          <w:rFonts w:ascii="Times New Roman" w:hAnsi="Times New Roman"/>
          <w:color w:val="auto"/>
        </w:rPr>
      </w:pPr>
      <w:bookmarkStart w:id="116" w:name="_Toc4148"/>
      <w:bookmarkStart w:id="117" w:name="_Toc12265"/>
      <w:bookmarkStart w:id="118" w:name="_Toc25777"/>
      <w:bookmarkStart w:id="119" w:name="_Toc6006"/>
      <w:r>
        <w:rPr>
          <w:rFonts w:ascii="Times New Roman" w:hAnsi="Times New Roman"/>
          <w:color w:val="auto"/>
        </w:rPr>
        <w:t>附件1：绩效评价指标体系及综合评价表</w:t>
      </w:r>
      <w:bookmarkEnd w:id="116"/>
    </w:p>
    <w:p w14:paraId="7046C61F">
      <w:pPr>
        <w:ind w:firstLine="0" w:firstLineChars="0"/>
        <w:jc w:val="center"/>
        <w:rPr>
          <w:rFonts w:eastAsia="宋体"/>
          <w:b/>
          <w:bCs/>
          <w:color w:val="auto"/>
          <w:sz w:val="20"/>
          <w:szCs w:val="20"/>
        </w:rPr>
      </w:pPr>
      <w:r>
        <w:rPr>
          <w:rFonts w:hint="default" w:eastAsia="宋体"/>
          <w:b/>
          <w:bCs/>
          <w:color w:val="auto"/>
          <w:sz w:val="20"/>
          <w:szCs w:val="20"/>
          <w:lang w:eastAsia="zh-CN"/>
        </w:rPr>
        <w:t>2024年中央现代职业教育质量提升计划资金</w:t>
      </w:r>
      <w:r>
        <w:rPr>
          <w:rFonts w:hint="default" w:eastAsia="宋体"/>
          <w:b/>
          <w:bCs/>
          <w:color w:val="auto"/>
          <w:sz w:val="20"/>
          <w:szCs w:val="20"/>
          <w:lang w:val="en-US" w:eastAsia="zh-CN"/>
        </w:rPr>
        <w:t>项目</w:t>
      </w:r>
      <w:r>
        <w:rPr>
          <w:rFonts w:eastAsia="宋体"/>
          <w:b/>
          <w:bCs/>
          <w:color w:val="auto"/>
          <w:sz w:val="20"/>
          <w:szCs w:val="20"/>
        </w:rPr>
        <w:t>绩效评价指标体系及综合评分表</w:t>
      </w:r>
    </w:p>
    <w:tbl>
      <w:tblPr>
        <w:tblStyle w:val="2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33"/>
        <w:gridCol w:w="1247"/>
        <w:gridCol w:w="1166"/>
        <w:gridCol w:w="2647"/>
        <w:gridCol w:w="3749"/>
        <w:gridCol w:w="969"/>
        <w:gridCol w:w="1007"/>
        <w:gridCol w:w="804"/>
        <w:gridCol w:w="719"/>
        <w:gridCol w:w="933"/>
      </w:tblGrid>
      <w:tr w14:paraId="018AE6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363" w:hRule="atLeast"/>
          <w:tblHead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752252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一级指标</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9C134E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二级指标</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18C171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三级指标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6D23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指标解释</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BA0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评价标准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1E885E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目标值</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E3418B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实际完成值</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A2552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标杆分值</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09C302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指标得分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E309AF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得分率</w:t>
            </w:r>
          </w:p>
        </w:tc>
      </w:tr>
      <w:tr w14:paraId="1A3355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48A5AB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A决策</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（10.00分）　</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19B0DB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A1 项目立项（3.00分）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D3D53C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A11立项依据充分性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2FB94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项目立项是否符合法律法规、相关政策、发展规划以及部门职责，用以反映和考核项目立项依据情况。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481C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①项目立项是否符合国家法律法规、国民经济发展规划和相关政策；</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②项目立项是否符合行业发展规划和政策要求；</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③项目立项是否与部门职责范围相符，属于部门履职所需；</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④项目是否属于公共财政支持范围，是否符合中央、地方事权支出责任划分原则；</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⑤项目是否与相关部门同类项目或部门内部相关项目重复。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以上五项中，若存在任意不符合情况，每发现一处不符扣0.5分，扣完为止。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9ABE5E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充分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EE2F93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充分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9F4508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BBE19E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D44546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46627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DACF1D">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BAF913">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D0DD9F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A12立项程序规范性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3352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项目申请、设立过程是否符合相关要求，用以反映和考核项目立项的规范情况。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57BB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①项目是否按照规定的程序申请设立；</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②审批文件、材料是否符合相关要求；</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③事前是否</w:t>
            </w:r>
            <w:r>
              <w:rPr>
                <w:rFonts w:hint="eastAsia" w:eastAsia="宋体" w:cs="Times New Roman"/>
                <w:i w:val="0"/>
                <w:iCs w:val="0"/>
                <w:color w:val="000000"/>
                <w:kern w:val="0"/>
                <w:sz w:val="20"/>
                <w:szCs w:val="20"/>
                <w:u w:val="none"/>
                <w:lang w:val="en-US" w:eastAsia="zh-CN" w:bidi="ar"/>
              </w:rPr>
              <w:t>经</w:t>
            </w:r>
            <w:r>
              <w:rPr>
                <w:rFonts w:hint="default" w:ascii="Times New Roman" w:hAnsi="Times New Roman" w:eastAsia="宋体" w:cs="Times New Roman"/>
                <w:i w:val="0"/>
                <w:iCs w:val="0"/>
                <w:color w:val="000000"/>
                <w:kern w:val="0"/>
                <w:sz w:val="20"/>
                <w:szCs w:val="20"/>
                <w:u w:val="none"/>
                <w:lang w:val="en-US" w:eastAsia="zh-CN" w:bidi="ar"/>
              </w:rPr>
              <w:t>过必要的专家论证、集体决策。</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以上三项中，每发现一处不符扣0.5分，扣完为止。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8667A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合规</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8F2F2D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eastAsia" w:eastAsia="宋体" w:cs="Times New Roman"/>
                <w:i w:val="0"/>
                <w:iCs w:val="0"/>
                <w:color w:val="000000"/>
                <w:kern w:val="0"/>
                <w:sz w:val="20"/>
                <w:szCs w:val="20"/>
                <w:u w:val="none"/>
                <w:lang w:val="en-US" w:eastAsia="zh-CN" w:bidi="ar"/>
              </w:rPr>
              <w:t>较</w:t>
            </w:r>
            <w:r>
              <w:rPr>
                <w:rFonts w:hint="default" w:ascii="Times New Roman" w:hAnsi="Times New Roman" w:eastAsia="宋体" w:cs="Times New Roman"/>
                <w:i w:val="0"/>
                <w:iCs w:val="0"/>
                <w:color w:val="000000"/>
                <w:kern w:val="0"/>
                <w:sz w:val="20"/>
                <w:szCs w:val="20"/>
                <w:u w:val="none"/>
                <w:lang w:val="en-US" w:eastAsia="zh-CN" w:bidi="ar"/>
              </w:rPr>
              <w:t>合规</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5DF44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0684B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68D059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66.67%</w:t>
            </w:r>
          </w:p>
        </w:tc>
      </w:tr>
      <w:tr w14:paraId="5498D8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0E2E87">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C66A35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A2 绩效目标（4.00分）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B7B457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A21绩效目标合理性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5D7D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项目所设定的绩效目标是否依据充分，是否符合客观实际，用以反映和考核项目绩效目标与项目实施的相符情况。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8E9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①项目是否有绩效目标；</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②项目绩效目标与实际工作内容是否具有相关性；</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③项目预期产出效益和效果是否符合正常的业绩水平；</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④是否与预算确定的项目投资额或资金量相匹配。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若①不符合，则此指标不得分；若①符合，则每发现一处不符扣0.2分，扣完为止。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63D976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778B93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D06DF6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42D13E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B2E989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7CB341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ED13A5">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8DBD5B">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F7ADD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A22绩效指标明确性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F33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依据绩效目标设定的绩效指标是否清晰、细化、可衡量等，用以反映和考核项目绩效目标</w:t>
            </w:r>
            <w:r>
              <w:rPr>
                <w:rFonts w:hint="eastAsia" w:eastAsia="宋体" w:cs="Times New Roman"/>
                <w:i w:val="0"/>
                <w:iCs w:val="0"/>
                <w:color w:val="000000"/>
                <w:kern w:val="0"/>
                <w:sz w:val="20"/>
                <w:szCs w:val="20"/>
                <w:u w:val="none"/>
                <w:lang w:val="en-US" w:eastAsia="zh-CN" w:bidi="ar"/>
              </w:rPr>
              <w:t>的</w:t>
            </w:r>
            <w:r>
              <w:rPr>
                <w:rFonts w:hint="default" w:ascii="Times New Roman" w:hAnsi="Times New Roman" w:eastAsia="宋体" w:cs="Times New Roman"/>
                <w:i w:val="0"/>
                <w:iCs w:val="0"/>
                <w:color w:val="000000"/>
                <w:kern w:val="0"/>
                <w:sz w:val="20"/>
                <w:szCs w:val="20"/>
                <w:u w:val="none"/>
                <w:lang w:val="en-US" w:eastAsia="zh-CN" w:bidi="ar"/>
              </w:rPr>
              <w:t>细化情况。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B0C9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是否将项目绩效目标细化分解为具体的绩效指标，且绩效指标与项目目标任务数或计划数相对应；绩效指标指向明确，可通过清晰、可衡量的指标予以体现，指标设置清晰准确，且量化易评。每发现一处不符扣0.2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D981FA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明确</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C58E22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明确</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C2D4C2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7AC892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0420E7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0447AD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45842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60B42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A3 资金投入（3.00分）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DA521D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A31预算编制科学性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6230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项目预算编制是否经过科学论证、有明确标准，资金额度与年度目标是否相适应，用以反映和考核项目预算编制的科学性、合理性情况。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1EA1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①预算编制是否经过科学论证；</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②预算内容与项目内容是否匹配；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③预算额度测算依据是否充分，是否按照标准编制；</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④预算确定的项目投资额或资金量是否与工作任务相匹配。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每发现一处不符扣0.5分，扣完为止。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CF74CC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科学</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194987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较不科学</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0906C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78167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0.50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62BA7A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33.33%</w:t>
            </w:r>
          </w:p>
        </w:tc>
      </w:tr>
      <w:tr w14:paraId="57ABD9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DAE942">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07C58A">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688FBE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A32资金分配合理性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B07F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项目预算资金分配是否有测算依据，与补助单位或地方实际是否相适应，用以反映和考核项目预算资金分配的科学性、合理性情况。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3E11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①预算资金分配依据是否充分；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②资金分配额度是否合理，与项目单位或地方实际是否相适应。</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以上每发现一处不符扣0.5分，扣完为止。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EE2E00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AD56C5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21073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F76DF8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E1AEF7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348563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786CF33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小计</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789AA04">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85F8348">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DF20B3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10.00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FC7EA2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8.50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1F325A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85.00%</w:t>
            </w:r>
          </w:p>
        </w:tc>
      </w:tr>
      <w:tr w14:paraId="14A327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restart"/>
            <w:tcBorders>
              <w:top w:val="nil"/>
              <w:left w:val="single" w:color="000000" w:sz="4" w:space="0"/>
              <w:bottom w:val="single" w:color="000000" w:sz="4" w:space="0"/>
              <w:right w:val="single" w:color="000000" w:sz="4" w:space="0"/>
            </w:tcBorders>
            <w:shd w:val="clear" w:color="auto" w:fill="auto"/>
            <w:vAlign w:val="center"/>
          </w:tcPr>
          <w:p w14:paraId="4F70F5E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B过程</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（25.00分）</w:t>
            </w:r>
          </w:p>
        </w:tc>
        <w:tc>
          <w:tcPr>
            <w:tcW w:w="0" w:type="auto"/>
            <w:vMerge w:val="restart"/>
            <w:tcBorders>
              <w:top w:val="nil"/>
              <w:left w:val="single" w:color="000000" w:sz="4" w:space="0"/>
              <w:bottom w:val="single" w:color="000000" w:sz="4" w:space="0"/>
              <w:right w:val="single" w:color="000000" w:sz="4" w:space="0"/>
            </w:tcBorders>
            <w:shd w:val="clear" w:color="auto" w:fill="auto"/>
            <w:vAlign w:val="center"/>
          </w:tcPr>
          <w:p w14:paraId="784D67F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B1 资金管理（13.00分）　</w:t>
            </w:r>
          </w:p>
        </w:tc>
        <w:tc>
          <w:tcPr>
            <w:tcW w:w="0" w:type="auto"/>
            <w:tcBorders>
              <w:top w:val="nil"/>
              <w:left w:val="single" w:color="000000" w:sz="4" w:space="0"/>
              <w:bottom w:val="single" w:color="000000" w:sz="4" w:space="0"/>
              <w:right w:val="single" w:color="000000" w:sz="4" w:space="0"/>
            </w:tcBorders>
            <w:shd w:val="clear" w:color="auto" w:fill="auto"/>
            <w:vAlign w:val="center"/>
          </w:tcPr>
          <w:p w14:paraId="7F7A8BE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B11资金到位率</w:t>
            </w:r>
          </w:p>
        </w:tc>
        <w:tc>
          <w:tcPr>
            <w:tcW w:w="2647" w:type="dxa"/>
            <w:tcBorders>
              <w:top w:val="nil"/>
              <w:left w:val="single" w:color="000000" w:sz="4" w:space="0"/>
              <w:bottom w:val="single" w:color="000000" w:sz="4" w:space="0"/>
              <w:right w:val="single" w:color="000000" w:sz="4" w:space="0"/>
            </w:tcBorders>
            <w:shd w:val="clear" w:color="auto" w:fill="auto"/>
            <w:vAlign w:val="center"/>
          </w:tcPr>
          <w:p w14:paraId="754E75D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实际到位资金与预算资金的比率，用以反映和考核资金落实情况对项目实施的总体保障程度。</w:t>
            </w:r>
          </w:p>
        </w:tc>
        <w:tc>
          <w:tcPr>
            <w:tcW w:w="3749" w:type="dxa"/>
            <w:tcBorders>
              <w:top w:val="nil"/>
              <w:left w:val="single" w:color="000000" w:sz="4" w:space="0"/>
              <w:bottom w:val="single" w:color="000000" w:sz="4" w:space="0"/>
              <w:right w:val="single" w:color="000000" w:sz="4" w:space="0"/>
            </w:tcBorders>
            <w:shd w:val="clear" w:color="auto" w:fill="auto"/>
            <w:vAlign w:val="center"/>
          </w:tcPr>
          <w:p w14:paraId="7DA17EF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资金到位率=（实际到位资金/预算资金）×100%。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项目完成且资金到位数满足年度预算规模需求，得3分；项目尚未完成，资金到位率小于100%且大于等于80%的得2分，资金到位率小于80%且大于等于60%的得1.50分，资金到位率小于60%的不得分。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200BB7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C3EE3A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F5B4BA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3.00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541C2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3.00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42513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59465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5919A233">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672DD48E">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0301B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B12预算执行率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F21B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项目预算资金是否按照计划执行，用以反映或考核项目预算执行情况。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1246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预算执行率=（实际支出资金/实际到位资金）×100%。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项目完成且执行数控制在年度预算规模之内的，得5分；项目尚未完成，预算执行率小于100%且大于等于80%的得3分，预算执行率小于80%且大于等于60%的得2分，预算执行率小于60%的不得分。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EF03FA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3D012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w:t>
            </w:r>
            <w:r>
              <w:rPr>
                <w:rFonts w:hint="eastAsia" w:eastAsia="宋体" w:cs="Times New Roman"/>
                <w:i w:val="0"/>
                <w:iCs w:val="0"/>
                <w:color w:val="000000"/>
                <w:kern w:val="0"/>
                <w:sz w:val="20"/>
                <w:szCs w:val="20"/>
                <w:u w:val="none"/>
                <w:lang w:val="en-US" w:eastAsia="zh-CN" w:bidi="ar"/>
              </w:rPr>
              <w:t>0</w:t>
            </w:r>
            <w:r>
              <w:rPr>
                <w:rFonts w:hint="default" w:ascii="Times New Roman" w:hAnsi="Times New Roman" w:eastAsia="宋体" w:cs="Times New Roman"/>
                <w:i w:val="0"/>
                <w:iCs w:val="0"/>
                <w:color w:val="000000"/>
                <w:kern w:val="0"/>
                <w:sz w:val="20"/>
                <w:szCs w:val="20"/>
                <w:u w:val="none"/>
                <w:lang w:val="en-US" w:eastAsia="zh-CN" w:bidi="ar"/>
              </w:rPr>
              <w:t>.00%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7C575D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C608E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584102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7FF53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2ABBB499">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58B587A7">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817563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B13资金使用合规性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5563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考察项目单位资金的使用规范程度。项目资金使用是否符合相关法律法规、制度和规定，用以反映和考核项目资金使用的规范性和安全性。</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205D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①是否符合国家财经法规和财务管理制度以及有关专项资金管理办法的规定；</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②是否符合项目预算批复或合同规定的用途；</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③是否存在截留、挤占、挪用、虚列支出等情况；</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④资金的拨付是否有完整的审批程序和手续。</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以上四项不满足①或②或③时属于严重违规事项，本项指标不得分，在符合①、②和③的条件下，其他各项符合则得分，否则，每发现一处不符扣0.5分，扣完为止。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C4372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合规</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B6EEC4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合规</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BE5589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BA9D3A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C3767A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3B874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trPr>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24359E7F">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5654D0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B2 组织实施（12.00分）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BDB0D6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B21管理制度健全性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8F13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项目实施单位的财务和业务管理制度是否健全，用以反映和考核财务和业务管理制度对项目顺利实施的保障情况。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FAB1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①是否已制定或具有预算、收支、采购、资产等内部管理制度；</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②单位相应财务及业务管理制度是否合法、合规、完整。</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以上两项分别占50%的权重分，符合则得分；存在部分制度缺失、内容不完整或不满足管理要求的，每发现一处不符扣0.5分，各权重分扣完为止。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97670E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健全</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E293CB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较健全</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9D773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4.00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223BBA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3.00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6E5367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75.00%</w:t>
            </w:r>
          </w:p>
        </w:tc>
      </w:tr>
      <w:tr w14:paraId="195884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14:paraId="20771EA1">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ED2F57">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62A2E9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B22制度执行有效性</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B859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项目实施是否符合相关管理规定，用以反映和考核相关管理制度的有效执行情况。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1C54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评价要点：</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①是否遵守相关法律法规和相关管理规定实施采购；</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②项目调整及支出调整手续是否完备；</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③项目采购过程的中标公告、采购合同等采购资料是否及时归档。</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④项目验收程序是否规范，验收内容是否完整；</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⑤项目验收资产入账的是否及时、合规；</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⑥项目合同书、验收报告、技术鉴定等资料是否齐全并及时归档；</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⑦项目实施的人员条件、场地设备、信息支撑等是否落实到位。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以上七项中发现未按要求及时</w:t>
            </w:r>
            <w:r>
              <w:rPr>
                <w:rFonts w:hint="eastAsia" w:eastAsia="宋体" w:cs="Times New Roman"/>
                <w:i w:val="0"/>
                <w:iCs w:val="0"/>
                <w:color w:val="000000"/>
                <w:kern w:val="0"/>
                <w:sz w:val="20"/>
                <w:szCs w:val="20"/>
                <w:u w:val="none"/>
                <w:lang w:val="en-US" w:eastAsia="zh-CN" w:bidi="ar"/>
              </w:rPr>
              <w:t>入</w:t>
            </w:r>
            <w:r>
              <w:rPr>
                <w:rFonts w:hint="default" w:ascii="Times New Roman" w:hAnsi="Times New Roman" w:eastAsia="宋体" w:cs="Times New Roman"/>
                <w:i w:val="0"/>
                <w:iCs w:val="0"/>
                <w:color w:val="000000"/>
                <w:kern w:val="0"/>
                <w:sz w:val="20"/>
                <w:szCs w:val="20"/>
                <w:u w:val="none"/>
                <w:lang w:val="en-US" w:eastAsia="zh-CN" w:bidi="ar"/>
              </w:rPr>
              <w:t>固定资产，扣2.0分，其他任意一处制度执行不到位的扣1.0分，扣完为止。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33B792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有效</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5E5817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较有效</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C26F09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8.00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0DFBC9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6.00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3675B5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75.00%</w:t>
            </w:r>
          </w:p>
        </w:tc>
      </w:tr>
      <w:tr w14:paraId="27A7E1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63379E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小计</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227070D">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4C55924">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AA431D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25.00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913014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22.00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0F7D8D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88.00%</w:t>
            </w:r>
          </w:p>
        </w:tc>
      </w:tr>
      <w:tr w14:paraId="750F6B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0A5B61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C产出</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（30.00分）</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5EEE4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C1产出数量（14.00分）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7396D2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C11化工及化工安全实训基地设备采购计划完成率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E9E2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政府采购项目实施的实际产出数与合同约定产出数的比率，用以反映和考核政府采购产出数量目标的实现程度。</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60E5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实际完成率=（实际验收数/计划采购数）×100.00%。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①绩效目标超额完成，即实际完成率≥200%，得0分；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②绩效目标超额完成，100%≤完成率&lt;200%，得分=（1-（实际完成率-100%））×权重分值；</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③绩效目标未完成，若60%≤完成率&lt;100%，得分=（实际完成率-60%）/（1-60%）×权重分值；若完成率&lt;60%，得0.00分。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CE89A7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E3E175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191AA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eastAsia" w:eastAsia="宋体" w:cs="Times New Roman"/>
                <w:i w:val="0"/>
                <w:iCs w:val="0"/>
                <w:color w:val="000000"/>
                <w:kern w:val="0"/>
                <w:sz w:val="20"/>
                <w:szCs w:val="20"/>
                <w:u w:val="none"/>
                <w:lang w:val="en-US" w:eastAsia="zh-CN" w:bidi="ar"/>
              </w:rPr>
              <w:t>10</w:t>
            </w:r>
            <w:r>
              <w:rPr>
                <w:rFonts w:hint="default" w:ascii="Times New Roman" w:hAnsi="Times New Roman" w:eastAsia="宋体" w:cs="Times New Roman"/>
                <w:i w:val="0"/>
                <w:iCs w:val="0"/>
                <w:color w:val="000000"/>
                <w:kern w:val="0"/>
                <w:sz w:val="20"/>
                <w:szCs w:val="20"/>
                <w:u w:val="none"/>
                <w:lang w:val="en-US" w:eastAsia="zh-CN" w:bidi="ar"/>
              </w:rPr>
              <w:t xml:space="preserve">.00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DE64C1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eastAsia" w:eastAsia="宋体" w:cs="Times New Roman"/>
                <w:i w:val="0"/>
                <w:iCs w:val="0"/>
                <w:color w:val="000000"/>
                <w:kern w:val="0"/>
                <w:sz w:val="20"/>
                <w:szCs w:val="20"/>
                <w:u w:val="none"/>
                <w:lang w:val="en-US" w:eastAsia="zh-CN" w:bidi="ar"/>
              </w:rPr>
              <w:t>10</w:t>
            </w:r>
            <w:r>
              <w:rPr>
                <w:rFonts w:hint="default" w:ascii="Times New Roman" w:hAnsi="Times New Roman" w:eastAsia="宋体" w:cs="Times New Roman"/>
                <w:i w:val="0"/>
                <w:iCs w:val="0"/>
                <w:color w:val="000000"/>
                <w:kern w:val="0"/>
                <w:sz w:val="20"/>
                <w:szCs w:val="20"/>
                <w:u w:val="none"/>
                <w:lang w:val="en-US" w:eastAsia="zh-CN" w:bidi="ar"/>
              </w:rPr>
              <w:t xml:space="preserve">.00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19E27F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22926F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8BA106">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1372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277041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C12电商及直播实训基地采购计划完成率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B0AF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政府采购项目实施的实际产出数与合同约定产出数的比率，用以反映和考核政府采购产出数量目标的实现程度。</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84F5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实际完成率=（实际验收数/计划采购数）×100.00%。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①绩效目标超额完成，即实际完成率≥200%，得0分；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②绩效目标超额完成，100%≤完成率&lt;200%，得分=（1-（实际完成率-100%））×权重分值；</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③绩效目标未完成，若60%≤完成率&lt;100%，得分=（实际完成率-60%）/（1-60%）×权重分值；若完成率&lt;60%，得0.00分。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E118E6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309C3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4B2696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eastAsia" w:eastAsia="宋体" w:cs="Times New Roman"/>
                <w:i w:val="0"/>
                <w:iCs w:val="0"/>
                <w:color w:val="000000"/>
                <w:kern w:val="0"/>
                <w:sz w:val="20"/>
                <w:szCs w:val="20"/>
                <w:u w:val="none"/>
                <w:lang w:val="en-US" w:eastAsia="zh-CN" w:bidi="ar"/>
              </w:rPr>
              <w:t>4</w:t>
            </w:r>
            <w:r>
              <w:rPr>
                <w:rFonts w:hint="default" w:ascii="Times New Roman" w:hAnsi="Times New Roman" w:eastAsia="宋体" w:cs="Times New Roman"/>
                <w:i w:val="0"/>
                <w:iCs w:val="0"/>
                <w:color w:val="000000"/>
                <w:kern w:val="0"/>
                <w:sz w:val="20"/>
                <w:szCs w:val="20"/>
                <w:u w:val="none"/>
                <w:lang w:val="en-US" w:eastAsia="zh-CN" w:bidi="ar"/>
              </w:rPr>
              <w:t xml:space="preserve">.00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48A12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eastAsia" w:eastAsia="宋体" w:cs="Times New Roman"/>
                <w:i w:val="0"/>
                <w:iCs w:val="0"/>
                <w:color w:val="000000"/>
                <w:kern w:val="0"/>
                <w:sz w:val="20"/>
                <w:szCs w:val="20"/>
                <w:u w:val="none"/>
                <w:lang w:val="en-US" w:eastAsia="zh-CN" w:bidi="ar"/>
              </w:rPr>
              <w:t>4</w:t>
            </w:r>
            <w:r>
              <w:rPr>
                <w:rFonts w:hint="default" w:ascii="Times New Roman" w:hAnsi="Times New Roman" w:eastAsia="宋体" w:cs="Times New Roman"/>
                <w:i w:val="0"/>
                <w:iCs w:val="0"/>
                <w:color w:val="000000"/>
                <w:kern w:val="0"/>
                <w:sz w:val="20"/>
                <w:szCs w:val="20"/>
                <w:u w:val="none"/>
                <w:lang w:val="en-US" w:eastAsia="zh-CN" w:bidi="ar"/>
              </w:rPr>
              <w:t xml:space="preserve">.00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54FE41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0F16EA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942A95">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56C91A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C2产出质量（6.00分）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46EF24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C21设备验收合格率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D25DD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政府采购项目完成的质量达标产出数与实际产出数的比率，用以反映和考核项目产出质量目标的实现程度。</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5B05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实际完成率=实际验收合格数/计划验收合格数×100%。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达到100.00%的满分，每发现1处不符合情况扣1.00分，扣完为止。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85F1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70675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E0E17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6.00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CF6FAF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6.00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4F49C4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3AF175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A95D18">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nil"/>
              <w:right w:val="single" w:color="000000" w:sz="4" w:space="0"/>
            </w:tcBorders>
            <w:shd w:val="clear" w:color="auto" w:fill="auto"/>
            <w:vAlign w:val="center"/>
          </w:tcPr>
          <w:p w14:paraId="632469C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C3产出时效（5.00分）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07509A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C31采购完成及时率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77D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政府采购实际完成时间与方案计划完成时间的比较，用以反映和考核政府采购产出时效目标的实现程度。</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AD1B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实际完成时间是否晚于项目实施计划完成时间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E9A1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06C653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1E8B65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EB1604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8A1A87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23AB8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B14B8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AB62D8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C4产出成本（5.00分）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5CE76C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C41成本节约率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F5497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采购项目最终中标（成交）金额占预算资金的比重。用以反映和考核政府采购在节约财政资金方面的作用。①是否成本超过预算。②政府采购价格是否高于市场价。</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5EF7D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成本节约率=（计划成本-实际成本）/计划成本×100.00%。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①成本节约率小于0.00%，得0.00分；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②成本节约率大于0.00%且小于等于10.00%，得满分；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③成本节约率等于0.00%，扣1分，当成本节约率大于10.00%，扣2分，直至扣完为止。</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5C8C95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0%-10%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DDEA6E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0.00%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EA69D6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A59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4.00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FDF116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80.00%</w:t>
            </w:r>
          </w:p>
        </w:tc>
      </w:tr>
      <w:tr w14:paraId="3A87DD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33101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小计</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6218FE5">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94C1862">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b/>
                <w:bCs/>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3E0A1E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30.00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FE895F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29.00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AAD7CD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96.67%</w:t>
            </w:r>
          </w:p>
        </w:tc>
      </w:tr>
      <w:tr w14:paraId="2EA73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255481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D效益</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（35.00分）</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CAD77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w:t>
            </w:r>
            <w:r>
              <w:rPr>
                <w:rFonts w:hint="eastAsia" w:eastAsia="宋体" w:cs="Times New Roman"/>
                <w:i w:val="0"/>
                <w:iCs w:val="0"/>
                <w:color w:val="000000"/>
                <w:kern w:val="0"/>
                <w:sz w:val="20"/>
                <w:szCs w:val="20"/>
                <w:u w:val="none"/>
                <w:lang w:val="en-US" w:eastAsia="zh-CN" w:bidi="ar"/>
              </w:rPr>
              <w:t>1</w:t>
            </w:r>
            <w:r>
              <w:rPr>
                <w:rFonts w:hint="default" w:ascii="Times New Roman" w:hAnsi="Times New Roman" w:eastAsia="宋体" w:cs="Times New Roman"/>
                <w:i w:val="0"/>
                <w:iCs w:val="0"/>
                <w:color w:val="000000"/>
                <w:kern w:val="0"/>
                <w:sz w:val="20"/>
                <w:szCs w:val="20"/>
                <w:u w:val="none"/>
                <w:lang w:val="en-US" w:eastAsia="zh-CN" w:bidi="ar"/>
              </w:rPr>
              <w:t>社会效益指标（2</w:t>
            </w:r>
            <w:r>
              <w:rPr>
                <w:rFonts w:hint="eastAsia" w:eastAsia="宋体" w:cs="Times New Roman"/>
                <w:i w:val="0"/>
                <w:iCs w:val="0"/>
                <w:color w:val="000000"/>
                <w:kern w:val="0"/>
                <w:sz w:val="20"/>
                <w:szCs w:val="20"/>
                <w:u w:val="none"/>
                <w:lang w:val="en-US" w:eastAsia="zh-CN" w:bidi="ar"/>
              </w:rPr>
              <w:t>0</w:t>
            </w:r>
            <w:r>
              <w:rPr>
                <w:rFonts w:hint="default" w:ascii="Times New Roman" w:hAnsi="Times New Roman" w:eastAsia="宋体" w:cs="Times New Roman"/>
                <w:i w:val="0"/>
                <w:iCs w:val="0"/>
                <w:color w:val="000000"/>
                <w:kern w:val="0"/>
                <w:sz w:val="20"/>
                <w:szCs w:val="20"/>
                <w:u w:val="none"/>
                <w:lang w:val="en-US" w:eastAsia="zh-CN" w:bidi="ar"/>
              </w:rPr>
              <w:t>.00分）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7D5BB4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D11设备利用率</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3C4A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项目实施所产生的可持续影响是否完全达到设计功能实现率达100.00%的效益目标</w:t>
            </w:r>
          </w:p>
        </w:tc>
        <w:tc>
          <w:tcPr>
            <w:tcW w:w="3749" w:type="dxa"/>
            <w:tcBorders>
              <w:top w:val="single" w:color="000000" w:sz="4" w:space="0"/>
              <w:left w:val="single" w:color="000000" w:sz="4" w:space="0"/>
              <w:bottom w:val="single" w:color="000000" w:sz="4" w:space="0"/>
              <w:right w:val="nil"/>
            </w:tcBorders>
            <w:shd w:val="clear" w:color="auto" w:fill="auto"/>
            <w:vAlign w:val="center"/>
          </w:tcPr>
          <w:p w14:paraId="4C37005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实际完成率=实际使用设备数量/计划使用设备数量×100.00%。①若化工和电商实训室设备均正常使用，得满分；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②若只有一个实训室设备正常使用，使用记录项目，得50%分。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6F76CC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00F4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A11E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27C1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10.00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856CEA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4C5095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92D10E">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5136A3">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0AD08E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D12受益学生人数</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F15D0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考核项目实施后主要受益人员情况。</w:t>
            </w:r>
          </w:p>
        </w:tc>
        <w:tc>
          <w:tcPr>
            <w:tcW w:w="37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F6E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实际完成率=（实际产出数/计划产出数）×100.0%。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①绩效目标超额完成，即实际完成率≥</w:t>
            </w:r>
            <w:r>
              <w:rPr>
                <w:rFonts w:hint="eastAsia" w:ascii="Times New Roman" w:hAnsi="Times New Roman" w:eastAsia="宋体" w:cs="Times New Roman"/>
                <w:i w:val="0"/>
                <w:iCs w:val="0"/>
                <w:color w:val="000000"/>
                <w:kern w:val="0"/>
                <w:sz w:val="20"/>
                <w:szCs w:val="20"/>
                <w:u w:val="none"/>
                <w:lang w:val="en-US" w:eastAsia="zh-CN" w:bidi="ar"/>
              </w:rPr>
              <w:t>1</w:t>
            </w:r>
            <w:r>
              <w:rPr>
                <w:rFonts w:hint="default" w:ascii="Times New Roman" w:hAnsi="Times New Roman" w:eastAsia="宋体" w:cs="Times New Roman"/>
                <w:i w:val="0"/>
                <w:iCs w:val="0"/>
                <w:color w:val="000000"/>
                <w:kern w:val="0"/>
                <w:sz w:val="20"/>
                <w:szCs w:val="20"/>
                <w:u w:val="none"/>
                <w:lang w:val="en-US" w:eastAsia="zh-CN" w:bidi="ar"/>
              </w:rPr>
              <w:t>00%，得</w:t>
            </w:r>
            <w:r>
              <w:rPr>
                <w:rFonts w:hint="eastAsia" w:ascii="Times New Roman" w:hAnsi="Times New Roman" w:eastAsia="宋体" w:cs="Times New Roman"/>
                <w:i w:val="0"/>
                <w:iCs w:val="0"/>
                <w:color w:val="000000"/>
                <w:kern w:val="0"/>
                <w:sz w:val="20"/>
                <w:szCs w:val="20"/>
                <w:u w:val="none"/>
                <w:lang w:val="en-US" w:eastAsia="zh-CN" w:bidi="ar"/>
              </w:rPr>
              <w:t>满</w:t>
            </w:r>
            <w:r>
              <w:rPr>
                <w:rFonts w:hint="default" w:ascii="Times New Roman" w:hAnsi="Times New Roman" w:eastAsia="宋体" w:cs="Times New Roman"/>
                <w:i w:val="0"/>
                <w:iCs w:val="0"/>
                <w:color w:val="000000"/>
                <w:kern w:val="0"/>
                <w:sz w:val="20"/>
                <w:szCs w:val="20"/>
                <w:u w:val="none"/>
                <w:lang w:val="en-US" w:eastAsia="zh-CN" w:bidi="ar"/>
              </w:rPr>
              <w:t>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②绩效目标未完成，若60%≤完成率&lt;100%，得分=（实际完成率-60%）/（1-60%）×权重分值；若完成率&lt;60%，得0分。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46DC0F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≥150人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123F4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 157人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A6F6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7CE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10.00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64C7A2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100.00%</w:t>
            </w:r>
          </w:p>
        </w:tc>
      </w:tr>
      <w:tr w14:paraId="61285B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D75F59">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85F19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w:t>
            </w:r>
            <w:r>
              <w:rPr>
                <w:rFonts w:hint="eastAsia" w:eastAsia="宋体" w:cs="Times New Roman"/>
                <w:i w:val="0"/>
                <w:iCs w:val="0"/>
                <w:color w:val="000000"/>
                <w:kern w:val="0"/>
                <w:sz w:val="20"/>
                <w:szCs w:val="20"/>
                <w:u w:val="none"/>
                <w:lang w:val="en-US" w:eastAsia="zh-CN" w:bidi="ar"/>
              </w:rPr>
              <w:t>2</w:t>
            </w:r>
            <w:r>
              <w:rPr>
                <w:rFonts w:hint="default" w:ascii="Times New Roman" w:hAnsi="Times New Roman" w:eastAsia="宋体" w:cs="Times New Roman"/>
                <w:i w:val="0"/>
                <w:iCs w:val="0"/>
                <w:color w:val="000000"/>
                <w:kern w:val="0"/>
                <w:sz w:val="20"/>
                <w:szCs w:val="20"/>
                <w:u w:val="none"/>
                <w:lang w:val="en-US" w:eastAsia="zh-CN" w:bidi="ar"/>
              </w:rPr>
              <w:t>服务对象满意度指标（1</w:t>
            </w:r>
            <w:r>
              <w:rPr>
                <w:rFonts w:hint="eastAsia" w:eastAsia="宋体" w:cs="Times New Roman"/>
                <w:i w:val="0"/>
                <w:iCs w:val="0"/>
                <w:color w:val="000000"/>
                <w:kern w:val="0"/>
                <w:sz w:val="20"/>
                <w:szCs w:val="20"/>
                <w:u w:val="none"/>
                <w:lang w:val="en-US" w:eastAsia="zh-CN" w:bidi="ar"/>
              </w:rPr>
              <w:t>5</w:t>
            </w:r>
            <w:r>
              <w:rPr>
                <w:rFonts w:hint="default" w:ascii="Times New Roman" w:hAnsi="Times New Roman" w:eastAsia="宋体" w:cs="Times New Roman"/>
                <w:i w:val="0"/>
                <w:iCs w:val="0"/>
                <w:color w:val="000000"/>
                <w:kern w:val="0"/>
                <w:sz w:val="20"/>
                <w:szCs w:val="20"/>
                <w:u w:val="none"/>
                <w:lang w:val="en-US" w:eastAsia="zh-CN" w:bidi="ar"/>
              </w:rPr>
              <w:t>.00分）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0AF6D1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D21受益教师满意度</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EA26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社会公众或服务对象对项目实施效果的满意程度。</w:t>
            </w:r>
          </w:p>
        </w:tc>
        <w:tc>
          <w:tcPr>
            <w:tcW w:w="3749" w:type="dxa"/>
            <w:tcBorders>
              <w:top w:val="single" w:color="000000" w:sz="4" w:space="0"/>
              <w:left w:val="single" w:color="000000" w:sz="4" w:space="0"/>
              <w:bottom w:val="single" w:color="000000" w:sz="4" w:space="0"/>
              <w:right w:val="nil"/>
            </w:tcBorders>
            <w:shd w:val="clear" w:color="auto" w:fill="auto"/>
            <w:vAlign w:val="center"/>
          </w:tcPr>
          <w:p w14:paraId="4E16AAB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根据满意度问卷统计情况计算满意度完成比率，指标完成率=∑样本数（“非常满意”×1.00+“较为满意”×0.80+“一般满意”×0.60+“不满意”×0.30+“很不满意”×0.00）/总样本数×100.00%。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①若90.00%≤完成率≤100.00%，得分=100.00%×权重；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②若80.00%≤完成率&lt;90.00%，得分=80.00%×权重；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③若60.00%≤完成率&lt;80.00%，得分=60.00%×权重；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④若完成率&lt;60.00%，得分=0.00分。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综合满意度根据设置的问卷统计结果按照加权平均数计算。</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603BB1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≥90.00%</w:t>
            </w:r>
          </w:p>
        </w:tc>
        <w:tc>
          <w:tcPr>
            <w:tcW w:w="0" w:type="auto"/>
            <w:tcBorders>
              <w:top w:val="single" w:color="000000" w:sz="4" w:space="0"/>
              <w:left w:val="nil"/>
              <w:bottom w:val="single" w:color="000000" w:sz="4" w:space="0"/>
              <w:right w:val="single" w:color="000000" w:sz="4" w:space="0"/>
            </w:tcBorders>
            <w:shd w:val="clear" w:color="auto" w:fill="auto"/>
            <w:noWrap/>
            <w:vAlign w:val="center"/>
          </w:tcPr>
          <w:p w14:paraId="0CBC756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83.74%</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625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8.00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D812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6.40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CFF967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80.00%</w:t>
            </w:r>
          </w:p>
        </w:tc>
      </w:tr>
      <w:tr w14:paraId="01B186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trPr>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627F0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363791">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AF5A2F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D22受益学生满意度</w:t>
            </w:r>
          </w:p>
        </w:tc>
        <w:tc>
          <w:tcPr>
            <w:tcW w:w="26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451A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社会公众或服务对象对项目实施效果的满意程度。</w:t>
            </w:r>
          </w:p>
        </w:tc>
        <w:tc>
          <w:tcPr>
            <w:tcW w:w="3749" w:type="dxa"/>
            <w:tcBorders>
              <w:top w:val="single" w:color="000000" w:sz="4" w:space="0"/>
              <w:left w:val="single" w:color="000000" w:sz="4" w:space="0"/>
              <w:bottom w:val="single" w:color="000000" w:sz="4" w:space="0"/>
              <w:right w:val="nil"/>
            </w:tcBorders>
            <w:shd w:val="clear" w:color="auto" w:fill="auto"/>
            <w:vAlign w:val="center"/>
          </w:tcPr>
          <w:p w14:paraId="50D8A3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根据满意度问卷统计情况计算满意度完成比率，指标完成率=∑样本数（“非常满意”×1.00+“较为满意”×0.80+“一般满意”×0.60+“不满意”×0.30+“很不满意”×0.00）/总样本数×100.00%。</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①若90.00%≤完成率≤100.00%，得分=100.00%×权重；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②若80.00%≤完成率&lt;90.00%，得分=80.00%×权重；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③若60.00%≤完成率&lt;80.00%，得分=60.00%×权重；</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④若完成率&lt;60.00%，得分=0.00分。</w:t>
            </w:r>
            <w:r>
              <w:rPr>
                <w:rFonts w:hint="default" w:ascii="Times New Roman" w:hAnsi="Times New Roman" w:eastAsia="宋体" w:cs="Times New Roman"/>
                <w:i w:val="0"/>
                <w:iCs w:val="0"/>
                <w:color w:val="000000"/>
                <w:kern w:val="0"/>
                <w:sz w:val="20"/>
                <w:szCs w:val="20"/>
                <w:u w:val="none"/>
                <w:lang w:val="en-US" w:eastAsia="zh-CN" w:bidi="ar"/>
              </w:rPr>
              <w:br w:type="textWrapping"/>
            </w:r>
            <w:r>
              <w:rPr>
                <w:rFonts w:hint="default" w:ascii="Times New Roman" w:hAnsi="Times New Roman" w:eastAsia="宋体" w:cs="Times New Roman"/>
                <w:i w:val="0"/>
                <w:iCs w:val="0"/>
                <w:color w:val="000000"/>
                <w:kern w:val="0"/>
                <w:sz w:val="20"/>
                <w:szCs w:val="20"/>
                <w:u w:val="none"/>
                <w:lang w:val="en-US" w:eastAsia="zh-CN" w:bidi="ar"/>
              </w:rPr>
              <w:t>综合满意度根据设置的问卷统计结果按照加权平均数计算。</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2A6CF1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≥90.00%</w:t>
            </w:r>
          </w:p>
        </w:tc>
        <w:tc>
          <w:tcPr>
            <w:tcW w:w="0" w:type="auto"/>
            <w:tcBorders>
              <w:top w:val="single" w:color="000000" w:sz="4" w:space="0"/>
              <w:left w:val="nil"/>
              <w:bottom w:val="single" w:color="000000" w:sz="4" w:space="0"/>
              <w:right w:val="single" w:color="000000" w:sz="4" w:space="0"/>
            </w:tcBorders>
            <w:shd w:val="clear" w:color="auto" w:fill="auto"/>
            <w:noWrap/>
            <w:vAlign w:val="center"/>
          </w:tcPr>
          <w:p w14:paraId="288B573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86.11%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9290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7.00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A7C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 xml:space="preserve">5.60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EEC75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0"/>
                <w:szCs w:val="20"/>
                <w:u w:val="none"/>
              </w:rPr>
            </w:pPr>
            <w:r>
              <w:rPr>
                <w:rFonts w:hint="default" w:ascii="Times New Roman" w:hAnsi="Times New Roman" w:eastAsia="宋体" w:cs="Times New Roman"/>
                <w:i w:val="0"/>
                <w:iCs w:val="0"/>
                <w:color w:val="000000"/>
                <w:kern w:val="0"/>
                <w:sz w:val="20"/>
                <w:szCs w:val="20"/>
                <w:u w:val="none"/>
                <w:lang w:val="en-US" w:eastAsia="zh-CN" w:bidi="ar"/>
              </w:rPr>
              <w:t>80.00%</w:t>
            </w:r>
          </w:p>
        </w:tc>
      </w:tr>
      <w:tr w14:paraId="66A4EF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165219E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小计</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536564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nil"/>
              <w:bottom w:val="single" w:color="000000" w:sz="4" w:space="0"/>
              <w:right w:val="single" w:color="000000" w:sz="4" w:space="0"/>
            </w:tcBorders>
            <w:shd w:val="clear" w:color="auto" w:fill="auto"/>
            <w:noWrap/>
            <w:vAlign w:val="center"/>
          </w:tcPr>
          <w:p w14:paraId="1BB69E6A">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965C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35.00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E001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32.00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74902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91.43%</w:t>
            </w:r>
          </w:p>
        </w:tc>
      </w:tr>
      <w:tr w14:paraId="039C0C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0" w:type="auto"/>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24D5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合计</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B4125A8">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23E6A">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0"/>
                <w:szCs w:val="20"/>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29D9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100.00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B76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 xml:space="preserve">91.50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273D3F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0"/>
                <w:szCs w:val="20"/>
                <w:u w:val="none"/>
              </w:rPr>
            </w:pPr>
            <w:r>
              <w:rPr>
                <w:rFonts w:hint="default" w:ascii="Times New Roman" w:hAnsi="Times New Roman" w:eastAsia="宋体" w:cs="Times New Roman"/>
                <w:b/>
                <w:bCs/>
                <w:i w:val="0"/>
                <w:iCs w:val="0"/>
                <w:color w:val="000000"/>
                <w:kern w:val="0"/>
                <w:sz w:val="20"/>
                <w:szCs w:val="20"/>
                <w:u w:val="none"/>
                <w:lang w:val="en-US" w:eastAsia="zh-CN" w:bidi="ar"/>
              </w:rPr>
              <w:t>91.50%</w:t>
            </w:r>
          </w:p>
        </w:tc>
      </w:tr>
    </w:tbl>
    <w:p w14:paraId="236A7597">
      <w:pPr>
        <w:ind w:firstLine="420"/>
        <w:rPr>
          <w:rFonts w:ascii="Times New Roman" w:hAnsi="Times New Roman" w:cs="Times New Roman"/>
          <w:color w:val="auto"/>
        </w:rPr>
        <w:sectPr>
          <w:footerReference r:id="rId12" w:type="default"/>
          <w:pgSz w:w="16838" w:h="11906" w:orient="landscape"/>
          <w:pgMar w:top="1800" w:right="1440" w:bottom="1800" w:left="1440" w:header="851" w:footer="907" w:gutter="0"/>
          <w:cols w:space="425" w:num="1"/>
          <w:docGrid w:type="lines" w:linePitch="312" w:charSpace="0"/>
        </w:sectPr>
      </w:pPr>
    </w:p>
    <w:p w14:paraId="510A7A6E">
      <w:pPr>
        <w:pStyle w:val="2"/>
        <w:ind w:firstLine="0" w:firstLineChars="0"/>
        <w:rPr>
          <w:rFonts w:ascii="Times New Roman" w:hAnsi="Times New Roman"/>
          <w:color w:val="auto"/>
        </w:rPr>
      </w:pPr>
      <w:bookmarkStart w:id="120" w:name="_Toc18773"/>
      <w:r>
        <w:rPr>
          <w:rFonts w:ascii="Times New Roman" w:hAnsi="Times New Roman"/>
          <w:color w:val="auto"/>
        </w:rPr>
        <w:t>附件2：基础表</w:t>
      </w:r>
      <w:bookmarkEnd w:id="117"/>
      <w:bookmarkEnd w:id="118"/>
      <w:bookmarkEnd w:id="119"/>
      <w:bookmarkEnd w:id="120"/>
    </w:p>
    <w:p w14:paraId="1EAC809E">
      <w:pPr>
        <w:pStyle w:val="3"/>
        <w:ind w:firstLine="0" w:firstLineChars="0"/>
        <w:jc w:val="center"/>
        <w:rPr>
          <w:rFonts w:hint="default" w:ascii="Times New Roman" w:hAnsi="Times New Roman" w:eastAsia="宋体" w:cs="Times New Roman"/>
          <w:color w:val="auto"/>
          <w:sz w:val="21"/>
          <w:szCs w:val="21"/>
        </w:rPr>
      </w:pPr>
      <w:bookmarkStart w:id="121" w:name="_Toc19228"/>
      <w:bookmarkStart w:id="122" w:name="_Toc4678"/>
      <w:r>
        <w:rPr>
          <w:rFonts w:hint="default" w:ascii="Times New Roman" w:hAnsi="Times New Roman" w:eastAsia="宋体" w:cs="Times New Roman"/>
          <w:color w:val="auto"/>
          <w:sz w:val="21"/>
          <w:szCs w:val="21"/>
        </w:rPr>
        <w:t>附表2-1：</w:t>
      </w:r>
      <w:r>
        <w:rPr>
          <w:rFonts w:hint="default" w:ascii="Times New Roman" w:hAnsi="Times New Roman" w:eastAsia="宋体" w:cs="Times New Roman"/>
          <w:color w:val="auto"/>
          <w:sz w:val="21"/>
          <w:szCs w:val="21"/>
          <w:lang w:val="en-US" w:eastAsia="zh-CN"/>
        </w:rPr>
        <w:t>化工及化工安全实训基地设备采购项目</w:t>
      </w:r>
      <w:r>
        <w:rPr>
          <w:rFonts w:hint="default" w:ascii="Times New Roman" w:hAnsi="Times New Roman" w:eastAsia="宋体" w:cs="Times New Roman"/>
          <w:color w:val="auto"/>
          <w:sz w:val="21"/>
          <w:szCs w:val="21"/>
        </w:rPr>
        <w:t>合同明细表</w:t>
      </w:r>
      <w:bookmarkEnd w:id="121"/>
      <w:bookmarkEnd w:id="122"/>
    </w:p>
    <w:p w14:paraId="2E0A74A7">
      <w:pPr>
        <w:jc w:val="right"/>
        <w:rPr>
          <w:rFonts w:hint="default" w:eastAsia="宋体"/>
          <w:lang w:val="en-US" w:eastAsia="zh-CN"/>
        </w:rPr>
      </w:pPr>
      <w:r>
        <w:rPr>
          <w:rFonts w:hint="eastAsia" w:eastAsia="宋体" w:cs="Times New Roman"/>
          <w:color w:val="auto"/>
          <w:sz w:val="21"/>
          <w:szCs w:val="21"/>
          <w:lang w:val="en-US" w:eastAsia="zh-CN"/>
        </w:rPr>
        <w:t>单位：万元</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82"/>
        <w:gridCol w:w="2117"/>
        <w:gridCol w:w="917"/>
        <w:gridCol w:w="1235"/>
        <w:gridCol w:w="3568"/>
      </w:tblGrid>
      <w:tr w14:paraId="0FE10E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7EC4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序号</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BF23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支付时间</w:t>
            </w:r>
          </w:p>
        </w:tc>
        <w:tc>
          <w:tcPr>
            <w:tcW w:w="5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1EE3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合同价</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D1C57">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支付金额</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6F5D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收款单位</w:t>
            </w:r>
          </w:p>
        </w:tc>
      </w:tr>
      <w:tr w14:paraId="752F0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69F2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2A85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2024年4月24日</w:t>
            </w:r>
          </w:p>
        </w:tc>
        <w:tc>
          <w:tcPr>
            <w:tcW w:w="538" w:type="pct"/>
            <w:vMerge w:val="restart"/>
            <w:tcBorders>
              <w:top w:val="single" w:color="000000" w:sz="4" w:space="0"/>
              <w:left w:val="single" w:color="000000" w:sz="4" w:space="0"/>
              <w:bottom w:val="nil"/>
              <w:right w:val="single" w:color="000000" w:sz="4" w:space="0"/>
            </w:tcBorders>
            <w:shd w:val="clear" w:color="auto" w:fill="auto"/>
            <w:noWrap/>
            <w:vAlign w:val="center"/>
          </w:tcPr>
          <w:p w14:paraId="300EC46D">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428.60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83DC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619.00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42452">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天津市睿智天成科技发展有限公司</w:t>
            </w:r>
          </w:p>
        </w:tc>
      </w:tr>
      <w:tr w14:paraId="292B84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63D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9107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2024年6月12日</w:t>
            </w:r>
          </w:p>
        </w:tc>
        <w:tc>
          <w:tcPr>
            <w:tcW w:w="538" w:type="pct"/>
            <w:vMerge w:val="continue"/>
            <w:tcBorders>
              <w:top w:val="single" w:color="000000" w:sz="4" w:space="0"/>
              <w:left w:val="single" w:color="000000" w:sz="4" w:space="0"/>
              <w:bottom w:val="nil"/>
              <w:right w:val="single" w:color="000000" w:sz="4" w:space="0"/>
            </w:tcBorders>
            <w:shd w:val="clear" w:color="auto" w:fill="auto"/>
            <w:noWrap/>
            <w:vAlign w:val="center"/>
          </w:tcPr>
          <w:p w14:paraId="00F91043">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C39B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619.00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0AD3E">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天津市睿智天成科技发展有限公司</w:t>
            </w:r>
          </w:p>
        </w:tc>
      </w:tr>
      <w:tr w14:paraId="0AF2EE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0301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0D94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2024年9月19日</w:t>
            </w:r>
          </w:p>
        </w:tc>
        <w:tc>
          <w:tcPr>
            <w:tcW w:w="538" w:type="pct"/>
            <w:vMerge w:val="continue"/>
            <w:tcBorders>
              <w:top w:val="single" w:color="000000" w:sz="4" w:space="0"/>
              <w:left w:val="single" w:color="000000" w:sz="4" w:space="0"/>
              <w:bottom w:val="nil"/>
              <w:right w:val="single" w:color="000000" w:sz="4" w:space="0"/>
            </w:tcBorders>
            <w:shd w:val="clear" w:color="auto" w:fill="auto"/>
            <w:noWrap/>
            <w:vAlign w:val="center"/>
          </w:tcPr>
          <w:p w14:paraId="48F1496C">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AD2B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170.60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DB6DE">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天津市睿智天成科技发展有限公司</w:t>
            </w:r>
          </w:p>
        </w:tc>
      </w:tr>
      <w:tr w14:paraId="095166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164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91E8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小计</w:t>
            </w:r>
          </w:p>
        </w:tc>
        <w:tc>
          <w:tcPr>
            <w:tcW w:w="5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0C7C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428.60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1CCF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428.60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DF9E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r w14:paraId="1F39EF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3A2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212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2024年12月5日</w:t>
            </w:r>
          </w:p>
        </w:tc>
        <w:tc>
          <w:tcPr>
            <w:tcW w:w="5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69794CB">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67.800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C456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41.00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573F7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新疆新诺睿博科教设备有限公司</w:t>
            </w:r>
          </w:p>
        </w:tc>
      </w:tr>
      <w:tr w14:paraId="56A6B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8C25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BCDB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2024年12月11日</w:t>
            </w:r>
          </w:p>
        </w:tc>
        <w:tc>
          <w:tcPr>
            <w:tcW w:w="5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7EC8A6">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B58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26.80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A6C35">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新疆新诺睿博科教设备有限公司</w:t>
            </w:r>
          </w:p>
        </w:tc>
      </w:tr>
      <w:tr w14:paraId="29D09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164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4A1B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小计</w:t>
            </w:r>
          </w:p>
        </w:tc>
        <w:tc>
          <w:tcPr>
            <w:tcW w:w="5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D2844">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67.80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1990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67.80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83CB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r w14:paraId="2218F0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A968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7</w:t>
            </w:r>
          </w:p>
        </w:tc>
        <w:tc>
          <w:tcPr>
            <w:tcW w:w="12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A7CE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2024年12月17日</w:t>
            </w:r>
          </w:p>
        </w:tc>
        <w:tc>
          <w:tcPr>
            <w:tcW w:w="5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ECA93">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3.60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61EB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3.60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2496E">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both"/>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昌吉市诺诚科教设备经销部</w:t>
            </w:r>
          </w:p>
        </w:tc>
      </w:tr>
      <w:tr w14:paraId="589CCF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1642"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34D1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合计</w:t>
            </w:r>
          </w:p>
        </w:tc>
        <w:tc>
          <w:tcPr>
            <w:tcW w:w="5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B7C1B">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500.00</w:t>
            </w:r>
          </w:p>
        </w:tc>
        <w:tc>
          <w:tcPr>
            <w:tcW w:w="7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EE9C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500.00</w:t>
            </w:r>
          </w:p>
        </w:tc>
        <w:tc>
          <w:tcPr>
            <w:tcW w:w="209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1634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bl>
    <w:p w14:paraId="48E76DE0">
      <w:pPr>
        <w:keepNext/>
        <w:keepLines/>
        <w:outlineLvl w:val="9"/>
        <w:rPr>
          <w:rFonts w:hint="default" w:ascii="Times New Roman" w:hAnsi="Times New Roman" w:eastAsia="宋体" w:cs="Times New Roman"/>
          <w:color w:val="auto"/>
          <w:sz w:val="21"/>
          <w:szCs w:val="21"/>
        </w:rPr>
      </w:pPr>
      <w:bookmarkStart w:id="123" w:name="_Toc4197"/>
    </w:p>
    <w:p w14:paraId="41864FEB">
      <w:pPr>
        <w:pStyle w:val="3"/>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2</w:t>
      </w:r>
      <w:r>
        <w:rPr>
          <w:rFonts w:hint="default" w:ascii="Times New Roman" w:hAnsi="Times New Roman" w:eastAsia="宋体" w:cs="Times New Roman"/>
          <w:color w:val="auto"/>
          <w:sz w:val="21"/>
          <w:szCs w:val="21"/>
        </w:rPr>
        <w:t>：</w:t>
      </w:r>
      <w:r>
        <w:rPr>
          <w:rFonts w:hint="default" w:ascii="Times New Roman" w:hAnsi="Times New Roman" w:eastAsia="宋体" w:cs="Times New Roman"/>
          <w:b/>
          <w:bCs/>
          <w:i w:val="0"/>
          <w:iCs w:val="0"/>
          <w:color w:val="auto"/>
          <w:kern w:val="0"/>
          <w:sz w:val="21"/>
          <w:szCs w:val="21"/>
          <w:u w:val="none"/>
          <w:lang w:val="en-US" w:eastAsia="zh-CN" w:bidi="ar"/>
        </w:rPr>
        <w:t>电商及直播运营实训基地设备采购项目</w:t>
      </w:r>
      <w:r>
        <w:rPr>
          <w:rFonts w:hint="default" w:ascii="Times New Roman" w:hAnsi="Times New Roman" w:eastAsia="宋体" w:cs="Times New Roman"/>
          <w:color w:val="auto"/>
          <w:sz w:val="21"/>
          <w:szCs w:val="21"/>
        </w:rPr>
        <w:t>合同明细表</w:t>
      </w:r>
      <w:bookmarkEnd w:id="123"/>
    </w:p>
    <w:p w14:paraId="011AEF84">
      <w:pPr>
        <w:jc w:val="right"/>
        <w:rPr>
          <w:rFonts w:hint="default" w:eastAsia="宋体"/>
          <w:lang w:val="en-US" w:eastAsia="zh-CN"/>
        </w:rPr>
      </w:pPr>
      <w:r>
        <w:rPr>
          <w:rFonts w:hint="eastAsia" w:eastAsia="宋体" w:cs="Times New Roman"/>
          <w:color w:val="auto"/>
          <w:sz w:val="21"/>
          <w:szCs w:val="21"/>
          <w:lang w:val="en-US" w:eastAsia="zh-CN"/>
        </w:rPr>
        <w:t>单位：万元</w:t>
      </w:r>
    </w:p>
    <w:tbl>
      <w:tblPr>
        <w:tblStyle w:val="21"/>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1"/>
        <w:gridCol w:w="2090"/>
        <w:gridCol w:w="975"/>
        <w:gridCol w:w="1200"/>
        <w:gridCol w:w="3541"/>
      </w:tblGrid>
      <w:tr w14:paraId="293C4F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6BDBD">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序号</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B74C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支付时间</w:t>
            </w:r>
          </w:p>
        </w:tc>
        <w:tc>
          <w:tcPr>
            <w:tcW w:w="5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C040C">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合同价</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D19EF">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支付金额</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E0C1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收款单位</w:t>
            </w:r>
          </w:p>
        </w:tc>
      </w:tr>
      <w:tr w14:paraId="74B651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57A3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7846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2024年6月12日</w:t>
            </w:r>
          </w:p>
        </w:tc>
        <w:tc>
          <w:tcPr>
            <w:tcW w:w="572" w:type="pct"/>
            <w:vMerge w:val="restart"/>
            <w:tcBorders>
              <w:top w:val="single" w:color="000000" w:sz="4" w:space="0"/>
              <w:left w:val="single" w:color="000000" w:sz="4" w:space="0"/>
              <w:bottom w:val="nil"/>
              <w:right w:val="single" w:color="000000" w:sz="4" w:space="0"/>
            </w:tcBorders>
            <w:shd w:val="clear" w:color="auto" w:fill="auto"/>
            <w:noWrap/>
            <w:vAlign w:val="center"/>
          </w:tcPr>
          <w:p w14:paraId="1D7E5627">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182.745 </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E5F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 55.00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1B0E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新疆金鸿瑞科教设备有限公司</w:t>
            </w:r>
          </w:p>
        </w:tc>
      </w:tr>
      <w:tr w14:paraId="2C0982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A9D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146D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2024年6月24日</w:t>
            </w:r>
          </w:p>
        </w:tc>
        <w:tc>
          <w:tcPr>
            <w:tcW w:w="572" w:type="pct"/>
            <w:vMerge w:val="continue"/>
            <w:tcBorders>
              <w:top w:val="single" w:color="000000" w:sz="4" w:space="0"/>
              <w:left w:val="single" w:color="000000" w:sz="4" w:space="0"/>
              <w:bottom w:val="nil"/>
              <w:right w:val="single" w:color="000000" w:sz="4" w:space="0"/>
            </w:tcBorders>
            <w:shd w:val="clear" w:color="auto" w:fill="auto"/>
            <w:noWrap/>
            <w:vAlign w:val="center"/>
          </w:tcPr>
          <w:p w14:paraId="3332028C">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1C52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 55.00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8494C">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新疆金鸿瑞科教设备有限公司</w:t>
            </w:r>
          </w:p>
        </w:tc>
      </w:tr>
      <w:tr w14:paraId="71B0B2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5127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0246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2024年9月19日</w:t>
            </w:r>
          </w:p>
        </w:tc>
        <w:tc>
          <w:tcPr>
            <w:tcW w:w="572" w:type="pct"/>
            <w:vMerge w:val="continue"/>
            <w:tcBorders>
              <w:top w:val="single" w:color="000000" w:sz="4" w:space="0"/>
              <w:left w:val="single" w:color="000000" w:sz="4" w:space="0"/>
              <w:bottom w:val="nil"/>
              <w:right w:val="single" w:color="000000" w:sz="4" w:space="0"/>
            </w:tcBorders>
            <w:shd w:val="clear" w:color="auto" w:fill="auto"/>
            <w:noWrap/>
            <w:vAlign w:val="center"/>
          </w:tcPr>
          <w:p w14:paraId="55EFE921">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D6B0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 72.745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6120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新疆金鸿瑞科教设备有限公司</w:t>
            </w:r>
          </w:p>
        </w:tc>
      </w:tr>
      <w:tr w14:paraId="0E2B8F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1644"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2AF2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小计</w:t>
            </w:r>
          </w:p>
        </w:tc>
        <w:tc>
          <w:tcPr>
            <w:tcW w:w="5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79EF3">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182.745 </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687B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182.745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1D49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r w14:paraId="216A8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CDD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7EC9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2024年10月22日</w:t>
            </w:r>
          </w:p>
        </w:tc>
        <w:tc>
          <w:tcPr>
            <w:tcW w:w="57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13D7B74">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17.255 </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324A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 15.91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9DC78">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新疆盯云智能科技有限公司</w:t>
            </w:r>
          </w:p>
        </w:tc>
      </w:tr>
      <w:tr w14:paraId="06369A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3B23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w:t>
            </w:r>
          </w:p>
        </w:tc>
        <w:tc>
          <w:tcPr>
            <w:tcW w:w="12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0511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2024年10月22日</w:t>
            </w:r>
          </w:p>
        </w:tc>
        <w:tc>
          <w:tcPr>
            <w:tcW w:w="57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5D74AC">
            <w:pPr>
              <w:keepNext w:val="0"/>
              <w:keepLines w:val="0"/>
              <w:pageBreakBefore w:val="0"/>
              <w:kinsoku/>
              <w:wordWrap/>
              <w:overflowPunct/>
              <w:topLinePunct w:val="0"/>
              <w:autoSpaceDE/>
              <w:autoSpaceDN/>
              <w:bidi w:val="0"/>
              <w:adjustRightInd w:val="0"/>
              <w:snapToGrid w:val="0"/>
              <w:spacing w:line="240" w:lineRule="auto"/>
              <w:ind w:firstLine="0" w:firstLineChars="0"/>
              <w:jc w:val="right"/>
              <w:rPr>
                <w:rFonts w:hint="default" w:ascii="Times New Roman" w:hAnsi="Times New Roman" w:eastAsia="宋体" w:cs="Times New Roman"/>
                <w:i w:val="0"/>
                <w:iCs w:val="0"/>
                <w:color w:val="auto"/>
                <w:sz w:val="21"/>
                <w:szCs w:val="21"/>
                <w:u w:val="none"/>
              </w:rPr>
            </w:pP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B94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 xml:space="preserve"> 1.345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66BD6">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新疆盯云智能科技有限公司</w:t>
            </w:r>
          </w:p>
        </w:tc>
      </w:tr>
      <w:tr w14:paraId="180DCA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1644"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BE2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小计</w:t>
            </w:r>
          </w:p>
        </w:tc>
        <w:tc>
          <w:tcPr>
            <w:tcW w:w="5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F55EC">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17.255 </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F47B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 17.255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3683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r w14:paraId="74D54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1644"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5598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合计</w:t>
            </w:r>
          </w:p>
        </w:tc>
        <w:tc>
          <w:tcPr>
            <w:tcW w:w="5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D033E">
            <w:pPr>
              <w:keepNext w:val="0"/>
              <w:keepLines w:val="0"/>
              <w:pageBreakBefore w:val="0"/>
              <w:widowControl/>
              <w:suppressLineNumbers w:val="0"/>
              <w:kinsoku/>
              <w:wordWrap/>
              <w:overflowPunct/>
              <w:topLinePunct w:val="0"/>
              <w:autoSpaceDE/>
              <w:autoSpaceDN/>
              <w:bidi w:val="0"/>
              <w:adjustRightInd w:val="0"/>
              <w:snapToGrid w:val="0"/>
              <w:spacing w:line="240" w:lineRule="auto"/>
              <w:ind w:left="0" w:leftChars="0"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200.00 </w:t>
            </w:r>
          </w:p>
        </w:tc>
        <w:tc>
          <w:tcPr>
            <w:tcW w:w="7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0926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 xml:space="preserve"> 200.00 </w:t>
            </w:r>
          </w:p>
        </w:tc>
        <w:tc>
          <w:tcPr>
            <w:tcW w:w="20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651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auto"/>
                <w:sz w:val="21"/>
                <w:szCs w:val="21"/>
                <w:u w:val="none"/>
              </w:rPr>
            </w:pPr>
            <w:r>
              <w:rPr>
                <w:rFonts w:hint="default" w:ascii="Times New Roman" w:hAnsi="Times New Roman" w:eastAsia="宋体" w:cs="Times New Roman"/>
                <w:b/>
                <w:bCs/>
                <w:i w:val="0"/>
                <w:iCs w:val="0"/>
                <w:color w:val="auto"/>
                <w:kern w:val="0"/>
                <w:sz w:val="21"/>
                <w:szCs w:val="21"/>
                <w:u w:val="none"/>
                <w:lang w:val="en-US" w:eastAsia="zh-CN" w:bidi="ar"/>
              </w:rPr>
              <w:t>100.00%</w:t>
            </w:r>
          </w:p>
        </w:tc>
      </w:tr>
    </w:tbl>
    <w:p w14:paraId="6B791C25">
      <w:pPr>
        <w:ind w:firstLine="420"/>
        <w:rPr>
          <w:rFonts w:hint="default"/>
          <w:color w:val="auto"/>
        </w:rPr>
      </w:pPr>
    </w:p>
    <w:p w14:paraId="51A579D4">
      <w:pPr>
        <w:ind w:firstLine="422"/>
        <w:rPr>
          <w:rFonts w:eastAsia="宋体"/>
          <w:b/>
          <w:bCs/>
          <w:color w:val="auto"/>
        </w:rPr>
      </w:pPr>
      <w:r>
        <w:rPr>
          <w:rFonts w:hint="default" w:eastAsia="宋体"/>
          <w:b/>
          <w:bCs/>
          <w:color w:val="auto"/>
        </w:rPr>
        <w:br w:type="page"/>
      </w:r>
    </w:p>
    <w:p w14:paraId="2EE5065C">
      <w:pPr>
        <w:pStyle w:val="3"/>
        <w:ind w:firstLine="0" w:firstLineChars="0"/>
        <w:jc w:val="center"/>
        <w:rPr>
          <w:rFonts w:hint="default" w:ascii="Times New Roman" w:hAnsi="Times New Roman" w:eastAsia="宋体" w:cs="Times New Roman"/>
          <w:color w:val="auto"/>
          <w:sz w:val="21"/>
          <w:szCs w:val="21"/>
        </w:rPr>
      </w:pPr>
      <w:bookmarkStart w:id="124" w:name="_Toc10596"/>
      <w:bookmarkStart w:id="125" w:name="_Toc3262"/>
      <w:bookmarkStart w:id="126" w:name="_Toc12626"/>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3</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化工及化工安全</w:t>
      </w:r>
      <w:r>
        <w:rPr>
          <w:rFonts w:hint="default" w:ascii="Times New Roman" w:hAnsi="Times New Roman" w:eastAsia="宋体" w:cs="Times New Roman"/>
          <w:color w:val="auto"/>
          <w:sz w:val="21"/>
          <w:szCs w:val="21"/>
          <w:lang w:eastAsia="zh-CN"/>
        </w:rPr>
        <w:t>实训基地</w:t>
      </w:r>
      <w:r>
        <w:rPr>
          <w:rFonts w:hint="default" w:ascii="Times New Roman" w:hAnsi="Times New Roman" w:eastAsia="宋体" w:cs="Times New Roman"/>
          <w:color w:val="auto"/>
          <w:sz w:val="21"/>
          <w:szCs w:val="21"/>
        </w:rPr>
        <w:t>设备采购</w:t>
      </w:r>
      <w:r>
        <w:rPr>
          <w:rFonts w:hint="default" w:ascii="Times New Roman" w:hAnsi="Times New Roman" w:eastAsia="宋体" w:cs="Times New Roman"/>
          <w:color w:val="auto"/>
          <w:sz w:val="21"/>
          <w:szCs w:val="21"/>
          <w:lang w:val="en-US" w:eastAsia="zh-CN"/>
        </w:rPr>
        <w:t>第一批</w:t>
      </w:r>
      <w:r>
        <w:rPr>
          <w:rFonts w:hint="default" w:ascii="Times New Roman" w:hAnsi="Times New Roman" w:eastAsia="宋体" w:cs="Times New Roman"/>
          <w:color w:val="auto"/>
          <w:sz w:val="21"/>
          <w:szCs w:val="21"/>
        </w:rPr>
        <w:t>明细表</w:t>
      </w:r>
      <w:bookmarkEnd w:id="124"/>
      <w:bookmarkEnd w:id="125"/>
    </w:p>
    <w:tbl>
      <w:tblPr>
        <w:tblStyle w:val="36"/>
        <w:tblW w:w="827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4780"/>
        <w:gridCol w:w="1094"/>
        <w:gridCol w:w="1199"/>
        <w:gridCol w:w="1199"/>
      </w:tblGrid>
      <w:tr w14:paraId="1EEF7E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97" w:hRule="atLeast"/>
          <w:jc w:val="center"/>
        </w:trPr>
        <w:tc>
          <w:tcPr>
            <w:tcW w:w="0" w:type="auto"/>
            <w:vAlign w:val="center"/>
          </w:tcPr>
          <w:p w14:paraId="63415A7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产品名称及规格、型号</w:t>
            </w:r>
          </w:p>
        </w:tc>
        <w:tc>
          <w:tcPr>
            <w:tcW w:w="0" w:type="auto"/>
            <w:vAlign w:val="center"/>
          </w:tcPr>
          <w:p w14:paraId="5A2FB16B">
            <w:pPr>
              <w:pStyle w:val="51"/>
              <w:keepNext w:val="0"/>
              <w:keepLines w:val="0"/>
              <w:pageBreakBefore w:val="0"/>
              <w:widowControl w:val="0"/>
              <w:kinsoku/>
              <w:wordWrap/>
              <w:overflowPunct/>
              <w:topLinePunct w:val="0"/>
              <w:autoSpaceDE/>
              <w:autoSpaceDN/>
              <w:bidi w:val="0"/>
              <w:adjustRightInd w:val="0"/>
              <w:snapToGrid w:val="0"/>
              <w:spacing w:line="240" w:lineRule="auto"/>
              <w:ind w:left="0" w:leftChars="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数量</w:t>
            </w:r>
            <w:r>
              <w:rPr>
                <w:rFonts w:hint="eastAsia" w:ascii="Times New Roman" w:hAnsi="Times New Roman" w:cs="Times New Roman"/>
                <w:color w:val="auto"/>
                <w:spacing w:val="-2"/>
                <w:lang w:eastAsia="zh-CN"/>
              </w:rPr>
              <w:t>（</w:t>
            </w:r>
            <w:r>
              <w:rPr>
                <w:rFonts w:ascii="Times New Roman" w:hAnsi="Times New Roman" w:cs="Times New Roman"/>
                <w:color w:val="auto"/>
                <w:spacing w:val="-2"/>
              </w:rPr>
              <w:t>点/</w:t>
            </w:r>
            <w:r>
              <w:rPr>
                <w:rFonts w:ascii="Times New Roman" w:hAnsi="Times New Roman" w:cs="Times New Roman"/>
                <w:color w:val="auto"/>
                <w:spacing w:val="-5"/>
              </w:rPr>
              <w:t>套</w:t>
            </w:r>
            <w:r>
              <w:rPr>
                <w:rFonts w:ascii="Times New Roman" w:hAnsi="Times New Roman" w:cs="Times New Roman"/>
                <w:color w:val="auto"/>
                <w:spacing w:val="-39"/>
              </w:rPr>
              <w:t xml:space="preserve"> </w:t>
            </w:r>
            <w:r>
              <w:rPr>
                <w:rFonts w:hint="eastAsia" w:ascii="Times New Roman" w:hAnsi="Times New Roman" w:cs="Times New Roman"/>
                <w:color w:val="auto"/>
                <w:spacing w:val="-39"/>
                <w:lang w:eastAsia="zh-CN"/>
              </w:rPr>
              <w:t>）</w:t>
            </w:r>
          </w:p>
        </w:tc>
        <w:tc>
          <w:tcPr>
            <w:tcW w:w="0" w:type="auto"/>
            <w:vAlign w:val="center"/>
          </w:tcPr>
          <w:p w14:paraId="64160583">
            <w:pPr>
              <w:pStyle w:val="51"/>
              <w:keepNext w:val="0"/>
              <w:keepLines w:val="0"/>
              <w:pageBreakBefore w:val="0"/>
              <w:widowControl w:val="0"/>
              <w:kinsoku/>
              <w:wordWrap/>
              <w:overflowPunct/>
              <w:topLinePunct w:val="0"/>
              <w:autoSpaceDE/>
              <w:autoSpaceDN/>
              <w:bidi w:val="0"/>
              <w:adjustRightInd w:val="0"/>
              <w:snapToGrid w:val="0"/>
              <w:spacing w:line="240" w:lineRule="auto"/>
              <w:ind w:left="0" w:leftChars="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7"/>
              </w:rPr>
              <w:t>单价</w:t>
            </w:r>
            <w:r>
              <w:rPr>
                <w:rFonts w:hint="eastAsia" w:ascii="Times New Roman" w:hAnsi="Times New Roman" w:cs="Times New Roman"/>
                <w:color w:val="auto"/>
                <w:spacing w:val="7"/>
                <w:lang w:eastAsia="zh-CN"/>
              </w:rPr>
              <w:t>（</w:t>
            </w:r>
            <w:r>
              <w:rPr>
                <w:rFonts w:ascii="Times New Roman" w:hAnsi="Times New Roman" w:cs="Times New Roman"/>
                <w:color w:val="auto"/>
                <w:spacing w:val="7"/>
              </w:rPr>
              <w:t>万元</w:t>
            </w:r>
            <w:r>
              <w:rPr>
                <w:rFonts w:hint="eastAsia" w:ascii="Times New Roman" w:hAnsi="Times New Roman" w:cs="Times New Roman"/>
                <w:color w:val="auto"/>
                <w:spacing w:val="7"/>
                <w:lang w:eastAsia="zh-CN"/>
              </w:rPr>
              <w:t>）</w:t>
            </w:r>
          </w:p>
        </w:tc>
        <w:tc>
          <w:tcPr>
            <w:tcW w:w="0" w:type="auto"/>
            <w:vAlign w:val="center"/>
          </w:tcPr>
          <w:p w14:paraId="08618DB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7"/>
              </w:rPr>
              <w:t>总价</w:t>
            </w:r>
            <w:r>
              <w:rPr>
                <w:rFonts w:hint="eastAsia" w:ascii="Times New Roman" w:hAnsi="Times New Roman" w:cs="Times New Roman"/>
                <w:color w:val="auto"/>
                <w:spacing w:val="7"/>
                <w:lang w:eastAsia="zh-CN"/>
              </w:rPr>
              <w:t>（</w:t>
            </w:r>
            <w:r>
              <w:rPr>
                <w:rFonts w:ascii="Times New Roman" w:hAnsi="Times New Roman" w:cs="Times New Roman"/>
                <w:color w:val="auto"/>
                <w:spacing w:val="7"/>
              </w:rPr>
              <w:t>万元</w:t>
            </w:r>
            <w:r>
              <w:rPr>
                <w:rFonts w:hint="eastAsia" w:ascii="Times New Roman" w:hAnsi="Times New Roman" w:cs="Times New Roman"/>
                <w:color w:val="auto"/>
                <w:spacing w:val="7"/>
                <w:lang w:eastAsia="zh-CN"/>
              </w:rPr>
              <w:t>）</w:t>
            </w:r>
          </w:p>
        </w:tc>
      </w:tr>
      <w:tr w14:paraId="26758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0C6BB56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仿真控制机</w:t>
            </w:r>
          </w:p>
        </w:tc>
        <w:tc>
          <w:tcPr>
            <w:tcW w:w="0" w:type="auto"/>
            <w:vAlign w:val="center"/>
          </w:tcPr>
          <w:p w14:paraId="6D108C2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6F56D19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0.9</w:t>
            </w:r>
          </w:p>
        </w:tc>
        <w:tc>
          <w:tcPr>
            <w:tcW w:w="0" w:type="auto"/>
            <w:vAlign w:val="center"/>
          </w:tcPr>
          <w:p w14:paraId="72517E9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0.9</w:t>
            </w:r>
          </w:p>
        </w:tc>
      </w:tr>
      <w:tr w14:paraId="3C227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06C7B1F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实训终端机</w:t>
            </w:r>
          </w:p>
        </w:tc>
        <w:tc>
          <w:tcPr>
            <w:tcW w:w="0" w:type="auto"/>
            <w:vAlign w:val="center"/>
          </w:tcPr>
          <w:p w14:paraId="33DCEED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578A8B4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0.794</w:t>
            </w:r>
          </w:p>
        </w:tc>
        <w:tc>
          <w:tcPr>
            <w:tcW w:w="0" w:type="auto"/>
            <w:vAlign w:val="center"/>
          </w:tcPr>
          <w:p w14:paraId="03FDA31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39.7</w:t>
            </w:r>
          </w:p>
        </w:tc>
      </w:tr>
      <w:tr w14:paraId="59240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6F86DCF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仿真实训管理系统</w:t>
            </w:r>
          </w:p>
        </w:tc>
        <w:tc>
          <w:tcPr>
            <w:tcW w:w="0" w:type="auto"/>
            <w:vAlign w:val="center"/>
          </w:tcPr>
          <w:p w14:paraId="26E69EB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1537330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2.8</w:t>
            </w:r>
          </w:p>
        </w:tc>
        <w:tc>
          <w:tcPr>
            <w:tcW w:w="0" w:type="auto"/>
            <w:vAlign w:val="center"/>
          </w:tcPr>
          <w:p w14:paraId="381A83B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2.8</w:t>
            </w:r>
          </w:p>
        </w:tc>
      </w:tr>
      <w:tr w14:paraId="53A5B2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5A7B21A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机柜</w:t>
            </w:r>
          </w:p>
        </w:tc>
        <w:tc>
          <w:tcPr>
            <w:tcW w:w="0" w:type="auto"/>
            <w:vAlign w:val="center"/>
          </w:tcPr>
          <w:p w14:paraId="5778F04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7E62B2C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0.07</w:t>
            </w:r>
          </w:p>
        </w:tc>
        <w:tc>
          <w:tcPr>
            <w:tcW w:w="0" w:type="auto"/>
            <w:vAlign w:val="center"/>
          </w:tcPr>
          <w:p w14:paraId="077EFB0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0.07</w:t>
            </w:r>
          </w:p>
        </w:tc>
      </w:tr>
      <w:tr w14:paraId="4A2E0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4D46D941">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3"/>
              </w:rPr>
              <w:t>交换机</w:t>
            </w:r>
          </w:p>
        </w:tc>
        <w:tc>
          <w:tcPr>
            <w:tcW w:w="0" w:type="auto"/>
            <w:vAlign w:val="center"/>
          </w:tcPr>
          <w:p w14:paraId="4CEA0F8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2</w:t>
            </w:r>
          </w:p>
        </w:tc>
        <w:tc>
          <w:tcPr>
            <w:tcW w:w="0" w:type="auto"/>
            <w:vAlign w:val="center"/>
          </w:tcPr>
          <w:p w14:paraId="0899906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0.45</w:t>
            </w:r>
          </w:p>
        </w:tc>
        <w:tc>
          <w:tcPr>
            <w:tcW w:w="0" w:type="auto"/>
            <w:vAlign w:val="center"/>
          </w:tcPr>
          <w:p w14:paraId="73B95CD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0.9</w:t>
            </w:r>
          </w:p>
        </w:tc>
      </w:tr>
      <w:tr w14:paraId="21DFD6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088612C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3"/>
              </w:rPr>
              <w:t>路由器</w:t>
            </w:r>
          </w:p>
        </w:tc>
        <w:tc>
          <w:tcPr>
            <w:tcW w:w="0" w:type="auto"/>
            <w:vAlign w:val="center"/>
          </w:tcPr>
          <w:p w14:paraId="51CCC86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3A610E1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0.13</w:t>
            </w:r>
          </w:p>
        </w:tc>
        <w:tc>
          <w:tcPr>
            <w:tcW w:w="0" w:type="auto"/>
            <w:vAlign w:val="center"/>
          </w:tcPr>
          <w:p w14:paraId="6A106F9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0.13</w:t>
            </w:r>
          </w:p>
        </w:tc>
      </w:tr>
      <w:tr w14:paraId="4DCFB5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55C62C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3"/>
              </w:rPr>
              <w:t>桌椅</w:t>
            </w:r>
          </w:p>
        </w:tc>
        <w:tc>
          <w:tcPr>
            <w:tcW w:w="0" w:type="auto"/>
            <w:vAlign w:val="center"/>
          </w:tcPr>
          <w:p w14:paraId="03AD3A8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76E08C3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0.07</w:t>
            </w:r>
          </w:p>
        </w:tc>
        <w:tc>
          <w:tcPr>
            <w:tcW w:w="0" w:type="auto"/>
            <w:vAlign w:val="center"/>
          </w:tcPr>
          <w:p w14:paraId="751B0EA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3.5</w:t>
            </w:r>
          </w:p>
        </w:tc>
      </w:tr>
      <w:tr w14:paraId="228B17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30682F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智慧黑板</w:t>
            </w:r>
          </w:p>
        </w:tc>
        <w:tc>
          <w:tcPr>
            <w:tcW w:w="0" w:type="auto"/>
            <w:vAlign w:val="center"/>
          </w:tcPr>
          <w:p w14:paraId="36BB4A1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18F78A3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3.45</w:t>
            </w:r>
          </w:p>
        </w:tc>
        <w:tc>
          <w:tcPr>
            <w:tcW w:w="0" w:type="auto"/>
            <w:vAlign w:val="center"/>
          </w:tcPr>
          <w:p w14:paraId="42B7921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3.45</w:t>
            </w:r>
          </w:p>
        </w:tc>
      </w:tr>
      <w:tr w14:paraId="53FC0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518331C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静电地板</w:t>
            </w:r>
          </w:p>
        </w:tc>
        <w:tc>
          <w:tcPr>
            <w:tcW w:w="0" w:type="auto"/>
            <w:vAlign w:val="center"/>
          </w:tcPr>
          <w:p w14:paraId="3ECDCF6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6"/>
              </w:rPr>
              <w:t>100</w:t>
            </w:r>
          </w:p>
        </w:tc>
        <w:tc>
          <w:tcPr>
            <w:tcW w:w="0" w:type="auto"/>
            <w:vAlign w:val="center"/>
          </w:tcPr>
          <w:p w14:paraId="6819444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0.05</w:t>
            </w:r>
          </w:p>
        </w:tc>
        <w:tc>
          <w:tcPr>
            <w:tcW w:w="0" w:type="auto"/>
            <w:vAlign w:val="center"/>
          </w:tcPr>
          <w:p w14:paraId="754B8E7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rPr>
              <w:t>5</w:t>
            </w:r>
          </w:p>
        </w:tc>
      </w:tr>
      <w:tr w14:paraId="36D228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C01F8E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8"/>
              </w:rPr>
              <w:t>空调</w:t>
            </w:r>
          </w:p>
        </w:tc>
        <w:tc>
          <w:tcPr>
            <w:tcW w:w="0" w:type="auto"/>
            <w:vAlign w:val="center"/>
          </w:tcPr>
          <w:p w14:paraId="353B864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2</w:t>
            </w:r>
          </w:p>
        </w:tc>
        <w:tc>
          <w:tcPr>
            <w:tcW w:w="0" w:type="auto"/>
            <w:vAlign w:val="center"/>
          </w:tcPr>
          <w:p w14:paraId="08C5B67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6"/>
              </w:rPr>
              <w:t>1.5</w:t>
            </w:r>
          </w:p>
        </w:tc>
        <w:tc>
          <w:tcPr>
            <w:tcW w:w="0" w:type="auto"/>
            <w:vAlign w:val="center"/>
          </w:tcPr>
          <w:p w14:paraId="1038AF9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rPr>
              <w:t>3</w:t>
            </w:r>
          </w:p>
        </w:tc>
      </w:tr>
      <w:tr w14:paraId="2C300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9BEE81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系统集成</w:t>
            </w:r>
          </w:p>
        </w:tc>
        <w:tc>
          <w:tcPr>
            <w:tcW w:w="0" w:type="auto"/>
            <w:vAlign w:val="center"/>
          </w:tcPr>
          <w:p w14:paraId="566ACE3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5C9F6ED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4.1</w:t>
            </w:r>
          </w:p>
        </w:tc>
        <w:tc>
          <w:tcPr>
            <w:tcW w:w="0" w:type="auto"/>
            <w:vAlign w:val="center"/>
          </w:tcPr>
          <w:p w14:paraId="6AC5A4B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4.1</w:t>
            </w:r>
          </w:p>
        </w:tc>
      </w:tr>
      <w:tr w14:paraId="6DCBEB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1A3089A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2"/>
              </w:rPr>
              <w:t>移动实训终端机</w:t>
            </w:r>
          </w:p>
        </w:tc>
        <w:tc>
          <w:tcPr>
            <w:tcW w:w="0" w:type="auto"/>
            <w:vAlign w:val="center"/>
          </w:tcPr>
          <w:p w14:paraId="7E785903">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8</w:t>
            </w:r>
          </w:p>
        </w:tc>
        <w:tc>
          <w:tcPr>
            <w:tcW w:w="0" w:type="auto"/>
            <w:vAlign w:val="center"/>
          </w:tcPr>
          <w:p w14:paraId="45F9D8B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0.98</w:t>
            </w:r>
          </w:p>
        </w:tc>
        <w:tc>
          <w:tcPr>
            <w:tcW w:w="0" w:type="auto"/>
            <w:vAlign w:val="center"/>
          </w:tcPr>
          <w:p w14:paraId="2E841CA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7.84</w:t>
            </w:r>
          </w:p>
        </w:tc>
      </w:tr>
      <w:tr w14:paraId="5870B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24E104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5"/>
              </w:rPr>
              <w:t>打印机</w:t>
            </w:r>
            <w:r>
              <w:rPr>
                <w:rFonts w:hint="eastAsia" w:ascii="Times New Roman" w:hAnsi="Times New Roman" w:cs="Times New Roman"/>
                <w:color w:val="auto"/>
                <w:spacing w:val="5"/>
                <w:lang w:eastAsia="zh-CN"/>
              </w:rPr>
              <w:t>（</w:t>
            </w:r>
            <w:r>
              <w:rPr>
                <w:rFonts w:ascii="Times New Roman" w:hAnsi="Times New Roman" w:cs="Times New Roman"/>
                <w:color w:val="auto"/>
                <w:spacing w:val="5"/>
              </w:rPr>
              <w:t>仿真室</w:t>
            </w:r>
            <w:r>
              <w:rPr>
                <w:rFonts w:hint="eastAsia" w:ascii="Times New Roman" w:hAnsi="Times New Roman" w:cs="Times New Roman"/>
                <w:color w:val="auto"/>
                <w:spacing w:val="5"/>
                <w:lang w:eastAsia="zh-CN"/>
              </w:rPr>
              <w:t>）</w:t>
            </w:r>
          </w:p>
        </w:tc>
        <w:tc>
          <w:tcPr>
            <w:tcW w:w="0" w:type="auto"/>
            <w:vAlign w:val="center"/>
          </w:tcPr>
          <w:p w14:paraId="64779D9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663B763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0.96</w:t>
            </w:r>
          </w:p>
        </w:tc>
        <w:tc>
          <w:tcPr>
            <w:tcW w:w="0" w:type="auto"/>
            <w:vAlign w:val="center"/>
          </w:tcPr>
          <w:p w14:paraId="3CC75D53">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0.96</w:t>
            </w:r>
          </w:p>
        </w:tc>
      </w:tr>
      <w:tr w14:paraId="0F05B9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722103C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5"/>
              </w:rPr>
              <w:t>打印机</w:t>
            </w:r>
            <w:r>
              <w:rPr>
                <w:rFonts w:hint="eastAsia" w:ascii="Times New Roman" w:hAnsi="Times New Roman" w:cs="Times New Roman"/>
                <w:color w:val="auto"/>
                <w:spacing w:val="5"/>
                <w:lang w:eastAsia="zh-CN"/>
              </w:rPr>
              <w:t>（</w:t>
            </w:r>
            <w:r>
              <w:rPr>
                <w:rFonts w:ascii="Times New Roman" w:hAnsi="Times New Roman" w:cs="Times New Roman"/>
                <w:color w:val="auto"/>
                <w:spacing w:val="5"/>
              </w:rPr>
              <w:t>实训室</w:t>
            </w:r>
            <w:r>
              <w:rPr>
                <w:rFonts w:hint="eastAsia" w:ascii="Times New Roman" w:hAnsi="Times New Roman" w:cs="Times New Roman"/>
                <w:color w:val="auto"/>
                <w:spacing w:val="5"/>
                <w:lang w:eastAsia="zh-CN"/>
              </w:rPr>
              <w:t>）</w:t>
            </w:r>
          </w:p>
        </w:tc>
        <w:tc>
          <w:tcPr>
            <w:tcW w:w="0" w:type="auto"/>
            <w:vAlign w:val="center"/>
          </w:tcPr>
          <w:p w14:paraId="0DBE5CB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2</w:t>
            </w:r>
          </w:p>
        </w:tc>
        <w:tc>
          <w:tcPr>
            <w:tcW w:w="0" w:type="auto"/>
            <w:vAlign w:val="center"/>
          </w:tcPr>
          <w:p w14:paraId="0BB38E1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0.65</w:t>
            </w:r>
          </w:p>
        </w:tc>
        <w:tc>
          <w:tcPr>
            <w:tcW w:w="0" w:type="auto"/>
            <w:vAlign w:val="center"/>
          </w:tcPr>
          <w:p w14:paraId="582D7FF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6"/>
              </w:rPr>
              <w:t>1.3</w:t>
            </w:r>
          </w:p>
        </w:tc>
      </w:tr>
      <w:tr w14:paraId="6F79EF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7223645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化工企业安全隐患排查与治理培训考核系</w:t>
            </w:r>
            <w:r>
              <w:rPr>
                <w:rFonts w:ascii="Times New Roman" w:hAnsi="Times New Roman" w:cs="Times New Roman"/>
                <w:color w:val="auto"/>
              </w:rPr>
              <w:t>统</w:t>
            </w:r>
          </w:p>
        </w:tc>
        <w:tc>
          <w:tcPr>
            <w:tcW w:w="0" w:type="auto"/>
            <w:vAlign w:val="center"/>
          </w:tcPr>
          <w:p w14:paraId="239BB39E">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color w:val="auto"/>
                <w:sz w:val="21"/>
              </w:rPr>
            </w:pPr>
          </w:p>
          <w:p w14:paraId="0F200CF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187CC736">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color w:val="auto"/>
                <w:sz w:val="21"/>
              </w:rPr>
            </w:pPr>
          </w:p>
          <w:p w14:paraId="687DC1C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0.21</w:t>
            </w:r>
          </w:p>
        </w:tc>
        <w:tc>
          <w:tcPr>
            <w:tcW w:w="0" w:type="auto"/>
            <w:vAlign w:val="center"/>
          </w:tcPr>
          <w:p w14:paraId="7FDE11E6">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color w:val="auto"/>
                <w:sz w:val="21"/>
              </w:rPr>
            </w:pPr>
          </w:p>
          <w:p w14:paraId="080FD54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5"/>
              </w:rPr>
              <w:t>10.5</w:t>
            </w:r>
          </w:p>
        </w:tc>
      </w:tr>
      <w:tr w14:paraId="7AB7BA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16A7B22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化工设备认知桌面XR系统</w:t>
            </w:r>
          </w:p>
        </w:tc>
        <w:tc>
          <w:tcPr>
            <w:tcW w:w="0" w:type="auto"/>
            <w:vAlign w:val="center"/>
          </w:tcPr>
          <w:p w14:paraId="4C9C563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3236D8F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0.26</w:t>
            </w:r>
          </w:p>
        </w:tc>
        <w:tc>
          <w:tcPr>
            <w:tcW w:w="0" w:type="auto"/>
            <w:vAlign w:val="center"/>
          </w:tcPr>
          <w:p w14:paraId="6935AF4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6"/>
              </w:rPr>
              <w:t>13</w:t>
            </w:r>
          </w:p>
        </w:tc>
      </w:tr>
      <w:tr w14:paraId="26B7F3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404569AC">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化工危险与可操作性</w:t>
            </w:r>
            <w:r>
              <w:rPr>
                <w:rFonts w:hint="eastAsia" w:ascii="Times New Roman" w:hAnsi="Times New Roman" w:cs="Times New Roman"/>
                <w:color w:val="auto"/>
                <w:spacing w:val="-1"/>
                <w:lang w:eastAsia="zh-CN"/>
              </w:rPr>
              <w:t>（</w:t>
            </w:r>
            <w:r>
              <w:rPr>
                <w:rFonts w:ascii="Times New Roman" w:hAnsi="Times New Roman" w:cs="Times New Roman"/>
                <w:color w:val="auto"/>
                <w:spacing w:val="-1"/>
              </w:rPr>
              <w:t>HAZOP</w:t>
            </w:r>
            <w:r>
              <w:rPr>
                <w:rFonts w:hint="eastAsia" w:ascii="Times New Roman" w:hAnsi="Times New Roman" w:cs="Times New Roman"/>
                <w:color w:val="auto"/>
                <w:spacing w:val="-1"/>
                <w:lang w:eastAsia="zh-CN"/>
              </w:rPr>
              <w:t>）</w:t>
            </w:r>
            <w:r>
              <w:rPr>
                <w:rFonts w:ascii="Times New Roman" w:hAnsi="Times New Roman" w:cs="Times New Roman"/>
                <w:color w:val="auto"/>
                <w:spacing w:val="-1"/>
              </w:rPr>
              <w:t>分析职业技</w:t>
            </w:r>
            <w:r>
              <w:rPr>
                <w:rFonts w:ascii="Times New Roman" w:hAnsi="Times New Roman" w:cs="Times New Roman"/>
                <w:color w:val="auto"/>
                <w:spacing w:val="1"/>
              </w:rPr>
              <w:t>能等级培训软件</w:t>
            </w:r>
          </w:p>
        </w:tc>
        <w:tc>
          <w:tcPr>
            <w:tcW w:w="0" w:type="auto"/>
            <w:vAlign w:val="center"/>
          </w:tcPr>
          <w:p w14:paraId="06435799">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color w:val="auto"/>
                <w:sz w:val="21"/>
              </w:rPr>
            </w:pPr>
          </w:p>
          <w:p w14:paraId="34A1881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4B48ACED">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color w:val="auto"/>
                <w:sz w:val="21"/>
              </w:rPr>
            </w:pPr>
          </w:p>
          <w:p w14:paraId="551CD5C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0.85</w:t>
            </w:r>
          </w:p>
        </w:tc>
        <w:tc>
          <w:tcPr>
            <w:tcW w:w="0" w:type="auto"/>
            <w:vAlign w:val="center"/>
          </w:tcPr>
          <w:p w14:paraId="60DD7F40">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color w:val="auto"/>
                <w:sz w:val="21"/>
              </w:rPr>
            </w:pPr>
          </w:p>
          <w:p w14:paraId="6314821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42.5</w:t>
            </w:r>
          </w:p>
        </w:tc>
      </w:tr>
      <w:tr w14:paraId="69A3B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502DE39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液相色谱仪</w:t>
            </w:r>
            <w:r>
              <w:rPr>
                <w:rFonts w:hint="eastAsia" w:ascii="Times New Roman" w:hAnsi="Times New Roman" w:cs="Times New Roman"/>
                <w:color w:val="auto"/>
                <w:spacing w:val="-1"/>
                <w:lang w:eastAsia="zh-CN"/>
              </w:rPr>
              <w:t>（</w:t>
            </w:r>
            <w:r>
              <w:rPr>
                <w:rFonts w:ascii="Times New Roman" w:hAnsi="Times New Roman" w:cs="Times New Roman"/>
                <w:color w:val="auto"/>
                <w:spacing w:val="-1"/>
              </w:rPr>
              <w:t>自动进样</w:t>
            </w:r>
            <w:r>
              <w:rPr>
                <w:rFonts w:hint="eastAsia" w:ascii="Times New Roman" w:hAnsi="Times New Roman" w:cs="Times New Roman"/>
                <w:color w:val="auto"/>
                <w:spacing w:val="-1"/>
                <w:lang w:eastAsia="zh-CN"/>
              </w:rPr>
              <w:t>）</w:t>
            </w:r>
            <w:r>
              <w:rPr>
                <w:rFonts w:ascii="Times New Roman" w:hAnsi="Times New Roman" w:cs="Times New Roman"/>
                <w:color w:val="auto"/>
                <w:spacing w:val="-1"/>
              </w:rPr>
              <w:t>仿真软件</w:t>
            </w:r>
          </w:p>
        </w:tc>
        <w:tc>
          <w:tcPr>
            <w:tcW w:w="0" w:type="auto"/>
            <w:vAlign w:val="center"/>
          </w:tcPr>
          <w:p w14:paraId="48000EA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77AE9CA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0.07</w:t>
            </w:r>
          </w:p>
        </w:tc>
        <w:tc>
          <w:tcPr>
            <w:tcW w:w="0" w:type="auto"/>
            <w:vAlign w:val="center"/>
          </w:tcPr>
          <w:p w14:paraId="7BEE39B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3.5</w:t>
            </w:r>
          </w:p>
        </w:tc>
      </w:tr>
      <w:tr w14:paraId="24B9B3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EB9317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气质联用仿真系统培训软件</w:t>
            </w:r>
          </w:p>
        </w:tc>
        <w:tc>
          <w:tcPr>
            <w:tcW w:w="0" w:type="auto"/>
            <w:vAlign w:val="center"/>
          </w:tcPr>
          <w:p w14:paraId="0CDE087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3D30255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0.068</w:t>
            </w:r>
          </w:p>
        </w:tc>
        <w:tc>
          <w:tcPr>
            <w:tcW w:w="0" w:type="auto"/>
            <w:vAlign w:val="center"/>
          </w:tcPr>
          <w:p w14:paraId="190A7EA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w:t>
            </w:r>
          </w:p>
        </w:tc>
      </w:tr>
      <w:tr w14:paraId="19AA0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42F7EE7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液质联用仿真系统培训软件</w:t>
            </w:r>
          </w:p>
        </w:tc>
        <w:tc>
          <w:tcPr>
            <w:tcW w:w="0" w:type="auto"/>
            <w:vAlign w:val="center"/>
          </w:tcPr>
          <w:p w14:paraId="61FE443E">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19494A5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0.068</w:t>
            </w:r>
          </w:p>
        </w:tc>
        <w:tc>
          <w:tcPr>
            <w:tcW w:w="0" w:type="auto"/>
            <w:vAlign w:val="center"/>
          </w:tcPr>
          <w:p w14:paraId="6F36189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w:t>
            </w:r>
          </w:p>
        </w:tc>
      </w:tr>
      <w:tr w14:paraId="241C03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1BB94A7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红外分光光度计</w:t>
            </w:r>
          </w:p>
        </w:tc>
        <w:tc>
          <w:tcPr>
            <w:tcW w:w="0" w:type="auto"/>
            <w:vAlign w:val="center"/>
          </w:tcPr>
          <w:p w14:paraId="237C153E">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09330CC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0.07</w:t>
            </w:r>
          </w:p>
        </w:tc>
        <w:tc>
          <w:tcPr>
            <w:tcW w:w="0" w:type="auto"/>
            <w:vAlign w:val="center"/>
          </w:tcPr>
          <w:p w14:paraId="5CA3D9E6">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3.5</w:t>
            </w:r>
          </w:p>
        </w:tc>
      </w:tr>
      <w:tr w14:paraId="258766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654C182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气相色谱仪仿真软件</w:t>
            </w:r>
          </w:p>
        </w:tc>
        <w:tc>
          <w:tcPr>
            <w:tcW w:w="0" w:type="auto"/>
            <w:vAlign w:val="center"/>
          </w:tcPr>
          <w:p w14:paraId="6F356E2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73D0D68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0.068</w:t>
            </w:r>
          </w:p>
        </w:tc>
        <w:tc>
          <w:tcPr>
            <w:tcW w:w="0" w:type="auto"/>
            <w:vAlign w:val="center"/>
          </w:tcPr>
          <w:p w14:paraId="1F6395D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w:t>
            </w:r>
          </w:p>
        </w:tc>
      </w:tr>
      <w:tr w14:paraId="17C4D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0A6647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rPr>
              <w:t>紫外分光光度计软件</w:t>
            </w:r>
          </w:p>
        </w:tc>
        <w:tc>
          <w:tcPr>
            <w:tcW w:w="0" w:type="auto"/>
            <w:vAlign w:val="center"/>
          </w:tcPr>
          <w:p w14:paraId="35BEFEEF">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3496A03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0.069</w:t>
            </w:r>
          </w:p>
        </w:tc>
        <w:tc>
          <w:tcPr>
            <w:tcW w:w="0" w:type="auto"/>
            <w:vAlign w:val="center"/>
          </w:tcPr>
          <w:p w14:paraId="40C9E33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3.45</w:t>
            </w:r>
          </w:p>
        </w:tc>
      </w:tr>
      <w:tr w14:paraId="64269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3768FE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COD测定仪仿真软件</w:t>
            </w:r>
          </w:p>
        </w:tc>
        <w:tc>
          <w:tcPr>
            <w:tcW w:w="0" w:type="auto"/>
            <w:vAlign w:val="center"/>
          </w:tcPr>
          <w:p w14:paraId="179C4471">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spacing w:val="-3"/>
              </w:rPr>
              <w:t>50</w:t>
            </w:r>
          </w:p>
        </w:tc>
        <w:tc>
          <w:tcPr>
            <w:tcW w:w="0" w:type="auto"/>
            <w:vAlign w:val="center"/>
          </w:tcPr>
          <w:p w14:paraId="37597BA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0.06</w:t>
            </w:r>
          </w:p>
        </w:tc>
        <w:tc>
          <w:tcPr>
            <w:tcW w:w="0" w:type="auto"/>
            <w:vAlign w:val="center"/>
          </w:tcPr>
          <w:p w14:paraId="7F446693">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rPr>
              <w:t>3</w:t>
            </w:r>
          </w:p>
        </w:tc>
      </w:tr>
      <w:tr w14:paraId="0EDD44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5037C2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化工总控工考核与培训装置</w:t>
            </w:r>
            <w:r>
              <w:rPr>
                <w:rFonts w:hint="eastAsia" w:ascii="Times New Roman" w:hAnsi="Times New Roman" w:cs="Times New Roman"/>
                <w:color w:val="auto"/>
                <w:spacing w:val="-1"/>
                <w:lang w:eastAsia="zh-CN"/>
              </w:rPr>
              <w:t>（</w:t>
            </w:r>
            <w:r>
              <w:rPr>
                <w:rFonts w:ascii="Times New Roman" w:hAnsi="Times New Roman" w:cs="Times New Roman"/>
                <w:color w:val="auto"/>
                <w:spacing w:val="-1"/>
              </w:rPr>
              <w:t>精馏国赛装</w:t>
            </w:r>
            <w:r>
              <w:rPr>
                <w:rFonts w:ascii="Times New Roman" w:hAnsi="Times New Roman" w:cs="Times New Roman"/>
                <w:color w:val="auto"/>
                <w:spacing w:val="-4"/>
              </w:rPr>
              <w:t>置</w:t>
            </w:r>
            <w:r>
              <w:rPr>
                <w:rFonts w:ascii="Times New Roman" w:hAnsi="Times New Roman" w:cs="Times New Roman"/>
                <w:color w:val="auto"/>
                <w:spacing w:val="-41"/>
              </w:rPr>
              <w:t xml:space="preserve"> </w:t>
            </w:r>
            <w:r>
              <w:rPr>
                <w:rFonts w:hint="eastAsia" w:ascii="Times New Roman" w:hAnsi="Times New Roman" w:cs="Times New Roman"/>
                <w:color w:val="auto"/>
                <w:spacing w:val="-41"/>
                <w:lang w:eastAsia="zh-CN"/>
              </w:rPr>
              <w:t>）</w:t>
            </w:r>
          </w:p>
        </w:tc>
        <w:tc>
          <w:tcPr>
            <w:tcW w:w="0" w:type="auto"/>
            <w:vAlign w:val="center"/>
          </w:tcPr>
          <w:p w14:paraId="54F3634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2</w:t>
            </w:r>
          </w:p>
        </w:tc>
        <w:tc>
          <w:tcPr>
            <w:tcW w:w="0" w:type="auto"/>
            <w:vAlign w:val="center"/>
          </w:tcPr>
          <w:p w14:paraId="4213D45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45</w:t>
            </w:r>
          </w:p>
        </w:tc>
        <w:tc>
          <w:tcPr>
            <w:tcW w:w="0" w:type="auto"/>
            <w:vAlign w:val="center"/>
          </w:tcPr>
          <w:p w14:paraId="7F68DD1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90</w:t>
            </w:r>
          </w:p>
        </w:tc>
      </w:tr>
      <w:tr w14:paraId="482BDA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4A3128C1">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氯碱电解工艺实训考核装置</w:t>
            </w:r>
          </w:p>
        </w:tc>
        <w:tc>
          <w:tcPr>
            <w:tcW w:w="0" w:type="auto"/>
            <w:vAlign w:val="center"/>
          </w:tcPr>
          <w:p w14:paraId="733A8A1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77D3C67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35.5</w:t>
            </w:r>
          </w:p>
        </w:tc>
        <w:tc>
          <w:tcPr>
            <w:tcW w:w="0" w:type="auto"/>
            <w:vAlign w:val="center"/>
          </w:tcPr>
          <w:p w14:paraId="6134E9CE">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35.5</w:t>
            </w:r>
          </w:p>
        </w:tc>
      </w:tr>
      <w:tr w14:paraId="65BD9B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090369FA">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合成氨工艺培训考核装置</w:t>
            </w:r>
          </w:p>
        </w:tc>
        <w:tc>
          <w:tcPr>
            <w:tcW w:w="0" w:type="auto"/>
            <w:vAlign w:val="center"/>
          </w:tcPr>
          <w:p w14:paraId="3259D22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7E3C6DD4">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34.5</w:t>
            </w:r>
          </w:p>
        </w:tc>
        <w:tc>
          <w:tcPr>
            <w:tcW w:w="0" w:type="auto"/>
            <w:vAlign w:val="center"/>
          </w:tcPr>
          <w:p w14:paraId="323C6F48">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34.5</w:t>
            </w:r>
          </w:p>
        </w:tc>
      </w:tr>
      <w:tr w14:paraId="03D605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222D873">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新型煤化工工艺实训考核装置</w:t>
            </w:r>
          </w:p>
        </w:tc>
        <w:tc>
          <w:tcPr>
            <w:tcW w:w="0" w:type="auto"/>
            <w:vAlign w:val="center"/>
          </w:tcPr>
          <w:p w14:paraId="50BF406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3BFC55B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36</w:t>
            </w:r>
          </w:p>
        </w:tc>
        <w:tc>
          <w:tcPr>
            <w:tcW w:w="0" w:type="auto"/>
            <w:vAlign w:val="center"/>
          </w:tcPr>
          <w:p w14:paraId="793B145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3"/>
              </w:rPr>
              <w:t>36</w:t>
            </w:r>
          </w:p>
        </w:tc>
      </w:tr>
      <w:tr w14:paraId="784B39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237F515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1"/>
              </w:rPr>
              <w:t>智能多功能精细化学品实训装置</w:t>
            </w:r>
          </w:p>
        </w:tc>
        <w:tc>
          <w:tcPr>
            <w:tcW w:w="0" w:type="auto"/>
            <w:vAlign w:val="center"/>
          </w:tcPr>
          <w:p w14:paraId="25C3D90D">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1</w:t>
            </w:r>
          </w:p>
        </w:tc>
        <w:tc>
          <w:tcPr>
            <w:tcW w:w="0" w:type="auto"/>
            <w:vAlign w:val="center"/>
          </w:tcPr>
          <w:p w14:paraId="5B30B5A5">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64.9</w:t>
            </w:r>
          </w:p>
        </w:tc>
        <w:tc>
          <w:tcPr>
            <w:tcW w:w="0" w:type="auto"/>
            <w:vAlign w:val="center"/>
          </w:tcPr>
          <w:p w14:paraId="2AD787F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64.9</w:t>
            </w:r>
          </w:p>
        </w:tc>
      </w:tr>
      <w:tr w14:paraId="61B221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5B23642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4"/>
              </w:rPr>
              <w:t>立式空调</w:t>
            </w:r>
          </w:p>
        </w:tc>
        <w:tc>
          <w:tcPr>
            <w:tcW w:w="0" w:type="auto"/>
            <w:vAlign w:val="center"/>
          </w:tcPr>
          <w:p w14:paraId="50080FE2">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ascii="Times New Roman" w:hAnsi="Times New Roman" w:cs="Times New Roman"/>
                <w:color w:val="auto"/>
              </w:rPr>
            </w:pPr>
            <w:r>
              <w:rPr>
                <w:rFonts w:ascii="Times New Roman" w:hAnsi="Times New Roman" w:cs="Times New Roman"/>
                <w:color w:val="auto"/>
              </w:rPr>
              <w:t>4</w:t>
            </w:r>
          </w:p>
        </w:tc>
        <w:tc>
          <w:tcPr>
            <w:tcW w:w="0" w:type="auto"/>
            <w:vAlign w:val="center"/>
          </w:tcPr>
          <w:p w14:paraId="0F817DB9">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6"/>
              </w:rPr>
              <w:t>1.1</w:t>
            </w:r>
          </w:p>
        </w:tc>
        <w:tc>
          <w:tcPr>
            <w:tcW w:w="0" w:type="auto"/>
            <w:vAlign w:val="center"/>
          </w:tcPr>
          <w:p w14:paraId="677CA85B">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2"/>
              </w:rPr>
              <w:t>4.4</w:t>
            </w:r>
          </w:p>
        </w:tc>
      </w:tr>
      <w:tr w14:paraId="196EF8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0" w:type="auto"/>
            <w:vAlign w:val="center"/>
          </w:tcPr>
          <w:p w14:paraId="3911845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r>
              <w:rPr>
                <w:rFonts w:ascii="Times New Roman" w:hAnsi="Times New Roman" w:cs="Times New Roman"/>
                <w:color w:val="auto"/>
                <w:spacing w:val="-3"/>
              </w:rPr>
              <w:t>合计</w:t>
            </w:r>
          </w:p>
        </w:tc>
        <w:tc>
          <w:tcPr>
            <w:tcW w:w="0" w:type="auto"/>
            <w:gridSpan w:val="2"/>
            <w:vAlign w:val="center"/>
          </w:tcPr>
          <w:p w14:paraId="7E05EF30">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both"/>
              <w:textAlignment w:val="auto"/>
              <w:rPr>
                <w:rFonts w:ascii="Times New Roman" w:hAnsi="Times New Roman" w:cs="Times New Roman"/>
                <w:color w:val="auto"/>
              </w:rPr>
            </w:pPr>
          </w:p>
        </w:tc>
        <w:tc>
          <w:tcPr>
            <w:tcW w:w="0" w:type="auto"/>
            <w:vAlign w:val="center"/>
          </w:tcPr>
          <w:p w14:paraId="789273D7">
            <w:pPr>
              <w:pStyle w:val="51"/>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right"/>
              <w:textAlignment w:val="auto"/>
              <w:rPr>
                <w:rFonts w:ascii="Times New Roman" w:hAnsi="Times New Roman" w:cs="Times New Roman"/>
                <w:color w:val="auto"/>
              </w:rPr>
            </w:pPr>
            <w:r>
              <w:rPr>
                <w:rFonts w:ascii="Times New Roman" w:hAnsi="Times New Roman" w:cs="Times New Roman"/>
                <w:color w:val="auto"/>
                <w:spacing w:val="-1"/>
              </w:rPr>
              <w:t>428.6</w:t>
            </w:r>
          </w:p>
        </w:tc>
      </w:tr>
    </w:tbl>
    <w:p w14:paraId="7F01427F">
      <w:pPr>
        <w:ind w:left="0" w:leftChars="0" w:firstLine="0" w:firstLineChars="0"/>
        <w:rPr>
          <w:rFonts w:hint="default"/>
          <w:color w:val="auto"/>
        </w:rPr>
      </w:pPr>
      <w:r>
        <w:rPr>
          <w:rFonts w:hint="default"/>
          <w:color w:val="auto"/>
        </w:rPr>
        <w:br w:type="page"/>
      </w:r>
    </w:p>
    <w:p w14:paraId="3C2F5FCB">
      <w:pPr>
        <w:pStyle w:val="3"/>
        <w:ind w:firstLine="0" w:firstLineChars="0"/>
        <w:jc w:val="center"/>
        <w:rPr>
          <w:rFonts w:hint="default" w:ascii="Times New Roman" w:hAnsi="Times New Roman" w:eastAsia="宋体" w:cs="Times New Roman"/>
          <w:color w:val="auto"/>
          <w:sz w:val="21"/>
          <w:szCs w:val="21"/>
        </w:rPr>
      </w:pPr>
      <w:bookmarkStart w:id="127" w:name="_Toc21508"/>
      <w:bookmarkStart w:id="128" w:name="_Toc2503"/>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4</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化工及化工安全实训基地补充器材第二批</w:t>
      </w:r>
      <w:r>
        <w:rPr>
          <w:rFonts w:hint="default" w:ascii="Times New Roman" w:hAnsi="Times New Roman" w:eastAsia="宋体" w:cs="Times New Roman"/>
          <w:color w:val="auto"/>
          <w:sz w:val="21"/>
          <w:szCs w:val="21"/>
        </w:rPr>
        <w:t>设备采购清单</w:t>
      </w:r>
      <w:bookmarkEnd w:id="127"/>
      <w:bookmarkEnd w:id="128"/>
    </w:p>
    <w:tbl>
      <w:tblPr>
        <w:tblStyle w:val="36"/>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56" w:type="dxa"/>
          <w:left w:w="96" w:type="dxa"/>
          <w:bottom w:w="56" w:type="dxa"/>
          <w:right w:w="96" w:type="dxa"/>
        </w:tblCellMar>
      </w:tblPr>
      <w:tblGrid>
        <w:gridCol w:w="814"/>
        <w:gridCol w:w="3580"/>
        <w:gridCol w:w="1470"/>
        <w:gridCol w:w="710"/>
        <w:gridCol w:w="660"/>
        <w:gridCol w:w="1264"/>
      </w:tblGrid>
      <w:tr w14:paraId="14DC73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814" w:type="dxa"/>
            <w:vAlign w:val="center"/>
          </w:tcPr>
          <w:p w14:paraId="013E7DF7">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序号</w:t>
            </w:r>
          </w:p>
        </w:tc>
        <w:tc>
          <w:tcPr>
            <w:tcW w:w="3580" w:type="dxa"/>
            <w:vAlign w:val="center"/>
          </w:tcPr>
          <w:p w14:paraId="70233A16">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名称</w:t>
            </w:r>
          </w:p>
        </w:tc>
        <w:tc>
          <w:tcPr>
            <w:tcW w:w="1470" w:type="dxa"/>
            <w:vAlign w:val="center"/>
          </w:tcPr>
          <w:p w14:paraId="120326CB">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单价</w:t>
            </w:r>
            <w:r>
              <w:rPr>
                <w:rFonts w:hint="eastAsia" w:ascii="Times New Roman" w:hAnsi="Times New Roman" w:cs="Times New Roman"/>
                <w:b/>
                <w:color w:val="auto"/>
                <w:spacing w:val="-1"/>
                <w:sz w:val="21"/>
                <w:szCs w:val="21"/>
                <w:lang w:eastAsia="zh-CN"/>
              </w:rPr>
              <w:t>（</w:t>
            </w:r>
            <w:r>
              <w:rPr>
                <w:rFonts w:hint="default" w:ascii="Times New Roman" w:hAnsi="Times New Roman" w:eastAsia="宋体" w:cs="Times New Roman"/>
                <w:b/>
                <w:color w:val="auto"/>
                <w:spacing w:val="-1"/>
                <w:sz w:val="21"/>
                <w:szCs w:val="21"/>
                <w:lang w:eastAsia="zh-CN"/>
              </w:rPr>
              <w:t>万元</w:t>
            </w:r>
            <w:r>
              <w:rPr>
                <w:rFonts w:hint="eastAsia" w:ascii="Times New Roman" w:hAnsi="Times New Roman" w:cs="Times New Roman"/>
                <w:b/>
                <w:color w:val="auto"/>
                <w:spacing w:val="-1"/>
                <w:sz w:val="21"/>
                <w:szCs w:val="21"/>
                <w:lang w:eastAsia="zh-CN"/>
              </w:rPr>
              <w:t>）</w:t>
            </w:r>
          </w:p>
        </w:tc>
        <w:tc>
          <w:tcPr>
            <w:tcW w:w="710" w:type="dxa"/>
            <w:vAlign w:val="center"/>
          </w:tcPr>
          <w:p w14:paraId="5A3F86EE">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数量</w:t>
            </w:r>
          </w:p>
        </w:tc>
        <w:tc>
          <w:tcPr>
            <w:tcW w:w="660" w:type="dxa"/>
            <w:vAlign w:val="center"/>
          </w:tcPr>
          <w:p w14:paraId="470365E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单位</w:t>
            </w:r>
          </w:p>
        </w:tc>
        <w:tc>
          <w:tcPr>
            <w:tcW w:w="1264" w:type="dxa"/>
            <w:vAlign w:val="center"/>
          </w:tcPr>
          <w:p w14:paraId="054847D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宋体" w:cs="Times New Roman"/>
                <w:b/>
                <w:color w:val="auto"/>
                <w:spacing w:val="-1"/>
                <w:sz w:val="21"/>
                <w:szCs w:val="21"/>
                <w:lang w:eastAsia="zh-CN"/>
              </w:rPr>
            </w:pPr>
            <w:r>
              <w:rPr>
                <w:rFonts w:hint="default" w:ascii="Times New Roman" w:hAnsi="Times New Roman" w:eastAsia="宋体" w:cs="Times New Roman"/>
                <w:b/>
                <w:color w:val="auto"/>
                <w:spacing w:val="-1"/>
                <w:sz w:val="21"/>
                <w:szCs w:val="21"/>
                <w:lang w:eastAsia="zh-CN"/>
              </w:rPr>
              <w:t>总价（万元</w:t>
            </w:r>
            <w:r>
              <w:rPr>
                <w:rFonts w:hint="eastAsia" w:ascii="Times New Roman" w:hAnsi="Times New Roman" w:cs="Times New Roman"/>
                <w:b/>
                <w:color w:val="auto"/>
                <w:spacing w:val="-1"/>
                <w:sz w:val="21"/>
                <w:szCs w:val="21"/>
                <w:lang w:eastAsia="zh-CN"/>
              </w:rPr>
              <w:t>）</w:t>
            </w:r>
          </w:p>
        </w:tc>
      </w:tr>
      <w:tr w14:paraId="34954C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814" w:type="dxa"/>
            <w:vAlign w:val="center"/>
          </w:tcPr>
          <w:p w14:paraId="60DFA284">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1</w:t>
            </w:r>
          </w:p>
        </w:tc>
        <w:tc>
          <w:tcPr>
            <w:tcW w:w="3580" w:type="dxa"/>
            <w:vAlign w:val="center"/>
          </w:tcPr>
          <w:p w14:paraId="28FBEEA7">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化工仪表过程控制拆装维修考核综合实训设备</w:t>
            </w:r>
          </w:p>
        </w:tc>
        <w:tc>
          <w:tcPr>
            <w:tcW w:w="1470" w:type="dxa"/>
            <w:vAlign w:val="center"/>
          </w:tcPr>
          <w:p w14:paraId="43DDD478">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46.9</w:t>
            </w:r>
          </w:p>
        </w:tc>
        <w:tc>
          <w:tcPr>
            <w:tcW w:w="710" w:type="dxa"/>
            <w:vAlign w:val="center"/>
          </w:tcPr>
          <w:p w14:paraId="046C2CFB">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1</w:t>
            </w:r>
          </w:p>
        </w:tc>
        <w:tc>
          <w:tcPr>
            <w:tcW w:w="660" w:type="dxa"/>
            <w:vAlign w:val="center"/>
          </w:tcPr>
          <w:p w14:paraId="52DF634B">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套</w:t>
            </w:r>
          </w:p>
        </w:tc>
        <w:tc>
          <w:tcPr>
            <w:tcW w:w="1264" w:type="dxa"/>
            <w:vAlign w:val="center"/>
          </w:tcPr>
          <w:p w14:paraId="20E2A077">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46.9</w:t>
            </w:r>
          </w:p>
        </w:tc>
      </w:tr>
      <w:tr w14:paraId="01EF5D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814" w:type="dxa"/>
            <w:vAlign w:val="center"/>
          </w:tcPr>
          <w:p w14:paraId="1BE3D423">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2</w:t>
            </w:r>
          </w:p>
        </w:tc>
        <w:tc>
          <w:tcPr>
            <w:tcW w:w="3580" w:type="dxa"/>
            <w:vAlign w:val="center"/>
          </w:tcPr>
          <w:p w14:paraId="01CCCC8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化工维修拆装设备</w:t>
            </w:r>
            <w:r>
              <w:rPr>
                <w:rFonts w:hint="eastAsia" w:ascii="Times New Roman" w:hAnsi="Times New Roman" w:cs="Times New Roman"/>
                <w:color w:val="auto"/>
                <w:spacing w:val="-1"/>
                <w:sz w:val="21"/>
                <w:szCs w:val="21"/>
                <w:lang w:eastAsia="zh-CN"/>
              </w:rPr>
              <w:t>（</w:t>
            </w:r>
            <w:r>
              <w:rPr>
                <w:rFonts w:ascii="Times New Roman" w:hAnsi="Times New Roman" w:eastAsia="宋体" w:cs="Times New Roman"/>
                <w:color w:val="auto"/>
                <w:spacing w:val="-1"/>
                <w:sz w:val="21"/>
                <w:szCs w:val="21"/>
              </w:rPr>
              <w:t>含多种动静设备及拆装软件</w:t>
            </w:r>
            <w:r>
              <w:rPr>
                <w:rFonts w:hint="eastAsia" w:ascii="Times New Roman" w:hAnsi="Times New Roman" w:cs="Times New Roman"/>
                <w:color w:val="auto"/>
                <w:spacing w:val="-1"/>
                <w:sz w:val="21"/>
                <w:szCs w:val="21"/>
                <w:lang w:eastAsia="zh-CN"/>
              </w:rPr>
              <w:t>）</w:t>
            </w:r>
          </w:p>
        </w:tc>
        <w:tc>
          <w:tcPr>
            <w:tcW w:w="1470" w:type="dxa"/>
            <w:vAlign w:val="center"/>
          </w:tcPr>
          <w:p w14:paraId="7613BE05">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18.7</w:t>
            </w:r>
          </w:p>
        </w:tc>
        <w:tc>
          <w:tcPr>
            <w:tcW w:w="710" w:type="dxa"/>
            <w:vAlign w:val="center"/>
          </w:tcPr>
          <w:p w14:paraId="2295E2D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1</w:t>
            </w:r>
          </w:p>
        </w:tc>
        <w:tc>
          <w:tcPr>
            <w:tcW w:w="660" w:type="dxa"/>
            <w:vAlign w:val="center"/>
          </w:tcPr>
          <w:p w14:paraId="4F59EAA4">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套</w:t>
            </w:r>
          </w:p>
        </w:tc>
        <w:tc>
          <w:tcPr>
            <w:tcW w:w="1264" w:type="dxa"/>
            <w:vAlign w:val="center"/>
          </w:tcPr>
          <w:p w14:paraId="5F52B487">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18.7</w:t>
            </w:r>
          </w:p>
        </w:tc>
      </w:tr>
      <w:tr w14:paraId="59F01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814" w:type="dxa"/>
            <w:vAlign w:val="center"/>
          </w:tcPr>
          <w:p w14:paraId="6BD3F73D">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3</w:t>
            </w:r>
          </w:p>
        </w:tc>
        <w:tc>
          <w:tcPr>
            <w:tcW w:w="3580" w:type="dxa"/>
            <w:vAlign w:val="center"/>
          </w:tcPr>
          <w:p w14:paraId="306DDEE1">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化工实验室基础</w:t>
            </w:r>
            <w:r>
              <w:rPr>
                <w:rFonts w:hint="default" w:ascii="Times New Roman" w:hAnsi="Times New Roman" w:eastAsia="宋体" w:cs="Times New Roman"/>
                <w:color w:val="auto"/>
                <w:spacing w:val="-1"/>
                <w:sz w:val="21"/>
                <w:szCs w:val="21"/>
                <w:lang w:val="en-US" w:eastAsia="zh-CN"/>
              </w:rPr>
              <w:t>设施</w:t>
            </w:r>
            <w:r>
              <w:rPr>
                <w:rFonts w:hint="eastAsia" w:ascii="Times New Roman" w:hAnsi="Times New Roman" w:cs="Times New Roman"/>
                <w:color w:val="auto"/>
                <w:spacing w:val="-1"/>
                <w:sz w:val="21"/>
                <w:szCs w:val="21"/>
                <w:lang w:val="en-US" w:eastAsia="zh-CN"/>
              </w:rPr>
              <w:t>（</w:t>
            </w:r>
            <w:r>
              <w:rPr>
                <w:rFonts w:ascii="Times New Roman" w:hAnsi="Times New Roman" w:eastAsia="宋体" w:cs="Times New Roman"/>
                <w:color w:val="auto"/>
                <w:spacing w:val="-1"/>
                <w:sz w:val="21"/>
                <w:szCs w:val="21"/>
              </w:rPr>
              <w:t>配电箱、水管等</w:t>
            </w:r>
            <w:r>
              <w:rPr>
                <w:rFonts w:hint="eastAsia" w:ascii="Times New Roman" w:hAnsi="Times New Roman" w:cs="Times New Roman"/>
                <w:color w:val="auto"/>
                <w:spacing w:val="-1"/>
                <w:sz w:val="21"/>
                <w:szCs w:val="21"/>
                <w:lang w:eastAsia="zh-CN"/>
              </w:rPr>
              <w:t>）</w:t>
            </w:r>
          </w:p>
        </w:tc>
        <w:tc>
          <w:tcPr>
            <w:tcW w:w="1470" w:type="dxa"/>
            <w:vAlign w:val="center"/>
          </w:tcPr>
          <w:p w14:paraId="1D9B1A68">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3.2</w:t>
            </w:r>
          </w:p>
        </w:tc>
        <w:tc>
          <w:tcPr>
            <w:tcW w:w="710" w:type="dxa"/>
            <w:vAlign w:val="center"/>
          </w:tcPr>
          <w:p w14:paraId="749867CD">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1</w:t>
            </w:r>
          </w:p>
        </w:tc>
        <w:tc>
          <w:tcPr>
            <w:tcW w:w="660" w:type="dxa"/>
            <w:vAlign w:val="center"/>
          </w:tcPr>
          <w:p w14:paraId="4AA50C40">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套</w:t>
            </w:r>
          </w:p>
        </w:tc>
        <w:tc>
          <w:tcPr>
            <w:tcW w:w="1264" w:type="dxa"/>
            <w:vAlign w:val="center"/>
          </w:tcPr>
          <w:p w14:paraId="68CC4201">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sz w:val="21"/>
                <w:szCs w:val="21"/>
              </w:rPr>
            </w:pPr>
            <w:r>
              <w:rPr>
                <w:rFonts w:ascii="Times New Roman" w:hAnsi="Times New Roman" w:eastAsia="宋体" w:cs="Times New Roman"/>
                <w:color w:val="auto"/>
                <w:spacing w:val="-1"/>
                <w:sz w:val="21"/>
                <w:szCs w:val="21"/>
              </w:rPr>
              <w:t>3.2</w:t>
            </w:r>
          </w:p>
        </w:tc>
      </w:tr>
      <w:tr w14:paraId="6231C8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814" w:type="dxa"/>
            <w:vAlign w:val="center"/>
          </w:tcPr>
          <w:p w14:paraId="68FB06FE">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z w:val="21"/>
                <w:szCs w:val="21"/>
              </w:rPr>
            </w:pPr>
            <w:r>
              <w:rPr>
                <w:rFonts w:ascii="Times New Roman" w:hAnsi="Times New Roman" w:eastAsia="宋体" w:cs="Times New Roman"/>
                <w:color w:val="auto"/>
                <w:sz w:val="21"/>
                <w:szCs w:val="21"/>
              </w:rPr>
              <w:t>4</w:t>
            </w:r>
          </w:p>
        </w:tc>
        <w:tc>
          <w:tcPr>
            <w:tcW w:w="3580" w:type="dxa"/>
            <w:vAlign w:val="center"/>
          </w:tcPr>
          <w:p w14:paraId="58B49224">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kern w:val="2"/>
                <w:sz w:val="21"/>
                <w:szCs w:val="21"/>
                <w:lang w:val="en-US" w:eastAsia="en-US" w:bidi="ar-SA"/>
              </w:rPr>
            </w:pPr>
            <w:r>
              <w:rPr>
                <w:rFonts w:ascii="Times New Roman" w:hAnsi="Times New Roman" w:eastAsia="宋体" w:cs="Times New Roman"/>
                <w:color w:val="auto"/>
                <w:spacing w:val="-1"/>
                <w:kern w:val="2"/>
                <w:sz w:val="21"/>
                <w:szCs w:val="21"/>
                <w:lang w:val="en-US" w:eastAsia="en-US" w:bidi="ar-SA"/>
              </w:rPr>
              <w:t>检测用玻璃器皿</w:t>
            </w:r>
            <w:r>
              <w:rPr>
                <w:rFonts w:hint="eastAsia" w:ascii="Times New Roman" w:hAnsi="Times New Roman" w:cs="Times New Roman"/>
                <w:color w:val="auto"/>
                <w:spacing w:val="-1"/>
                <w:kern w:val="2"/>
                <w:sz w:val="21"/>
                <w:szCs w:val="21"/>
                <w:lang w:val="en-US" w:eastAsia="zh-CN" w:bidi="ar-SA"/>
              </w:rPr>
              <w:t>（</w:t>
            </w:r>
            <w:r>
              <w:rPr>
                <w:rFonts w:ascii="Times New Roman" w:hAnsi="Times New Roman" w:eastAsia="宋体" w:cs="Times New Roman"/>
                <w:color w:val="auto"/>
                <w:spacing w:val="-1"/>
                <w:kern w:val="2"/>
                <w:sz w:val="21"/>
                <w:szCs w:val="21"/>
                <w:lang w:val="en-US" w:eastAsia="en-US" w:bidi="ar-SA"/>
              </w:rPr>
              <w:t>容量瓶、锥形瓶、滴定管、移液管等</w:t>
            </w:r>
            <w:r>
              <w:rPr>
                <w:rFonts w:hint="eastAsia" w:ascii="Times New Roman" w:hAnsi="Times New Roman" w:cs="Times New Roman"/>
                <w:color w:val="auto"/>
                <w:spacing w:val="-1"/>
                <w:kern w:val="2"/>
                <w:sz w:val="21"/>
                <w:szCs w:val="21"/>
                <w:lang w:val="en-US" w:eastAsia="zh-CN" w:bidi="ar-SA"/>
              </w:rPr>
              <w:t>）</w:t>
            </w:r>
          </w:p>
        </w:tc>
        <w:tc>
          <w:tcPr>
            <w:tcW w:w="1470" w:type="dxa"/>
            <w:vAlign w:val="center"/>
          </w:tcPr>
          <w:p w14:paraId="35F87EA4">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kern w:val="2"/>
                <w:sz w:val="21"/>
                <w:szCs w:val="21"/>
                <w:lang w:val="en-US" w:eastAsia="en-US" w:bidi="ar-SA"/>
              </w:rPr>
            </w:pPr>
            <w:r>
              <w:rPr>
                <w:rFonts w:ascii="Times New Roman" w:hAnsi="Times New Roman" w:eastAsia="宋体" w:cs="Times New Roman"/>
                <w:color w:val="auto"/>
                <w:spacing w:val="-1"/>
                <w:kern w:val="2"/>
                <w:sz w:val="21"/>
                <w:szCs w:val="21"/>
                <w:lang w:val="en-US" w:eastAsia="en-US" w:bidi="ar-SA"/>
              </w:rPr>
              <w:t>2.6</w:t>
            </w:r>
          </w:p>
        </w:tc>
        <w:tc>
          <w:tcPr>
            <w:tcW w:w="710" w:type="dxa"/>
            <w:vAlign w:val="center"/>
          </w:tcPr>
          <w:p w14:paraId="0706AB5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kern w:val="2"/>
                <w:sz w:val="21"/>
                <w:szCs w:val="21"/>
                <w:lang w:val="en-US" w:eastAsia="en-US" w:bidi="ar-SA"/>
              </w:rPr>
            </w:pPr>
            <w:r>
              <w:rPr>
                <w:rFonts w:ascii="Times New Roman" w:hAnsi="Times New Roman" w:eastAsia="宋体" w:cs="Times New Roman"/>
                <w:color w:val="auto"/>
                <w:spacing w:val="-1"/>
                <w:kern w:val="2"/>
                <w:sz w:val="21"/>
                <w:szCs w:val="21"/>
                <w:lang w:val="en-US" w:eastAsia="en-US" w:bidi="ar-SA"/>
              </w:rPr>
              <w:t>1</w:t>
            </w:r>
          </w:p>
        </w:tc>
        <w:tc>
          <w:tcPr>
            <w:tcW w:w="660" w:type="dxa"/>
            <w:vAlign w:val="center"/>
          </w:tcPr>
          <w:p w14:paraId="4FFCDBB2">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ascii="Times New Roman" w:hAnsi="Times New Roman" w:eastAsia="宋体" w:cs="Times New Roman"/>
                <w:color w:val="auto"/>
                <w:spacing w:val="-1"/>
                <w:kern w:val="2"/>
                <w:sz w:val="21"/>
                <w:szCs w:val="21"/>
                <w:lang w:val="en-US" w:eastAsia="en-US" w:bidi="ar-SA"/>
              </w:rPr>
            </w:pPr>
            <w:r>
              <w:rPr>
                <w:rFonts w:ascii="Times New Roman" w:hAnsi="Times New Roman" w:eastAsia="宋体" w:cs="Times New Roman"/>
                <w:color w:val="auto"/>
                <w:spacing w:val="-1"/>
                <w:kern w:val="2"/>
                <w:sz w:val="21"/>
                <w:szCs w:val="21"/>
                <w:lang w:val="en-US" w:eastAsia="en-US" w:bidi="ar-SA"/>
              </w:rPr>
              <w:t>套</w:t>
            </w:r>
          </w:p>
        </w:tc>
        <w:tc>
          <w:tcPr>
            <w:tcW w:w="1264" w:type="dxa"/>
            <w:tcBorders>
              <w:right w:val="single" w:color="auto" w:sz="4" w:space="0"/>
            </w:tcBorders>
            <w:vAlign w:val="center"/>
          </w:tcPr>
          <w:p w14:paraId="0F7DE0EA">
            <w:pPr>
              <w:pStyle w:val="51"/>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right"/>
              <w:textAlignment w:val="auto"/>
              <w:rPr>
                <w:rFonts w:ascii="Times New Roman" w:hAnsi="Times New Roman" w:eastAsia="宋体" w:cs="Times New Roman"/>
                <w:color w:val="auto"/>
                <w:spacing w:val="-1"/>
                <w:kern w:val="2"/>
                <w:sz w:val="21"/>
                <w:szCs w:val="21"/>
                <w:lang w:val="en-US" w:eastAsia="en-US" w:bidi="ar-SA"/>
              </w:rPr>
            </w:pPr>
            <w:r>
              <w:rPr>
                <w:rFonts w:ascii="Times New Roman" w:hAnsi="Times New Roman" w:eastAsia="宋体" w:cs="Times New Roman"/>
                <w:color w:val="auto"/>
                <w:spacing w:val="-1"/>
                <w:kern w:val="2"/>
                <w:sz w:val="21"/>
                <w:szCs w:val="21"/>
                <w:lang w:val="en-US" w:eastAsia="en-US" w:bidi="ar-SA"/>
              </w:rPr>
              <w:t>2.6</w:t>
            </w:r>
          </w:p>
        </w:tc>
      </w:tr>
      <w:tr w14:paraId="62C611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6" w:type="dxa"/>
            <w:left w:w="96" w:type="dxa"/>
            <w:bottom w:w="56" w:type="dxa"/>
            <w:right w:w="96" w:type="dxa"/>
          </w:tblCellMar>
        </w:tblPrEx>
        <w:trPr>
          <w:cantSplit/>
          <w:trHeight w:val="397" w:hRule="atLeast"/>
          <w:jc w:val="center"/>
        </w:trPr>
        <w:tc>
          <w:tcPr>
            <w:tcW w:w="7234" w:type="dxa"/>
            <w:gridSpan w:val="5"/>
            <w:vAlign w:val="center"/>
          </w:tcPr>
          <w:p w14:paraId="583ABBB2">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b/>
                <w:color w:val="auto"/>
                <w:spacing w:val="-1"/>
                <w:kern w:val="2"/>
                <w:sz w:val="21"/>
                <w:szCs w:val="21"/>
                <w:lang w:val="en-US" w:eastAsia="en-US" w:bidi="ar-SA"/>
              </w:rPr>
            </w:pPr>
            <w:r>
              <w:rPr>
                <w:rFonts w:ascii="Times New Roman" w:hAnsi="Times New Roman" w:eastAsia="宋体" w:cs="Times New Roman"/>
                <w:b/>
                <w:color w:val="auto"/>
                <w:spacing w:val="-1"/>
                <w:kern w:val="2"/>
                <w:sz w:val="21"/>
                <w:szCs w:val="21"/>
                <w:lang w:val="en-US" w:eastAsia="en-US" w:bidi="ar-SA"/>
              </w:rPr>
              <w:t>合  计</w:t>
            </w:r>
          </w:p>
        </w:tc>
        <w:tc>
          <w:tcPr>
            <w:tcW w:w="1264" w:type="dxa"/>
            <w:tcBorders>
              <w:right w:val="single" w:color="auto" w:sz="4" w:space="0"/>
            </w:tcBorders>
            <w:vAlign w:val="center"/>
          </w:tcPr>
          <w:p w14:paraId="7CE72231">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right"/>
              <w:textAlignment w:val="auto"/>
              <w:rPr>
                <w:rFonts w:ascii="Times New Roman" w:hAnsi="Times New Roman" w:eastAsia="宋体" w:cs="Times New Roman"/>
                <w:b/>
                <w:color w:val="auto"/>
                <w:spacing w:val="-1"/>
                <w:kern w:val="2"/>
                <w:sz w:val="21"/>
                <w:szCs w:val="21"/>
                <w:lang w:val="en-US" w:eastAsia="en-US" w:bidi="ar-SA"/>
              </w:rPr>
            </w:pPr>
            <w:r>
              <w:rPr>
                <w:rFonts w:hint="default" w:ascii="Times New Roman" w:hAnsi="Times New Roman" w:eastAsia="宋体" w:cs="Times New Roman"/>
                <w:b/>
                <w:color w:val="auto"/>
                <w:spacing w:val="-1"/>
                <w:kern w:val="2"/>
                <w:sz w:val="21"/>
                <w:szCs w:val="21"/>
                <w:lang w:val="en-US" w:eastAsia="zh-CN" w:bidi="ar-SA"/>
              </w:rPr>
              <w:t>71.4</w:t>
            </w:r>
          </w:p>
        </w:tc>
      </w:tr>
    </w:tbl>
    <w:p w14:paraId="03D54996">
      <w:pPr>
        <w:rPr>
          <w:rFonts w:hint="default"/>
          <w:color w:val="auto"/>
        </w:rPr>
      </w:pPr>
    </w:p>
    <w:p w14:paraId="30764347">
      <w:pPr>
        <w:pStyle w:val="3"/>
        <w:ind w:firstLine="0" w:firstLineChars="0"/>
        <w:jc w:val="center"/>
        <w:rPr>
          <w:rFonts w:hint="default" w:ascii="Times New Roman" w:hAnsi="Times New Roman" w:eastAsia="宋体" w:cs="Times New Roman"/>
          <w:color w:val="auto"/>
          <w:sz w:val="21"/>
          <w:szCs w:val="21"/>
        </w:rPr>
      </w:pPr>
      <w:bookmarkStart w:id="129" w:name="_Toc30254"/>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化工及化工安全实训基地补充器材第三批</w:t>
      </w:r>
      <w:r>
        <w:rPr>
          <w:rFonts w:hint="default" w:ascii="Times New Roman" w:hAnsi="Times New Roman" w:eastAsia="宋体" w:cs="Times New Roman"/>
          <w:color w:val="auto"/>
          <w:sz w:val="21"/>
          <w:szCs w:val="21"/>
        </w:rPr>
        <w:t>设备采购清单</w:t>
      </w:r>
      <w:bookmarkEnd w:id="129"/>
    </w:p>
    <w:tbl>
      <w:tblPr>
        <w:tblStyle w:val="2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900"/>
        <w:gridCol w:w="2083"/>
        <w:gridCol w:w="1793"/>
        <w:gridCol w:w="900"/>
        <w:gridCol w:w="900"/>
        <w:gridCol w:w="1943"/>
      </w:tblGrid>
      <w:tr w14:paraId="6A025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528" w:type="pct"/>
            <w:shd w:val="clear" w:color="auto" w:fill="auto"/>
            <w:vAlign w:val="center"/>
          </w:tcPr>
          <w:p w14:paraId="29899C4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序号</w:t>
            </w:r>
          </w:p>
        </w:tc>
        <w:tc>
          <w:tcPr>
            <w:tcW w:w="1222" w:type="pct"/>
            <w:shd w:val="clear" w:color="auto" w:fill="auto"/>
            <w:vAlign w:val="center"/>
          </w:tcPr>
          <w:p w14:paraId="46F6D92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名称</w:t>
            </w:r>
          </w:p>
        </w:tc>
        <w:tc>
          <w:tcPr>
            <w:tcW w:w="1052" w:type="pct"/>
            <w:shd w:val="clear" w:color="auto" w:fill="auto"/>
            <w:vAlign w:val="center"/>
          </w:tcPr>
          <w:p w14:paraId="7046E68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单价</w:t>
            </w:r>
            <w:r>
              <w:rPr>
                <w:rFonts w:hint="eastAsia" w:eastAsia="宋体" w:cs="Times New Roman"/>
                <w:b/>
                <w:bCs/>
                <w:i w:val="0"/>
                <w:iCs w:val="0"/>
                <w:color w:val="000000"/>
                <w:kern w:val="0"/>
                <w:sz w:val="21"/>
                <w:szCs w:val="21"/>
                <w:u w:val="none"/>
                <w:lang w:val="en-US" w:eastAsia="zh-CN" w:bidi="ar"/>
              </w:rPr>
              <w:t>（</w:t>
            </w:r>
            <w:r>
              <w:rPr>
                <w:rFonts w:hint="default" w:ascii="Times New Roman" w:hAnsi="Times New Roman" w:eastAsia="宋体" w:cs="Times New Roman"/>
                <w:b/>
                <w:bCs/>
                <w:i w:val="0"/>
                <w:iCs w:val="0"/>
                <w:color w:val="000000"/>
                <w:kern w:val="0"/>
                <w:sz w:val="21"/>
                <w:szCs w:val="21"/>
                <w:u w:val="none"/>
                <w:lang w:val="en-US" w:eastAsia="zh-CN" w:bidi="ar"/>
              </w:rPr>
              <w:t>万元</w:t>
            </w:r>
            <w:r>
              <w:rPr>
                <w:rFonts w:hint="eastAsia" w:eastAsia="宋体" w:cs="Times New Roman"/>
                <w:b/>
                <w:bCs/>
                <w:i w:val="0"/>
                <w:iCs w:val="0"/>
                <w:color w:val="000000"/>
                <w:kern w:val="0"/>
                <w:sz w:val="21"/>
                <w:szCs w:val="21"/>
                <w:u w:val="none"/>
                <w:lang w:val="en-US" w:eastAsia="zh-CN" w:bidi="ar"/>
              </w:rPr>
              <w:t>）</w:t>
            </w:r>
          </w:p>
        </w:tc>
        <w:tc>
          <w:tcPr>
            <w:tcW w:w="528" w:type="pct"/>
            <w:shd w:val="clear" w:color="auto" w:fill="auto"/>
            <w:vAlign w:val="center"/>
          </w:tcPr>
          <w:p w14:paraId="7807E55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数量</w:t>
            </w:r>
          </w:p>
        </w:tc>
        <w:tc>
          <w:tcPr>
            <w:tcW w:w="528" w:type="pct"/>
            <w:shd w:val="clear" w:color="auto" w:fill="auto"/>
            <w:vAlign w:val="center"/>
          </w:tcPr>
          <w:p w14:paraId="4145DCB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单位</w:t>
            </w:r>
          </w:p>
        </w:tc>
        <w:tc>
          <w:tcPr>
            <w:tcW w:w="1139" w:type="pct"/>
            <w:shd w:val="clear" w:color="auto" w:fill="auto"/>
            <w:vAlign w:val="center"/>
          </w:tcPr>
          <w:p w14:paraId="53C477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u w:val="none"/>
              </w:rPr>
            </w:pPr>
            <w:r>
              <w:rPr>
                <w:rFonts w:hint="default" w:ascii="Times New Roman" w:hAnsi="Times New Roman" w:eastAsia="宋体" w:cs="Times New Roman"/>
                <w:b/>
                <w:bCs/>
                <w:i w:val="0"/>
                <w:iCs w:val="0"/>
                <w:color w:val="000000"/>
                <w:kern w:val="0"/>
                <w:sz w:val="21"/>
                <w:szCs w:val="21"/>
                <w:u w:val="none"/>
                <w:lang w:val="en-US" w:eastAsia="zh-CN" w:bidi="ar"/>
              </w:rPr>
              <w:t>总价（万元</w:t>
            </w:r>
            <w:r>
              <w:rPr>
                <w:rFonts w:hint="eastAsia" w:eastAsia="宋体" w:cs="Times New Roman"/>
                <w:b/>
                <w:bCs/>
                <w:i w:val="0"/>
                <w:iCs w:val="0"/>
                <w:color w:val="000000"/>
                <w:kern w:val="0"/>
                <w:sz w:val="21"/>
                <w:szCs w:val="21"/>
                <w:u w:val="none"/>
                <w:lang w:val="en-US" w:eastAsia="zh-CN" w:bidi="ar"/>
              </w:rPr>
              <w:t>）</w:t>
            </w:r>
          </w:p>
        </w:tc>
      </w:tr>
      <w:tr w14:paraId="66706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528" w:type="pct"/>
            <w:shd w:val="clear" w:color="auto" w:fill="auto"/>
            <w:vAlign w:val="center"/>
          </w:tcPr>
          <w:p w14:paraId="29FB3F2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222" w:type="pct"/>
            <w:shd w:val="clear" w:color="auto" w:fill="auto"/>
            <w:vAlign w:val="center"/>
          </w:tcPr>
          <w:p w14:paraId="02B6E7D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化工实训模型</w:t>
            </w:r>
          </w:p>
        </w:tc>
        <w:tc>
          <w:tcPr>
            <w:tcW w:w="1052" w:type="pct"/>
            <w:shd w:val="clear" w:color="auto" w:fill="auto"/>
            <w:vAlign w:val="center"/>
          </w:tcPr>
          <w:p w14:paraId="06D06F3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3.6</w:t>
            </w:r>
          </w:p>
        </w:tc>
        <w:tc>
          <w:tcPr>
            <w:tcW w:w="528" w:type="pct"/>
            <w:shd w:val="clear" w:color="auto" w:fill="auto"/>
            <w:vAlign w:val="center"/>
          </w:tcPr>
          <w:p w14:paraId="02350B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528" w:type="pct"/>
            <w:shd w:val="clear" w:color="auto" w:fill="auto"/>
            <w:vAlign w:val="center"/>
          </w:tcPr>
          <w:p w14:paraId="488BE4B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套</w:t>
            </w:r>
          </w:p>
        </w:tc>
        <w:tc>
          <w:tcPr>
            <w:tcW w:w="1139" w:type="pct"/>
            <w:shd w:val="clear" w:color="auto" w:fill="auto"/>
            <w:vAlign w:val="center"/>
          </w:tcPr>
          <w:p w14:paraId="50BD758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3.6</w:t>
            </w:r>
          </w:p>
        </w:tc>
      </w:tr>
    </w:tbl>
    <w:p w14:paraId="73AF8843">
      <w:pPr>
        <w:ind w:firstLine="420"/>
        <w:jc w:val="center"/>
        <w:rPr>
          <w:color w:val="auto"/>
        </w:rPr>
      </w:pPr>
      <w:r>
        <w:rPr>
          <w:color w:val="auto"/>
        </w:rPr>
        <w:br w:type="page"/>
      </w:r>
    </w:p>
    <w:p w14:paraId="3F55A61A">
      <w:pPr>
        <w:pStyle w:val="3"/>
        <w:ind w:firstLine="482"/>
        <w:rPr>
          <w:rFonts w:hint="default" w:ascii="Times New Roman" w:hAnsi="Times New Roman" w:eastAsia="宋体" w:cs="Times New Roman"/>
          <w:color w:val="auto"/>
          <w:sz w:val="21"/>
          <w:szCs w:val="21"/>
        </w:rPr>
      </w:pPr>
      <w:bookmarkStart w:id="130" w:name="_Toc6458"/>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-6</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eastAsia="zh-CN"/>
        </w:rPr>
        <w:t>电商及直播运营实训基地</w:t>
      </w:r>
      <w:r>
        <w:rPr>
          <w:rFonts w:hint="default" w:ascii="Times New Roman" w:hAnsi="Times New Roman" w:eastAsia="宋体" w:cs="Times New Roman"/>
          <w:color w:val="auto"/>
          <w:sz w:val="21"/>
          <w:szCs w:val="21"/>
        </w:rPr>
        <w:t>设备采购</w:t>
      </w:r>
      <w:r>
        <w:rPr>
          <w:rFonts w:hint="default" w:ascii="Times New Roman" w:hAnsi="Times New Roman" w:eastAsia="宋体" w:cs="Times New Roman"/>
          <w:color w:val="auto"/>
          <w:sz w:val="21"/>
          <w:szCs w:val="21"/>
          <w:lang w:val="en-US" w:eastAsia="zh-CN"/>
        </w:rPr>
        <w:t>第一批</w:t>
      </w:r>
      <w:r>
        <w:rPr>
          <w:rFonts w:hint="default" w:ascii="Times New Roman" w:hAnsi="Times New Roman" w:eastAsia="宋体" w:cs="Times New Roman"/>
          <w:color w:val="auto"/>
          <w:sz w:val="21"/>
          <w:szCs w:val="21"/>
        </w:rPr>
        <w:t>明细表</w:t>
      </w:r>
      <w:bookmarkEnd w:id="126"/>
      <w:bookmarkEnd w:id="130"/>
    </w:p>
    <w:tbl>
      <w:tblPr>
        <w:tblStyle w:val="36"/>
        <w:tblW w:w="501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766"/>
        <w:gridCol w:w="5273"/>
        <w:gridCol w:w="712"/>
        <w:gridCol w:w="1582"/>
      </w:tblGrid>
      <w:tr w14:paraId="46080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blHeader/>
        </w:trPr>
        <w:tc>
          <w:tcPr>
            <w:tcW w:w="460" w:type="pct"/>
            <w:vAlign w:val="center"/>
          </w:tcPr>
          <w:p w14:paraId="1E65B90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b/>
                <w:bCs/>
                <w:color w:val="auto"/>
                <w:sz w:val="21"/>
                <w:szCs w:val="21"/>
              </w:rPr>
            </w:pPr>
            <w:r>
              <w:rPr>
                <w:rFonts w:ascii="Times New Roman" w:hAnsi="Times New Roman" w:cs="Times New Roman"/>
                <w:b/>
                <w:bCs/>
                <w:color w:val="auto"/>
                <w:spacing w:val="6"/>
                <w:sz w:val="21"/>
                <w:szCs w:val="21"/>
              </w:rPr>
              <w:t>序号</w:t>
            </w:r>
          </w:p>
        </w:tc>
        <w:tc>
          <w:tcPr>
            <w:tcW w:w="3164" w:type="pct"/>
            <w:vAlign w:val="center"/>
          </w:tcPr>
          <w:p w14:paraId="0111F7E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b/>
                <w:bCs/>
                <w:color w:val="auto"/>
                <w:sz w:val="21"/>
                <w:szCs w:val="21"/>
              </w:rPr>
            </w:pPr>
            <w:r>
              <w:rPr>
                <w:rFonts w:ascii="Times New Roman" w:hAnsi="Times New Roman" w:cs="Times New Roman"/>
                <w:b/>
                <w:bCs/>
                <w:color w:val="auto"/>
                <w:spacing w:val="-2"/>
                <w:sz w:val="21"/>
                <w:szCs w:val="21"/>
              </w:rPr>
              <w:t>产品名称</w:t>
            </w:r>
          </w:p>
        </w:tc>
        <w:tc>
          <w:tcPr>
            <w:tcW w:w="427" w:type="pct"/>
            <w:vAlign w:val="center"/>
          </w:tcPr>
          <w:p w14:paraId="1A9F03A5">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b/>
                <w:bCs/>
                <w:color w:val="auto"/>
                <w:sz w:val="21"/>
                <w:szCs w:val="21"/>
              </w:rPr>
            </w:pPr>
            <w:r>
              <w:rPr>
                <w:rFonts w:ascii="Times New Roman" w:hAnsi="Times New Roman" w:cs="Times New Roman"/>
                <w:b/>
                <w:bCs/>
                <w:color w:val="auto"/>
                <w:spacing w:val="-3"/>
                <w:sz w:val="21"/>
                <w:szCs w:val="21"/>
              </w:rPr>
              <w:t>数量</w:t>
            </w:r>
          </w:p>
        </w:tc>
        <w:tc>
          <w:tcPr>
            <w:tcW w:w="947" w:type="pct"/>
            <w:vAlign w:val="center"/>
          </w:tcPr>
          <w:p w14:paraId="7E97E818">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b/>
                <w:bCs/>
                <w:color w:val="auto"/>
                <w:sz w:val="21"/>
                <w:szCs w:val="21"/>
              </w:rPr>
            </w:pPr>
            <w:r>
              <w:rPr>
                <w:rFonts w:ascii="Times New Roman" w:hAnsi="Times New Roman" w:cs="Times New Roman"/>
                <w:b/>
                <w:bCs/>
                <w:color w:val="auto"/>
                <w:spacing w:val="9"/>
                <w:sz w:val="21"/>
                <w:szCs w:val="21"/>
              </w:rPr>
              <w:t>单价</w:t>
            </w:r>
            <w:r>
              <w:rPr>
                <w:rFonts w:hint="eastAsia" w:ascii="Times New Roman" w:hAnsi="Times New Roman" w:cs="Times New Roman"/>
                <w:b/>
                <w:bCs/>
                <w:color w:val="auto"/>
                <w:spacing w:val="9"/>
                <w:sz w:val="21"/>
                <w:szCs w:val="21"/>
                <w:lang w:eastAsia="zh-CN"/>
              </w:rPr>
              <w:t>（</w:t>
            </w:r>
            <w:r>
              <w:rPr>
                <w:rFonts w:ascii="Times New Roman" w:hAnsi="Times New Roman" w:cs="Times New Roman"/>
                <w:b/>
                <w:bCs/>
                <w:color w:val="auto"/>
                <w:spacing w:val="9"/>
                <w:sz w:val="21"/>
                <w:szCs w:val="21"/>
              </w:rPr>
              <w:t>元</w:t>
            </w:r>
            <w:r>
              <w:rPr>
                <w:rFonts w:hint="eastAsia" w:ascii="Times New Roman" w:hAnsi="Times New Roman" w:cs="Times New Roman"/>
                <w:b/>
                <w:bCs/>
                <w:color w:val="auto"/>
                <w:spacing w:val="9"/>
                <w:sz w:val="21"/>
                <w:szCs w:val="21"/>
                <w:lang w:eastAsia="zh-CN"/>
              </w:rPr>
              <w:t>）</w:t>
            </w:r>
          </w:p>
        </w:tc>
      </w:tr>
      <w:tr w14:paraId="333A2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000" w:type="pct"/>
            <w:gridSpan w:val="4"/>
            <w:vAlign w:val="center"/>
          </w:tcPr>
          <w:p w14:paraId="75C6B65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left"/>
              <w:textAlignment w:val="auto"/>
              <w:rPr>
                <w:rFonts w:ascii="Times New Roman" w:hAnsi="Times New Roman" w:cs="Times New Roman"/>
                <w:b/>
                <w:bCs/>
                <w:color w:val="auto"/>
                <w:spacing w:val="9"/>
                <w:sz w:val="21"/>
                <w:szCs w:val="21"/>
              </w:rPr>
            </w:pPr>
            <w:r>
              <w:rPr>
                <w:rFonts w:ascii="Times New Roman" w:hAnsi="Times New Roman" w:cs="Times New Roman"/>
                <w:b/>
                <w:bCs/>
                <w:color w:val="auto"/>
                <w:sz w:val="21"/>
                <w:szCs w:val="21"/>
              </w:rPr>
              <w:t>一、录播及直播实训室</w:t>
            </w:r>
          </w:p>
        </w:tc>
      </w:tr>
      <w:tr w14:paraId="30F3E1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32890A5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1</w:t>
            </w:r>
          </w:p>
        </w:tc>
        <w:tc>
          <w:tcPr>
            <w:tcW w:w="3164" w:type="pct"/>
            <w:vAlign w:val="center"/>
          </w:tcPr>
          <w:p w14:paraId="4C4C258C">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单反相机</w:t>
            </w:r>
          </w:p>
        </w:tc>
        <w:tc>
          <w:tcPr>
            <w:tcW w:w="427" w:type="pct"/>
            <w:vAlign w:val="center"/>
          </w:tcPr>
          <w:p w14:paraId="62E0D9F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947" w:type="pct"/>
            <w:vAlign w:val="center"/>
          </w:tcPr>
          <w:p w14:paraId="55334115">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hint="default" w:ascii="Times New Roman" w:hAnsi="Times New Roman" w:eastAsia="宋体" w:cs="Times New Roman"/>
                <w:color w:val="auto"/>
                <w:sz w:val="21"/>
                <w:szCs w:val="21"/>
                <w:lang w:val="en-US" w:eastAsia="zh-CN"/>
              </w:rPr>
            </w:pPr>
            <w:r>
              <w:rPr>
                <w:rFonts w:ascii="Times New Roman" w:hAnsi="Times New Roman" w:cs="Times New Roman"/>
                <w:color w:val="auto"/>
                <w:spacing w:val="-4"/>
                <w:sz w:val="21"/>
                <w:szCs w:val="21"/>
              </w:rPr>
              <w:t>15</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100</w:t>
            </w:r>
            <w:r>
              <w:rPr>
                <w:rFonts w:hint="default" w:ascii="Times New Roman" w:hAnsi="Times New Roman" w:cs="Times New Roman"/>
                <w:color w:val="auto"/>
                <w:spacing w:val="-4"/>
                <w:sz w:val="21"/>
                <w:szCs w:val="21"/>
                <w:lang w:val="en-US" w:eastAsia="zh-CN"/>
              </w:rPr>
              <w:t>.00</w:t>
            </w:r>
          </w:p>
        </w:tc>
      </w:tr>
      <w:tr w14:paraId="33AEE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17E964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p>
        </w:tc>
        <w:tc>
          <w:tcPr>
            <w:tcW w:w="3164" w:type="pct"/>
            <w:vAlign w:val="center"/>
          </w:tcPr>
          <w:p w14:paraId="7B96E93E">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直播手机</w:t>
            </w:r>
          </w:p>
        </w:tc>
        <w:tc>
          <w:tcPr>
            <w:tcW w:w="427" w:type="pct"/>
            <w:vAlign w:val="center"/>
          </w:tcPr>
          <w:p w14:paraId="3BB3948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947" w:type="pct"/>
            <w:vAlign w:val="center"/>
          </w:tcPr>
          <w:p w14:paraId="46E244E1">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hint="default" w:ascii="Times New Roman" w:hAnsi="Times New Roman" w:eastAsia="宋体" w:cs="Times New Roman"/>
                <w:color w:val="auto"/>
                <w:sz w:val="21"/>
                <w:szCs w:val="21"/>
                <w:lang w:val="en-US" w:eastAsia="zh-CN"/>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800</w:t>
            </w:r>
            <w:r>
              <w:rPr>
                <w:rFonts w:hint="default" w:ascii="Times New Roman" w:hAnsi="Times New Roman" w:cs="Times New Roman"/>
                <w:color w:val="auto"/>
                <w:spacing w:val="-3"/>
                <w:sz w:val="21"/>
                <w:szCs w:val="21"/>
                <w:lang w:val="en-US" w:eastAsia="zh-CN"/>
              </w:rPr>
              <w:t>.00</w:t>
            </w:r>
          </w:p>
        </w:tc>
      </w:tr>
      <w:tr w14:paraId="7B6F93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7118E0E3">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3</w:t>
            </w:r>
          </w:p>
        </w:tc>
        <w:tc>
          <w:tcPr>
            <w:tcW w:w="3164" w:type="pct"/>
            <w:vAlign w:val="center"/>
          </w:tcPr>
          <w:p w14:paraId="662006A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手机拍摄稳定器</w:t>
            </w:r>
          </w:p>
        </w:tc>
        <w:tc>
          <w:tcPr>
            <w:tcW w:w="427" w:type="pct"/>
            <w:vAlign w:val="center"/>
          </w:tcPr>
          <w:p w14:paraId="19C520E8">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947" w:type="pct"/>
            <w:vAlign w:val="center"/>
          </w:tcPr>
          <w:p w14:paraId="3F087BE0">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980</w:t>
            </w:r>
            <w:r>
              <w:rPr>
                <w:rFonts w:hint="default" w:ascii="Times New Roman" w:hAnsi="Times New Roman" w:cs="Times New Roman"/>
                <w:color w:val="auto"/>
                <w:spacing w:val="-2"/>
                <w:sz w:val="21"/>
                <w:szCs w:val="21"/>
                <w:lang w:val="en-US" w:eastAsia="zh-CN"/>
              </w:rPr>
              <w:t>.00</w:t>
            </w:r>
          </w:p>
        </w:tc>
      </w:tr>
      <w:tr w14:paraId="77B4E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5046FA6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w:t>
            </w:r>
          </w:p>
        </w:tc>
        <w:tc>
          <w:tcPr>
            <w:tcW w:w="3164" w:type="pct"/>
            <w:vAlign w:val="center"/>
          </w:tcPr>
          <w:p w14:paraId="3D00279C">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4K摄像机</w:t>
            </w:r>
          </w:p>
        </w:tc>
        <w:tc>
          <w:tcPr>
            <w:tcW w:w="427" w:type="pct"/>
            <w:vAlign w:val="center"/>
          </w:tcPr>
          <w:p w14:paraId="5CB83FE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2</w:t>
            </w:r>
          </w:p>
        </w:tc>
        <w:tc>
          <w:tcPr>
            <w:tcW w:w="947" w:type="pct"/>
            <w:vAlign w:val="center"/>
          </w:tcPr>
          <w:p w14:paraId="782BC25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13</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800</w:t>
            </w:r>
            <w:r>
              <w:rPr>
                <w:rFonts w:hint="default" w:ascii="Times New Roman" w:hAnsi="Times New Roman" w:cs="Times New Roman"/>
                <w:color w:val="auto"/>
                <w:spacing w:val="-2"/>
                <w:sz w:val="21"/>
                <w:szCs w:val="21"/>
                <w:lang w:val="en-US" w:eastAsia="zh-CN"/>
              </w:rPr>
              <w:t>.00</w:t>
            </w:r>
          </w:p>
        </w:tc>
      </w:tr>
      <w:tr w14:paraId="0A947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06FD78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5</w:t>
            </w:r>
          </w:p>
        </w:tc>
        <w:tc>
          <w:tcPr>
            <w:tcW w:w="3164" w:type="pct"/>
            <w:vAlign w:val="center"/>
          </w:tcPr>
          <w:p w14:paraId="5A9E2ED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三脚架</w:t>
            </w:r>
          </w:p>
        </w:tc>
        <w:tc>
          <w:tcPr>
            <w:tcW w:w="427" w:type="pct"/>
            <w:vAlign w:val="center"/>
          </w:tcPr>
          <w:p w14:paraId="6ECAD1A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8</w:t>
            </w:r>
          </w:p>
        </w:tc>
        <w:tc>
          <w:tcPr>
            <w:tcW w:w="947" w:type="pct"/>
            <w:vAlign w:val="center"/>
          </w:tcPr>
          <w:p w14:paraId="59A9916C">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5"/>
                <w:sz w:val="21"/>
                <w:szCs w:val="21"/>
              </w:rPr>
              <w:t>1</w:t>
            </w:r>
            <w:r>
              <w:rPr>
                <w:rFonts w:hint="default" w:ascii="Times New Roman" w:hAnsi="Times New Roman" w:cs="Times New Roman"/>
                <w:color w:val="auto"/>
                <w:spacing w:val="-5"/>
                <w:sz w:val="21"/>
                <w:szCs w:val="21"/>
                <w:lang w:val="en-US" w:eastAsia="zh-CN"/>
              </w:rPr>
              <w:t>,</w:t>
            </w:r>
            <w:r>
              <w:rPr>
                <w:rFonts w:ascii="Times New Roman" w:hAnsi="Times New Roman" w:cs="Times New Roman"/>
                <w:color w:val="auto"/>
                <w:spacing w:val="-5"/>
                <w:sz w:val="21"/>
                <w:szCs w:val="21"/>
              </w:rPr>
              <w:t>800</w:t>
            </w:r>
            <w:r>
              <w:rPr>
                <w:rFonts w:hint="default" w:ascii="Times New Roman" w:hAnsi="Times New Roman" w:cs="Times New Roman"/>
                <w:color w:val="auto"/>
                <w:spacing w:val="-2"/>
                <w:sz w:val="21"/>
                <w:szCs w:val="21"/>
                <w:lang w:val="en-US" w:eastAsia="zh-CN"/>
              </w:rPr>
              <w:t>.00</w:t>
            </w:r>
          </w:p>
        </w:tc>
      </w:tr>
      <w:tr w14:paraId="04CACD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25042E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6</w:t>
            </w:r>
          </w:p>
        </w:tc>
        <w:tc>
          <w:tcPr>
            <w:tcW w:w="3164" w:type="pct"/>
            <w:vAlign w:val="center"/>
          </w:tcPr>
          <w:p w14:paraId="005251D4">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
                <w:sz w:val="21"/>
                <w:szCs w:val="21"/>
              </w:rPr>
              <w:t>4K演播室回看系统</w:t>
            </w:r>
          </w:p>
        </w:tc>
        <w:tc>
          <w:tcPr>
            <w:tcW w:w="427" w:type="pct"/>
            <w:vAlign w:val="center"/>
          </w:tcPr>
          <w:p w14:paraId="6CCDA17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699194D4">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7</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800</w:t>
            </w:r>
            <w:r>
              <w:rPr>
                <w:rFonts w:hint="default" w:ascii="Times New Roman" w:hAnsi="Times New Roman" w:cs="Times New Roman"/>
                <w:color w:val="auto"/>
                <w:spacing w:val="-2"/>
                <w:sz w:val="21"/>
                <w:szCs w:val="21"/>
                <w:lang w:val="en-US" w:eastAsia="zh-CN"/>
              </w:rPr>
              <w:t>.00</w:t>
            </w:r>
          </w:p>
        </w:tc>
      </w:tr>
      <w:tr w14:paraId="36C9C8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19A6B7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7</w:t>
            </w:r>
          </w:p>
        </w:tc>
        <w:tc>
          <w:tcPr>
            <w:tcW w:w="3164" w:type="pct"/>
            <w:vAlign w:val="center"/>
          </w:tcPr>
          <w:p w14:paraId="79A0BE8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电视支架</w:t>
            </w:r>
          </w:p>
        </w:tc>
        <w:tc>
          <w:tcPr>
            <w:tcW w:w="427" w:type="pct"/>
            <w:vAlign w:val="center"/>
          </w:tcPr>
          <w:p w14:paraId="6761D23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03A817B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780</w:t>
            </w:r>
            <w:r>
              <w:rPr>
                <w:rFonts w:hint="default" w:ascii="Times New Roman" w:hAnsi="Times New Roman" w:cs="Times New Roman"/>
                <w:color w:val="auto"/>
                <w:spacing w:val="-2"/>
                <w:sz w:val="21"/>
                <w:szCs w:val="21"/>
                <w:lang w:val="en-US" w:eastAsia="zh-CN"/>
              </w:rPr>
              <w:t>.00</w:t>
            </w:r>
          </w:p>
        </w:tc>
      </w:tr>
      <w:tr w14:paraId="2627A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3B5C691">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8</w:t>
            </w:r>
          </w:p>
        </w:tc>
        <w:tc>
          <w:tcPr>
            <w:tcW w:w="3164" w:type="pct"/>
            <w:vAlign w:val="center"/>
          </w:tcPr>
          <w:p w14:paraId="7FE525B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
                <w:sz w:val="21"/>
                <w:szCs w:val="21"/>
              </w:rPr>
              <w:t>演播室专用22寸提词器</w:t>
            </w:r>
          </w:p>
        </w:tc>
        <w:tc>
          <w:tcPr>
            <w:tcW w:w="427" w:type="pct"/>
            <w:vAlign w:val="center"/>
          </w:tcPr>
          <w:p w14:paraId="0EE7CEC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635ECF6C">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700</w:t>
            </w:r>
            <w:r>
              <w:rPr>
                <w:rFonts w:hint="default" w:ascii="Times New Roman" w:hAnsi="Times New Roman" w:cs="Times New Roman"/>
                <w:color w:val="auto"/>
                <w:spacing w:val="-2"/>
                <w:sz w:val="21"/>
                <w:szCs w:val="21"/>
                <w:lang w:val="en-US" w:eastAsia="zh-CN"/>
              </w:rPr>
              <w:t>.00</w:t>
            </w:r>
          </w:p>
        </w:tc>
      </w:tr>
      <w:tr w14:paraId="199FC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595E0A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9</w:t>
            </w:r>
          </w:p>
        </w:tc>
        <w:tc>
          <w:tcPr>
            <w:tcW w:w="3164" w:type="pct"/>
            <w:vAlign w:val="center"/>
          </w:tcPr>
          <w:p w14:paraId="7EE7250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
                <w:sz w:val="21"/>
                <w:szCs w:val="21"/>
              </w:rPr>
              <w:t>提词器无线远程控制器</w:t>
            </w:r>
          </w:p>
        </w:tc>
        <w:tc>
          <w:tcPr>
            <w:tcW w:w="427" w:type="pct"/>
            <w:vAlign w:val="center"/>
          </w:tcPr>
          <w:p w14:paraId="3206FD1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289793E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480</w:t>
            </w:r>
            <w:r>
              <w:rPr>
                <w:rFonts w:hint="default" w:ascii="Times New Roman" w:hAnsi="Times New Roman" w:cs="Times New Roman"/>
                <w:color w:val="auto"/>
                <w:spacing w:val="-2"/>
                <w:sz w:val="21"/>
                <w:szCs w:val="21"/>
                <w:lang w:val="en-US" w:eastAsia="zh-CN"/>
              </w:rPr>
              <w:t>.00</w:t>
            </w:r>
          </w:p>
        </w:tc>
      </w:tr>
      <w:tr w14:paraId="76E30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59CE40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10</w:t>
            </w:r>
          </w:p>
        </w:tc>
        <w:tc>
          <w:tcPr>
            <w:tcW w:w="3164" w:type="pct"/>
            <w:vAlign w:val="center"/>
          </w:tcPr>
          <w:p w14:paraId="5FCDC20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提词器主机</w:t>
            </w:r>
          </w:p>
        </w:tc>
        <w:tc>
          <w:tcPr>
            <w:tcW w:w="427" w:type="pct"/>
            <w:vAlign w:val="center"/>
          </w:tcPr>
          <w:p w14:paraId="26F1B8BB">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6808485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8</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200</w:t>
            </w:r>
            <w:r>
              <w:rPr>
                <w:rFonts w:hint="default" w:ascii="Times New Roman" w:hAnsi="Times New Roman" w:cs="Times New Roman"/>
                <w:color w:val="auto"/>
                <w:spacing w:val="-2"/>
                <w:sz w:val="21"/>
                <w:szCs w:val="21"/>
                <w:lang w:val="en-US" w:eastAsia="zh-CN"/>
              </w:rPr>
              <w:t>.00</w:t>
            </w:r>
          </w:p>
        </w:tc>
      </w:tr>
      <w:tr w14:paraId="02F8BF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F060986">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11</w:t>
            </w:r>
          </w:p>
        </w:tc>
        <w:tc>
          <w:tcPr>
            <w:tcW w:w="3164" w:type="pct"/>
            <w:vAlign w:val="center"/>
          </w:tcPr>
          <w:p w14:paraId="450DD945">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
                <w:sz w:val="21"/>
                <w:szCs w:val="21"/>
              </w:rPr>
              <w:t>融合媒体制作系统</w:t>
            </w:r>
          </w:p>
        </w:tc>
        <w:tc>
          <w:tcPr>
            <w:tcW w:w="427" w:type="pct"/>
            <w:vAlign w:val="center"/>
          </w:tcPr>
          <w:p w14:paraId="47FF7385">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0272926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hint="default" w:ascii="Times New Roman" w:hAnsi="Times New Roman" w:cs="Times New Roman"/>
                <w:color w:val="auto"/>
                <w:spacing w:val="-4"/>
                <w:sz w:val="21"/>
                <w:szCs w:val="21"/>
                <w:lang w:eastAsia="zh-CN"/>
              </w:rPr>
              <w:t>61</w:t>
            </w:r>
            <w:r>
              <w:rPr>
                <w:rFonts w:ascii="Times New Roman" w:hAnsi="Times New Roman" w:cs="Times New Roman"/>
                <w:color w:val="auto"/>
                <w:spacing w:val="-4"/>
                <w:sz w:val="21"/>
                <w:szCs w:val="21"/>
              </w:rPr>
              <w:t>5</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000</w:t>
            </w:r>
            <w:r>
              <w:rPr>
                <w:rFonts w:hint="default" w:ascii="Times New Roman" w:hAnsi="Times New Roman" w:cs="Times New Roman"/>
                <w:color w:val="auto"/>
                <w:spacing w:val="-2"/>
                <w:sz w:val="21"/>
                <w:szCs w:val="21"/>
                <w:lang w:val="en-US" w:eastAsia="zh-CN"/>
              </w:rPr>
              <w:t>.00</w:t>
            </w:r>
          </w:p>
        </w:tc>
      </w:tr>
      <w:tr w14:paraId="2AF21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34DAFB1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hint="default" w:ascii="Times New Roman" w:hAnsi="Times New Roman" w:cs="Times New Roman"/>
                <w:color w:val="auto"/>
                <w:spacing w:val="-6"/>
                <w:sz w:val="21"/>
                <w:szCs w:val="21"/>
                <w:lang w:eastAsia="zh-CN"/>
              </w:rPr>
              <w:t>61</w:t>
            </w:r>
          </w:p>
        </w:tc>
        <w:tc>
          <w:tcPr>
            <w:tcW w:w="3164" w:type="pct"/>
            <w:vAlign w:val="center"/>
          </w:tcPr>
          <w:p w14:paraId="46BF0B5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控制切换面板</w:t>
            </w:r>
          </w:p>
        </w:tc>
        <w:tc>
          <w:tcPr>
            <w:tcW w:w="427" w:type="pct"/>
            <w:vAlign w:val="center"/>
          </w:tcPr>
          <w:p w14:paraId="581D763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4A00431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5</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800</w:t>
            </w:r>
            <w:r>
              <w:rPr>
                <w:rFonts w:hint="default" w:ascii="Times New Roman" w:hAnsi="Times New Roman" w:cs="Times New Roman"/>
                <w:color w:val="auto"/>
                <w:spacing w:val="-2"/>
                <w:sz w:val="21"/>
                <w:szCs w:val="21"/>
                <w:lang w:val="en-US" w:eastAsia="zh-CN"/>
              </w:rPr>
              <w:t>.00</w:t>
            </w:r>
          </w:p>
        </w:tc>
      </w:tr>
      <w:tr w14:paraId="4A6BB7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9A96C3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13</w:t>
            </w:r>
          </w:p>
        </w:tc>
        <w:tc>
          <w:tcPr>
            <w:tcW w:w="3164" w:type="pct"/>
            <w:vAlign w:val="center"/>
          </w:tcPr>
          <w:p w14:paraId="594E275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3"/>
                <w:sz w:val="21"/>
                <w:szCs w:val="21"/>
              </w:rPr>
              <w:t>专业无线领夹话筒</w:t>
            </w:r>
            <w:r>
              <w:rPr>
                <w:rFonts w:hint="eastAsia" w:ascii="Times New Roman" w:hAnsi="Times New Roman" w:cs="Times New Roman"/>
                <w:color w:val="auto"/>
                <w:spacing w:val="-13"/>
                <w:sz w:val="21"/>
                <w:szCs w:val="21"/>
                <w:lang w:eastAsia="zh-CN"/>
              </w:rPr>
              <w:t>（</w:t>
            </w:r>
            <w:r>
              <w:rPr>
                <w:rFonts w:ascii="Times New Roman" w:hAnsi="Times New Roman" w:cs="Times New Roman"/>
                <w:color w:val="auto"/>
                <w:spacing w:val="-13"/>
                <w:sz w:val="21"/>
                <w:szCs w:val="21"/>
              </w:rPr>
              <w:t>一拖二</w:t>
            </w:r>
            <w:r>
              <w:rPr>
                <w:rFonts w:hint="eastAsia" w:ascii="Times New Roman" w:hAnsi="Times New Roman" w:cs="Times New Roman"/>
                <w:color w:val="auto"/>
                <w:spacing w:val="-13"/>
                <w:sz w:val="21"/>
                <w:szCs w:val="21"/>
                <w:lang w:eastAsia="zh-CN"/>
              </w:rPr>
              <w:t>）</w:t>
            </w:r>
          </w:p>
        </w:tc>
        <w:tc>
          <w:tcPr>
            <w:tcW w:w="427" w:type="pct"/>
            <w:vAlign w:val="center"/>
          </w:tcPr>
          <w:p w14:paraId="61F305E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4BE99BE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3</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500</w:t>
            </w:r>
            <w:r>
              <w:rPr>
                <w:rFonts w:hint="default" w:ascii="Times New Roman" w:hAnsi="Times New Roman" w:cs="Times New Roman"/>
                <w:color w:val="auto"/>
                <w:spacing w:val="-2"/>
                <w:sz w:val="21"/>
                <w:szCs w:val="21"/>
                <w:lang w:val="en-US" w:eastAsia="zh-CN"/>
              </w:rPr>
              <w:t>.00</w:t>
            </w:r>
          </w:p>
        </w:tc>
      </w:tr>
      <w:tr w14:paraId="22501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79A2A99E">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14</w:t>
            </w:r>
          </w:p>
        </w:tc>
        <w:tc>
          <w:tcPr>
            <w:tcW w:w="3164" w:type="pct"/>
            <w:vAlign w:val="center"/>
          </w:tcPr>
          <w:p w14:paraId="31CEC264">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10路调音台</w:t>
            </w:r>
          </w:p>
        </w:tc>
        <w:tc>
          <w:tcPr>
            <w:tcW w:w="427" w:type="pct"/>
            <w:vAlign w:val="center"/>
          </w:tcPr>
          <w:p w14:paraId="50244D2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03ECE46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500</w:t>
            </w:r>
            <w:r>
              <w:rPr>
                <w:rFonts w:hint="default" w:ascii="Times New Roman" w:hAnsi="Times New Roman" w:cs="Times New Roman"/>
                <w:color w:val="auto"/>
                <w:spacing w:val="-2"/>
                <w:sz w:val="21"/>
                <w:szCs w:val="21"/>
                <w:lang w:val="en-US" w:eastAsia="zh-CN"/>
              </w:rPr>
              <w:t>.00</w:t>
            </w:r>
          </w:p>
        </w:tc>
      </w:tr>
      <w:tr w14:paraId="366E78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06ACD805">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15</w:t>
            </w:r>
          </w:p>
        </w:tc>
        <w:tc>
          <w:tcPr>
            <w:tcW w:w="3164" w:type="pct"/>
            <w:vAlign w:val="center"/>
          </w:tcPr>
          <w:p w14:paraId="1B247423">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专业监听耳机</w:t>
            </w:r>
          </w:p>
        </w:tc>
        <w:tc>
          <w:tcPr>
            <w:tcW w:w="427" w:type="pct"/>
            <w:vAlign w:val="center"/>
          </w:tcPr>
          <w:p w14:paraId="5C1D8F9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59200CB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460</w:t>
            </w:r>
            <w:r>
              <w:rPr>
                <w:rFonts w:hint="default" w:ascii="Times New Roman" w:hAnsi="Times New Roman" w:cs="Times New Roman"/>
                <w:color w:val="auto"/>
                <w:spacing w:val="-2"/>
                <w:sz w:val="21"/>
                <w:szCs w:val="21"/>
                <w:lang w:val="en-US" w:eastAsia="zh-CN"/>
              </w:rPr>
              <w:t>.00</w:t>
            </w:r>
          </w:p>
        </w:tc>
      </w:tr>
      <w:tr w14:paraId="61A98A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651A08B">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16</w:t>
            </w:r>
          </w:p>
        </w:tc>
        <w:tc>
          <w:tcPr>
            <w:tcW w:w="3164" w:type="pct"/>
            <w:vAlign w:val="center"/>
          </w:tcPr>
          <w:p w14:paraId="4C428283">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专业监听音箱</w:t>
            </w:r>
            <w:r>
              <w:rPr>
                <w:rFonts w:hint="eastAsia" w:ascii="Times New Roman" w:hAnsi="Times New Roman" w:cs="Times New Roman"/>
                <w:color w:val="auto"/>
                <w:spacing w:val="4"/>
                <w:sz w:val="21"/>
                <w:szCs w:val="21"/>
                <w:lang w:eastAsia="zh-CN"/>
              </w:rPr>
              <w:t>（</w:t>
            </w:r>
            <w:r>
              <w:rPr>
                <w:rFonts w:ascii="Times New Roman" w:hAnsi="Times New Roman" w:cs="Times New Roman"/>
                <w:color w:val="auto"/>
                <w:spacing w:val="4"/>
                <w:sz w:val="21"/>
                <w:szCs w:val="21"/>
              </w:rPr>
              <w:t>一对</w:t>
            </w:r>
            <w:r>
              <w:rPr>
                <w:rFonts w:hint="eastAsia" w:ascii="Times New Roman" w:hAnsi="Times New Roman" w:cs="Times New Roman"/>
                <w:color w:val="auto"/>
                <w:spacing w:val="4"/>
                <w:sz w:val="21"/>
                <w:szCs w:val="21"/>
                <w:lang w:eastAsia="zh-CN"/>
              </w:rPr>
              <w:t>）</w:t>
            </w:r>
          </w:p>
        </w:tc>
        <w:tc>
          <w:tcPr>
            <w:tcW w:w="427" w:type="pct"/>
            <w:vAlign w:val="center"/>
          </w:tcPr>
          <w:p w14:paraId="75DD31A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4B60585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890</w:t>
            </w:r>
            <w:r>
              <w:rPr>
                <w:rFonts w:hint="default" w:ascii="Times New Roman" w:hAnsi="Times New Roman" w:cs="Times New Roman"/>
                <w:color w:val="auto"/>
                <w:spacing w:val="-2"/>
                <w:sz w:val="21"/>
                <w:szCs w:val="21"/>
                <w:lang w:val="en-US" w:eastAsia="zh-CN"/>
              </w:rPr>
              <w:t>.00</w:t>
            </w:r>
          </w:p>
        </w:tc>
      </w:tr>
      <w:tr w14:paraId="68ED1B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794AFB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17</w:t>
            </w:r>
          </w:p>
        </w:tc>
        <w:tc>
          <w:tcPr>
            <w:tcW w:w="3164" w:type="pct"/>
            <w:vAlign w:val="center"/>
          </w:tcPr>
          <w:p w14:paraId="09B96BA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视音频线缆</w:t>
            </w:r>
          </w:p>
        </w:tc>
        <w:tc>
          <w:tcPr>
            <w:tcW w:w="427" w:type="pct"/>
            <w:vAlign w:val="center"/>
          </w:tcPr>
          <w:p w14:paraId="4F34911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4AE175C8">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3</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650</w:t>
            </w:r>
            <w:r>
              <w:rPr>
                <w:rFonts w:hint="default" w:ascii="Times New Roman" w:hAnsi="Times New Roman" w:cs="Times New Roman"/>
                <w:color w:val="auto"/>
                <w:spacing w:val="-2"/>
                <w:sz w:val="21"/>
                <w:szCs w:val="21"/>
                <w:lang w:val="en-US" w:eastAsia="zh-CN"/>
              </w:rPr>
              <w:t>.00</w:t>
            </w:r>
          </w:p>
        </w:tc>
      </w:tr>
      <w:tr w14:paraId="095C5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738B813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18</w:t>
            </w:r>
          </w:p>
        </w:tc>
        <w:tc>
          <w:tcPr>
            <w:tcW w:w="3164" w:type="pct"/>
            <w:vAlign w:val="center"/>
          </w:tcPr>
          <w:p w14:paraId="568EE6F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直播椅</w:t>
            </w:r>
          </w:p>
        </w:tc>
        <w:tc>
          <w:tcPr>
            <w:tcW w:w="427" w:type="pct"/>
            <w:vAlign w:val="center"/>
          </w:tcPr>
          <w:p w14:paraId="0758937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3F66D8F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580</w:t>
            </w:r>
            <w:r>
              <w:rPr>
                <w:rFonts w:hint="default" w:ascii="Times New Roman" w:hAnsi="Times New Roman" w:cs="Times New Roman"/>
                <w:color w:val="auto"/>
                <w:spacing w:val="-2"/>
                <w:sz w:val="21"/>
                <w:szCs w:val="21"/>
                <w:lang w:val="en-US" w:eastAsia="zh-CN"/>
              </w:rPr>
              <w:t>.00</w:t>
            </w:r>
          </w:p>
        </w:tc>
      </w:tr>
      <w:tr w14:paraId="472D9A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00A0A1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6"/>
                <w:sz w:val="21"/>
                <w:szCs w:val="21"/>
              </w:rPr>
              <w:t>19</w:t>
            </w:r>
          </w:p>
        </w:tc>
        <w:tc>
          <w:tcPr>
            <w:tcW w:w="3164" w:type="pct"/>
            <w:vAlign w:val="center"/>
          </w:tcPr>
          <w:p w14:paraId="32BCFA8E">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4"/>
                <w:sz w:val="21"/>
                <w:szCs w:val="21"/>
              </w:rPr>
              <w:t>安装调试培训及设备运输费</w:t>
            </w:r>
            <w:r>
              <w:rPr>
                <w:rFonts w:ascii="Times New Roman" w:hAnsi="Times New Roman" w:cs="Times New Roman"/>
                <w:color w:val="auto"/>
                <w:sz w:val="21"/>
                <w:szCs w:val="21"/>
              </w:rPr>
              <w:t>用</w:t>
            </w:r>
          </w:p>
        </w:tc>
        <w:tc>
          <w:tcPr>
            <w:tcW w:w="427" w:type="pct"/>
            <w:vAlign w:val="center"/>
          </w:tcPr>
          <w:p w14:paraId="49C3757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118CB76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15</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500</w:t>
            </w:r>
            <w:r>
              <w:rPr>
                <w:rFonts w:hint="default" w:ascii="Times New Roman" w:hAnsi="Times New Roman" w:cs="Times New Roman"/>
                <w:color w:val="auto"/>
                <w:spacing w:val="-2"/>
                <w:sz w:val="21"/>
                <w:szCs w:val="21"/>
                <w:lang w:val="en-US" w:eastAsia="zh-CN"/>
              </w:rPr>
              <w:t>.00</w:t>
            </w:r>
          </w:p>
        </w:tc>
      </w:tr>
      <w:tr w14:paraId="3CD0C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054080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20</w:t>
            </w:r>
          </w:p>
        </w:tc>
        <w:tc>
          <w:tcPr>
            <w:tcW w:w="3164" w:type="pct"/>
            <w:vAlign w:val="center"/>
          </w:tcPr>
          <w:p w14:paraId="75064D9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便携式蓝幕</w:t>
            </w:r>
          </w:p>
        </w:tc>
        <w:tc>
          <w:tcPr>
            <w:tcW w:w="427" w:type="pct"/>
            <w:vAlign w:val="center"/>
          </w:tcPr>
          <w:p w14:paraId="509F9F6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416D3C5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200</w:t>
            </w:r>
            <w:r>
              <w:rPr>
                <w:rFonts w:hint="default" w:ascii="Times New Roman" w:hAnsi="Times New Roman" w:cs="Times New Roman"/>
                <w:color w:val="auto"/>
                <w:spacing w:val="-2"/>
                <w:sz w:val="21"/>
                <w:szCs w:val="21"/>
                <w:lang w:val="en-US" w:eastAsia="zh-CN"/>
              </w:rPr>
              <w:t>.00</w:t>
            </w:r>
          </w:p>
        </w:tc>
      </w:tr>
      <w:tr w14:paraId="1C39A2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28F734B">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21</w:t>
            </w:r>
          </w:p>
        </w:tc>
        <w:tc>
          <w:tcPr>
            <w:tcW w:w="3164" w:type="pct"/>
            <w:vAlign w:val="center"/>
          </w:tcPr>
          <w:p w14:paraId="0A5FD0B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LED</w:t>
            </w:r>
            <w:r>
              <w:rPr>
                <w:rFonts w:ascii="Times New Roman" w:hAnsi="Times New Roman" w:cs="Times New Roman"/>
                <w:color w:val="auto"/>
                <w:spacing w:val="4"/>
                <w:sz w:val="21"/>
                <w:szCs w:val="21"/>
              </w:rPr>
              <w:t>平板柔光灯</w:t>
            </w:r>
            <w:r>
              <w:rPr>
                <w:rFonts w:hint="eastAsia" w:ascii="Times New Roman" w:hAnsi="Times New Roman" w:cs="Times New Roman"/>
                <w:color w:val="auto"/>
                <w:spacing w:val="4"/>
                <w:sz w:val="21"/>
                <w:szCs w:val="21"/>
                <w:lang w:eastAsia="zh-CN"/>
              </w:rPr>
              <w:t>（</w:t>
            </w:r>
            <w:r>
              <w:rPr>
                <w:rFonts w:ascii="Times New Roman" w:hAnsi="Times New Roman" w:cs="Times New Roman"/>
                <w:color w:val="auto"/>
                <w:spacing w:val="4"/>
                <w:sz w:val="21"/>
                <w:szCs w:val="21"/>
              </w:rPr>
              <w:t>含支架</w:t>
            </w:r>
            <w:r>
              <w:rPr>
                <w:rFonts w:hint="eastAsia" w:ascii="Times New Roman" w:hAnsi="Times New Roman" w:cs="Times New Roman"/>
                <w:color w:val="auto"/>
                <w:spacing w:val="4"/>
                <w:sz w:val="21"/>
                <w:szCs w:val="21"/>
                <w:lang w:eastAsia="zh-CN"/>
              </w:rPr>
              <w:t>）</w:t>
            </w:r>
          </w:p>
        </w:tc>
        <w:tc>
          <w:tcPr>
            <w:tcW w:w="427" w:type="pct"/>
            <w:vAlign w:val="center"/>
          </w:tcPr>
          <w:p w14:paraId="60524200">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947" w:type="pct"/>
            <w:vAlign w:val="center"/>
          </w:tcPr>
          <w:p w14:paraId="60B5329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100</w:t>
            </w:r>
            <w:r>
              <w:rPr>
                <w:rFonts w:hint="default" w:ascii="Times New Roman" w:hAnsi="Times New Roman" w:cs="Times New Roman"/>
                <w:color w:val="auto"/>
                <w:spacing w:val="-2"/>
                <w:sz w:val="21"/>
                <w:szCs w:val="21"/>
                <w:lang w:val="en-US" w:eastAsia="zh-CN"/>
              </w:rPr>
              <w:t>.00</w:t>
            </w:r>
          </w:p>
        </w:tc>
      </w:tr>
      <w:tr w14:paraId="364EFF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42DE1A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22</w:t>
            </w:r>
          </w:p>
        </w:tc>
        <w:tc>
          <w:tcPr>
            <w:tcW w:w="3164" w:type="pct"/>
            <w:vAlign w:val="center"/>
          </w:tcPr>
          <w:p w14:paraId="00D01CD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直播桌椅</w:t>
            </w:r>
          </w:p>
        </w:tc>
        <w:tc>
          <w:tcPr>
            <w:tcW w:w="427" w:type="pct"/>
            <w:vAlign w:val="center"/>
          </w:tcPr>
          <w:p w14:paraId="68D3C7F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947" w:type="pct"/>
            <w:vAlign w:val="center"/>
          </w:tcPr>
          <w:p w14:paraId="0DEB6E4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5"/>
                <w:sz w:val="21"/>
                <w:szCs w:val="21"/>
              </w:rPr>
              <w:t>1</w:t>
            </w:r>
            <w:r>
              <w:rPr>
                <w:rFonts w:hint="default" w:ascii="Times New Roman" w:hAnsi="Times New Roman" w:cs="Times New Roman"/>
                <w:color w:val="auto"/>
                <w:spacing w:val="-5"/>
                <w:sz w:val="21"/>
                <w:szCs w:val="21"/>
                <w:lang w:val="en-US" w:eastAsia="zh-CN"/>
              </w:rPr>
              <w:t>,</w:t>
            </w:r>
            <w:r>
              <w:rPr>
                <w:rFonts w:ascii="Times New Roman" w:hAnsi="Times New Roman" w:cs="Times New Roman"/>
                <w:color w:val="auto"/>
                <w:spacing w:val="-5"/>
                <w:sz w:val="21"/>
                <w:szCs w:val="21"/>
              </w:rPr>
              <w:t>480</w:t>
            </w:r>
            <w:r>
              <w:rPr>
                <w:rFonts w:hint="default" w:ascii="Times New Roman" w:hAnsi="Times New Roman" w:cs="Times New Roman"/>
                <w:color w:val="auto"/>
                <w:spacing w:val="-2"/>
                <w:sz w:val="21"/>
                <w:szCs w:val="21"/>
                <w:lang w:val="en-US" w:eastAsia="zh-CN"/>
              </w:rPr>
              <w:t>.00</w:t>
            </w:r>
          </w:p>
        </w:tc>
      </w:tr>
      <w:tr w14:paraId="231D5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3239409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23</w:t>
            </w:r>
          </w:p>
        </w:tc>
        <w:tc>
          <w:tcPr>
            <w:tcW w:w="3164" w:type="pct"/>
            <w:vAlign w:val="center"/>
          </w:tcPr>
          <w:p w14:paraId="3F0E4F45">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3"/>
                <w:sz w:val="21"/>
                <w:szCs w:val="21"/>
              </w:rPr>
              <w:t>直播补光灯、3色灯9档亮度</w:t>
            </w:r>
          </w:p>
        </w:tc>
        <w:tc>
          <w:tcPr>
            <w:tcW w:w="427" w:type="pct"/>
            <w:vAlign w:val="center"/>
          </w:tcPr>
          <w:p w14:paraId="2BEA340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50</w:t>
            </w:r>
          </w:p>
        </w:tc>
        <w:tc>
          <w:tcPr>
            <w:tcW w:w="947" w:type="pct"/>
            <w:vAlign w:val="center"/>
          </w:tcPr>
          <w:p w14:paraId="50FABA40">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280</w:t>
            </w:r>
            <w:r>
              <w:rPr>
                <w:rFonts w:hint="default" w:ascii="Times New Roman" w:hAnsi="Times New Roman" w:cs="Times New Roman"/>
                <w:color w:val="auto"/>
                <w:spacing w:val="-2"/>
                <w:sz w:val="21"/>
                <w:szCs w:val="21"/>
                <w:lang w:val="en-US" w:eastAsia="zh-CN"/>
              </w:rPr>
              <w:t>.00</w:t>
            </w:r>
          </w:p>
        </w:tc>
      </w:tr>
      <w:tr w14:paraId="18AC63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09653416">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24</w:t>
            </w:r>
          </w:p>
        </w:tc>
        <w:tc>
          <w:tcPr>
            <w:tcW w:w="3164" w:type="pct"/>
            <w:vAlign w:val="center"/>
          </w:tcPr>
          <w:p w14:paraId="599B812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特产展示柜</w:t>
            </w:r>
          </w:p>
        </w:tc>
        <w:tc>
          <w:tcPr>
            <w:tcW w:w="427" w:type="pct"/>
            <w:vAlign w:val="center"/>
          </w:tcPr>
          <w:p w14:paraId="7B1AAB8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4</w:t>
            </w:r>
          </w:p>
        </w:tc>
        <w:tc>
          <w:tcPr>
            <w:tcW w:w="947" w:type="pct"/>
            <w:vAlign w:val="center"/>
          </w:tcPr>
          <w:p w14:paraId="2381EFC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5"/>
                <w:sz w:val="21"/>
                <w:szCs w:val="21"/>
              </w:rPr>
              <w:t>1</w:t>
            </w:r>
            <w:r>
              <w:rPr>
                <w:rFonts w:hint="default" w:ascii="Times New Roman" w:hAnsi="Times New Roman" w:cs="Times New Roman"/>
                <w:color w:val="auto"/>
                <w:spacing w:val="-5"/>
                <w:sz w:val="21"/>
                <w:szCs w:val="21"/>
                <w:lang w:val="en-US" w:eastAsia="zh-CN"/>
              </w:rPr>
              <w:t>,</w:t>
            </w:r>
            <w:r>
              <w:rPr>
                <w:rFonts w:ascii="Times New Roman" w:hAnsi="Times New Roman" w:cs="Times New Roman"/>
                <w:color w:val="auto"/>
                <w:spacing w:val="-5"/>
                <w:sz w:val="21"/>
                <w:szCs w:val="21"/>
              </w:rPr>
              <w:t>800</w:t>
            </w:r>
            <w:r>
              <w:rPr>
                <w:rFonts w:hint="default" w:ascii="Times New Roman" w:hAnsi="Times New Roman" w:cs="Times New Roman"/>
                <w:color w:val="auto"/>
                <w:spacing w:val="-2"/>
                <w:sz w:val="21"/>
                <w:szCs w:val="21"/>
                <w:lang w:val="en-US" w:eastAsia="zh-CN"/>
              </w:rPr>
              <w:t>.00</w:t>
            </w:r>
          </w:p>
        </w:tc>
      </w:tr>
      <w:tr w14:paraId="3CEDCD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B4582E0">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25</w:t>
            </w:r>
          </w:p>
        </w:tc>
        <w:tc>
          <w:tcPr>
            <w:tcW w:w="3164" w:type="pct"/>
            <w:vAlign w:val="center"/>
          </w:tcPr>
          <w:p w14:paraId="25973316">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设备存储柜</w:t>
            </w:r>
          </w:p>
        </w:tc>
        <w:tc>
          <w:tcPr>
            <w:tcW w:w="427" w:type="pct"/>
            <w:vAlign w:val="center"/>
          </w:tcPr>
          <w:p w14:paraId="112F8F8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2A94DB98">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780</w:t>
            </w:r>
            <w:r>
              <w:rPr>
                <w:rFonts w:hint="default" w:ascii="Times New Roman" w:hAnsi="Times New Roman" w:cs="Times New Roman"/>
                <w:color w:val="auto"/>
                <w:spacing w:val="-2"/>
                <w:sz w:val="21"/>
                <w:szCs w:val="21"/>
                <w:lang w:val="en-US" w:eastAsia="zh-CN"/>
              </w:rPr>
              <w:t>.00</w:t>
            </w:r>
          </w:p>
        </w:tc>
      </w:tr>
      <w:tr w14:paraId="24B739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6CD4C393">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26</w:t>
            </w:r>
          </w:p>
        </w:tc>
        <w:tc>
          <w:tcPr>
            <w:tcW w:w="3164" w:type="pct"/>
            <w:vAlign w:val="center"/>
          </w:tcPr>
          <w:p w14:paraId="7D7B3ACC">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直播间</w:t>
            </w:r>
          </w:p>
        </w:tc>
        <w:tc>
          <w:tcPr>
            <w:tcW w:w="427" w:type="pct"/>
            <w:vAlign w:val="center"/>
          </w:tcPr>
          <w:p w14:paraId="7AAC421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56BD9B0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138</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000</w:t>
            </w:r>
            <w:r>
              <w:rPr>
                <w:rFonts w:hint="default" w:ascii="Times New Roman" w:hAnsi="Times New Roman" w:cs="Times New Roman"/>
                <w:color w:val="auto"/>
                <w:spacing w:val="-2"/>
                <w:sz w:val="21"/>
                <w:szCs w:val="21"/>
                <w:lang w:val="en-US" w:eastAsia="zh-CN"/>
              </w:rPr>
              <w:t>.00</w:t>
            </w:r>
          </w:p>
        </w:tc>
      </w:tr>
      <w:tr w14:paraId="08D994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390FA9D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27</w:t>
            </w:r>
          </w:p>
        </w:tc>
        <w:tc>
          <w:tcPr>
            <w:tcW w:w="3164" w:type="pct"/>
            <w:vAlign w:val="center"/>
          </w:tcPr>
          <w:p w14:paraId="255C931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立式空调</w:t>
            </w:r>
          </w:p>
        </w:tc>
        <w:tc>
          <w:tcPr>
            <w:tcW w:w="427" w:type="pct"/>
            <w:vAlign w:val="center"/>
          </w:tcPr>
          <w:p w14:paraId="7778DFC4">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2</w:t>
            </w:r>
          </w:p>
        </w:tc>
        <w:tc>
          <w:tcPr>
            <w:tcW w:w="947" w:type="pct"/>
            <w:vAlign w:val="center"/>
          </w:tcPr>
          <w:p w14:paraId="55E2A8DC">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8</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000</w:t>
            </w:r>
            <w:r>
              <w:rPr>
                <w:rFonts w:hint="default" w:ascii="Times New Roman" w:hAnsi="Times New Roman" w:cs="Times New Roman"/>
                <w:color w:val="auto"/>
                <w:spacing w:val="-2"/>
                <w:sz w:val="21"/>
                <w:szCs w:val="21"/>
                <w:lang w:val="en-US" w:eastAsia="zh-CN"/>
              </w:rPr>
              <w:t>.00</w:t>
            </w:r>
          </w:p>
        </w:tc>
      </w:tr>
      <w:tr w14:paraId="668861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5000" w:type="pct"/>
            <w:gridSpan w:val="4"/>
            <w:vAlign w:val="center"/>
          </w:tcPr>
          <w:p w14:paraId="46E1A32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left"/>
              <w:textAlignment w:val="auto"/>
              <w:rPr>
                <w:rFonts w:ascii="Times New Roman" w:hAnsi="Times New Roman" w:cs="Times New Roman"/>
                <w:color w:val="auto"/>
                <w:spacing w:val="-2"/>
                <w:sz w:val="21"/>
                <w:szCs w:val="21"/>
              </w:rPr>
            </w:pPr>
            <w:r>
              <w:rPr>
                <w:rFonts w:ascii="Times New Roman" w:hAnsi="Times New Roman" w:cs="Times New Roman"/>
                <w:b/>
                <w:bCs/>
                <w:color w:val="auto"/>
                <w:sz w:val="21"/>
                <w:szCs w:val="21"/>
              </w:rPr>
              <w:t>二、电子商务运营推广实训室</w:t>
            </w:r>
          </w:p>
        </w:tc>
      </w:tr>
      <w:tr w14:paraId="7F3C4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E87078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3164" w:type="pct"/>
            <w:vAlign w:val="center"/>
          </w:tcPr>
          <w:p w14:paraId="18DB32E1">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服务器</w:t>
            </w:r>
          </w:p>
        </w:tc>
        <w:tc>
          <w:tcPr>
            <w:tcW w:w="427" w:type="pct"/>
            <w:vAlign w:val="center"/>
          </w:tcPr>
          <w:p w14:paraId="2393D37F">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5DB14A3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30</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000</w:t>
            </w:r>
            <w:r>
              <w:rPr>
                <w:rFonts w:hint="default" w:ascii="Times New Roman" w:hAnsi="Times New Roman" w:cs="Times New Roman"/>
                <w:color w:val="auto"/>
                <w:spacing w:val="-2"/>
                <w:sz w:val="21"/>
                <w:szCs w:val="21"/>
                <w:lang w:val="en-US" w:eastAsia="zh-CN"/>
              </w:rPr>
              <w:t>.00</w:t>
            </w:r>
          </w:p>
        </w:tc>
      </w:tr>
      <w:tr w14:paraId="27E67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0BDCC806">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2</w:t>
            </w:r>
          </w:p>
        </w:tc>
        <w:tc>
          <w:tcPr>
            <w:tcW w:w="3164" w:type="pct"/>
            <w:vAlign w:val="center"/>
          </w:tcPr>
          <w:p w14:paraId="1B74300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台式电脑</w:t>
            </w:r>
          </w:p>
        </w:tc>
        <w:tc>
          <w:tcPr>
            <w:tcW w:w="427" w:type="pct"/>
            <w:vAlign w:val="center"/>
          </w:tcPr>
          <w:p w14:paraId="4B167FD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41</w:t>
            </w:r>
          </w:p>
        </w:tc>
        <w:tc>
          <w:tcPr>
            <w:tcW w:w="947" w:type="pct"/>
            <w:vAlign w:val="center"/>
          </w:tcPr>
          <w:p w14:paraId="3177C1B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hint="default" w:ascii="Times New Roman" w:hAnsi="Times New Roman" w:cs="Times New Roman"/>
                <w:color w:val="auto"/>
                <w:spacing w:val="-2"/>
                <w:sz w:val="21"/>
                <w:szCs w:val="21"/>
                <w:lang w:eastAsia="zh-CN"/>
              </w:rPr>
              <w:t>17</w:t>
            </w:r>
            <w:r>
              <w:rPr>
                <w:rFonts w:hint="default" w:ascii="Times New Roman" w:hAnsi="Times New Roman" w:cs="Times New Roman"/>
                <w:color w:val="auto"/>
                <w:spacing w:val="-2"/>
                <w:sz w:val="21"/>
                <w:szCs w:val="21"/>
                <w:lang w:val="en-US" w:eastAsia="zh-CN"/>
              </w:rPr>
              <w:t>,</w:t>
            </w:r>
            <w:r>
              <w:rPr>
                <w:rFonts w:hint="default" w:ascii="Times New Roman" w:hAnsi="Times New Roman" w:cs="Times New Roman"/>
                <w:color w:val="auto"/>
                <w:spacing w:val="-2"/>
                <w:sz w:val="21"/>
                <w:szCs w:val="21"/>
                <w:lang w:eastAsia="zh-CN"/>
              </w:rPr>
              <w:t>0</w:t>
            </w:r>
            <w:r>
              <w:rPr>
                <w:rFonts w:ascii="Times New Roman" w:hAnsi="Times New Roman" w:cs="Times New Roman"/>
                <w:color w:val="auto"/>
                <w:spacing w:val="-2"/>
                <w:sz w:val="21"/>
                <w:szCs w:val="21"/>
              </w:rPr>
              <w:t>00</w:t>
            </w:r>
            <w:r>
              <w:rPr>
                <w:rFonts w:hint="default" w:ascii="Times New Roman" w:hAnsi="Times New Roman" w:cs="Times New Roman"/>
                <w:color w:val="auto"/>
                <w:spacing w:val="-2"/>
                <w:sz w:val="21"/>
                <w:szCs w:val="21"/>
                <w:lang w:val="en-US" w:eastAsia="zh-CN"/>
              </w:rPr>
              <w:t>.00</w:t>
            </w:r>
          </w:p>
        </w:tc>
      </w:tr>
      <w:tr w14:paraId="06F4EA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BD5A791">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3</w:t>
            </w:r>
          </w:p>
        </w:tc>
        <w:tc>
          <w:tcPr>
            <w:tcW w:w="3164" w:type="pct"/>
            <w:vAlign w:val="center"/>
          </w:tcPr>
          <w:p w14:paraId="71E9187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双人桌椅</w:t>
            </w:r>
          </w:p>
        </w:tc>
        <w:tc>
          <w:tcPr>
            <w:tcW w:w="427" w:type="pct"/>
            <w:vAlign w:val="center"/>
          </w:tcPr>
          <w:p w14:paraId="4BE5F9A2">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20</w:t>
            </w:r>
          </w:p>
        </w:tc>
        <w:tc>
          <w:tcPr>
            <w:tcW w:w="947" w:type="pct"/>
            <w:vAlign w:val="center"/>
          </w:tcPr>
          <w:p w14:paraId="70DD570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980</w:t>
            </w:r>
            <w:r>
              <w:rPr>
                <w:rFonts w:hint="default" w:ascii="Times New Roman" w:hAnsi="Times New Roman" w:cs="Times New Roman"/>
                <w:color w:val="auto"/>
                <w:spacing w:val="-2"/>
                <w:sz w:val="21"/>
                <w:szCs w:val="21"/>
                <w:lang w:val="en-US" w:eastAsia="zh-CN"/>
              </w:rPr>
              <w:t>.00</w:t>
            </w:r>
          </w:p>
        </w:tc>
      </w:tr>
      <w:tr w14:paraId="62F30B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08206C6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4</w:t>
            </w:r>
          </w:p>
        </w:tc>
        <w:tc>
          <w:tcPr>
            <w:tcW w:w="3164" w:type="pct"/>
            <w:vAlign w:val="center"/>
          </w:tcPr>
          <w:p w14:paraId="01D54004">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交换机</w:t>
            </w:r>
          </w:p>
        </w:tc>
        <w:tc>
          <w:tcPr>
            <w:tcW w:w="427" w:type="pct"/>
            <w:vAlign w:val="center"/>
          </w:tcPr>
          <w:p w14:paraId="26DFC79A">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2</w:t>
            </w:r>
          </w:p>
        </w:tc>
        <w:tc>
          <w:tcPr>
            <w:tcW w:w="947" w:type="pct"/>
            <w:vAlign w:val="center"/>
          </w:tcPr>
          <w:p w14:paraId="126AF9B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480</w:t>
            </w:r>
            <w:r>
              <w:rPr>
                <w:rFonts w:hint="default" w:ascii="Times New Roman" w:hAnsi="Times New Roman" w:cs="Times New Roman"/>
                <w:color w:val="auto"/>
                <w:spacing w:val="-2"/>
                <w:sz w:val="21"/>
                <w:szCs w:val="21"/>
                <w:lang w:val="en-US" w:eastAsia="zh-CN"/>
              </w:rPr>
              <w:t>.00</w:t>
            </w:r>
          </w:p>
        </w:tc>
      </w:tr>
      <w:tr w14:paraId="62395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827DDB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5</w:t>
            </w:r>
          </w:p>
        </w:tc>
        <w:tc>
          <w:tcPr>
            <w:tcW w:w="3164" w:type="pct"/>
            <w:vAlign w:val="center"/>
          </w:tcPr>
          <w:p w14:paraId="6FE6931E">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多媒体讲台</w:t>
            </w:r>
          </w:p>
        </w:tc>
        <w:tc>
          <w:tcPr>
            <w:tcW w:w="427" w:type="pct"/>
            <w:vAlign w:val="center"/>
          </w:tcPr>
          <w:p w14:paraId="1D048C21">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0F9F56E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400</w:t>
            </w:r>
            <w:r>
              <w:rPr>
                <w:rFonts w:hint="default" w:ascii="Times New Roman" w:hAnsi="Times New Roman" w:cs="Times New Roman"/>
                <w:color w:val="auto"/>
                <w:spacing w:val="-2"/>
                <w:sz w:val="21"/>
                <w:szCs w:val="21"/>
                <w:lang w:val="en-US" w:eastAsia="zh-CN"/>
              </w:rPr>
              <w:t>.00</w:t>
            </w:r>
          </w:p>
        </w:tc>
      </w:tr>
      <w:tr w14:paraId="511AD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5F23EFB">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6</w:t>
            </w:r>
          </w:p>
        </w:tc>
        <w:tc>
          <w:tcPr>
            <w:tcW w:w="3164" w:type="pct"/>
            <w:vAlign w:val="center"/>
          </w:tcPr>
          <w:p w14:paraId="5627762F">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教师椅</w:t>
            </w:r>
          </w:p>
        </w:tc>
        <w:tc>
          <w:tcPr>
            <w:tcW w:w="427" w:type="pct"/>
            <w:vAlign w:val="center"/>
          </w:tcPr>
          <w:p w14:paraId="6B94706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5F39B27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680</w:t>
            </w:r>
            <w:r>
              <w:rPr>
                <w:rFonts w:hint="default" w:ascii="Times New Roman" w:hAnsi="Times New Roman" w:cs="Times New Roman"/>
                <w:color w:val="auto"/>
                <w:spacing w:val="-2"/>
                <w:sz w:val="21"/>
                <w:szCs w:val="21"/>
                <w:lang w:val="en-US" w:eastAsia="zh-CN"/>
              </w:rPr>
              <w:t>.00</w:t>
            </w:r>
          </w:p>
        </w:tc>
      </w:tr>
      <w:tr w14:paraId="1BC6A8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5EDFDC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7</w:t>
            </w:r>
          </w:p>
        </w:tc>
        <w:tc>
          <w:tcPr>
            <w:tcW w:w="3164" w:type="pct"/>
            <w:vAlign w:val="center"/>
          </w:tcPr>
          <w:p w14:paraId="5004EF2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服务器机柜</w:t>
            </w:r>
          </w:p>
        </w:tc>
        <w:tc>
          <w:tcPr>
            <w:tcW w:w="427" w:type="pct"/>
            <w:vAlign w:val="center"/>
          </w:tcPr>
          <w:p w14:paraId="4E836367">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工</w:t>
            </w:r>
          </w:p>
        </w:tc>
        <w:tc>
          <w:tcPr>
            <w:tcW w:w="947" w:type="pct"/>
            <w:vAlign w:val="center"/>
          </w:tcPr>
          <w:p w14:paraId="2DF1425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280</w:t>
            </w:r>
            <w:r>
              <w:rPr>
                <w:rFonts w:hint="default" w:ascii="Times New Roman" w:hAnsi="Times New Roman" w:cs="Times New Roman"/>
                <w:color w:val="auto"/>
                <w:spacing w:val="-2"/>
                <w:sz w:val="21"/>
                <w:szCs w:val="21"/>
                <w:lang w:val="en-US" w:eastAsia="zh-CN"/>
              </w:rPr>
              <w:t>.00</w:t>
            </w:r>
          </w:p>
        </w:tc>
      </w:tr>
      <w:tr w14:paraId="29089F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EBB8A4A">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8</w:t>
            </w:r>
          </w:p>
        </w:tc>
        <w:tc>
          <w:tcPr>
            <w:tcW w:w="3164" w:type="pct"/>
            <w:vAlign w:val="center"/>
          </w:tcPr>
          <w:p w14:paraId="6133C5D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0"/>
                <w:sz w:val="21"/>
                <w:szCs w:val="21"/>
              </w:rPr>
              <w:t>布线施工技术服务及实训室</w:t>
            </w:r>
            <w:r>
              <w:rPr>
                <w:rFonts w:ascii="Times New Roman" w:hAnsi="Times New Roman" w:cs="Times New Roman"/>
                <w:color w:val="auto"/>
                <w:spacing w:val="4"/>
                <w:sz w:val="21"/>
                <w:szCs w:val="21"/>
              </w:rPr>
              <w:t xml:space="preserve"> </w:t>
            </w:r>
            <w:r>
              <w:rPr>
                <w:rFonts w:ascii="Times New Roman" w:hAnsi="Times New Roman" w:cs="Times New Roman"/>
                <w:color w:val="auto"/>
                <w:spacing w:val="-3"/>
                <w:sz w:val="21"/>
                <w:szCs w:val="21"/>
              </w:rPr>
              <w:t>优化</w:t>
            </w:r>
          </w:p>
        </w:tc>
        <w:tc>
          <w:tcPr>
            <w:tcW w:w="427" w:type="pct"/>
            <w:vAlign w:val="center"/>
          </w:tcPr>
          <w:p w14:paraId="2194711C">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646D171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150</w:t>
            </w:r>
            <w:r>
              <w:rPr>
                <w:rFonts w:hint="default" w:ascii="Times New Roman" w:hAnsi="Times New Roman" w:cs="Times New Roman"/>
                <w:color w:val="auto"/>
                <w:spacing w:val="-4"/>
                <w:sz w:val="21"/>
                <w:szCs w:val="21"/>
                <w:lang w:val="en-US" w:eastAsia="zh-CN"/>
              </w:rPr>
              <w:t>,</w:t>
            </w:r>
            <w:r>
              <w:rPr>
                <w:rFonts w:ascii="Times New Roman" w:hAnsi="Times New Roman" w:cs="Times New Roman"/>
                <w:color w:val="auto"/>
                <w:spacing w:val="-4"/>
                <w:sz w:val="21"/>
                <w:szCs w:val="21"/>
              </w:rPr>
              <w:t>000</w:t>
            </w:r>
            <w:r>
              <w:rPr>
                <w:rFonts w:hint="default" w:ascii="Times New Roman" w:hAnsi="Times New Roman" w:cs="Times New Roman"/>
                <w:color w:val="auto"/>
                <w:spacing w:val="-2"/>
                <w:sz w:val="21"/>
                <w:szCs w:val="21"/>
                <w:lang w:val="en-US" w:eastAsia="zh-CN"/>
              </w:rPr>
              <w:t>.00</w:t>
            </w:r>
          </w:p>
        </w:tc>
      </w:tr>
      <w:tr w14:paraId="334461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4139595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9</w:t>
            </w:r>
          </w:p>
        </w:tc>
        <w:tc>
          <w:tcPr>
            <w:tcW w:w="3164" w:type="pct"/>
            <w:vAlign w:val="center"/>
          </w:tcPr>
          <w:p w14:paraId="75A4D2B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4"/>
                <w:sz w:val="21"/>
                <w:szCs w:val="21"/>
              </w:rPr>
              <w:t>立式空调</w:t>
            </w:r>
          </w:p>
        </w:tc>
        <w:tc>
          <w:tcPr>
            <w:tcW w:w="427" w:type="pct"/>
            <w:vAlign w:val="center"/>
          </w:tcPr>
          <w:p w14:paraId="7B52BFE6">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2</w:t>
            </w:r>
          </w:p>
        </w:tc>
        <w:tc>
          <w:tcPr>
            <w:tcW w:w="947" w:type="pct"/>
            <w:vAlign w:val="center"/>
          </w:tcPr>
          <w:p w14:paraId="6BDCDAC5">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8</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800</w:t>
            </w:r>
            <w:r>
              <w:rPr>
                <w:rFonts w:hint="default" w:ascii="Times New Roman" w:hAnsi="Times New Roman" w:cs="Times New Roman"/>
                <w:color w:val="auto"/>
                <w:spacing w:val="-2"/>
                <w:sz w:val="21"/>
                <w:szCs w:val="21"/>
                <w:lang w:val="en-US" w:eastAsia="zh-CN"/>
              </w:rPr>
              <w:t>.00</w:t>
            </w:r>
          </w:p>
        </w:tc>
      </w:tr>
      <w:tr w14:paraId="5FC42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2270C0B8">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10</w:t>
            </w:r>
          </w:p>
        </w:tc>
        <w:tc>
          <w:tcPr>
            <w:tcW w:w="3164" w:type="pct"/>
            <w:vAlign w:val="center"/>
          </w:tcPr>
          <w:p w14:paraId="18DFEE2C">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激光打印机</w:t>
            </w:r>
          </w:p>
        </w:tc>
        <w:tc>
          <w:tcPr>
            <w:tcW w:w="427" w:type="pct"/>
            <w:vAlign w:val="center"/>
          </w:tcPr>
          <w:p w14:paraId="3D02EE21">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9</w:t>
            </w:r>
          </w:p>
        </w:tc>
        <w:tc>
          <w:tcPr>
            <w:tcW w:w="947" w:type="pct"/>
            <w:vAlign w:val="center"/>
          </w:tcPr>
          <w:p w14:paraId="5986B18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3"/>
                <w:sz w:val="21"/>
                <w:szCs w:val="21"/>
              </w:rPr>
              <w:t>2</w:t>
            </w:r>
            <w:r>
              <w:rPr>
                <w:rFonts w:hint="default" w:ascii="Times New Roman" w:hAnsi="Times New Roman" w:cs="Times New Roman"/>
                <w:color w:val="auto"/>
                <w:spacing w:val="-3"/>
                <w:sz w:val="21"/>
                <w:szCs w:val="21"/>
                <w:lang w:val="en-US" w:eastAsia="zh-CN"/>
              </w:rPr>
              <w:t>,</w:t>
            </w:r>
            <w:r>
              <w:rPr>
                <w:rFonts w:ascii="Times New Roman" w:hAnsi="Times New Roman" w:cs="Times New Roman"/>
                <w:color w:val="auto"/>
                <w:spacing w:val="-3"/>
                <w:sz w:val="21"/>
                <w:szCs w:val="21"/>
              </w:rPr>
              <w:t>450</w:t>
            </w:r>
            <w:r>
              <w:rPr>
                <w:rFonts w:hint="default" w:ascii="Times New Roman" w:hAnsi="Times New Roman" w:cs="Times New Roman"/>
                <w:color w:val="auto"/>
                <w:spacing w:val="-2"/>
                <w:sz w:val="21"/>
                <w:szCs w:val="21"/>
                <w:lang w:val="en-US" w:eastAsia="zh-CN"/>
              </w:rPr>
              <w:t>.00</w:t>
            </w:r>
          </w:p>
        </w:tc>
      </w:tr>
      <w:tr w14:paraId="7C9F1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5C5B1209">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11</w:t>
            </w:r>
          </w:p>
        </w:tc>
        <w:tc>
          <w:tcPr>
            <w:tcW w:w="3164" w:type="pct"/>
            <w:vAlign w:val="center"/>
          </w:tcPr>
          <w:p w14:paraId="0453E0E4">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
                <w:sz w:val="21"/>
                <w:szCs w:val="21"/>
              </w:rPr>
              <w:t>彩色激光打印机一体机</w:t>
            </w:r>
          </w:p>
        </w:tc>
        <w:tc>
          <w:tcPr>
            <w:tcW w:w="427" w:type="pct"/>
            <w:vAlign w:val="center"/>
          </w:tcPr>
          <w:p w14:paraId="44A79DAB">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工</w:t>
            </w:r>
          </w:p>
        </w:tc>
        <w:tc>
          <w:tcPr>
            <w:tcW w:w="947" w:type="pct"/>
            <w:vAlign w:val="center"/>
          </w:tcPr>
          <w:p w14:paraId="0B600E0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4</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800</w:t>
            </w:r>
            <w:r>
              <w:rPr>
                <w:rFonts w:hint="default" w:ascii="Times New Roman" w:hAnsi="Times New Roman" w:cs="Times New Roman"/>
                <w:color w:val="auto"/>
                <w:spacing w:val="-2"/>
                <w:sz w:val="21"/>
                <w:szCs w:val="21"/>
                <w:lang w:val="en-US" w:eastAsia="zh-CN"/>
              </w:rPr>
              <w:t>.00</w:t>
            </w:r>
          </w:p>
        </w:tc>
      </w:tr>
      <w:tr w14:paraId="4F1790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101D55DD">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pacing w:val="-7"/>
                <w:sz w:val="21"/>
                <w:szCs w:val="21"/>
                <w:lang w:val="en-US" w:eastAsia="zh-CN"/>
              </w:rPr>
              <w:t>12</w:t>
            </w:r>
          </w:p>
        </w:tc>
        <w:tc>
          <w:tcPr>
            <w:tcW w:w="3164" w:type="pct"/>
            <w:vAlign w:val="center"/>
          </w:tcPr>
          <w:p w14:paraId="4FAF5337">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网络推广理实一体化软件</w:t>
            </w:r>
          </w:p>
        </w:tc>
        <w:tc>
          <w:tcPr>
            <w:tcW w:w="427" w:type="pct"/>
            <w:vAlign w:val="center"/>
          </w:tcPr>
          <w:p w14:paraId="22ABD34B">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0F4B2E9D">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238</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000</w:t>
            </w:r>
            <w:r>
              <w:rPr>
                <w:rFonts w:hint="default" w:ascii="Times New Roman" w:hAnsi="Times New Roman" w:cs="Times New Roman"/>
                <w:color w:val="auto"/>
                <w:spacing w:val="-2"/>
                <w:sz w:val="21"/>
                <w:szCs w:val="21"/>
                <w:lang w:val="en-US" w:eastAsia="zh-CN"/>
              </w:rPr>
              <w:t>.00</w:t>
            </w:r>
          </w:p>
        </w:tc>
      </w:tr>
      <w:tr w14:paraId="767FCA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0F16A95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13</w:t>
            </w:r>
          </w:p>
        </w:tc>
        <w:tc>
          <w:tcPr>
            <w:tcW w:w="3164" w:type="pct"/>
            <w:vAlign w:val="center"/>
          </w:tcPr>
          <w:p w14:paraId="79B52945">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10"/>
                <w:sz w:val="21"/>
                <w:szCs w:val="21"/>
              </w:rPr>
              <w:t>电子商务直播理实一体化实</w:t>
            </w:r>
            <w:r>
              <w:rPr>
                <w:rFonts w:ascii="Times New Roman" w:hAnsi="Times New Roman" w:cs="Times New Roman"/>
                <w:color w:val="auto"/>
                <w:spacing w:val="4"/>
                <w:sz w:val="21"/>
                <w:szCs w:val="21"/>
              </w:rPr>
              <w:t xml:space="preserve"> </w:t>
            </w:r>
            <w:r>
              <w:rPr>
                <w:rFonts w:ascii="Times New Roman" w:hAnsi="Times New Roman" w:cs="Times New Roman"/>
                <w:color w:val="auto"/>
                <w:spacing w:val="2"/>
                <w:sz w:val="21"/>
                <w:szCs w:val="21"/>
              </w:rPr>
              <w:t>训系统</w:t>
            </w:r>
          </w:p>
        </w:tc>
        <w:tc>
          <w:tcPr>
            <w:tcW w:w="427" w:type="pct"/>
            <w:vAlign w:val="center"/>
          </w:tcPr>
          <w:p w14:paraId="3E1802F9">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65C5147E">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ascii="Times New Roman" w:hAnsi="Times New Roman" w:cs="Times New Roman"/>
                <w:color w:val="auto"/>
                <w:sz w:val="21"/>
                <w:szCs w:val="21"/>
              </w:rPr>
            </w:pPr>
            <w:r>
              <w:rPr>
                <w:rFonts w:ascii="Times New Roman" w:hAnsi="Times New Roman" w:cs="Times New Roman"/>
                <w:color w:val="auto"/>
                <w:spacing w:val="-2"/>
                <w:sz w:val="21"/>
                <w:szCs w:val="21"/>
              </w:rPr>
              <w:t>240</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000</w:t>
            </w:r>
            <w:r>
              <w:rPr>
                <w:rFonts w:hint="default" w:ascii="Times New Roman" w:hAnsi="Times New Roman" w:cs="Times New Roman"/>
                <w:color w:val="auto"/>
                <w:spacing w:val="-2"/>
                <w:sz w:val="21"/>
                <w:szCs w:val="21"/>
                <w:lang w:val="en-US" w:eastAsia="zh-CN"/>
              </w:rPr>
              <w:t>.00</w:t>
            </w:r>
          </w:p>
        </w:tc>
      </w:tr>
      <w:tr w14:paraId="228BFA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460" w:type="pct"/>
            <w:vAlign w:val="center"/>
          </w:tcPr>
          <w:p w14:paraId="3BD35101">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pacing w:val="-7"/>
                <w:sz w:val="21"/>
                <w:szCs w:val="21"/>
              </w:rPr>
              <w:t>14</w:t>
            </w:r>
          </w:p>
        </w:tc>
        <w:tc>
          <w:tcPr>
            <w:tcW w:w="3164" w:type="pct"/>
            <w:vAlign w:val="center"/>
          </w:tcPr>
          <w:p w14:paraId="7335C632">
            <w:pPr>
              <w:pStyle w:val="51"/>
              <w:keepNext w:val="0"/>
              <w:keepLines w:val="0"/>
              <w:pageBreakBefore w:val="0"/>
              <w:widowControl w:val="0"/>
              <w:kinsoku/>
              <w:wordWrap/>
              <w:overflowPunct/>
              <w:topLinePunct w:val="0"/>
              <w:autoSpaceDE/>
              <w:autoSpaceDN/>
              <w:bidi w:val="0"/>
              <w:adjustRightInd w:val="0"/>
              <w:snapToGrid w:val="0"/>
              <w:spacing w:line="240" w:lineRule="atLeast"/>
              <w:ind w:left="0" w:leftChars="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电子商务师三级实训系统</w:t>
            </w:r>
          </w:p>
        </w:tc>
        <w:tc>
          <w:tcPr>
            <w:tcW w:w="427" w:type="pct"/>
            <w:vAlign w:val="center"/>
          </w:tcPr>
          <w:p w14:paraId="6722C92B">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center"/>
              <w:textAlignment w:val="auto"/>
              <w:rPr>
                <w:rFonts w:ascii="Times New Roman" w:hAnsi="Times New Roman" w:cs="Times New Roman"/>
                <w:color w:val="auto"/>
                <w:sz w:val="21"/>
                <w:szCs w:val="21"/>
              </w:rPr>
            </w:pPr>
            <w:r>
              <w:rPr>
                <w:rFonts w:ascii="Times New Roman" w:hAnsi="Times New Roman" w:cs="Times New Roman"/>
                <w:color w:val="auto"/>
                <w:sz w:val="21"/>
                <w:szCs w:val="21"/>
              </w:rPr>
              <w:t>1</w:t>
            </w:r>
          </w:p>
        </w:tc>
        <w:tc>
          <w:tcPr>
            <w:tcW w:w="947" w:type="pct"/>
            <w:vAlign w:val="center"/>
          </w:tcPr>
          <w:p w14:paraId="7B534B23">
            <w:pPr>
              <w:pStyle w:val="51"/>
              <w:keepNext w:val="0"/>
              <w:keepLines w:val="0"/>
              <w:pageBreakBefore w:val="0"/>
              <w:widowControl w:val="0"/>
              <w:kinsoku/>
              <w:wordWrap/>
              <w:overflowPunct/>
              <w:topLinePunct w:val="0"/>
              <w:autoSpaceDE/>
              <w:autoSpaceDN/>
              <w:bidi w:val="0"/>
              <w:adjustRightInd w:val="0"/>
              <w:snapToGrid w:val="0"/>
              <w:spacing w:line="240" w:lineRule="atLeast"/>
              <w:ind w:left="0" w:firstLine="0" w:firstLineChars="0"/>
              <w:jc w:val="right"/>
              <w:textAlignment w:val="auto"/>
              <w:rPr>
                <w:rFonts w:hint="default" w:ascii="Times New Roman" w:hAnsi="Times New Roman" w:eastAsia="宋体" w:cs="Times New Roman"/>
                <w:color w:val="auto"/>
                <w:sz w:val="21"/>
                <w:szCs w:val="21"/>
                <w:lang w:val="en-US" w:eastAsia="zh-CN"/>
              </w:rPr>
            </w:pPr>
            <w:r>
              <w:rPr>
                <w:rFonts w:ascii="Times New Roman" w:hAnsi="Times New Roman" w:cs="Times New Roman"/>
                <w:color w:val="auto"/>
                <w:spacing w:val="-2"/>
                <w:sz w:val="21"/>
                <w:szCs w:val="21"/>
              </w:rPr>
              <w:t>300</w:t>
            </w:r>
            <w:r>
              <w:rPr>
                <w:rFonts w:hint="default" w:ascii="Times New Roman" w:hAnsi="Times New Roman" w:cs="Times New Roman"/>
                <w:color w:val="auto"/>
                <w:spacing w:val="-2"/>
                <w:sz w:val="21"/>
                <w:szCs w:val="21"/>
                <w:lang w:val="en-US" w:eastAsia="zh-CN"/>
              </w:rPr>
              <w:t>,</w:t>
            </w:r>
            <w:r>
              <w:rPr>
                <w:rFonts w:ascii="Times New Roman" w:hAnsi="Times New Roman" w:cs="Times New Roman"/>
                <w:color w:val="auto"/>
                <w:spacing w:val="-2"/>
                <w:sz w:val="21"/>
                <w:szCs w:val="21"/>
              </w:rPr>
              <w:t>000</w:t>
            </w:r>
            <w:r>
              <w:rPr>
                <w:rFonts w:hint="default" w:ascii="Times New Roman" w:hAnsi="Times New Roman" w:cs="Times New Roman"/>
                <w:color w:val="auto"/>
                <w:spacing w:val="-2"/>
                <w:sz w:val="21"/>
                <w:szCs w:val="21"/>
                <w:lang w:val="en-US" w:eastAsia="zh-CN"/>
              </w:rPr>
              <w:t>.00</w:t>
            </w:r>
          </w:p>
        </w:tc>
      </w:tr>
    </w:tbl>
    <w:p w14:paraId="430E7CAF">
      <w:pPr>
        <w:rPr>
          <w:rFonts w:ascii="Times New Roman" w:hAnsi="Times New Roman"/>
          <w:color w:val="auto"/>
        </w:rPr>
      </w:pPr>
      <w:bookmarkStart w:id="131" w:name="_Toc29169"/>
    </w:p>
    <w:p w14:paraId="727A6BA2">
      <w:pPr>
        <w:pStyle w:val="3"/>
        <w:ind w:firstLine="0" w:firstLineChars="0"/>
        <w:jc w:val="center"/>
        <w:rPr>
          <w:rFonts w:hint="default" w:ascii="Times New Roman" w:hAnsi="Times New Roman" w:eastAsia="宋体" w:cs="Times New Roman"/>
          <w:color w:val="auto"/>
          <w:sz w:val="21"/>
          <w:szCs w:val="21"/>
        </w:rPr>
      </w:pPr>
      <w:bookmarkStart w:id="132" w:name="_Toc1153"/>
      <w:r>
        <w:rPr>
          <w:rFonts w:hint="default" w:ascii="Times New Roman" w:hAnsi="Times New Roman" w:eastAsia="宋体" w:cs="Times New Roman"/>
          <w:color w:val="auto"/>
          <w:sz w:val="21"/>
          <w:szCs w:val="21"/>
        </w:rPr>
        <w:t>附表2</w:t>
      </w:r>
      <w:r>
        <w:rPr>
          <w:rFonts w:hint="default" w:ascii="Times New Roman" w:hAnsi="Times New Roman" w:eastAsia="宋体" w:cs="Times New Roman"/>
          <w:color w:val="auto"/>
          <w:sz w:val="21"/>
          <w:szCs w:val="21"/>
          <w:lang w:val="en-US" w:eastAsia="zh-CN"/>
        </w:rPr>
        <w:t>-7</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eastAsia="zh-CN"/>
        </w:rPr>
        <w:t>电商及直播运营实训基地</w:t>
      </w:r>
      <w:r>
        <w:rPr>
          <w:rFonts w:hint="default" w:ascii="Times New Roman" w:hAnsi="Times New Roman" w:eastAsia="宋体" w:cs="Times New Roman"/>
          <w:color w:val="auto"/>
          <w:sz w:val="21"/>
          <w:szCs w:val="21"/>
        </w:rPr>
        <w:t>设备采购</w:t>
      </w:r>
      <w:r>
        <w:rPr>
          <w:rFonts w:hint="default" w:ascii="Times New Roman" w:hAnsi="Times New Roman" w:eastAsia="宋体" w:cs="Times New Roman"/>
          <w:color w:val="auto"/>
          <w:sz w:val="21"/>
          <w:szCs w:val="21"/>
          <w:lang w:val="en-US" w:eastAsia="zh-CN"/>
        </w:rPr>
        <w:t>第二批</w:t>
      </w:r>
      <w:r>
        <w:rPr>
          <w:rFonts w:hint="default" w:ascii="Times New Roman" w:hAnsi="Times New Roman" w:eastAsia="宋体" w:cs="Times New Roman"/>
          <w:color w:val="auto"/>
          <w:sz w:val="21"/>
          <w:szCs w:val="21"/>
        </w:rPr>
        <w:t>明细表</w:t>
      </w:r>
      <w:bookmarkEnd w:id="132"/>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95"/>
        <w:gridCol w:w="2397"/>
        <w:gridCol w:w="1325"/>
        <w:gridCol w:w="1325"/>
        <w:gridCol w:w="2477"/>
      </w:tblGrid>
      <w:tr w14:paraId="0A0503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3D89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序号</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BC95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设备名称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1426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单位</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0151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数量</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F000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总额（万元）</w:t>
            </w:r>
          </w:p>
        </w:tc>
      </w:tr>
      <w:tr w14:paraId="664C22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FA2A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231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LED大屏</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CE4D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平方米</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2690B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12.30</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9A2C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8.33</w:t>
            </w:r>
          </w:p>
        </w:tc>
      </w:tr>
      <w:tr w14:paraId="7ABA0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A63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5935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跟拍无人机</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E76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BB44B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2.00</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8C74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4.65</w:t>
            </w:r>
          </w:p>
        </w:tc>
      </w:tr>
      <w:tr w14:paraId="2A0AD5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2819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493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肩扛式摄像机</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BEF56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E7A4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B341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1.58</w:t>
            </w:r>
          </w:p>
        </w:tc>
      </w:tr>
      <w:tr w14:paraId="2C0A20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DC54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21B3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联想打印机</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14ED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077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46CA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0.49</w:t>
            </w:r>
          </w:p>
        </w:tc>
      </w:tr>
      <w:tr w14:paraId="13E08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F9B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2A5D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A3黑白打印机</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3CC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台</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89D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1.00</w:t>
            </w: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8459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2.20</w:t>
            </w:r>
          </w:p>
        </w:tc>
      </w:tr>
      <w:tr w14:paraId="68481B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3" w:hRule="atLeast"/>
        </w:trPr>
        <w:tc>
          <w:tcPr>
            <w:tcW w:w="5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847A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6</w:t>
            </w:r>
          </w:p>
        </w:tc>
        <w:tc>
          <w:tcPr>
            <w:tcW w:w="1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52874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合计</w:t>
            </w: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A61E5">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1"/>
                <w:szCs w:val="21"/>
                <w:u w:val="none"/>
              </w:rPr>
            </w:pPr>
          </w:p>
        </w:tc>
        <w:tc>
          <w:tcPr>
            <w:tcW w:w="7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5B320">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default" w:ascii="Times New Roman" w:hAnsi="Times New Roman" w:eastAsia="宋体" w:cs="Times New Roman"/>
                <w:i w:val="0"/>
                <w:iCs w:val="0"/>
                <w:color w:val="000000"/>
                <w:sz w:val="21"/>
                <w:szCs w:val="21"/>
                <w:u w:val="none"/>
              </w:rPr>
            </w:pPr>
          </w:p>
        </w:tc>
        <w:tc>
          <w:tcPr>
            <w:tcW w:w="1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55FE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righ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17.25</w:t>
            </w:r>
          </w:p>
        </w:tc>
      </w:tr>
    </w:tbl>
    <w:p w14:paraId="3584202B">
      <w:pPr>
        <w:rPr>
          <w:rFonts w:ascii="Times New Roman" w:hAnsi="Times New Roman"/>
          <w:color w:val="auto"/>
        </w:rPr>
      </w:pPr>
      <w:r>
        <w:rPr>
          <w:rFonts w:ascii="Times New Roman" w:hAnsi="Times New Roman"/>
          <w:color w:val="auto"/>
        </w:rPr>
        <w:br w:type="page"/>
      </w:r>
    </w:p>
    <w:p w14:paraId="741F4013">
      <w:pPr>
        <w:pStyle w:val="2"/>
        <w:spacing w:line="360" w:lineRule="auto"/>
        <w:ind w:firstLine="0" w:firstLineChars="0"/>
        <w:rPr>
          <w:rFonts w:ascii="Times New Roman" w:hAnsi="Times New Roman"/>
          <w:color w:val="auto"/>
        </w:rPr>
      </w:pPr>
      <w:bookmarkStart w:id="133" w:name="_Toc24025"/>
      <w:r>
        <w:rPr>
          <w:rFonts w:ascii="Times New Roman" w:hAnsi="Times New Roman"/>
          <w:color w:val="auto"/>
        </w:rPr>
        <w:t>附件3：问卷调查分析报告</w:t>
      </w:r>
      <w:bookmarkEnd w:id="131"/>
      <w:bookmarkEnd w:id="133"/>
    </w:p>
    <w:p w14:paraId="4CA9FB9A">
      <w:pPr>
        <w:ind w:firstLine="422"/>
        <w:jc w:val="center"/>
        <w:rPr>
          <w:b/>
          <w:bCs/>
          <w:color w:val="auto"/>
        </w:rPr>
      </w:pPr>
      <w:r>
        <w:rPr>
          <w:rFonts w:hint="default"/>
          <w:b/>
          <w:bCs/>
          <w:color w:val="auto"/>
        </w:rPr>
        <w:t>2024年中央现代职业教育质量提升计划资金（教师）-调研报告</w:t>
      </w:r>
    </w:p>
    <w:p w14:paraId="76E12B8C">
      <w:pPr>
        <w:ind w:firstLine="420"/>
        <w:rPr>
          <w:color w:val="auto"/>
        </w:rPr>
      </w:pPr>
      <w:r>
        <w:rPr>
          <w:color w:val="auto"/>
        </w:rPr>
        <w:t>本次绩效评价的对象为</w:t>
      </w:r>
      <w:r>
        <w:rPr>
          <w:rFonts w:hint="default"/>
          <w:color w:val="auto"/>
        </w:rPr>
        <w:t>2024年中央现代职业教育质量提升计划资金</w:t>
      </w:r>
      <w:r>
        <w:rPr>
          <w:rFonts w:hint="default"/>
          <w:color w:val="auto"/>
          <w:lang w:val="en-US" w:eastAsia="zh-CN"/>
        </w:rPr>
        <w:t>项目</w:t>
      </w:r>
      <w:r>
        <w:rPr>
          <w:rFonts w:hint="default"/>
          <w:color w:val="auto"/>
        </w:rPr>
        <w:t>，</w:t>
      </w:r>
      <w:r>
        <w:rPr>
          <w:color w:val="auto"/>
        </w:rPr>
        <w:t>为客观评价该项目的社会效果，绩效评价小组依据公共支出绩效评价</w:t>
      </w:r>
      <w:r>
        <w:rPr>
          <w:rFonts w:hint="default"/>
          <w:color w:val="auto"/>
        </w:rPr>
        <w:t>“</w:t>
      </w:r>
      <w:r>
        <w:rPr>
          <w:color w:val="auto"/>
        </w:rPr>
        <w:t>为顾客服务</w:t>
      </w:r>
      <w:r>
        <w:rPr>
          <w:rFonts w:hint="default"/>
          <w:color w:val="auto"/>
        </w:rPr>
        <w:t>”</w:t>
      </w:r>
      <w:r>
        <w:rPr>
          <w:color w:val="auto"/>
        </w:rPr>
        <w:t>原理，了解</w:t>
      </w:r>
      <w:r>
        <w:rPr>
          <w:rFonts w:hint="default"/>
          <w:color w:val="auto"/>
          <w:lang w:val="en-US" w:eastAsia="zh-CN"/>
        </w:rPr>
        <w:t>学校教师</w:t>
      </w:r>
      <w:r>
        <w:rPr>
          <w:color w:val="auto"/>
        </w:rPr>
        <w:t>对项目的评价情况，对本项目</w:t>
      </w:r>
      <w:r>
        <w:rPr>
          <w:rFonts w:hint="default"/>
          <w:color w:val="auto"/>
        </w:rPr>
        <w:t>开展</w:t>
      </w:r>
      <w:r>
        <w:rPr>
          <w:color w:val="auto"/>
        </w:rPr>
        <w:t>满意度问卷调查。问卷调查工作情况如下：</w:t>
      </w:r>
    </w:p>
    <w:p w14:paraId="7D9E9F46">
      <w:pPr>
        <w:ind w:firstLine="422"/>
        <w:rPr>
          <w:b/>
          <w:bCs/>
          <w:color w:val="auto"/>
        </w:rPr>
      </w:pPr>
      <w:bookmarkStart w:id="134" w:name="_Toc529373554"/>
      <w:bookmarkStart w:id="135" w:name="_Toc529373321"/>
      <w:r>
        <w:rPr>
          <w:b/>
          <w:bCs/>
          <w:color w:val="auto"/>
        </w:rPr>
        <w:t>1.调</w:t>
      </w:r>
      <w:r>
        <w:rPr>
          <w:rFonts w:hint="default"/>
          <w:b/>
          <w:bCs/>
          <w:color w:val="auto"/>
        </w:rPr>
        <w:t>查</w:t>
      </w:r>
      <w:r>
        <w:rPr>
          <w:b/>
          <w:bCs/>
          <w:color w:val="auto"/>
        </w:rPr>
        <w:t>对象</w:t>
      </w:r>
      <w:bookmarkEnd w:id="134"/>
      <w:bookmarkEnd w:id="135"/>
    </w:p>
    <w:p w14:paraId="7AA0CDB5">
      <w:pPr>
        <w:ind w:firstLine="420"/>
        <w:rPr>
          <w:color w:val="auto"/>
        </w:rPr>
      </w:pPr>
      <w:r>
        <w:rPr>
          <w:rFonts w:hint="default"/>
          <w:color w:val="auto"/>
        </w:rPr>
        <w:t>结合对</w:t>
      </w:r>
      <w:r>
        <w:rPr>
          <w:rFonts w:hint="default"/>
          <w:color w:val="auto"/>
          <w:lang w:eastAsia="zh-CN"/>
        </w:rPr>
        <w:t>2024年中央现代职业教育质量提升计划资金</w:t>
      </w:r>
      <w:r>
        <w:rPr>
          <w:rFonts w:hint="default"/>
          <w:color w:val="auto"/>
          <w:lang w:val="en-US" w:eastAsia="zh-CN"/>
        </w:rPr>
        <w:t>项目</w:t>
      </w:r>
      <w:r>
        <w:rPr>
          <w:rFonts w:hint="default"/>
          <w:color w:val="auto"/>
        </w:rPr>
        <w:t>完成情况及实际问卷调查可操作性，本次满意度问卷旨在考察职业教育的教师是否认为该项目的实施对提升学校教学质量有明显效果，以及职业教育教师对项目完成及实施效果方面满意度情况。因此，</w:t>
      </w:r>
      <w:r>
        <w:rPr>
          <w:color w:val="auto"/>
        </w:rPr>
        <w:t>本次</w:t>
      </w:r>
      <w:r>
        <w:rPr>
          <w:rFonts w:hint="default"/>
          <w:color w:val="auto"/>
        </w:rPr>
        <w:t>满意度调查</w:t>
      </w:r>
      <w:r>
        <w:rPr>
          <w:color w:val="auto"/>
        </w:rPr>
        <w:t>的</w:t>
      </w:r>
      <w:r>
        <w:rPr>
          <w:rFonts w:hint="default"/>
          <w:color w:val="auto"/>
        </w:rPr>
        <w:t>对象为职业教育的教师。</w:t>
      </w:r>
    </w:p>
    <w:p w14:paraId="2F6BE1D6">
      <w:pPr>
        <w:ind w:firstLine="422"/>
        <w:rPr>
          <w:b/>
          <w:bCs/>
          <w:color w:val="auto"/>
        </w:rPr>
      </w:pPr>
      <w:bookmarkStart w:id="136" w:name="_Toc529373555"/>
      <w:bookmarkStart w:id="137" w:name="_Toc529373322"/>
      <w:r>
        <w:rPr>
          <w:b/>
          <w:bCs/>
          <w:color w:val="auto"/>
        </w:rPr>
        <w:t>2.调</w:t>
      </w:r>
      <w:r>
        <w:rPr>
          <w:rFonts w:hint="default"/>
          <w:b/>
          <w:bCs/>
          <w:color w:val="auto"/>
        </w:rPr>
        <w:t>查</w:t>
      </w:r>
      <w:r>
        <w:rPr>
          <w:b/>
          <w:bCs/>
          <w:color w:val="auto"/>
        </w:rPr>
        <w:t>内容</w:t>
      </w:r>
      <w:bookmarkEnd w:id="136"/>
      <w:bookmarkEnd w:id="137"/>
    </w:p>
    <w:p w14:paraId="4909B84D">
      <w:pPr>
        <w:ind w:firstLine="420"/>
        <w:rPr>
          <w:color w:val="auto"/>
        </w:rPr>
      </w:pPr>
      <w:r>
        <w:rPr>
          <w:color w:val="auto"/>
        </w:rPr>
        <w:t>（1）对现代职业教育质量提升计划资金项目实施后的满意度，包括对项目</w:t>
      </w:r>
      <w:r>
        <w:rPr>
          <w:rFonts w:hint="default"/>
          <w:color w:val="auto"/>
        </w:rPr>
        <w:t>实施后有无显著、较大或一般地提升教学质量；对</w:t>
      </w:r>
      <w:r>
        <w:rPr>
          <w:color w:val="auto"/>
        </w:rPr>
        <w:t>项目</w:t>
      </w:r>
      <w:r>
        <w:rPr>
          <w:rFonts w:hint="default"/>
          <w:color w:val="auto"/>
        </w:rPr>
        <w:t>的完成和实施</w:t>
      </w:r>
      <w:r>
        <w:rPr>
          <w:color w:val="auto"/>
        </w:rPr>
        <w:t>是否</w:t>
      </w:r>
      <w:r>
        <w:rPr>
          <w:rFonts w:hint="default"/>
          <w:color w:val="auto"/>
        </w:rPr>
        <w:t>有效</w:t>
      </w:r>
      <w:r>
        <w:rPr>
          <w:color w:val="auto"/>
        </w:rPr>
        <w:t>和满意等。</w:t>
      </w:r>
    </w:p>
    <w:p w14:paraId="01148C73">
      <w:pPr>
        <w:ind w:firstLine="420"/>
        <w:rPr>
          <w:color w:val="auto"/>
        </w:rPr>
      </w:pPr>
      <w:r>
        <w:rPr>
          <w:color w:val="auto"/>
        </w:rPr>
        <w:t>（2）对现代职业教育质量提升计划资金项目的意见和建议，通过开放式问答收集，涵盖各个方面。</w:t>
      </w:r>
    </w:p>
    <w:p w14:paraId="1F8FC537">
      <w:pPr>
        <w:ind w:firstLine="422"/>
        <w:rPr>
          <w:b/>
          <w:bCs/>
          <w:color w:val="auto"/>
        </w:rPr>
      </w:pPr>
      <w:bookmarkStart w:id="138" w:name="_Toc529373556"/>
      <w:bookmarkStart w:id="139" w:name="_Toc529373323"/>
      <w:r>
        <w:rPr>
          <w:b/>
          <w:bCs/>
          <w:color w:val="auto"/>
        </w:rPr>
        <w:t>3.调</w:t>
      </w:r>
      <w:r>
        <w:rPr>
          <w:rFonts w:hint="default"/>
          <w:b/>
          <w:bCs/>
          <w:color w:val="auto"/>
        </w:rPr>
        <w:t>查</w:t>
      </w:r>
      <w:r>
        <w:rPr>
          <w:b/>
          <w:bCs/>
          <w:color w:val="auto"/>
        </w:rPr>
        <w:t>方法</w:t>
      </w:r>
      <w:bookmarkEnd w:id="138"/>
      <w:bookmarkEnd w:id="139"/>
    </w:p>
    <w:p w14:paraId="748C60D3">
      <w:pPr>
        <w:ind w:firstLine="420"/>
        <w:rPr>
          <w:color w:val="auto"/>
        </w:rPr>
      </w:pPr>
      <w:r>
        <w:rPr>
          <w:color w:val="auto"/>
        </w:rPr>
        <w:t>为确保问卷</w:t>
      </w:r>
      <w:r>
        <w:rPr>
          <w:rFonts w:hint="default"/>
          <w:color w:val="auto"/>
        </w:rPr>
        <w:t>调查</w:t>
      </w:r>
      <w:r>
        <w:rPr>
          <w:color w:val="auto"/>
        </w:rPr>
        <w:t>的全面性和代表性，本次问卷调查采取抽样和重点选取的方式进行，对</w:t>
      </w:r>
      <w:r>
        <w:rPr>
          <w:rFonts w:hint="default"/>
          <w:color w:val="auto"/>
          <w:lang w:eastAsia="zh-CN"/>
        </w:rPr>
        <w:t>2024</w:t>
      </w:r>
      <w:r>
        <w:rPr>
          <w:color w:val="auto"/>
        </w:rPr>
        <w:t>年度</w:t>
      </w:r>
      <w:r>
        <w:rPr>
          <w:rFonts w:hint="default"/>
          <w:color w:val="auto"/>
        </w:rPr>
        <w:t>职业教育的教师</w:t>
      </w:r>
      <w:r>
        <w:rPr>
          <w:color w:val="auto"/>
        </w:rPr>
        <w:t>随机抽取</w:t>
      </w:r>
      <w:r>
        <w:rPr>
          <w:rFonts w:hint="default"/>
          <w:color w:val="auto"/>
          <w:lang w:eastAsia="zh-CN"/>
        </w:rPr>
        <w:t>61</w:t>
      </w:r>
      <w:r>
        <w:rPr>
          <w:color w:val="auto"/>
        </w:rPr>
        <w:t>人为样本，发放问卷</w:t>
      </w:r>
      <w:r>
        <w:rPr>
          <w:rFonts w:hint="default"/>
          <w:color w:val="auto"/>
          <w:lang w:eastAsia="zh-CN"/>
        </w:rPr>
        <w:t>61</w:t>
      </w:r>
      <w:r>
        <w:rPr>
          <w:color w:val="auto"/>
        </w:rPr>
        <w:t>份。</w:t>
      </w:r>
    </w:p>
    <w:p w14:paraId="0BC6DCBB">
      <w:pPr>
        <w:ind w:firstLine="422"/>
        <w:rPr>
          <w:b/>
          <w:bCs/>
          <w:color w:val="auto"/>
        </w:rPr>
      </w:pPr>
      <w:bookmarkStart w:id="140" w:name="_Toc529373325"/>
      <w:bookmarkStart w:id="141" w:name="_Toc529373558"/>
      <w:r>
        <w:rPr>
          <w:rFonts w:hint="default"/>
          <w:b/>
          <w:bCs/>
          <w:color w:val="auto"/>
        </w:rPr>
        <w:t>4</w:t>
      </w:r>
      <w:r>
        <w:rPr>
          <w:b/>
          <w:bCs/>
          <w:color w:val="auto"/>
        </w:rPr>
        <w:t>.问卷的发放和回收</w:t>
      </w:r>
      <w:bookmarkEnd w:id="140"/>
      <w:bookmarkEnd w:id="141"/>
    </w:p>
    <w:p w14:paraId="13D1081D">
      <w:pPr>
        <w:ind w:firstLine="420"/>
        <w:jc w:val="left"/>
        <w:rPr>
          <w:color w:val="auto"/>
        </w:rPr>
      </w:pPr>
      <w:r>
        <w:rPr>
          <w:color w:val="auto"/>
        </w:rPr>
        <w:t>为充分采集</w:t>
      </w:r>
      <w:r>
        <w:rPr>
          <w:rFonts w:hint="default"/>
          <w:color w:val="auto"/>
        </w:rPr>
        <w:t>调查</w:t>
      </w:r>
      <w:r>
        <w:rPr>
          <w:color w:val="auto"/>
        </w:rPr>
        <w:t>对象的真实想法，保证</w:t>
      </w:r>
      <w:r>
        <w:rPr>
          <w:rFonts w:hint="default"/>
          <w:color w:val="auto"/>
        </w:rPr>
        <w:t>问卷调查</w:t>
      </w:r>
      <w:r>
        <w:rPr>
          <w:color w:val="auto"/>
        </w:rPr>
        <w:t>的公平性和科学性，本次问卷</w:t>
      </w:r>
      <w:r>
        <w:rPr>
          <w:rFonts w:hint="default"/>
          <w:color w:val="auto"/>
        </w:rPr>
        <w:t>调查</w:t>
      </w:r>
      <w:r>
        <w:rPr>
          <w:color w:val="auto"/>
        </w:rPr>
        <w:t>不记名，</w:t>
      </w:r>
      <w:r>
        <w:rPr>
          <w:rFonts w:hint="default"/>
          <w:color w:val="auto"/>
        </w:rPr>
        <w:t>通过电子</w:t>
      </w:r>
      <w:r>
        <w:rPr>
          <w:color w:val="auto"/>
        </w:rPr>
        <w:t>问卷</w:t>
      </w:r>
      <w:r>
        <w:rPr>
          <w:rFonts w:hint="default"/>
          <w:color w:val="auto"/>
        </w:rPr>
        <w:t>的形式进行</w:t>
      </w:r>
      <w:r>
        <w:rPr>
          <w:color w:val="auto"/>
        </w:rPr>
        <w:t>发放与回收。</w:t>
      </w:r>
    </w:p>
    <w:p w14:paraId="317E7A9E">
      <w:pPr>
        <w:ind w:left="420" w:leftChars="200" w:firstLine="0" w:firstLineChars="0"/>
        <w:jc w:val="left"/>
        <w:rPr>
          <w:b/>
          <w:bCs/>
          <w:color w:val="auto"/>
        </w:rPr>
      </w:pPr>
      <w:r>
        <w:rPr>
          <w:rFonts w:hint="default"/>
          <w:b/>
          <w:bCs/>
          <w:color w:val="auto"/>
        </w:rPr>
        <w:t>5.</w:t>
      </w:r>
      <w:r>
        <w:rPr>
          <w:b/>
          <w:bCs/>
          <w:color w:val="auto"/>
        </w:rPr>
        <w:t>问卷调查分析结果</w:t>
      </w:r>
    </w:p>
    <w:p w14:paraId="4B6F017D">
      <w:pPr>
        <w:ind w:firstLine="420"/>
        <w:jc w:val="left"/>
        <w:rPr>
          <w:color w:val="auto"/>
        </w:rPr>
      </w:pPr>
      <w:r>
        <w:rPr>
          <w:color w:val="auto"/>
        </w:rPr>
        <w:t>本次调研过程中，</w:t>
      </w:r>
      <w:r>
        <w:rPr>
          <w:rFonts w:hint="default"/>
          <w:color w:val="auto"/>
        </w:rPr>
        <w:t>评价组</w:t>
      </w:r>
      <w:r>
        <w:rPr>
          <w:color w:val="auto"/>
        </w:rPr>
        <w:t>实际发放问卷</w:t>
      </w:r>
      <w:r>
        <w:rPr>
          <w:rFonts w:hint="default"/>
          <w:color w:val="auto"/>
          <w:lang w:val="en-US" w:eastAsia="zh-CN"/>
        </w:rPr>
        <w:t>61</w:t>
      </w:r>
      <w:r>
        <w:rPr>
          <w:color w:val="auto"/>
        </w:rPr>
        <w:t>份，回收问卷</w:t>
      </w:r>
      <w:r>
        <w:rPr>
          <w:rFonts w:hint="default"/>
          <w:color w:val="auto"/>
          <w:lang w:eastAsia="zh-CN"/>
        </w:rPr>
        <w:t>61</w:t>
      </w:r>
      <w:r>
        <w:rPr>
          <w:color w:val="auto"/>
        </w:rPr>
        <w:t>份，问卷回收率为</w:t>
      </w:r>
      <w:r>
        <w:rPr>
          <w:rFonts w:hint="default"/>
          <w:color w:val="auto"/>
        </w:rPr>
        <w:t>100</w:t>
      </w:r>
      <w:r>
        <w:rPr>
          <w:color w:val="auto"/>
        </w:rPr>
        <w:t>%，有效问卷</w:t>
      </w:r>
      <w:r>
        <w:rPr>
          <w:rFonts w:hint="default"/>
          <w:color w:val="auto"/>
          <w:lang w:eastAsia="zh-CN"/>
        </w:rPr>
        <w:t>61</w:t>
      </w:r>
      <w:r>
        <w:rPr>
          <w:color w:val="auto"/>
        </w:rPr>
        <w:t>份，有效回收率</w:t>
      </w:r>
      <w:r>
        <w:rPr>
          <w:rFonts w:hint="default"/>
          <w:color w:val="auto"/>
        </w:rPr>
        <w:t>100</w:t>
      </w:r>
      <w:r>
        <w:rPr>
          <w:color w:val="auto"/>
        </w:rPr>
        <w:t>%，</w:t>
      </w:r>
      <w:r>
        <w:rPr>
          <w:rFonts w:hint="default"/>
          <w:color w:val="auto"/>
        </w:rPr>
        <w:t>调研问卷总体满意度为</w:t>
      </w:r>
      <w:r>
        <w:rPr>
          <w:rFonts w:hint="default"/>
          <w:color w:val="auto"/>
          <w:lang w:val="en-US" w:eastAsia="zh-CN"/>
        </w:rPr>
        <w:t>81.94</w:t>
      </w:r>
      <w:r>
        <w:rPr>
          <w:rFonts w:hint="default"/>
          <w:color w:val="auto"/>
        </w:rPr>
        <w:t>%。</w:t>
      </w:r>
      <w:r>
        <w:rPr>
          <w:color w:val="auto"/>
        </w:rPr>
        <w:t>本次调研的</w:t>
      </w:r>
      <w:r>
        <w:rPr>
          <w:rFonts w:hint="default"/>
          <w:color w:val="auto"/>
        </w:rPr>
        <w:t>具体</w:t>
      </w:r>
      <w:r>
        <w:rPr>
          <w:color w:val="auto"/>
        </w:rPr>
        <w:t>情况如下：</w:t>
      </w:r>
    </w:p>
    <w:tbl>
      <w:tblPr>
        <w:tblStyle w:val="21"/>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192"/>
        <w:gridCol w:w="1144"/>
        <w:gridCol w:w="1186"/>
      </w:tblGrid>
      <w:tr w14:paraId="7D4E46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BE4EB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1.您是老师吗？</w:t>
            </w:r>
          </w:p>
        </w:tc>
      </w:tr>
      <w:tr w14:paraId="2C3974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7F5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FFCD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DEB8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549665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E648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是</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CC20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8E1C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58.30%</w:t>
            </w:r>
          </w:p>
        </w:tc>
      </w:tr>
      <w:tr w14:paraId="0A9A3A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C396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178F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648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41.70%</w:t>
            </w:r>
          </w:p>
        </w:tc>
      </w:tr>
      <w:tr w14:paraId="73C6CE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85D0BA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2.您认为通过化工及化工安全或电商及直播实训基地项目的实施，对化工或电商专业教学开展以及教学质量提升的整体效果如何？​</w:t>
            </w:r>
          </w:p>
        </w:tc>
      </w:tr>
      <w:tr w14:paraId="3F5EBB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AA4A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E3C7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52E4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104844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CF37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效果显著，极大提升了化工或电商专业教学开展的便利性和教学质量​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128F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713E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52.46%</w:t>
            </w:r>
          </w:p>
        </w:tc>
      </w:tr>
      <w:tr w14:paraId="0A7FCE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FC8A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有一定效果，对化工或电商专业教学开展和教学质量有积极影响​</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BB1E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26</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B8F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42.62%</w:t>
            </w:r>
          </w:p>
        </w:tc>
      </w:tr>
      <w:tr w14:paraId="5173AE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AA7C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效果一般，整体影响不太明显​</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C2C9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5AB0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4.92%</w:t>
            </w:r>
          </w:p>
        </w:tc>
      </w:tr>
      <w:tr w14:paraId="5AFE3E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A00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基本无效果，未带来实质性改变</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B573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E665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0.00%</w:t>
            </w:r>
          </w:p>
        </w:tc>
      </w:tr>
      <w:tr w14:paraId="4E0742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A3A801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3.您认为采购完成化工或电商实训基地设备后，在辅助您对化工或电商专业进行课程教学、培养学生专业能力方面的整体作用如何？​</w:t>
            </w:r>
          </w:p>
        </w:tc>
      </w:tr>
      <w:tr w14:paraId="6B186E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0167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7B0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8DF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7352D1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7C79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作用显著，能很好地辅助化工或电商专业的教学和学生能力培养​</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51CD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46F3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50.82%</w:t>
            </w:r>
          </w:p>
        </w:tc>
      </w:tr>
      <w:tr w14:paraId="329EF6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4F0E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有一定作用，对化工或电商专业的教学和学生能力培养有积极促进​</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9419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27</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66DF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44.26%</w:t>
            </w:r>
          </w:p>
        </w:tc>
      </w:tr>
      <w:tr w14:paraId="13EBF8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13F69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作用一般，辅助效果不突出​</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F280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F89B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757791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F8B7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基本无效果，未带来实质性改变</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8312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A65A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1.64%</w:t>
            </w:r>
          </w:p>
        </w:tc>
      </w:tr>
      <w:tr w14:paraId="4B338C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B5B0BE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4.您认为化工或电商实训基地的设备在满足您对化工或电商专业的教学计划和实训指导需求方面，整体表现如何？​</w:t>
            </w:r>
          </w:p>
        </w:tc>
      </w:tr>
      <w:tr w14:paraId="72310F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92CE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E636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5963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06712C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0069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完全满足，能充分支撑化工或电商专业各类教学和指导活动​</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B03A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24</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4B82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39.34%</w:t>
            </w:r>
          </w:p>
        </w:tc>
      </w:tr>
      <w:tr w14:paraId="7E590C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0682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基本满足，化工或电商专业大部分教学和指导需求可得到满足​</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C78B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35</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7503E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57.38%</w:t>
            </w:r>
          </w:p>
        </w:tc>
      </w:tr>
      <w:tr w14:paraId="55AD6C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9846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部分满足，化工或电商专业有一定教学和指导需求无法实现​</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F801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F7F2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1.64%</w:t>
            </w:r>
          </w:p>
        </w:tc>
      </w:tr>
      <w:tr w14:paraId="7BC4D0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D8A8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难以满足，化工或电商专业很多教学和指导活动无法开展​</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1965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CEEC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1.64%</w:t>
            </w:r>
          </w:p>
        </w:tc>
      </w:tr>
      <w:tr w14:paraId="253B3F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B5D29E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5.您觉得化工或电商实训基地的设备更新速度，能否跟上您对化工或电商专业行业前沿技术教学的需求？​</w:t>
            </w:r>
          </w:p>
        </w:tc>
      </w:tr>
      <w:tr w14:paraId="13592B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5EE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D4E8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E876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22676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D00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完全能跟上，设备更新及时且能满足化工或电商专业前沿教学需求​</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A278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23</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A0D0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37.70%</w:t>
            </w:r>
          </w:p>
        </w:tc>
      </w:tr>
      <w:tr w14:paraId="5E1424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2BC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基本能跟上，能满足化工或电商专业大部分行业前沿技术教学需求​</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56F9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28</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9EB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45.90%</w:t>
            </w:r>
          </w:p>
        </w:tc>
      </w:tr>
      <w:tr w14:paraId="60700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41851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勉强能跟上，与化工或电商专业行业前沿技术教学需求有一定差距​</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BD37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8</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497C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13.11%</w:t>
            </w:r>
          </w:p>
        </w:tc>
      </w:tr>
      <w:tr w14:paraId="2E417E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975F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不能跟上，设备落后，无法满足化工或电商专业前沿教学需求​</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331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CB16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659F97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2B2D59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6.您认为化工或电商专业的实训课程与理论课程的衔接在教学过程中，整体体现如何？​</w:t>
            </w:r>
          </w:p>
        </w:tc>
      </w:tr>
      <w:tr w14:paraId="15B98A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34611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F617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6CAB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6108DD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039E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衔接紧密，化工或电商专业的实训都能很好地配合理论课程教学​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8D89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25</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7A90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40.98%</w:t>
            </w:r>
          </w:p>
        </w:tc>
      </w:tr>
      <w:tr w14:paraId="07858E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D504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衔接较好，化工或电商专业的实训对理论课程教学有一定辅助作用​</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F04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26</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8D2A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42.62%</w:t>
            </w:r>
          </w:p>
        </w:tc>
      </w:tr>
      <w:tr w14:paraId="78E795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10E8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衔接一般，化工或电商专业的实训与理论课程教学结合不够紧密​</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2211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8</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D712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13.11%</w:t>
            </w:r>
          </w:p>
        </w:tc>
      </w:tr>
      <w:tr w14:paraId="0F71E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59BE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衔接较差，化工或电商专业的实训与理论课程教学脱节​</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52B4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4C62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05FEA7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D7A30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7.您认为化工或电商实训基地的现有设备和资源，能否满足您对化工或电商专业学生进行系统性实训教学的需求？​</w:t>
            </w:r>
          </w:p>
        </w:tc>
      </w:tr>
      <w:tr w14:paraId="5409B3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0D34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635B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2D0E7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086AB2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8382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完全能满足，资源丰富，可开展化工或电商专业的系统性教学​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D14AC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27</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43CE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44.26%</w:t>
            </w:r>
          </w:p>
        </w:tc>
      </w:tr>
      <w:tr w14:paraId="1336D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E1CE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基本能满足，化工或电商专业大部分系统性教学需求可得到满足​</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ED56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9751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49.18%</w:t>
            </w:r>
          </w:p>
        </w:tc>
      </w:tr>
      <w:tr w14:paraId="6DA0CE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DDCF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部分满足，化工或电商专业系统性教学有一定限制​</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E449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414E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6.56%</w:t>
            </w:r>
          </w:p>
        </w:tc>
      </w:tr>
      <w:tr w14:paraId="16CF4B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4DE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难以满足，无法开展化工或电商专业的系统性教学​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1B8B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477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0.00%</w:t>
            </w:r>
          </w:p>
        </w:tc>
      </w:tr>
      <w:tr w14:paraId="277533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3300CB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8.综合来看，您对化工或电商实训基地设备在支持您开展新兴教学形式（如化工领域的新型实验教学、电商直播领域的虚拟直播教学等）方面的整体能力如何评价？​</w:t>
            </w:r>
          </w:p>
        </w:tc>
      </w:tr>
      <w:tr w14:paraId="2ABE7E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2BF9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95DEA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56FB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03C305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D15D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能力很强，能很好地支持化工或电商专业各类新兴教学形式​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D8E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24</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1791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39.34%</w:t>
            </w:r>
          </w:p>
        </w:tc>
      </w:tr>
      <w:tr w14:paraId="39872A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5292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能力较强，能支持化工或电商专业大部分新兴教学形式​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22ABA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25</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2EF3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40.98%</w:t>
            </w:r>
          </w:p>
        </w:tc>
      </w:tr>
      <w:tr w14:paraId="54682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150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能力一般，仅能支持化工或电商专业少数新兴教学形式​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E0FC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93089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16.39%</w:t>
            </w:r>
          </w:p>
        </w:tc>
      </w:tr>
      <w:tr w14:paraId="2AA3D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C8D3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能力较弱，无法支持化工或电商专业新兴教学形式​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8BA0F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79A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37CC23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057C78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9.您认为在使用化工或电商实训基地设备进行教学时，设备的操作便捷性和稳定性整体如何？​</w:t>
            </w:r>
          </w:p>
        </w:tc>
      </w:tr>
      <w:tr w14:paraId="46C815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C8AE4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D7CA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A8CD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78F38A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2349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非常便捷稳定，化工或电商专业的设备几乎无操作问题​</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7F92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29</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6080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47.54%</w:t>
            </w:r>
          </w:p>
        </w:tc>
      </w:tr>
      <w:tr w14:paraId="6051FA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D4E3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比较便捷稳定，偶尔有小问题但不影响化工或电商专业的教学​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F6A2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23</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762B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37.70%</w:t>
            </w:r>
          </w:p>
        </w:tc>
      </w:tr>
      <w:tr w14:paraId="325029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6128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一般，操作有一定难度且稳定性一般​</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0158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7</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077B6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11.48%</w:t>
            </w:r>
          </w:p>
        </w:tc>
      </w:tr>
      <w:tr w14:paraId="2CDACF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11A7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不太便捷稳定，经常出现问题影响化工或电商专业的教学​</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663B4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742C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61AF96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7F3A5C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10.综合各因素，您对化工或电商实训基地设备采购后在化工或电商专业教学应用中的整体效果满意度如何</w:t>
            </w:r>
          </w:p>
        </w:tc>
      </w:tr>
      <w:tr w14:paraId="745F7E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F0C7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82C21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D5FE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7BE5B9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3F2C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非常满意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26453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7BD4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50.82%</w:t>
            </w:r>
          </w:p>
        </w:tc>
      </w:tr>
      <w:tr w14:paraId="026B41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ED77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比较满意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10FC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27</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6111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44.26%</w:t>
            </w:r>
          </w:p>
        </w:tc>
      </w:tr>
      <w:tr w14:paraId="2E1445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A47D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一般</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F7EE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11A4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3.28%</w:t>
            </w:r>
          </w:p>
        </w:tc>
      </w:tr>
      <w:tr w14:paraId="5F0401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2121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不太满意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8429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364B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0.00%</w:t>
            </w:r>
          </w:p>
        </w:tc>
      </w:tr>
      <w:tr w14:paraId="797C9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3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93CB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非常不满意</w:t>
            </w:r>
          </w:p>
        </w:tc>
        <w:tc>
          <w:tcPr>
            <w:tcW w:w="6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CD19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6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1547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1.64%</w:t>
            </w:r>
          </w:p>
        </w:tc>
      </w:tr>
    </w:tbl>
    <w:p w14:paraId="4DABDE8C">
      <w:pPr>
        <w:ind w:firstLine="420"/>
        <w:rPr>
          <w:color w:val="auto"/>
        </w:rPr>
      </w:pPr>
    </w:p>
    <w:p w14:paraId="64D78257">
      <w:pPr>
        <w:ind w:firstLine="0" w:firstLineChars="0"/>
        <w:rPr>
          <w:color w:val="auto"/>
        </w:rPr>
      </w:pPr>
      <w:r>
        <w:rPr>
          <w:color w:val="auto"/>
        </w:rPr>
        <w:br w:type="page"/>
      </w:r>
    </w:p>
    <w:p w14:paraId="6360BA5B">
      <w:pPr>
        <w:ind w:firstLine="0" w:firstLineChars="0"/>
        <w:jc w:val="center"/>
        <w:rPr>
          <w:b/>
          <w:bCs/>
          <w:color w:val="auto"/>
          <w:sz w:val="24"/>
          <w:szCs w:val="24"/>
        </w:rPr>
      </w:pPr>
      <w:r>
        <w:rPr>
          <w:b/>
          <w:bCs/>
          <w:color w:val="auto"/>
          <w:sz w:val="24"/>
          <w:szCs w:val="24"/>
        </w:rPr>
        <w:t>现代职业教育质量提升计划资金项目（学生）问卷调查分析报告</w:t>
      </w:r>
    </w:p>
    <w:p w14:paraId="40AB0D6B">
      <w:pPr>
        <w:ind w:firstLine="420"/>
        <w:rPr>
          <w:color w:val="auto"/>
        </w:rPr>
      </w:pPr>
      <w:r>
        <w:rPr>
          <w:color w:val="auto"/>
        </w:rPr>
        <w:t>本次绩效评价的对象为现代职业教育质量提升计划资金，为客观评价该项目的社会效果，绩效评价小组依据公共支出绩效评价</w:t>
      </w:r>
      <w:r>
        <w:rPr>
          <w:rFonts w:hint="default"/>
          <w:color w:val="auto"/>
        </w:rPr>
        <w:t>“</w:t>
      </w:r>
      <w:r>
        <w:rPr>
          <w:color w:val="auto"/>
        </w:rPr>
        <w:t>为顾客服务</w:t>
      </w:r>
      <w:r>
        <w:rPr>
          <w:rFonts w:hint="default"/>
          <w:color w:val="auto"/>
        </w:rPr>
        <w:t>”</w:t>
      </w:r>
      <w:r>
        <w:rPr>
          <w:color w:val="auto"/>
        </w:rPr>
        <w:t>原理</w:t>
      </w:r>
      <w:r>
        <w:rPr>
          <w:rFonts w:hint="default"/>
          <w:color w:val="auto"/>
        </w:rPr>
        <w:t>，</w:t>
      </w:r>
      <w:r>
        <w:rPr>
          <w:color w:val="auto"/>
        </w:rPr>
        <w:t>了解</w:t>
      </w:r>
      <w:r>
        <w:rPr>
          <w:rFonts w:hint="default"/>
          <w:color w:val="auto"/>
        </w:rPr>
        <w:t>受益学生</w:t>
      </w:r>
      <w:r>
        <w:rPr>
          <w:color w:val="auto"/>
        </w:rPr>
        <w:t>对项目的评价情况，对本项目</w:t>
      </w:r>
      <w:r>
        <w:rPr>
          <w:rFonts w:hint="default"/>
          <w:color w:val="auto"/>
        </w:rPr>
        <w:t>开展</w:t>
      </w:r>
      <w:r>
        <w:rPr>
          <w:color w:val="auto"/>
        </w:rPr>
        <w:t>满意度问卷调查。问卷调查工作情况如下：</w:t>
      </w:r>
    </w:p>
    <w:p w14:paraId="05032903">
      <w:pPr>
        <w:ind w:firstLine="422"/>
        <w:rPr>
          <w:b/>
          <w:bCs/>
          <w:color w:val="auto"/>
        </w:rPr>
      </w:pPr>
      <w:r>
        <w:rPr>
          <w:b/>
          <w:bCs/>
          <w:color w:val="auto"/>
        </w:rPr>
        <w:t>1.调</w:t>
      </w:r>
      <w:r>
        <w:rPr>
          <w:rFonts w:hint="default"/>
          <w:b/>
          <w:bCs/>
          <w:color w:val="auto"/>
        </w:rPr>
        <w:t>查</w:t>
      </w:r>
      <w:r>
        <w:rPr>
          <w:b/>
          <w:bCs/>
          <w:color w:val="auto"/>
        </w:rPr>
        <w:t>对象</w:t>
      </w:r>
    </w:p>
    <w:p w14:paraId="641EF3D9">
      <w:pPr>
        <w:ind w:firstLine="420"/>
        <w:rPr>
          <w:color w:val="auto"/>
        </w:rPr>
      </w:pPr>
      <w:r>
        <w:rPr>
          <w:rFonts w:hint="default"/>
          <w:color w:val="auto"/>
        </w:rPr>
        <w:t>结合对</w:t>
      </w:r>
      <w:r>
        <w:rPr>
          <w:rFonts w:hint="default"/>
          <w:color w:val="auto"/>
          <w:lang w:eastAsia="zh-CN"/>
        </w:rPr>
        <w:t>2024年中央现代职业教育质量提升计划资金</w:t>
      </w:r>
      <w:r>
        <w:rPr>
          <w:rFonts w:hint="default"/>
          <w:color w:val="auto"/>
          <w:lang w:val="en-US" w:eastAsia="zh-CN"/>
        </w:rPr>
        <w:t>项目</w:t>
      </w:r>
      <w:r>
        <w:rPr>
          <w:rFonts w:hint="default"/>
          <w:color w:val="auto"/>
        </w:rPr>
        <w:t>完成情况及实际问卷调查可操作性，本次满意度问卷旨在考察受职业教育的学生是否认为该项目的实施对提升学校教学质量有明显效果，以及受职业教育的学生对项目完成及实施效果方面满意度情况。因此，</w:t>
      </w:r>
      <w:r>
        <w:rPr>
          <w:color w:val="auto"/>
        </w:rPr>
        <w:t>本次</w:t>
      </w:r>
      <w:r>
        <w:rPr>
          <w:rFonts w:hint="default"/>
          <w:color w:val="auto"/>
        </w:rPr>
        <w:t>满意度调查</w:t>
      </w:r>
      <w:r>
        <w:rPr>
          <w:color w:val="auto"/>
        </w:rPr>
        <w:t>的</w:t>
      </w:r>
      <w:r>
        <w:rPr>
          <w:rFonts w:hint="default"/>
          <w:color w:val="auto"/>
        </w:rPr>
        <w:t>对象</w:t>
      </w:r>
      <w:r>
        <w:rPr>
          <w:color w:val="auto"/>
        </w:rPr>
        <w:t>为</w:t>
      </w:r>
      <w:r>
        <w:rPr>
          <w:rFonts w:hint="default"/>
          <w:color w:val="auto"/>
        </w:rPr>
        <w:t>受职业教育的学生。</w:t>
      </w:r>
    </w:p>
    <w:p w14:paraId="530793CD">
      <w:pPr>
        <w:ind w:firstLine="422"/>
        <w:rPr>
          <w:b/>
          <w:bCs/>
          <w:color w:val="auto"/>
        </w:rPr>
      </w:pPr>
      <w:r>
        <w:rPr>
          <w:b/>
          <w:bCs/>
          <w:color w:val="auto"/>
        </w:rPr>
        <w:t>2.调</w:t>
      </w:r>
      <w:r>
        <w:rPr>
          <w:rFonts w:hint="default"/>
          <w:b/>
          <w:bCs/>
          <w:color w:val="auto"/>
        </w:rPr>
        <w:t>查</w:t>
      </w:r>
      <w:r>
        <w:rPr>
          <w:b/>
          <w:bCs/>
          <w:color w:val="auto"/>
        </w:rPr>
        <w:t>内容</w:t>
      </w:r>
    </w:p>
    <w:p w14:paraId="3AD08FA8">
      <w:pPr>
        <w:ind w:firstLine="420"/>
        <w:rPr>
          <w:color w:val="auto"/>
        </w:rPr>
      </w:pPr>
      <w:r>
        <w:rPr>
          <w:color w:val="auto"/>
        </w:rPr>
        <w:t>（1）对现代职业教育质量提升计划资金项目实施后的满意度，包括对项目</w:t>
      </w:r>
      <w:r>
        <w:rPr>
          <w:rFonts w:hint="default"/>
          <w:color w:val="auto"/>
        </w:rPr>
        <w:t>实施后有无显著、较大或一般地提升教学质量；对</w:t>
      </w:r>
      <w:r>
        <w:rPr>
          <w:color w:val="auto"/>
        </w:rPr>
        <w:t>项目</w:t>
      </w:r>
      <w:r>
        <w:rPr>
          <w:rFonts w:hint="default"/>
          <w:color w:val="auto"/>
        </w:rPr>
        <w:t>的完成和实施</w:t>
      </w:r>
      <w:r>
        <w:rPr>
          <w:color w:val="auto"/>
        </w:rPr>
        <w:t>是否</w:t>
      </w:r>
      <w:r>
        <w:rPr>
          <w:rFonts w:hint="default"/>
          <w:color w:val="auto"/>
        </w:rPr>
        <w:t>有效</w:t>
      </w:r>
      <w:r>
        <w:rPr>
          <w:color w:val="auto"/>
        </w:rPr>
        <w:t>和满意等。</w:t>
      </w:r>
    </w:p>
    <w:p w14:paraId="0BCD3AAC">
      <w:pPr>
        <w:ind w:firstLine="420"/>
        <w:rPr>
          <w:color w:val="auto"/>
        </w:rPr>
      </w:pPr>
      <w:r>
        <w:rPr>
          <w:color w:val="auto"/>
        </w:rPr>
        <w:t>（2）对现代职业教育质量提升计划资金项目的意见和建议，通过开放式问答收集，涵盖各个方面。</w:t>
      </w:r>
    </w:p>
    <w:p w14:paraId="1853466D">
      <w:pPr>
        <w:ind w:firstLine="422"/>
        <w:rPr>
          <w:b/>
          <w:bCs/>
          <w:color w:val="auto"/>
        </w:rPr>
      </w:pPr>
      <w:r>
        <w:rPr>
          <w:b/>
          <w:bCs/>
          <w:color w:val="auto"/>
        </w:rPr>
        <w:t>3.调</w:t>
      </w:r>
      <w:r>
        <w:rPr>
          <w:rFonts w:hint="default"/>
          <w:b/>
          <w:bCs/>
          <w:color w:val="auto"/>
        </w:rPr>
        <w:t>查</w:t>
      </w:r>
      <w:r>
        <w:rPr>
          <w:b/>
          <w:bCs/>
          <w:color w:val="auto"/>
        </w:rPr>
        <w:t>方法</w:t>
      </w:r>
    </w:p>
    <w:p w14:paraId="4CC5A5A3">
      <w:pPr>
        <w:ind w:firstLine="420"/>
        <w:rPr>
          <w:color w:val="auto"/>
        </w:rPr>
      </w:pPr>
      <w:r>
        <w:rPr>
          <w:color w:val="auto"/>
        </w:rPr>
        <w:t>为确保问卷</w:t>
      </w:r>
      <w:r>
        <w:rPr>
          <w:rFonts w:hint="default"/>
          <w:color w:val="auto"/>
        </w:rPr>
        <w:t>调查</w:t>
      </w:r>
      <w:r>
        <w:rPr>
          <w:color w:val="auto"/>
        </w:rPr>
        <w:t>的全面性和代表性，本次问卷调查采取抽样和重点选取的方式进行，对</w:t>
      </w:r>
      <w:r>
        <w:rPr>
          <w:rFonts w:hint="default"/>
          <w:color w:val="auto"/>
          <w:lang w:eastAsia="zh-CN"/>
        </w:rPr>
        <w:t>2024</w:t>
      </w:r>
      <w:r>
        <w:rPr>
          <w:color w:val="auto"/>
        </w:rPr>
        <w:t>年度</w:t>
      </w:r>
      <w:r>
        <w:rPr>
          <w:rFonts w:hint="default"/>
          <w:color w:val="auto"/>
        </w:rPr>
        <w:t>受益学生</w:t>
      </w:r>
      <w:r>
        <w:rPr>
          <w:color w:val="auto"/>
        </w:rPr>
        <w:t>随机抽取</w:t>
      </w:r>
      <w:r>
        <w:rPr>
          <w:rFonts w:hint="default"/>
          <w:color w:val="auto"/>
          <w:lang w:val="en-US" w:eastAsia="zh-CN"/>
        </w:rPr>
        <w:t>149</w:t>
      </w:r>
      <w:r>
        <w:rPr>
          <w:color w:val="auto"/>
        </w:rPr>
        <w:t>人为样本，发放问卷</w:t>
      </w:r>
      <w:r>
        <w:rPr>
          <w:rFonts w:hint="default"/>
          <w:color w:val="auto"/>
          <w:lang w:val="en-US" w:eastAsia="zh-CN"/>
        </w:rPr>
        <w:t>149</w:t>
      </w:r>
      <w:r>
        <w:rPr>
          <w:color w:val="auto"/>
        </w:rPr>
        <w:t>份。</w:t>
      </w:r>
    </w:p>
    <w:p w14:paraId="0587BE7D">
      <w:pPr>
        <w:ind w:firstLine="422"/>
        <w:rPr>
          <w:b/>
          <w:bCs/>
          <w:color w:val="auto"/>
        </w:rPr>
      </w:pPr>
      <w:r>
        <w:rPr>
          <w:rFonts w:hint="default"/>
          <w:b/>
          <w:bCs/>
          <w:color w:val="auto"/>
        </w:rPr>
        <w:t>4</w:t>
      </w:r>
      <w:r>
        <w:rPr>
          <w:b/>
          <w:bCs/>
          <w:color w:val="auto"/>
        </w:rPr>
        <w:t>.问卷的发放和回收</w:t>
      </w:r>
    </w:p>
    <w:p w14:paraId="3398D364">
      <w:pPr>
        <w:ind w:firstLine="420"/>
        <w:jc w:val="left"/>
        <w:rPr>
          <w:color w:val="auto"/>
        </w:rPr>
      </w:pPr>
      <w:r>
        <w:rPr>
          <w:color w:val="auto"/>
        </w:rPr>
        <w:t>为充分采集</w:t>
      </w:r>
      <w:r>
        <w:rPr>
          <w:rFonts w:hint="default"/>
          <w:color w:val="auto"/>
        </w:rPr>
        <w:t>调查</w:t>
      </w:r>
      <w:r>
        <w:rPr>
          <w:color w:val="auto"/>
        </w:rPr>
        <w:t>对象的真实想法，保证</w:t>
      </w:r>
      <w:r>
        <w:rPr>
          <w:rFonts w:hint="default"/>
          <w:color w:val="auto"/>
        </w:rPr>
        <w:t>问卷调查</w:t>
      </w:r>
      <w:r>
        <w:rPr>
          <w:color w:val="auto"/>
        </w:rPr>
        <w:t>的公平性和科学性，本次问卷</w:t>
      </w:r>
      <w:r>
        <w:rPr>
          <w:rFonts w:hint="default"/>
          <w:color w:val="auto"/>
        </w:rPr>
        <w:t>调查</w:t>
      </w:r>
      <w:r>
        <w:rPr>
          <w:color w:val="auto"/>
        </w:rPr>
        <w:t>不记名，</w:t>
      </w:r>
      <w:r>
        <w:rPr>
          <w:rFonts w:hint="default"/>
          <w:color w:val="auto"/>
        </w:rPr>
        <w:t>通过电子</w:t>
      </w:r>
      <w:r>
        <w:rPr>
          <w:color w:val="auto"/>
        </w:rPr>
        <w:t>问卷</w:t>
      </w:r>
      <w:r>
        <w:rPr>
          <w:rFonts w:hint="default"/>
          <w:color w:val="auto"/>
        </w:rPr>
        <w:t>的形式进行</w:t>
      </w:r>
      <w:r>
        <w:rPr>
          <w:color w:val="auto"/>
        </w:rPr>
        <w:t>发放与回收。</w:t>
      </w:r>
    </w:p>
    <w:p w14:paraId="37811DCB">
      <w:pPr>
        <w:ind w:left="420" w:leftChars="200" w:firstLine="0" w:firstLineChars="0"/>
        <w:jc w:val="left"/>
        <w:rPr>
          <w:b/>
          <w:bCs/>
          <w:color w:val="auto"/>
        </w:rPr>
      </w:pPr>
      <w:r>
        <w:rPr>
          <w:rFonts w:hint="default"/>
          <w:b/>
          <w:bCs/>
          <w:color w:val="auto"/>
        </w:rPr>
        <w:t>5.</w:t>
      </w:r>
      <w:r>
        <w:rPr>
          <w:b/>
          <w:bCs/>
          <w:color w:val="auto"/>
        </w:rPr>
        <w:t>问卷调查分析结果</w:t>
      </w:r>
    </w:p>
    <w:p w14:paraId="60040489">
      <w:pPr>
        <w:ind w:firstLine="420"/>
        <w:jc w:val="left"/>
        <w:rPr>
          <w:color w:val="auto"/>
        </w:rPr>
      </w:pPr>
      <w:r>
        <w:rPr>
          <w:color w:val="auto"/>
        </w:rPr>
        <w:t>本次调研过程中，</w:t>
      </w:r>
      <w:r>
        <w:rPr>
          <w:rFonts w:hint="default"/>
          <w:color w:val="auto"/>
        </w:rPr>
        <w:t>评价组</w:t>
      </w:r>
      <w:r>
        <w:rPr>
          <w:color w:val="auto"/>
        </w:rPr>
        <w:t>实际发放问卷</w:t>
      </w:r>
      <w:r>
        <w:rPr>
          <w:rFonts w:hint="default"/>
          <w:color w:val="auto"/>
          <w:lang w:val="en-US" w:eastAsia="zh-CN"/>
        </w:rPr>
        <w:t>149</w:t>
      </w:r>
      <w:r>
        <w:rPr>
          <w:color w:val="auto"/>
        </w:rPr>
        <w:t>份，回收问卷</w:t>
      </w:r>
      <w:r>
        <w:rPr>
          <w:rFonts w:hint="default"/>
          <w:color w:val="auto"/>
          <w:lang w:val="en-US" w:eastAsia="zh-CN"/>
        </w:rPr>
        <w:t>149</w:t>
      </w:r>
      <w:r>
        <w:rPr>
          <w:color w:val="auto"/>
        </w:rPr>
        <w:t>份，问卷回收率为</w:t>
      </w:r>
      <w:r>
        <w:rPr>
          <w:rFonts w:hint="default"/>
          <w:color w:val="auto"/>
        </w:rPr>
        <w:t>100</w:t>
      </w:r>
      <w:r>
        <w:rPr>
          <w:color w:val="auto"/>
        </w:rPr>
        <w:t>%，有效问卷</w:t>
      </w:r>
      <w:r>
        <w:rPr>
          <w:rFonts w:hint="default"/>
          <w:color w:val="auto"/>
          <w:lang w:val="en-US" w:eastAsia="zh-CN"/>
        </w:rPr>
        <w:t>149</w:t>
      </w:r>
      <w:r>
        <w:rPr>
          <w:color w:val="auto"/>
        </w:rPr>
        <w:t>份，有效回收率</w:t>
      </w:r>
      <w:r>
        <w:rPr>
          <w:rFonts w:hint="default"/>
          <w:color w:val="auto"/>
        </w:rPr>
        <w:t>100</w:t>
      </w:r>
      <w:r>
        <w:rPr>
          <w:color w:val="auto"/>
        </w:rPr>
        <w:t>%，</w:t>
      </w:r>
      <w:r>
        <w:rPr>
          <w:rFonts w:hint="default"/>
          <w:color w:val="auto"/>
        </w:rPr>
        <w:t>调研问卷总体满意度为9</w:t>
      </w:r>
      <w:r>
        <w:rPr>
          <w:rFonts w:hint="default"/>
          <w:color w:val="auto"/>
          <w:lang w:val="en-US" w:eastAsia="zh-CN"/>
        </w:rPr>
        <w:t>0.74</w:t>
      </w:r>
      <w:r>
        <w:rPr>
          <w:rFonts w:hint="default"/>
          <w:color w:val="auto"/>
        </w:rPr>
        <w:t>%。</w:t>
      </w:r>
      <w:r>
        <w:rPr>
          <w:color w:val="auto"/>
        </w:rPr>
        <w:t>本次调研的</w:t>
      </w:r>
      <w:r>
        <w:rPr>
          <w:rFonts w:hint="default"/>
          <w:color w:val="auto"/>
        </w:rPr>
        <w:t>具体</w:t>
      </w:r>
      <w:r>
        <w:rPr>
          <w:color w:val="auto"/>
        </w:rPr>
        <w:t>情况如下：</w:t>
      </w:r>
    </w:p>
    <w:tbl>
      <w:tblPr>
        <w:tblStyle w:val="21"/>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3912"/>
        <w:gridCol w:w="2134"/>
        <w:gridCol w:w="2476"/>
      </w:tblGrid>
      <w:tr w14:paraId="23CAE7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2A8A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1.你是学生吗</w:t>
            </w:r>
          </w:p>
        </w:tc>
      </w:tr>
      <w:tr w14:paraId="45E355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66B6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C0DD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09A4D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2CE8E8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1937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是</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1D16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149</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61A5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100.00%</w:t>
            </w:r>
          </w:p>
        </w:tc>
      </w:tr>
      <w:tr w14:paraId="4B7FA5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4B51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否</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D58E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29DE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0.00%</w:t>
            </w:r>
          </w:p>
        </w:tc>
      </w:tr>
      <w:tr w14:paraId="5B5DB2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9B79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2.您对采购完成化工及化工安全实训基地的效果是否满意？</w:t>
            </w:r>
          </w:p>
        </w:tc>
      </w:tr>
      <w:tr w14:paraId="33B53E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076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065B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D872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24A1E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7F4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非常满意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CEB8A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78</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A7A6C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51.66%</w:t>
            </w:r>
          </w:p>
        </w:tc>
      </w:tr>
      <w:tr w14:paraId="0F84D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0CF6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比较满意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C5F8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41</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329C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27.15%</w:t>
            </w:r>
          </w:p>
        </w:tc>
      </w:tr>
      <w:tr w14:paraId="6B6F4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460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一般</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A77B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29</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FCA3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19.21%</w:t>
            </w:r>
          </w:p>
        </w:tc>
      </w:tr>
      <w:tr w14:paraId="56553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77E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不满意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AD2C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B6AF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0.66%</w:t>
            </w:r>
          </w:p>
        </w:tc>
      </w:tr>
      <w:tr w14:paraId="466AE7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19DA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较不满意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DAE9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71F0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1.32%</w:t>
            </w:r>
          </w:p>
        </w:tc>
      </w:tr>
      <w:tr w14:paraId="37ED64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4D5D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3.您对采购完成电商及直播实训基地设备后实施的效果是否满意？</w:t>
            </w:r>
          </w:p>
        </w:tc>
      </w:tr>
      <w:tr w14:paraId="4705E8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3297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选项</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0661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反馈数量</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BF8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占比</w:t>
            </w:r>
          </w:p>
        </w:tc>
      </w:tr>
      <w:tr w14:paraId="2C53AD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CBED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非常满意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A20F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87</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C70A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58.39%</w:t>
            </w:r>
          </w:p>
        </w:tc>
      </w:tr>
      <w:tr w14:paraId="2C9190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DA9C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比较满意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160F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37</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6654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24.83%</w:t>
            </w:r>
          </w:p>
        </w:tc>
      </w:tr>
      <w:tr w14:paraId="080F86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4A2B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一般</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0D419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21</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CF67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14.09%</w:t>
            </w:r>
          </w:p>
        </w:tc>
      </w:tr>
      <w:tr w14:paraId="1B35B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60D3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较不满意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DC8F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4E88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1.34%</w:t>
            </w:r>
          </w:p>
        </w:tc>
      </w:tr>
      <w:tr w14:paraId="6837E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22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2D88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不满意</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D842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2</w:t>
            </w:r>
          </w:p>
        </w:tc>
        <w:tc>
          <w:tcPr>
            <w:tcW w:w="14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08DC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1.34%</w:t>
            </w:r>
          </w:p>
        </w:tc>
      </w:tr>
    </w:tbl>
    <w:p w14:paraId="5920846E">
      <w:pPr>
        <w:ind w:firstLine="0" w:firstLineChars="0"/>
        <w:jc w:val="left"/>
        <w:rPr>
          <w:rFonts w:ascii="Times New Roman" w:hAnsi="Times New Roman" w:eastAsia="宋体" w:cs="Times New Roman"/>
          <w:color w:val="auto"/>
          <w:kern w:val="0"/>
          <w:sz w:val="24"/>
          <w:szCs w:val="24"/>
          <w:lang w:bidi="ar"/>
        </w:rPr>
      </w:pPr>
    </w:p>
    <w:p w14:paraId="79D61045">
      <w:pPr>
        <w:ind w:firstLine="420"/>
        <w:rPr>
          <w:color w:val="auto"/>
        </w:rPr>
      </w:pPr>
      <w:r>
        <w:rPr>
          <w:color w:val="auto"/>
        </w:rPr>
        <w:br w:type="page"/>
      </w:r>
    </w:p>
    <w:p w14:paraId="7AE9A870">
      <w:pPr>
        <w:pStyle w:val="2"/>
        <w:ind w:firstLine="0" w:firstLineChars="0"/>
        <w:rPr>
          <w:rFonts w:ascii="Times New Roman" w:hAnsi="Times New Roman"/>
          <w:color w:val="auto"/>
        </w:rPr>
      </w:pPr>
      <w:bookmarkStart w:id="142" w:name="_Toc30455"/>
      <w:bookmarkStart w:id="143" w:name="_Toc17928"/>
      <w:bookmarkStart w:id="144" w:name="_Toc23223"/>
      <w:bookmarkStart w:id="145" w:name="_Toc32397"/>
      <w:r>
        <w:rPr>
          <w:rFonts w:ascii="Times New Roman" w:hAnsi="Times New Roman"/>
          <w:color w:val="auto"/>
        </w:rPr>
        <w:t>附件4：现场照片</w:t>
      </w:r>
      <w:bookmarkEnd w:id="142"/>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26"/>
      </w:tblGrid>
      <w:tr w14:paraId="0A1DF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26" w:type="dxa"/>
            <w:vAlign w:val="top"/>
          </w:tcPr>
          <w:p w14:paraId="4A85BEAF">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eastAsia="黑体"/>
                <w:color w:val="auto"/>
                <w:vertAlign w:val="baseline"/>
                <w:lang w:val="en-US" w:eastAsia="zh-CN"/>
              </w:rPr>
            </w:pPr>
            <w:r>
              <w:rPr>
                <w:rFonts w:hint="default" w:ascii="Times New Roman" w:hAnsi="Times New Roman" w:eastAsia="宋体" w:cs="Times New Roman"/>
                <w:b/>
                <w:bCs/>
                <w:color w:val="auto"/>
                <w:lang w:val="en-US" w:eastAsia="zh-CN"/>
              </w:rPr>
              <w:t>图1电商实训基地办公桌椅、空调</w:t>
            </w:r>
          </w:p>
        </w:tc>
      </w:tr>
      <w:tr w14:paraId="19032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26" w:type="dxa"/>
            <w:vAlign w:val="top"/>
          </w:tcPr>
          <w:p w14:paraId="361DEC31">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eastAsia="黑体"/>
                <w:color w:val="auto"/>
                <w:vertAlign w:val="baseline"/>
                <w:lang w:val="en-US" w:eastAsia="zh-CN"/>
              </w:rPr>
            </w:pPr>
            <w:r>
              <w:rPr>
                <w:rFonts w:eastAsia="宋体"/>
                <w:b/>
                <w:bCs/>
                <w:color w:val="auto"/>
              </w:rPr>
              <w:drawing>
                <wp:inline distT="0" distB="0" distL="114935" distR="114935">
                  <wp:extent cx="2279015" cy="2764790"/>
                  <wp:effectExtent l="0" t="0" r="3810" b="6985"/>
                  <wp:docPr id="6" name="图片 6" descr="IMG_0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0702"/>
                          <pic:cNvPicPr>
                            <a:picLocks noChangeAspect="1"/>
                          </pic:cNvPicPr>
                        </pic:nvPicPr>
                        <pic:blipFill>
                          <a:blip r:embed="rId15"/>
                          <a:stretch>
                            <a:fillRect/>
                          </a:stretch>
                        </pic:blipFill>
                        <pic:spPr>
                          <a:xfrm rot="16200000">
                            <a:off x="0" y="0"/>
                            <a:ext cx="2279015" cy="2764790"/>
                          </a:xfrm>
                          <a:prstGeom prst="rect">
                            <a:avLst/>
                          </a:prstGeom>
                        </pic:spPr>
                      </pic:pic>
                    </a:graphicData>
                  </a:graphic>
                </wp:inline>
              </w:drawing>
            </w:r>
          </w:p>
        </w:tc>
      </w:tr>
      <w:tr w14:paraId="22458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26" w:type="dxa"/>
            <w:vAlign w:val="top"/>
          </w:tcPr>
          <w:p w14:paraId="28D5C839">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eastAsia="黑体"/>
                <w:color w:val="auto"/>
                <w:vertAlign w:val="baseline"/>
                <w:lang w:val="en-US" w:eastAsia="zh-CN"/>
              </w:rPr>
            </w:pPr>
            <w:r>
              <w:rPr>
                <w:rFonts w:eastAsia="宋体"/>
                <w:b/>
                <w:bCs/>
                <w:color w:val="auto"/>
              </w:rPr>
              <w:drawing>
                <wp:inline distT="0" distB="0" distL="114300" distR="114300">
                  <wp:extent cx="2073275" cy="2764790"/>
                  <wp:effectExtent l="0" t="0" r="3810" b="9525"/>
                  <wp:docPr id="7" name="图片 7" descr="IMG_0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0701"/>
                          <pic:cNvPicPr>
                            <a:picLocks noChangeAspect="1"/>
                          </pic:cNvPicPr>
                        </pic:nvPicPr>
                        <pic:blipFill>
                          <a:blip r:embed="rId16"/>
                          <a:stretch>
                            <a:fillRect/>
                          </a:stretch>
                        </pic:blipFill>
                        <pic:spPr>
                          <a:xfrm rot="16200000">
                            <a:off x="0" y="0"/>
                            <a:ext cx="2073275" cy="2764790"/>
                          </a:xfrm>
                          <a:prstGeom prst="rect">
                            <a:avLst/>
                          </a:prstGeom>
                        </pic:spPr>
                      </pic:pic>
                    </a:graphicData>
                  </a:graphic>
                </wp:inline>
              </w:drawing>
            </w:r>
          </w:p>
        </w:tc>
      </w:tr>
      <w:tr w14:paraId="2DE57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26" w:type="dxa"/>
            <w:vAlign w:val="top"/>
          </w:tcPr>
          <w:p w14:paraId="28BB5289">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eastAsia="黑体"/>
                <w:color w:val="auto"/>
                <w:vertAlign w:val="baseline"/>
                <w:lang w:val="en-US" w:eastAsia="zh-CN"/>
              </w:rPr>
            </w:pPr>
            <w:r>
              <w:rPr>
                <w:rFonts w:eastAsia="宋体"/>
                <w:b/>
                <w:bCs/>
                <w:color w:val="auto"/>
              </w:rPr>
              <w:drawing>
                <wp:inline distT="0" distB="0" distL="114300" distR="114300">
                  <wp:extent cx="2073275" cy="2764790"/>
                  <wp:effectExtent l="0" t="0" r="3810" b="9525"/>
                  <wp:docPr id="10" name="图片 10" descr="IMG_0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0699"/>
                          <pic:cNvPicPr>
                            <a:picLocks noChangeAspect="1"/>
                          </pic:cNvPicPr>
                        </pic:nvPicPr>
                        <pic:blipFill>
                          <a:blip r:embed="rId17"/>
                          <a:stretch>
                            <a:fillRect/>
                          </a:stretch>
                        </pic:blipFill>
                        <pic:spPr>
                          <a:xfrm rot="16200000">
                            <a:off x="0" y="0"/>
                            <a:ext cx="2073275" cy="2764790"/>
                          </a:xfrm>
                          <a:prstGeom prst="rect">
                            <a:avLst/>
                          </a:prstGeom>
                        </pic:spPr>
                      </pic:pic>
                    </a:graphicData>
                  </a:graphic>
                </wp:inline>
              </w:drawing>
            </w:r>
          </w:p>
        </w:tc>
      </w:tr>
    </w:tbl>
    <w:p w14:paraId="178BE851">
      <w:pPr>
        <w:pStyle w:val="9"/>
        <w:ind w:firstLine="422"/>
        <w:jc w:val="center"/>
        <w:rPr>
          <w:rFonts w:eastAsia="宋体"/>
          <w:b/>
          <w:bCs/>
          <w:color w:val="auto"/>
        </w:rPr>
      </w:pPr>
    </w:p>
    <w:p w14:paraId="0D408C8E">
      <w:pPr>
        <w:pStyle w:val="9"/>
        <w:ind w:firstLine="422"/>
        <w:jc w:val="center"/>
        <w:rPr>
          <w:rFonts w:eastAsia="宋体"/>
          <w:b/>
          <w:bCs/>
          <w:color w:val="auto"/>
        </w:rPr>
      </w:pPr>
    </w:p>
    <w:p w14:paraId="2279B722">
      <w:pPr>
        <w:pStyle w:val="16"/>
        <w:rPr>
          <w:rFonts w:eastAsia="宋体"/>
          <w:b/>
          <w:bCs/>
          <w:color w:val="auto"/>
        </w:rPr>
      </w:pPr>
    </w:p>
    <w:p w14:paraId="6A496FF5">
      <w:pPr>
        <w:pStyle w:val="16"/>
        <w:rPr>
          <w:rFonts w:eastAsia="宋体"/>
          <w:b/>
          <w:bCs/>
          <w:color w:val="auto"/>
        </w:rPr>
      </w:pPr>
    </w:p>
    <w:p w14:paraId="2AE144DA">
      <w:pPr>
        <w:pStyle w:val="16"/>
        <w:rPr>
          <w:rFonts w:eastAsia="宋体"/>
          <w:b/>
          <w:bCs/>
          <w:color w:val="auto"/>
        </w:rPr>
      </w:pP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88"/>
      </w:tblGrid>
      <w:tr w14:paraId="6F680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588" w:type="dxa"/>
          </w:tcPr>
          <w:p w14:paraId="49C89FD0">
            <w:pPr>
              <w:pStyle w:val="9"/>
              <w:ind w:firstLine="0" w:firstLineChars="0"/>
              <w:jc w:val="center"/>
              <w:rPr>
                <w:rFonts w:hint="default" w:eastAsia="宋体"/>
                <w:b/>
                <w:bCs/>
                <w:color w:val="auto"/>
                <w:vertAlign w:val="baseline"/>
                <w:lang w:val="en-US" w:eastAsia="zh-CN"/>
              </w:rPr>
            </w:pPr>
            <w:r>
              <w:rPr>
                <w:rFonts w:hint="default" w:eastAsia="宋体"/>
                <w:b/>
                <w:bCs/>
                <w:color w:val="auto"/>
                <w:vertAlign w:val="baseline"/>
                <w:lang w:val="en-US" w:eastAsia="zh-CN"/>
              </w:rPr>
              <w:t>图2：电商实训基地直播设备</w:t>
            </w:r>
          </w:p>
        </w:tc>
      </w:tr>
      <w:tr w14:paraId="257D0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588" w:type="dxa"/>
          </w:tcPr>
          <w:p w14:paraId="3818B69D">
            <w:pPr>
              <w:pStyle w:val="9"/>
              <w:ind w:firstLine="0" w:firstLineChars="0"/>
              <w:jc w:val="both"/>
              <w:rPr>
                <w:rFonts w:eastAsia="宋体"/>
                <w:b/>
                <w:bCs/>
                <w:color w:val="auto"/>
                <w:vertAlign w:val="baseline"/>
              </w:rPr>
            </w:pPr>
            <w:r>
              <w:rPr>
                <w:rFonts w:eastAsia="宋体"/>
                <w:b/>
                <w:bCs/>
                <w:color w:val="auto"/>
              </w:rPr>
              <w:drawing>
                <wp:inline distT="0" distB="0" distL="114300" distR="114300">
                  <wp:extent cx="2073275" cy="2764790"/>
                  <wp:effectExtent l="0" t="0" r="3810" b="9525"/>
                  <wp:docPr id="11" name="图片 11" descr="IMG_0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0698"/>
                          <pic:cNvPicPr>
                            <a:picLocks noChangeAspect="1"/>
                          </pic:cNvPicPr>
                        </pic:nvPicPr>
                        <pic:blipFill>
                          <a:blip r:embed="rId18"/>
                          <a:stretch>
                            <a:fillRect/>
                          </a:stretch>
                        </pic:blipFill>
                        <pic:spPr>
                          <a:xfrm rot="16200000">
                            <a:off x="0" y="0"/>
                            <a:ext cx="2073275" cy="2764790"/>
                          </a:xfrm>
                          <a:prstGeom prst="rect">
                            <a:avLst/>
                          </a:prstGeom>
                        </pic:spPr>
                      </pic:pic>
                    </a:graphicData>
                  </a:graphic>
                </wp:inline>
              </w:drawing>
            </w:r>
          </w:p>
        </w:tc>
      </w:tr>
      <w:tr w14:paraId="68F3F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588" w:type="dxa"/>
          </w:tcPr>
          <w:p w14:paraId="753C690F">
            <w:pPr>
              <w:pStyle w:val="9"/>
              <w:ind w:firstLine="0" w:firstLineChars="0"/>
              <w:jc w:val="both"/>
              <w:rPr>
                <w:rFonts w:eastAsia="宋体"/>
                <w:b/>
                <w:bCs/>
                <w:color w:val="auto"/>
                <w:vertAlign w:val="baseline"/>
              </w:rPr>
            </w:pPr>
            <w:r>
              <w:rPr>
                <w:rFonts w:eastAsia="宋体"/>
                <w:b/>
                <w:bCs/>
                <w:color w:val="auto"/>
              </w:rPr>
              <w:drawing>
                <wp:inline distT="0" distB="0" distL="114300" distR="114300">
                  <wp:extent cx="2073275" cy="2764790"/>
                  <wp:effectExtent l="0" t="0" r="3810" b="9525"/>
                  <wp:docPr id="12" name="图片 12" descr="IMG_0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0697"/>
                          <pic:cNvPicPr>
                            <a:picLocks noChangeAspect="1"/>
                          </pic:cNvPicPr>
                        </pic:nvPicPr>
                        <pic:blipFill>
                          <a:blip r:embed="rId19"/>
                          <a:stretch>
                            <a:fillRect/>
                          </a:stretch>
                        </pic:blipFill>
                        <pic:spPr>
                          <a:xfrm rot="16200000">
                            <a:off x="0" y="0"/>
                            <a:ext cx="2073275" cy="2764790"/>
                          </a:xfrm>
                          <a:prstGeom prst="rect">
                            <a:avLst/>
                          </a:prstGeom>
                        </pic:spPr>
                      </pic:pic>
                    </a:graphicData>
                  </a:graphic>
                </wp:inline>
              </w:drawing>
            </w:r>
          </w:p>
        </w:tc>
      </w:tr>
      <w:tr w14:paraId="4A9C3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588" w:type="dxa"/>
          </w:tcPr>
          <w:p w14:paraId="1711C065">
            <w:pPr>
              <w:pStyle w:val="9"/>
              <w:ind w:firstLine="0" w:firstLineChars="0"/>
              <w:jc w:val="both"/>
              <w:rPr>
                <w:rFonts w:eastAsia="宋体"/>
                <w:b/>
                <w:bCs/>
                <w:color w:val="auto"/>
              </w:rPr>
            </w:pPr>
            <w:r>
              <w:rPr>
                <w:rFonts w:eastAsia="宋体"/>
                <w:b/>
                <w:bCs/>
                <w:color w:val="auto"/>
              </w:rPr>
              <w:drawing>
                <wp:inline distT="0" distB="0" distL="114300" distR="114300">
                  <wp:extent cx="2073275" cy="2764790"/>
                  <wp:effectExtent l="0" t="0" r="3810" b="9525"/>
                  <wp:docPr id="13" name="图片 13" descr="IMG_0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0696"/>
                          <pic:cNvPicPr>
                            <a:picLocks noChangeAspect="1"/>
                          </pic:cNvPicPr>
                        </pic:nvPicPr>
                        <pic:blipFill>
                          <a:blip r:embed="rId20"/>
                          <a:stretch>
                            <a:fillRect/>
                          </a:stretch>
                        </pic:blipFill>
                        <pic:spPr>
                          <a:xfrm rot="16200000">
                            <a:off x="0" y="0"/>
                            <a:ext cx="2073275" cy="2764790"/>
                          </a:xfrm>
                          <a:prstGeom prst="rect">
                            <a:avLst/>
                          </a:prstGeom>
                        </pic:spPr>
                      </pic:pic>
                    </a:graphicData>
                  </a:graphic>
                </wp:inline>
              </w:drawing>
            </w:r>
          </w:p>
        </w:tc>
      </w:tr>
    </w:tbl>
    <w:p w14:paraId="4857673A">
      <w:pPr>
        <w:rPr>
          <w:rFonts w:eastAsia="宋体"/>
          <w:b/>
          <w:bCs/>
          <w:color w:val="auto"/>
        </w:rPr>
      </w:pPr>
      <w:r>
        <w:rPr>
          <w:rFonts w:eastAsia="宋体"/>
          <w:b/>
          <w:bCs/>
          <w:color w:val="auto"/>
        </w:rPr>
        <w:br w:type="page"/>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13"/>
      </w:tblGrid>
      <w:tr w14:paraId="39F6C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13" w:type="dxa"/>
          </w:tcPr>
          <w:p w14:paraId="1B70E75B">
            <w:pPr>
              <w:pStyle w:val="9"/>
              <w:ind w:firstLine="0" w:firstLineChars="0"/>
              <w:jc w:val="center"/>
              <w:rPr>
                <w:rFonts w:hint="default" w:eastAsia="宋体"/>
                <w:b/>
                <w:bCs/>
                <w:color w:val="auto"/>
                <w:vertAlign w:val="baseline"/>
                <w:lang w:val="en-US" w:eastAsia="zh-CN"/>
              </w:rPr>
            </w:pPr>
            <w:r>
              <w:rPr>
                <w:rFonts w:hint="default" w:eastAsia="宋体"/>
                <w:b/>
                <w:bCs/>
                <w:color w:val="auto"/>
                <w:vertAlign w:val="baseline"/>
                <w:lang w:val="en-US" w:eastAsia="zh-CN"/>
              </w:rPr>
              <w:t>图3：电商实训基地电脑及机房图片</w:t>
            </w:r>
          </w:p>
        </w:tc>
      </w:tr>
      <w:tr w14:paraId="4BF24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13" w:type="dxa"/>
          </w:tcPr>
          <w:p w14:paraId="665B268E">
            <w:pPr>
              <w:pStyle w:val="9"/>
              <w:ind w:firstLine="0" w:firstLineChars="0"/>
              <w:jc w:val="both"/>
              <w:rPr>
                <w:rFonts w:eastAsia="宋体"/>
                <w:b/>
                <w:bCs/>
                <w:color w:val="auto"/>
                <w:vertAlign w:val="baseline"/>
              </w:rPr>
            </w:pPr>
            <w:r>
              <w:rPr>
                <w:rFonts w:eastAsia="宋体"/>
                <w:b/>
                <w:bCs/>
                <w:color w:val="auto"/>
              </w:rPr>
              <w:drawing>
                <wp:inline distT="0" distB="0" distL="114300" distR="114300">
                  <wp:extent cx="2073275" cy="2764790"/>
                  <wp:effectExtent l="0" t="0" r="3810" b="9525"/>
                  <wp:docPr id="14" name="图片 14" descr="IMG_0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0695"/>
                          <pic:cNvPicPr>
                            <a:picLocks noChangeAspect="1"/>
                          </pic:cNvPicPr>
                        </pic:nvPicPr>
                        <pic:blipFill>
                          <a:blip r:embed="rId21"/>
                          <a:stretch>
                            <a:fillRect/>
                          </a:stretch>
                        </pic:blipFill>
                        <pic:spPr>
                          <a:xfrm rot="16200000">
                            <a:off x="0" y="0"/>
                            <a:ext cx="2073275" cy="2764790"/>
                          </a:xfrm>
                          <a:prstGeom prst="rect">
                            <a:avLst/>
                          </a:prstGeom>
                        </pic:spPr>
                      </pic:pic>
                    </a:graphicData>
                  </a:graphic>
                </wp:inline>
              </w:drawing>
            </w:r>
          </w:p>
        </w:tc>
      </w:tr>
      <w:tr w14:paraId="6A070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13" w:type="dxa"/>
          </w:tcPr>
          <w:p w14:paraId="3E8ADF9D">
            <w:pPr>
              <w:pStyle w:val="9"/>
              <w:ind w:firstLine="0" w:firstLineChars="0"/>
              <w:jc w:val="both"/>
              <w:rPr>
                <w:rFonts w:eastAsia="宋体"/>
                <w:b/>
                <w:bCs/>
                <w:color w:val="auto"/>
                <w:vertAlign w:val="baseline"/>
              </w:rPr>
            </w:pPr>
            <w:r>
              <w:rPr>
                <w:rFonts w:eastAsia="宋体"/>
                <w:b/>
                <w:bCs/>
                <w:color w:val="auto"/>
              </w:rPr>
              <w:drawing>
                <wp:inline distT="0" distB="0" distL="114300" distR="114300">
                  <wp:extent cx="2073275" cy="2764790"/>
                  <wp:effectExtent l="0" t="0" r="3810" b="9525"/>
                  <wp:docPr id="15" name="图片 15" descr="IMG_0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0694"/>
                          <pic:cNvPicPr>
                            <a:picLocks noChangeAspect="1"/>
                          </pic:cNvPicPr>
                        </pic:nvPicPr>
                        <pic:blipFill>
                          <a:blip r:embed="rId22"/>
                          <a:stretch>
                            <a:fillRect/>
                          </a:stretch>
                        </pic:blipFill>
                        <pic:spPr>
                          <a:xfrm rot="16200000">
                            <a:off x="0" y="0"/>
                            <a:ext cx="2073275" cy="2764790"/>
                          </a:xfrm>
                          <a:prstGeom prst="rect">
                            <a:avLst/>
                          </a:prstGeom>
                        </pic:spPr>
                      </pic:pic>
                    </a:graphicData>
                  </a:graphic>
                </wp:inline>
              </w:drawing>
            </w:r>
          </w:p>
        </w:tc>
      </w:tr>
      <w:tr w14:paraId="66E6F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13" w:type="dxa"/>
          </w:tcPr>
          <w:p w14:paraId="1035E5DB">
            <w:pPr>
              <w:pStyle w:val="9"/>
              <w:ind w:firstLine="0" w:firstLineChars="0"/>
              <w:jc w:val="both"/>
              <w:rPr>
                <w:rFonts w:eastAsia="宋体"/>
                <w:b/>
                <w:bCs/>
                <w:color w:val="auto"/>
                <w:vertAlign w:val="baseline"/>
              </w:rPr>
            </w:pPr>
            <w:r>
              <w:rPr>
                <w:rFonts w:eastAsia="宋体"/>
                <w:b/>
                <w:bCs/>
                <w:color w:val="auto"/>
              </w:rPr>
              <w:drawing>
                <wp:inline distT="0" distB="0" distL="114300" distR="114300">
                  <wp:extent cx="2073275" cy="2764790"/>
                  <wp:effectExtent l="0" t="0" r="3810" b="9525"/>
                  <wp:docPr id="16" name="图片 16" descr="IMG_0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0693"/>
                          <pic:cNvPicPr>
                            <a:picLocks noChangeAspect="1"/>
                          </pic:cNvPicPr>
                        </pic:nvPicPr>
                        <pic:blipFill>
                          <a:blip r:embed="rId23"/>
                          <a:stretch>
                            <a:fillRect/>
                          </a:stretch>
                        </pic:blipFill>
                        <pic:spPr>
                          <a:xfrm rot="16200000">
                            <a:off x="0" y="0"/>
                            <a:ext cx="2073275" cy="2764790"/>
                          </a:xfrm>
                          <a:prstGeom prst="rect">
                            <a:avLst/>
                          </a:prstGeom>
                        </pic:spPr>
                      </pic:pic>
                    </a:graphicData>
                  </a:graphic>
                </wp:inline>
              </w:drawing>
            </w:r>
          </w:p>
        </w:tc>
      </w:tr>
    </w:tbl>
    <w:p w14:paraId="1086E0B5">
      <w:pPr>
        <w:pStyle w:val="9"/>
        <w:ind w:firstLine="422"/>
        <w:jc w:val="center"/>
        <w:rPr>
          <w:rFonts w:eastAsia="宋体"/>
          <w:b/>
          <w:bCs/>
          <w:color w:val="auto"/>
        </w:rPr>
      </w:pPr>
    </w:p>
    <w:p w14:paraId="17C242FA">
      <w:pPr>
        <w:pStyle w:val="9"/>
        <w:ind w:firstLine="422"/>
        <w:jc w:val="center"/>
        <w:rPr>
          <w:rFonts w:eastAsia="宋体"/>
          <w:b/>
          <w:bCs/>
          <w:color w:val="auto"/>
        </w:rPr>
      </w:pPr>
    </w:p>
    <w:p w14:paraId="717EA085">
      <w:pPr>
        <w:pStyle w:val="9"/>
        <w:ind w:firstLine="422"/>
        <w:jc w:val="center"/>
        <w:rPr>
          <w:rFonts w:eastAsia="宋体"/>
          <w:b/>
          <w:bCs/>
          <w:color w:val="auto"/>
        </w:rPr>
      </w:pPr>
    </w:p>
    <w:p w14:paraId="65F65284">
      <w:pPr>
        <w:pStyle w:val="9"/>
        <w:ind w:firstLine="422"/>
        <w:jc w:val="center"/>
        <w:rPr>
          <w:rFonts w:eastAsia="宋体"/>
          <w:b/>
          <w:bCs/>
          <w:color w:val="auto"/>
        </w:rPr>
      </w:pPr>
    </w:p>
    <w:p w14:paraId="325FBC12">
      <w:pPr>
        <w:pStyle w:val="9"/>
        <w:ind w:firstLine="422"/>
        <w:jc w:val="center"/>
        <w:rPr>
          <w:rFonts w:eastAsia="宋体"/>
          <w:b/>
          <w:bCs/>
          <w:color w:val="auto"/>
        </w:rPr>
      </w:pPr>
    </w:p>
    <w:p w14:paraId="3D2DFCEB">
      <w:pPr>
        <w:pStyle w:val="9"/>
        <w:ind w:firstLine="422"/>
        <w:jc w:val="center"/>
        <w:rPr>
          <w:rFonts w:eastAsia="宋体"/>
          <w:b/>
          <w:bCs/>
          <w:color w:val="auto"/>
        </w:rPr>
      </w:pPr>
    </w:p>
    <w:p w14:paraId="4BD7E496">
      <w:pPr>
        <w:pStyle w:val="9"/>
        <w:ind w:firstLine="422"/>
        <w:jc w:val="center"/>
        <w:rPr>
          <w:rFonts w:eastAsia="宋体"/>
          <w:b/>
          <w:bCs/>
          <w:color w:val="auto"/>
        </w:rPr>
      </w:pPr>
    </w:p>
    <w:p w14:paraId="410D5858">
      <w:pPr>
        <w:pStyle w:val="9"/>
        <w:ind w:firstLine="422"/>
        <w:jc w:val="center"/>
        <w:rPr>
          <w:rFonts w:eastAsia="宋体"/>
          <w:b/>
          <w:bCs/>
          <w:color w:val="auto"/>
        </w:rPr>
      </w:pP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88"/>
      </w:tblGrid>
      <w:tr w14:paraId="48C77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8" w:type="dxa"/>
          </w:tcPr>
          <w:p w14:paraId="0647D02A">
            <w:pPr>
              <w:pStyle w:val="9"/>
              <w:ind w:firstLine="0" w:firstLineChars="0"/>
              <w:jc w:val="center"/>
              <w:rPr>
                <w:rFonts w:hint="default" w:eastAsia="宋体"/>
                <w:b/>
                <w:bCs/>
                <w:color w:val="auto"/>
                <w:vertAlign w:val="baseline"/>
                <w:lang w:val="en-US" w:eastAsia="zh-CN"/>
              </w:rPr>
            </w:pPr>
            <w:r>
              <w:rPr>
                <w:rFonts w:hint="default" w:eastAsia="宋体"/>
                <w:b/>
                <w:bCs/>
                <w:color w:val="auto"/>
                <w:vertAlign w:val="baseline"/>
                <w:lang w:val="en-US" w:eastAsia="zh-CN"/>
              </w:rPr>
              <w:t>图4：化工实训基地-智能多功能精细化学品实训装置</w:t>
            </w:r>
          </w:p>
        </w:tc>
      </w:tr>
      <w:tr w14:paraId="375A1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8" w:type="dxa"/>
          </w:tcPr>
          <w:p w14:paraId="1D975D6C">
            <w:pPr>
              <w:pStyle w:val="9"/>
              <w:ind w:firstLine="0" w:firstLineChars="0"/>
              <w:jc w:val="center"/>
              <w:rPr>
                <w:rFonts w:eastAsia="宋体"/>
                <w:b/>
                <w:bCs/>
                <w:color w:val="auto"/>
                <w:vertAlign w:val="baseline"/>
              </w:rPr>
            </w:pPr>
            <w:r>
              <w:rPr>
                <w:rFonts w:eastAsia="宋体"/>
                <w:b/>
                <w:bCs/>
                <w:color w:val="auto"/>
              </w:rPr>
              <w:drawing>
                <wp:inline distT="0" distB="0" distL="114935" distR="114935">
                  <wp:extent cx="2073275" cy="2764790"/>
                  <wp:effectExtent l="20320" t="0" r="34290" b="17145"/>
                  <wp:docPr id="17" name="图片 17" descr="IMG_0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0692"/>
                          <pic:cNvPicPr>
                            <a:picLocks noChangeAspect="1"/>
                          </pic:cNvPicPr>
                        </pic:nvPicPr>
                        <pic:blipFill>
                          <a:blip r:embed="rId24"/>
                          <a:stretch>
                            <a:fillRect/>
                          </a:stretch>
                        </pic:blipFill>
                        <pic:spPr>
                          <a:xfrm rot="16200000">
                            <a:off x="0" y="0"/>
                            <a:ext cx="2073275" cy="2764790"/>
                          </a:xfrm>
                          <a:prstGeom prst="rect">
                            <a:avLst/>
                          </a:prstGeom>
                        </pic:spPr>
                      </pic:pic>
                    </a:graphicData>
                  </a:graphic>
                </wp:inline>
              </w:drawing>
            </w:r>
          </w:p>
        </w:tc>
      </w:tr>
      <w:tr w14:paraId="7EC5A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8" w:type="dxa"/>
          </w:tcPr>
          <w:p w14:paraId="77B129E5">
            <w:pPr>
              <w:pStyle w:val="9"/>
              <w:ind w:firstLine="0" w:firstLineChars="0"/>
              <w:jc w:val="center"/>
              <w:rPr>
                <w:rFonts w:eastAsia="宋体"/>
                <w:b/>
                <w:bCs/>
                <w:color w:val="auto"/>
                <w:vertAlign w:val="baseline"/>
              </w:rPr>
            </w:pPr>
            <w:r>
              <w:rPr>
                <w:rFonts w:eastAsia="宋体"/>
                <w:b/>
                <w:bCs/>
                <w:color w:val="auto"/>
              </w:rPr>
              <w:drawing>
                <wp:inline distT="0" distB="0" distL="114300" distR="114300">
                  <wp:extent cx="2073275" cy="2764790"/>
                  <wp:effectExtent l="0" t="0" r="3810" b="9525"/>
                  <wp:docPr id="18" name="图片 18" descr="IMG_0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0691"/>
                          <pic:cNvPicPr>
                            <a:picLocks noChangeAspect="1"/>
                          </pic:cNvPicPr>
                        </pic:nvPicPr>
                        <pic:blipFill>
                          <a:blip r:embed="rId25"/>
                          <a:stretch>
                            <a:fillRect/>
                          </a:stretch>
                        </pic:blipFill>
                        <pic:spPr>
                          <a:xfrm rot="16200000">
                            <a:off x="0" y="0"/>
                            <a:ext cx="2073275" cy="2764790"/>
                          </a:xfrm>
                          <a:prstGeom prst="rect">
                            <a:avLst/>
                          </a:prstGeom>
                        </pic:spPr>
                      </pic:pic>
                    </a:graphicData>
                  </a:graphic>
                </wp:inline>
              </w:drawing>
            </w:r>
          </w:p>
        </w:tc>
      </w:tr>
      <w:tr w14:paraId="01ABC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8" w:type="dxa"/>
          </w:tcPr>
          <w:p w14:paraId="769A0E54">
            <w:pPr>
              <w:pStyle w:val="9"/>
              <w:ind w:firstLine="0" w:firstLineChars="0"/>
              <w:jc w:val="center"/>
              <w:rPr>
                <w:rFonts w:eastAsia="宋体"/>
                <w:b/>
                <w:bCs/>
                <w:color w:val="auto"/>
                <w:vertAlign w:val="baseline"/>
              </w:rPr>
            </w:pPr>
            <w:r>
              <w:rPr>
                <w:rFonts w:eastAsia="宋体"/>
                <w:b/>
                <w:bCs/>
                <w:color w:val="auto"/>
              </w:rPr>
              <w:drawing>
                <wp:inline distT="0" distB="0" distL="114300" distR="114300">
                  <wp:extent cx="2073275" cy="2764790"/>
                  <wp:effectExtent l="0" t="0" r="3810" b="9525"/>
                  <wp:docPr id="19" name="图片 19" descr="IMG_0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IMG_0690"/>
                          <pic:cNvPicPr>
                            <a:picLocks noChangeAspect="1"/>
                          </pic:cNvPicPr>
                        </pic:nvPicPr>
                        <pic:blipFill>
                          <a:blip r:embed="rId26"/>
                          <a:stretch>
                            <a:fillRect/>
                          </a:stretch>
                        </pic:blipFill>
                        <pic:spPr>
                          <a:xfrm rot="16200000">
                            <a:off x="0" y="0"/>
                            <a:ext cx="2073275" cy="2764790"/>
                          </a:xfrm>
                          <a:prstGeom prst="rect">
                            <a:avLst/>
                          </a:prstGeom>
                        </pic:spPr>
                      </pic:pic>
                    </a:graphicData>
                  </a:graphic>
                </wp:inline>
              </w:drawing>
            </w:r>
          </w:p>
        </w:tc>
      </w:tr>
    </w:tbl>
    <w:p w14:paraId="06E700A8">
      <w:pPr>
        <w:rPr>
          <w:rFonts w:eastAsia="宋体"/>
          <w:b/>
          <w:bCs/>
          <w:color w:val="auto"/>
        </w:rPr>
      </w:pPr>
      <w:r>
        <w:rPr>
          <w:rFonts w:eastAsia="宋体"/>
          <w:b/>
          <w:bCs/>
          <w:color w:val="auto"/>
        </w:rPr>
        <w:br w:type="page"/>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13"/>
      </w:tblGrid>
      <w:tr w14:paraId="714E4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13" w:type="dxa"/>
          </w:tcPr>
          <w:p w14:paraId="1D10BF7E">
            <w:pPr>
              <w:pStyle w:val="9"/>
              <w:ind w:firstLine="0" w:firstLineChars="0"/>
              <w:jc w:val="center"/>
              <w:rPr>
                <w:rFonts w:hint="default" w:eastAsia="宋体"/>
                <w:b/>
                <w:bCs/>
                <w:color w:val="auto"/>
                <w:vertAlign w:val="baseline"/>
                <w:lang w:val="en-US" w:eastAsia="zh-CN"/>
              </w:rPr>
            </w:pPr>
            <w:r>
              <w:rPr>
                <w:rFonts w:hint="default" w:eastAsia="宋体"/>
                <w:b/>
                <w:bCs/>
                <w:color w:val="auto"/>
                <w:vertAlign w:val="baseline"/>
                <w:lang w:val="en-US" w:eastAsia="zh-CN"/>
              </w:rPr>
              <w:t>图5：化工实训基地-氯碱电解工艺实训考核装置</w:t>
            </w:r>
          </w:p>
        </w:tc>
      </w:tr>
      <w:tr w14:paraId="60FD5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13" w:type="dxa"/>
          </w:tcPr>
          <w:p w14:paraId="31A736B7">
            <w:pPr>
              <w:pStyle w:val="9"/>
              <w:ind w:firstLine="0" w:firstLineChars="0"/>
              <w:jc w:val="center"/>
              <w:rPr>
                <w:rFonts w:eastAsia="宋体"/>
                <w:b/>
                <w:bCs/>
                <w:color w:val="auto"/>
                <w:vertAlign w:val="baseline"/>
              </w:rPr>
            </w:pPr>
            <w:r>
              <w:rPr>
                <w:rFonts w:eastAsia="宋体"/>
                <w:b/>
                <w:bCs/>
                <w:color w:val="auto"/>
              </w:rPr>
              <w:drawing>
                <wp:inline distT="0" distB="0" distL="114300" distR="114300">
                  <wp:extent cx="2073275" cy="2764790"/>
                  <wp:effectExtent l="0" t="0" r="3810" b="9525"/>
                  <wp:docPr id="20" name="图片 20" descr="IMG_0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0689"/>
                          <pic:cNvPicPr>
                            <a:picLocks noChangeAspect="1"/>
                          </pic:cNvPicPr>
                        </pic:nvPicPr>
                        <pic:blipFill>
                          <a:blip r:embed="rId27"/>
                          <a:stretch>
                            <a:fillRect/>
                          </a:stretch>
                        </pic:blipFill>
                        <pic:spPr>
                          <a:xfrm rot="16200000">
                            <a:off x="0" y="0"/>
                            <a:ext cx="2073275" cy="2764790"/>
                          </a:xfrm>
                          <a:prstGeom prst="rect">
                            <a:avLst/>
                          </a:prstGeom>
                        </pic:spPr>
                      </pic:pic>
                    </a:graphicData>
                  </a:graphic>
                </wp:inline>
              </w:drawing>
            </w:r>
          </w:p>
        </w:tc>
      </w:tr>
      <w:tr w14:paraId="2F1DC8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13" w:type="dxa"/>
          </w:tcPr>
          <w:p w14:paraId="7848A1F4">
            <w:pPr>
              <w:pStyle w:val="9"/>
              <w:ind w:firstLine="0" w:firstLineChars="0"/>
              <w:jc w:val="center"/>
              <w:rPr>
                <w:rFonts w:eastAsia="宋体"/>
                <w:b/>
                <w:bCs/>
                <w:color w:val="auto"/>
                <w:vertAlign w:val="baseline"/>
              </w:rPr>
            </w:pPr>
            <w:r>
              <w:rPr>
                <w:rFonts w:eastAsia="宋体"/>
                <w:b/>
                <w:bCs/>
                <w:color w:val="auto"/>
              </w:rPr>
              <w:drawing>
                <wp:inline distT="0" distB="0" distL="114300" distR="114300">
                  <wp:extent cx="2073275" cy="2764790"/>
                  <wp:effectExtent l="0" t="0" r="3810" b="9525"/>
                  <wp:docPr id="21" name="图片 21" descr="IMG_0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0688"/>
                          <pic:cNvPicPr>
                            <a:picLocks noChangeAspect="1"/>
                          </pic:cNvPicPr>
                        </pic:nvPicPr>
                        <pic:blipFill>
                          <a:blip r:embed="rId28"/>
                          <a:stretch>
                            <a:fillRect/>
                          </a:stretch>
                        </pic:blipFill>
                        <pic:spPr>
                          <a:xfrm rot="16200000">
                            <a:off x="0" y="0"/>
                            <a:ext cx="2073275" cy="2764790"/>
                          </a:xfrm>
                          <a:prstGeom prst="rect">
                            <a:avLst/>
                          </a:prstGeom>
                        </pic:spPr>
                      </pic:pic>
                    </a:graphicData>
                  </a:graphic>
                </wp:inline>
              </w:drawing>
            </w:r>
          </w:p>
        </w:tc>
      </w:tr>
      <w:tr w14:paraId="09C0F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13" w:type="dxa"/>
          </w:tcPr>
          <w:p w14:paraId="2B3DDF2E">
            <w:pPr>
              <w:pStyle w:val="9"/>
              <w:ind w:firstLine="0" w:firstLineChars="0"/>
              <w:jc w:val="center"/>
              <w:rPr>
                <w:rFonts w:eastAsia="宋体"/>
                <w:b/>
                <w:bCs/>
                <w:color w:val="auto"/>
                <w:vertAlign w:val="baseline"/>
              </w:rPr>
            </w:pPr>
            <w:r>
              <w:rPr>
                <w:rFonts w:eastAsia="宋体"/>
                <w:b/>
                <w:bCs/>
                <w:color w:val="auto"/>
              </w:rPr>
              <w:drawing>
                <wp:inline distT="0" distB="0" distL="114300" distR="114300">
                  <wp:extent cx="2073275" cy="2764790"/>
                  <wp:effectExtent l="0" t="0" r="3810" b="9525"/>
                  <wp:docPr id="22" name="图片 22" descr="IMG_0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0687"/>
                          <pic:cNvPicPr>
                            <a:picLocks noChangeAspect="1"/>
                          </pic:cNvPicPr>
                        </pic:nvPicPr>
                        <pic:blipFill>
                          <a:blip r:embed="rId29"/>
                          <a:stretch>
                            <a:fillRect/>
                          </a:stretch>
                        </pic:blipFill>
                        <pic:spPr>
                          <a:xfrm rot="16200000">
                            <a:off x="0" y="0"/>
                            <a:ext cx="2073275" cy="2764790"/>
                          </a:xfrm>
                          <a:prstGeom prst="rect">
                            <a:avLst/>
                          </a:prstGeom>
                        </pic:spPr>
                      </pic:pic>
                    </a:graphicData>
                  </a:graphic>
                </wp:inline>
              </w:drawing>
            </w:r>
          </w:p>
        </w:tc>
      </w:tr>
    </w:tbl>
    <w:p w14:paraId="5D6F1716">
      <w:pPr>
        <w:ind w:firstLine="420"/>
        <w:rPr>
          <w:color w:val="auto"/>
        </w:rPr>
      </w:pPr>
      <w:r>
        <w:rPr>
          <w:color w:val="auto"/>
        </w:rPr>
        <w:br w:type="page"/>
      </w:r>
    </w:p>
    <w:p w14:paraId="0445F34D">
      <w:pPr>
        <w:pStyle w:val="2"/>
        <w:ind w:firstLine="0" w:firstLineChars="0"/>
        <w:rPr>
          <w:rFonts w:ascii="Times New Roman" w:hAnsi="Times New Roman"/>
          <w:color w:val="auto"/>
        </w:rPr>
      </w:pPr>
      <w:bookmarkStart w:id="146" w:name="_Toc6171"/>
      <w:r>
        <w:rPr>
          <w:rFonts w:ascii="Times New Roman" w:hAnsi="Times New Roman"/>
          <w:color w:val="auto"/>
        </w:rPr>
        <w:t>附件5：</w:t>
      </w:r>
      <w:bookmarkEnd w:id="143"/>
      <w:bookmarkEnd w:id="144"/>
      <w:bookmarkEnd w:id="145"/>
      <w:r>
        <w:rPr>
          <w:rFonts w:ascii="Times New Roman" w:hAnsi="Times New Roman"/>
          <w:color w:val="auto"/>
        </w:rPr>
        <w:t>《绩效评价报告意见反馈表》</w:t>
      </w:r>
      <w:bookmarkEnd w:id="146"/>
    </w:p>
    <w:p w14:paraId="4D138BE2">
      <w:pPr>
        <w:pStyle w:val="16"/>
        <w:ind w:firstLine="420"/>
        <w:rPr>
          <w:rFonts w:hint="eastAsia" w:eastAsia="宋体"/>
          <w:color w:val="auto"/>
          <w:lang w:eastAsia="zh-CN"/>
        </w:rPr>
      </w:pPr>
      <w:r>
        <w:rPr>
          <w:rFonts w:hint="eastAsia" w:eastAsia="宋体"/>
          <w:color w:val="auto"/>
          <w:lang w:eastAsia="zh-CN"/>
        </w:rPr>
        <w:drawing>
          <wp:anchor distT="0" distB="0" distL="114300" distR="114300" simplePos="0" relativeHeight="251659264" behindDoc="0" locked="0" layoutInCell="1" allowOverlap="1">
            <wp:simplePos x="0" y="0"/>
            <wp:positionH relativeFrom="column">
              <wp:posOffset>266700</wp:posOffset>
            </wp:positionH>
            <wp:positionV relativeFrom="paragraph">
              <wp:posOffset>0</wp:posOffset>
            </wp:positionV>
            <wp:extent cx="5269865" cy="7247255"/>
            <wp:effectExtent l="0" t="0" r="635" b="4445"/>
            <wp:wrapSquare wrapText="bothSides"/>
            <wp:docPr id="3" name="图片 3" descr="20f3fe965acf693f67d4144a0512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0f3fe965acf693f67d4144a05126510"/>
                    <pic:cNvPicPr>
                      <a:picLocks noChangeAspect="1"/>
                    </pic:cNvPicPr>
                  </pic:nvPicPr>
                  <pic:blipFill>
                    <a:blip r:embed="rId30"/>
                    <a:stretch>
                      <a:fillRect/>
                    </a:stretch>
                  </pic:blipFill>
                  <pic:spPr>
                    <a:xfrm>
                      <a:off x="0" y="0"/>
                      <a:ext cx="5269865" cy="7247255"/>
                    </a:xfrm>
                    <a:prstGeom prst="rect">
                      <a:avLst/>
                    </a:prstGeom>
                  </pic:spPr>
                </pic:pic>
              </a:graphicData>
            </a:graphic>
          </wp:anchor>
        </w:drawing>
      </w:r>
    </w:p>
    <w:p w14:paraId="5C217FE3">
      <w:pPr>
        <w:ind w:firstLine="420"/>
        <w:rPr>
          <w:color w:val="auto"/>
        </w:rPr>
      </w:pPr>
    </w:p>
    <w:p w14:paraId="25C1510E">
      <w:pPr>
        <w:rPr>
          <w:color w:val="auto"/>
        </w:rPr>
      </w:pPr>
      <w:r>
        <w:rPr>
          <w:color w:val="auto"/>
        </w:rPr>
        <w:br w:type="page"/>
      </w:r>
    </w:p>
    <w:p w14:paraId="60B898FC">
      <w:pPr>
        <w:ind w:firstLine="420"/>
        <w:rPr>
          <w:rFonts w:hint="eastAsia" w:eastAsiaTheme="minorEastAsia"/>
          <w:color w:val="auto"/>
          <w:lang w:eastAsia="zh-CN"/>
        </w:rPr>
      </w:pPr>
      <w:bookmarkStart w:id="147" w:name="_GoBack"/>
      <w:r>
        <w:rPr>
          <w:rFonts w:hint="eastAsia" w:eastAsiaTheme="minorEastAsia"/>
          <w:color w:val="auto"/>
          <w:lang w:eastAsia="zh-CN"/>
        </w:rPr>
        <w:drawing>
          <wp:anchor distT="0" distB="0" distL="114300" distR="114300" simplePos="0" relativeHeight="251660288" behindDoc="0" locked="0" layoutInCell="1" allowOverlap="1">
            <wp:simplePos x="0" y="0"/>
            <wp:positionH relativeFrom="column">
              <wp:posOffset>266700</wp:posOffset>
            </wp:positionH>
            <wp:positionV relativeFrom="paragraph">
              <wp:posOffset>0</wp:posOffset>
            </wp:positionV>
            <wp:extent cx="5273675" cy="7247255"/>
            <wp:effectExtent l="0" t="0" r="9525" b="4445"/>
            <wp:wrapSquare wrapText="bothSides"/>
            <wp:docPr id="5" name="图片 5" descr="绩效评价反馈表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绩效评价反馈表_02"/>
                    <pic:cNvPicPr>
                      <a:picLocks noChangeAspect="1"/>
                    </pic:cNvPicPr>
                  </pic:nvPicPr>
                  <pic:blipFill>
                    <a:blip r:embed="rId31"/>
                    <a:stretch>
                      <a:fillRect/>
                    </a:stretch>
                  </pic:blipFill>
                  <pic:spPr>
                    <a:xfrm>
                      <a:off x="0" y="0"/>
                      <a:ext cx="5273675" cy="7247255"/>
                    </a:xfrm>
                    <a:prstGeom prst="rect">
                      <a:avLst/>
                    </a:prstGeom>
                  </pic:spPr>
                </pic:pic>
              </a:graphicData>
            </a:graphic>
          </wp:anchor>
        </w:drawing>
      </w:r>
      <w:bookmarkEnd w:id="147"/>
    </w:p>
    <w:sectPr>
      <w:footerReference r:id="rId13" w:type="default"/>
      <w:pgSz w:w="11906" w:h="16838"/>
      <w:pgMar w:top="1440" w:right="1800" w:bottom="1440" w:left="1800" w:header="851" w:footer="907"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2"/>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Arial Unicode MS">
    <w:panose1 w:val="020B0604020202020204"/>
    <w:charset w:val="86"/>
    <w:family w:val="swiss"/>
    <w:pitch w:val="default"/>
    <w:sig w:usb0="FFFFFFFF" w:usb1="E9FFFFFF" w:usb2="0000003F" w:usb3="00000000" w:csb0="603F01FF" w:csb1="FFFF0000"/>
  </w:font>
  <w:font w:name="等线">
    <w:panose1 w:val="02010600030101010101"/>
    <w:charset w:val="86"/>
    <w:family w:val="auto"/>
    <w:pitch w:val="default"/>
    <w:sig w:usb0="A00002BF" w:usb1="38CF7CFA" w:usb2="00000016" w:usb3="00000000" w:csb0="0004000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819C7C">
    <w:pPr>
      <w:pStyle w:val="12"/>
      <w:tabs>
        <w:tab w:val="center" w:pos="4439"/>
        <w:tab w:val="right" w:pos="8999"/>
      </w:tabs>
      <w:ind w:firstLine="360"/>
    </w:pPr>
    <w:r>
      <w:rPr>
        <w:rFonts w:hint="eastAsia"/>
      </w:rPr>
      <w:tab/>
    </w:r>
    <w:r>
      <w:rPr>
        <w:rFonts w:hint="eastAsia"/>
      </w:rPr>
      <w:tab/>
    </w:r>
    <w:r>
      <w:rPr>
        <w:rFonts w:hint="eastAsia"/>
      </w:rPr>
      <w:tab/>
    </w:r>
    <w:r>
      <w:rPr>
        <w:rFonts w:hint="eastAsia"/>
      </w:rPr>
      <w:tab/>
    </w:r>
  </w:p>
  <w:p w14:paraId="47E832EF">
    <w:pPr>
      <w:pStyle w:val="12"/>
      <w:ind w:right="72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317B2E">
    <w:pPr>
      <w:pStyle w:val="12"/>
      <w:ind w:firstLine="360"/>
      <w:jc w:val="right"/>
    </w:pPr>
    <w:r>
      <mc:AlternateContent>
        <mc:Choice Requires="wps">
          <w:drawing>
            <wp:anchor distT="0" distB="0" distL="114300" distR="114300" simplePos="0" relativeHeight="251660288" behindDoc="0" locked="0" layoutInCell="1" allowOverlap="1">
              <wp:simplePos x="0" y="0"/>
              <wp:positionH relativeFrom="margin">
                <wp:posOffset>2633980</wp:posOffset>
              </wp:positionH>
              <wp:positionV relativeFrom="paragraph">
                <wp:posOffset>0</wp:posOffset>
              </wp:positionV>
              <wp:extent cx="32639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326390" cy="1828800"/>
                      </a:xfrm>
                      <a:prstGeom prst="rect">
                        <a:avLst/>
                      </a:prstGeom>
                      <a:noFill/>
                      <a:ln>
                        <a:noFill/>
                      </a:ln>
                    </wps:spPr>
                    <wps:txbx>
                      <w:txbxContent>
                        <w:p w14:paraId="57719D15">
                          <w:pPr>
                            <w:pStyle w:val="12"/>
                            <w:ind w:firstLine="0" w:firstLineChars="0"/>
                          </w:pPr>
                          <w:r>
                            <w:fldChar w:fldCharType="begin"/>
                          </w:r>
                          <w:r>
                            <w:instrText xml:space="preserve"> PAGE  \* MERGEFORMAT </w:instrText>
                          </w:r>
                          <w:r>
                            <w:fldChar w:fldCharType="separate"/>
                          </w:r>
                          <w:r>
                            <w:t>3</w:t>
                          </w:r>
                          <w:r>
                            <w:fldChar w:fldCharType="end"/>
                          </w:r>
                        </w:p>
                      </w:txbxContent>
                    </wps:txbx>
                    <wps:bodyPr lIns="0" tIns="0" rIns="0" bIns="0">
                      <a:spAutoFit/>
                    </wps:bodyPr>
                  </wps:wsp>
                </a:graphicData>
              </a:graphic>
            </wp:anchor>
          </w:drawing>
        </mc:Choice>
        <mc:Fallback>
          <w:pict>
            <v:shape id="_x0000_s1026" o:spid="_x0000_s1026" o:spt="202" type="#_x0000_t202" style="position:absolute;left:0pt;margin-left:207.4pt;margin-top:0pt;height:144pt;width:25.7pt;mso-position-horizontal-relative:margin;z-index:251660288;mso-width-relative:page;mso-height-relative:page;" filled="f" stroked="f" coordsize="21600,21600" o:gfxdata="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zGzqn9UAAAAIAQAADwAAAAAAAAABACAAAAAiAAAAZHJzL2Rvd25yZXYueG1sUEsB&#10;AhQAFAAAAAgAh07iQAnSkgO/AQAAgAMAAA4AAAAAAAAAAQAgAAAAJAEAAGRycy9lMm9Eb2MueG1s&#10;UEsFBgAAAAAGAAYAWQEAAFUFAAAAAA==&#10;">
              <v:fill on="f" focussize="0,0"/>
              <v:stroke on="f"/>
              <v:imagedata o:title=""/>
              <o:lock v:ext="edit" aspectratio="f"/>
              <v:textbox inset="0mm,0mm,0mm,0mm" style="mso-fit-shape-to-text:t;">
                <w:txbxContent>
                  <w:p w14:paraId="57719D15">
                    <w:pPr>
                      <w:pStyle w:val="12"/>
                      <w:ind w:firstLine="0" w:firstLineChars="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CA546">
    <w:pPr>
      <w:pStyle w:val="12"/>
      <w:ind w:firstLine="0" w:firstLineChars="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317455">
    <w:pPr>
      <w:pStyle w:val="12"/>
      <w:ind w:firstLine="0" w:firstLineChars="0"/>
      <w:jc w:val="center"/>
    </w:pPr>
    <w:r>
      <mc:AlternateContent>
        <mc:Choice Requires="wps">
          <w:drawing>
            <wp:anchor distT="0" distB="0" distL="114300" distR="114300" simplePos="0" relativeHeight="251661312" behindDoc="0" locked="0" layoutInCell="1" allowOverlap="1">
              <wp:simplePos x="0" y="0"/>
              <wp:positionH relativeFrom="margin">
                <wp:posOffset>1221105</wp:posOffset>
              </wp:positionH>
              <wp:positionV relativeFrom="paragraph">
                <wp:posOffset>-52070</wp:posOffset>
              </wp:positionV>
              <wp:extent cx="2478405"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24784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A2E11C">
                          <w:pPr>
                            <w:pStyle w:val="12"/>
                            <w:ind w:firstLine="0" w:firstLineChars="0"/>
                            <w:jc w:val="cente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6</w:t>
                          </w:r>
                          <w:r>
                            <w:rPr>
                              <w:sz w:val="21"/>
                              <w:szCs w:val="21"/>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96.15pt;margin-top:-4.1pt;height:144pt;width:195.15pt;mso-position-horizontal-relative:margin;z-index:251661312;mso-width-relative:page;mso-height-relative:page;" filled="f" stroked="f" coordsize="21600,21600" o:gfxdata="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7kTV4tkAAAAKAQAADwAAAAAAAAABACAAAAAiAAAAZHJzL2Rvd25yZXYu&#10;eG1sUEsBAhQAFAAAAAgAh07iQOozM0MzAgAAVwQAAA4AAAAAAAAAAQAgAAAAKAEAAGRycy9lMm9E&#10;b2MueG1sUEsFBgAAAAAGAAYAWQEAAM0FAAAAAA==&#10;">
              <v:fill on="f" focussize="0,0"/>
              <v:stroke on="f" weight="0.5pt"/>
              <v:imagedata o:title=""/>
              <o:lock v:ext="edit" aspectratio="f"/>
              <v:textbox inset="0mm,0mm,0mm,0mm" style="mso-fit-shape-to-text:t;">
                <w:txbxContent>
                  <w:p w14:paraId="0CA2E11C">
                    <w:pPr>
                      <w:pStyle w:val="12"/>
                      <w:ind w:firstLine="0" w:firstLineChars="0"/>
                      <w:jc w:val="cente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6</w:t>
                    </w:r>
                    <w:r>
                      <w:rPr>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EE0343">
    <w:pPr>
      <w:pStyle w:val="12"/>
      <w:ind w:firstLine="0" w:firstLineChars="0"/>
      <w:jc w:val="center"/>
    </w:pPr>
    <w:r>
      <mc:AlternateContent>
        <mc:Choice Requires="wps">
          <w:drawing>
            <wp:anchor distT="0" distB="0" distL="114300" distR="114300" simplePos="0" relativeHeight="251662336" behindDoc="0" locked="0" layoutInCell="1" allowOverlap="1">
              <wp:simplePos x="0" y="0"/>
              <wp:positionH relativeFrom="margin">
                <wp:posOffset>3303270</wp:posOffset>
              </wp:positionH>
              <wp:positionV relativeFrom="paragraph">
                <wp:posOffset>-139065</wp:posOffset>
              </wp:positionV>
              <wp:extent cx="260477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260477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E40D00">
                          <w:pPr>
                            <w:pStyle w:val="12"/>
                            <w:ind w:firstLine="0" w:firstLineChars="0"/>
                            <w:jc w:val="cente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22</w:t>
                          </w:r>
                          <w:r>
                            <w:rPr>
                              <w:sz w:val="21"/>
                              <w:szCs w:val="21"/>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60.1pt;margin-top:-10.95pt;height:144pt;width:205.1pt;mso-position-horizontal-relative:margin;z-index:251662336;mso-width-relative:page;mso-height-relative:page;" filled="f" stroked="f" coordsize="21600,21600" o:gfxdata="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6wPjA9kAAAALAQAADwAAAAAAAAABACAAAAAiAAAAZHJzL2Rvd25yZXYu&#10;eG1sUEsBAhQAFAAAAAgAh07iQIj5uXQzAgAAVwQAAA4AAAAAAAAAAQAgAAAAKAEAAGRycy9lMm9E&#10;b2MueG1sUEsFBgAAAAAGAAYAWQEAAM0FAAAAAA==&#10;">
              <v:fill on="f" focussize="0,0"/>
              <v:stroke on="f" weight="0.5pt"/>
              <v:imagedata o:title=""/>
              <o:lock v:ext="edit" aspectratio="f"/>
              <v:textbox inset="0mm,0mm,0mm,0mm" style="mso-fit-shape-to-text:t;">
                <w:txbxContent>
                  <w:p w14:paraId="30E40D00">
                    <w:pPr>
                      <w:pStyle w:val="12"/>
                      <w:ind w:firstLine="0" w:firstLineChars="0"/>
                      <w:jc w:val="cente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22</w:t>
                    </w:r>
                    <w:r>
                      <w:rPr>
                        <w:sz w:val="21"/>
                        <w:szCs w:val="21"/>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24EC09">
    <w:pPr>
      <w:pStyle w:val="12"/>
      <w:ind w:firstLine="0" w:firstLineChars="0"/>
      <w:jc w:val="center"/>
    </w:pPr>
    <w:r>
      <mc:AlternateContent>
        <mc:Choice Requires="wps">
          <w:drawing>
            <wp:anchor distT="0" distB="0" distL="114300" distR="114300" simplePos="0" relativeHeight="251663360" behindDoc="0" locked="0" layoutInCell="1" allowOverlap="1">
              <wp:simplePos x="0" y="0"/>
              <wp:positionH relativeFrom="margin">
                <wp:posOffset>2196465</wp:posOffset>
              </wp:positionH>
              <wp:positionV relativeFrom="paragraph">
                <wp:posOffset>-55245</wp:posOffset>
              </wp:positionV>
              <wp:extent cx="56261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56261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521E55">
                          <w:pPr>
                            <w:pStyle w:val="12"/>
                            <w:ind w:firstLine="420"/>
                            <w:rPr>
                              <w:rFonts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ascii="宋体" w:hAnsi="宋体" w:eastAsia="宋体" w:cs="宋体"/>
                              <w:sz w:val="21"/>
                              <w:szCs w:val="21"/>
                            </w:rPr>
                            <w:t>36</w:t>
                          </w:r>
                          <w:r>
                            <w:rPr>
                              <w:rFonts w:hint="eastAsia" w:ascii="宋体" w:hAnsi="宋体" w:eastAsia="宋体" w:cs="宋体"/>
                              <w:sz w:val="21"/>
                              <w:szCs w:val="21"/>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72.95pt;margin-top:-4.35pt;height:144pt;width:44.3pt;mso-position-horizontal-relative:margin;z-index:251663360;mso-width-relative:page;mso-height-relative:page;" filled="f" stroked="f" coordsize="21600,21600" o:gfxdata="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cPcd8tkAAAAKAQAADwAAAAAAAAABACAAAAAiAAAAZHJzL2Rvd25yZXYueG1s&#10;UEsBAhQAFAAAAAgAh07iQMz+krQwAgAAVgQAAA4AAAAAAAAAAQAgAAAAKAEAAGRycy9lMm9Eb2Mu&#10;eG1sUEsFBgAAAAAGAAYAWQEAAMoFAAAAAA==&#10;">
              <v:fill on="f" focussize="0,0"/>
              <v:stroke on="f" weight="0.5pt"/>
              <v:imagedata o:title=""/>
              <o:lock v:ext="edit" aspectratio="f"/>
              <v:textbox inset="0mm,0mm,0mm,0mm" style="mso-fit-shape-to-text:t;">
                <w:txbxContent>
                  <w:p w14:paraId="0C521E55">
                    <w:pPr>
                      <w:pStyle w:val="12"/>
                      <w:ind w:firstLine="420"/>
                      <w:rPr>
                        <w:rFonts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ascii="宋体" w:hAnsi="宋体" w:eastAsia="宋体" w:cs="宋体"/>
                        <w:sz w:val="21"/>
                        <w:szCs w:val="21"/>
                      </w:rPr>
                      <w:t>36</w:t>
                    </w:r>
                    <w:r>
                      <w:rPr>
                        <w:rFonts w:hint="eastAsia" w:ascii="宋体" w:hAnsi="宋体" w:eastAsia="宋体" w:cs="宋体"/>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DDE907">
    <w:pPr>
      <w:pStyle w:val="13"/>
      <w:pBdr>
        <w:bottom w:val="none" w:color="auto" w:sz="0" w:space="0"/>
      </w:pBdr>
      <w:adjustRightInd/>
      <w:spacing w:line="240" w:lineRule="auto"/>
      <w:ind w:firstLine="0" w:firstLineChars="0"/>
      <w:jc w:val="right"/>
      <w:rPr>
        <w:rFonts w:ascii="黑体" w:hAnsi="黑体" w:eastAsia="黑体" w:cs="黑体"/>
        <w:b/>
        <w:bCs/>
        <w:sz w:val="15"/>
        <w:szCs w:val="15"/>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F79B00">
    <w:pPr>
      <w:pStyle w:val="13"/>
      <w:pBdr>
        <w:bottom w:val="single" w:color="auto" w:sz="4" w:space="0"/>
      </w:pBdr>
      <w:ind w:firstLine="0" w:firstLineChars="0"/>
      <w:jc w:val="right"/>
      <w:rPr>
        <w:rFonts w:ascii="黑体" w:hAnsi="黑体" w:eastAsia="黑体" w:cs="黑体"/>
        <w:b/>
        <w:bCs/>
        <w:sz w:val="15"/>
        <w:szCs w:val="15"/>
      </w:rPr>
    </w:pPr>
    <w:r>
      <w:rPr>
        <w:rFonts w:hint="eastAsia" w:ascii="黑体" w:hAnsi="黑体" w:eastAsia="黑体" w:cs="黑体"/>
        <w:b/>
        <w:bCs/>
        <w:sz w:val="15"/>
        <w:szCs w:val="15"/>
        <w:lang w:eastAsia="zh-CN"/>
      </w:rPr>
      <w:t>吉木萨尔中等职业技术学校2024年中央现代职业教育质量提升计划资金</w:t>
    </w:r>
    <w:r>
      <w:rPr>
        <w:rFonts w:hint="eastAsia" w:ascii="黑体" w:hAnsi="黑体" w:eastAsia="黑体" w:cs="黑体"/>
        <w:b/>
        <w:bCs/>
        <w:sz w:val="15"/>
        <w:szCs w:val="15"/>
        <w:lang w:val="en-US" w:eastAsia="zh-CN"/>
      </w:rPr>
      <w:t>项目</w:t>
    </w:r>
    <w:r>
      <w:rPr>
        <w:rFonts w:hint="eastAsia" w:ascii="黑体" w:hAnsi="黑体" w:eastAsia="黑体" w:cs="黑体"/>
        <w:b/>
        <w:bCs/>
        <w:sz w:val="15"/>
        <w:szCs w:val="15"/>
      </w:rPr>
      <w:t>绩效评价报告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AED280">
    <w:pPr>
      <w:pStyle w:val="13"/>
      <w:keepNext w:val="0"/>
      <w:keepLines w:val="0"/>
      <w:pageBreakBefore w:val="0"/>
      <w:widowControl w:val="0"/>
      <w:pBdr>
        <w:bottom w:val="single" w:color="auto" w:sz="4" w:space="0"/>
      </w:pBdr>
      <w:kinsoku/>
      <w:wordWrap/>
      <w:overflowPunct/>
      <w:topLinePunct w:val="0"/>
      <w:bidi w:val="0"/>
      <w:adjustRightInd w:val="0"/>
      <w:snapToGrid w:val="0"/>
      <w:ind w:firstLine="0" w:firstLineChars="0"/>
      <w:jc w:val="right"/>
      <w:textAlignment w:val="auto"/>
      <w:rPr>
        <w:rFonts w:ascii="黑体" w:hAnsi="黑体" w:eastAsia="黑体" w:cs="黑体"/>
        <w:b/>
        <w:bCs/>
        <w:sz w:val="15"/>
        <w:szCs w:val="15"/>
      </w:rPr>
    </w:pPr>
    <w:r>
      <w:rPr>
        <w:rFonts w:hint="eastAsia" w:ascii="黑体" w:hAnsi="黑体" w:eastAsia="黑体" w:cs="黑体"/>
        <w:b/>
        <w:bCs/>
        <w:sz w:val="15"/>
        <w:szCs w:val="15"/>
        <w:lang w:eastAsia="zh-CN"/>
      </w:rPr>
      <w:t>2024年中央现代职业教育质量提升计划资金</w:t>
    </w:r>
    <w:r>
      <w:rPr>
        <w:rFonts w:hint="eastAsia" w:ascii="黑体" w:hAnsi="黑体" w:eastAsia="黑体" w:cs="黑体"/>
        <w:b/>
        <w:bCs/>
        <w:sz w:val="15"/>
        <w:szCs w:val="15"/>
      </w:rPr>
      <w:t>绩效评价报告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36F7A89"/>
    <w:multiLevelType w:val="singleLevel"/>
    <w:tmpl w:val="536F7A89"/>
    <w:lvl w:ilvl="0" w:tentative="0">
      <w:start w:val="1"/>
      <w:numFmt w:val="decimal"/>
      <w:suff w:val="nothing"/>
      <w:lvlText w:val="%1."/>
      <w:lvlJc w:val="left"/>
      <w:pPr>
        <w:ind w:left="0" w:firstLine="4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U5ODI3OTZlMjJmZjZkNDhjY2NkNTZiNTU2ZmRkMGYifQ=="/>
  </w:docVars>
  <w:rsids>
    <w:rsidRoot w:val="00A03703"/>
    <w:rsid w:val="00144E57"/>
    <w:rsid w:val="001C2D82"/>
    <w:rsid w:val="0020458F"/>
    <w:rsid w:val="00207014"/>
    <w:rsid w:val="002550B3"/>
    <w:rsid w:val="002C6FBA"/>
    <w:rsid w:val="002E3E71"/>
    <w:rsid w:val="002F3FD3"/>
    <w:rsid w:val="00361E5A"/>
    <w:rsid w:val="003B2448"/>
    <w:rsid w:val="0041395F"/>
    <w:rsid w:val="00426245"/>
    <w:rsid w:val="00453AF5"/>
    <w:rsid w:val="004B075A"/>
    <w:rsid w:val="00574556"/>
    <w:rsid w:val="00575F38"/>
    <w:rsid w:val="005E3529"/>
    <w:rsid w:val="00635ADA"/>
    <w:rsid w:val="006A17EA"/>
    <w:rsid w:val="006C6562"/>
    <w:rsid w:val="00837A57"/>
    <w:rsid w:val="008D0F5E"/>
    <w:rsid w:val="00930473"/>
    <w:rsid w:val="00A03703"/>
    <w:rsid w:val="00A64676"/>
    <w:rsid w:val="00AA547B"/>
    <w:rsid w:val="00C32FFE"/>
    <w:rsid w:val="00C603FA"/>
    <w:rsid w:val="00CA14B6"/>
    <w:rsid w:val="00D4311B"/>
    <w:rsid w:val="00D50A30"/>
    <w:rsid w:val="00EA020F"/>
    <w:rsid w:val="00EA5760"/>
    <w:rsid w:val="02101201"/>
    <w:rsid w:val="02443BE3"/>
    <w:rsid w:val="04542819"/>
    <w:rsid w:val="051B25DC"/>
    <w:rsid w:val="06471F7A"/>
    <w:rsid w:val="06A0703E"/>
    <w:rsid w:val="06BA4585"/>
    <w:rsid w:val="07746CAA"/>
    <w:rsid w:val="07EF4064"/>
    <w:rsid w:val="082B27DC"/>
    <w:rsid w:val="08CF6F01"/>
    <w:rsid w:val="08F301FA"/>
    <w:rsid w:val="09136319"/>
    <w:rsid w:val="09E65C14"/>
    <w:rsid w:val="09ED0716"/>
    <w:rsid w:val="0C69230C"/>
    <w:rsid w:val="0C96376F"/>
    <w:rsid w:val="0D1370E5"/>
    <w:rsid w:val="0EC86014"/>
    <w:rsid w:val="10217AF4"/>
    <w:rsid w:val="110B57CF"/>
    <w:rsid w:val="11775728"/>
    <w:rsid w:val="11802A74"/>
    <w:rsid w:val="11AE072D"/>
    <w:rsid w:val="11C83272"/>
    <w:rsid w:val="1333383F"/>
    <w:rsid w:val="14023D3E"/>
    <w:rsid w:val="167E42F4"/>
    <w:rsid w:val="16D76A65"/>
    <w:rsid w:val="16F45A09"/>
    <w:rsid w:val="18016EEF"/>
    <w:rsid w:val="1821504C"/>
    <w:rsid w:val="19F85670"/>
    <w:rsid w:val="1A4A36A8"/>
    <w:rsid w:val="1A8A4BA2"/>
    <w:rsid w:val="1B835525"/>
    <w:rsid w:val="1BF754B3"/>
    <w:rsid w:val="1D920A05"/>
    <w:rsid w:val="1DB2242C"/>
    <w:rsid w:val="1E095106"/>
    <w:rsid w:val="1E4142DD"/>
    <w:rsid w:val="20132FD0"/>
    <w:rsid w:val="2076109D"/>
    <w:rsid w:val="208800D4"/>
    <w:rsid w:val="20D329C3"/>
    <w:rsid w:val="21DB6E86"/>
    <w:rsid w:val="23840361"/>
    <w:rsid w:val="23B14FE2"/>
    <w:rsid w:val="23F62362"/>
    <w:rsid w:val="249320D7"/>
    <w:rsid w:val="24C50ABD"/>
    <w:rsid w:val="257A162F"/>
    <w:rsid w:val="2580460B"/>
    <w:rsid w:val="25AF6319"/>
    <w:rsid w:val="25D15891"/>
    <w:rsid w:val="25F25ABF"/>
    <w:rsid w:val="25F7546A"/>
    <w:rsid w:val="27047C2A"/>
    <w:rsid w:val="280C0087"/>
    <w:rsid w:val="288527C5"/>
    <w:rsid w:val="28A610AE"/>
    <w:rsid w:val="28B72249"/>
    <w:rsid w:val="29300041"/>
    <w:rsid w:val="2AAD1304"/>
    <w:rsid w:val="2BB327BE"/>
    <w:rsid w:val="2CD07DE1"/>
    <w:rsid w:val="2DA327C7"/>
    <w:rsid w:val="2DFF4E1A"/>
    <w:rsid w:val="2E775430"/>
    <w:rsid w:val="30037B6E"/>
    <w:rsid w:val="308146C2"/>
    <w:rsid w:val="30DC5EDB"/>
    <w:rsid w:val="30E3245E"/>
    <w:rsid w:val="31132938"/>
    <w:rsid w:val="321F334C"/>
    <w:rsid w:val="32A108E2"/>
    <w:rsid w:val="333359B0"/>
    <w:rsid w:val="33420893"/>
    <w:rsid w:val="33484DD4"/>
    <w:rsid w:val="34851D66"/>
    <w:rsid w:val="34C74ADD"/>
    <w:rsid w:val="353731BE"/>
    <w:rsid w:val="358F4C83"/>
    <w:rsid w:val="35CB37E1"/>
    <w:rsid w:val="36013B56"/>
    <w:rsid w:val="36545440"/>
    <w:rsid w:val="366C6C99"/>
    <w:rsid w:val="37823126"/>
    <w:rsid w:val="38874ACF"/>
    <w:rsid w:val="395525D2"/>
    <w:rsid w:val="398D26CB"/>
    <w:rsid w:val="3A5E2137"/>
    <w:rsid w:val="3AEF3BB8"/>
    <w:rsid w:val="3BAF0AAE"/>
    <w:rsid w:val="3C1F4918"/>
    <w:rsid w:val="3CCC0B18"/>
    <w:rsid w:val="3DAF0D3F"/>
    <w:rsid w:val="3DB50D85"/>
    <w:rsid w:val="3FA62E29"/>
    <w:rsid w:val="417A7305"/>
    <w:rsid w:val="428B0805"/>
    <w:rsid w:val="432A73E6"/>
    <w:rsid w:val="43864CA6"/>
    <w:rsid w:val="43C20756"/>
    <w:rsid w:val="44036645"/>
    <w:rsid w:val="4455511A"/>
    <w:rsid w:val="4593426C"/>
    <w:rsid w:val="479C3360"/>
    <w:rsid w:val="47A86F4D"/>
    <w:rsid w:val="49516307"/>
    <w:rsid w:val="499A50B7"/>
    <w:rsid w:val="49A80EA2"/>
    <w:rsid w:val="49BE5337"/>
    <w:rsid w:val="4A480792"/>
    <w:rsid w:val="4ADA1349"/>
    <w:rsid w:val="4B184675"/>
    <w:rsid w:val="4B627F61"/>
    <w:rsid w:val="4BC812B7"/>
    <w:rsid w:val="4BF70A34"/>
    <w:rsid w:val="4C1A156A"/>
    <w:rsid w:val="4C556AED"/>
    <w:rsid w:val="4C6E6818"/>
    <w:rsid w:val="4D9C1893"/>
    <w:rsid w:val="4DDF01C3"/>
    <w:rsid w:val="4E051034"/>
    <w:rsid w:val="4E1C0C26"/>
    <w:rsid w:val="4F3C210E"/>
    <w:rsid w:val="4FD709B8"/>
    <w:rsid w:val="501555F2"/>
    <w:rsid w:val="503C7042"/>
    <w:rsid w:val="520612F9"/>
    <w:rsid w:val="521F2FAF"/>
    <w:rsid w:val="53A235E8"/>
    <w:rsid w:val="55D92508"/>
    <w:rsid w:val="56386FA1"/>
    <w:rsid w:val="56921B6A"/>
    <w:rsid w:val="57490F97"/>
    <w:rsid w:val="57D85D80"/>
    <w:rsid w:val="58B5521D"/>
    <w:rsid w:val="58DE2219"/>
    <w:rsid w:val="593F3897"/>
    <w:rsid w:val="5A4964C2"/>
    <w:rsid w:val="5A925F77"/>
    <w:rsid w:val="5BE001C3"/>
    <w:rsid w:val="5C250D3B"/>
    <w:rsid w:val="5C6B645D"/>
    <w:rsid w:val="5D382BE7"/>
    <w:rsid w:val="5DEE6DAA"/>
    <w:rsid w:val="5E7B3747"/>
    <w:rsid w:val="5F153ADA"/>
    <w:rsid w:val="604C747D"/>
    <w:rsid w:val="60FF69B8"/>
    <w:rsid w:val="62580981"/>
    <w:rsid w:val="631012FF"/>
    <w:rsid w:val="63103FBE"/>
    <w:rsid w:val="63633B90"/>
    <w:rsid w:val="64C75D80"/>
    <w:rsid w:val="64E1790F"/>
    <w:rsid w:val="64F36837"/>
    <w:rsid w:val="64FF2692"/>
    <w:rsid w:val="65180490"/>
    <w:rsid w:val="658B0713"/>
    <w:rsid w:val="6631134F"/>
    <w:rsid w:val="672A6C71"/>
    <w:rsid w:val="68D511B8"/>
    <w:rsid w:val="6AAF4400"/>
    <w:rsid w:val="6B460345"/>
    <w:rsid w:val="6C3E3C0B"/>
    <w:rsid w:val="6CA65E33"/>
    <w:rsid w:val="6CBB6036"/>
    <w:rsid w:val="6CDF3005"/>
    <w:rsid w:val="6D8E15BD"/>
    <w:rsid w:val="6DB128A9"/>
    <w:rsid w:val="6DC714D0"/>
    <w:rsid w:val="6EA463A2"/>
    <w:rsid w:val="6F272B4E"/>
    <w:rsid w:val="70163CB0"/>
    <w:rsid w:val="70C90342"/>
    <w:rsid w:val="723A5978"/>
    <w:rsid w:val="72C56FBD"/>
    <w:rsid w:val="72CC480B"/>
    <w:rsid w:val="73FB4BB7"/>
    <w:rsid w:val="74B37A05"/>
    <w:rsid w:val="74B71D42"/>
    <w:rsid w:val="74E76399"/>
    <w:rsid w:val="75774810"/>
    <w:rsid w:val="76561050"/>
    <w:rsid w:val="786D1E96"/>
    <w:rsid w:val="78A029F4"/>
    <w:rsid w:val="78CC04D0"/>
    <w:rsid w:val="79111F24"/>
    <w:rsid w:val="79B946AC"/>
    <w:rsid w:val="7A5E62FF"/>
    <w:rsid w:val="7BF267D8"/>
    <w:rsid w:val="7CD42A70"/>
    <w:rsid w:val="7D0B6E70"/>
    <w:rsid w:val="7F7B314F"/>
    <w:rsid w:val="7FD82D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9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uiPriority="39" w:name="toc 3"/>
    <w:lsdException w:qFormat="1" w:unhideWhenUsed="0" w:uiPriority="0" w:semiHidden="0"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iPriority="99" w:semiHidden="0"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0" w:semiHidden="0" w:name="Body Text First Indent 2"/>
    <w:lsdException w:uiPriority="99" w:name="Note Heading"/>
    <w:lsdException w:qFormat="1" w:unhideWhenUsed="0" w:uiPriority="0" w:semiHidden="0"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360" w:lineRule="auto"/>
      <w:ind w:firstLine="883" w:firstLineChars="200"/>
      <w:jc w:val="both"/>
    </w:pPr>
    <w:rPr>
      <w:rFonts w:ascii="Times New Roman" w:hAnsi="Times New Roman" w:cs="Times New Roman" w:eastAsiaTheme="minorEastAsia"/>
      <w:kern w:val="2"/>
      <w:sz w:val="21"/>
      <w:szCs w:val="21"/>
      <w:lang w:val="en-US" w:eastAsia="zh-CN" w:bidi="ar-SA"/>
    </w:rPr>
  </w:style>
  <w:style w:type="paragraph" w:styleId="2">
    <w:name w:val="heading 1"/>
    <w:basedOn w:val="1"/>
    <w:next w:val="1"/>
    <w:link w:val="52"/>
    <w:qFormat/>
    <w:uiPriority w:val="99"/>
    <w:pPr>
      <w:keepNext/>
      <w:keepLines/>
      <w:spacing w:line="560" w:lineRule="exact"/>
      <w:outlineLvl w:val="0"/>
    </w:pPr>
    <w:rPr>
      <w:rFonts w:ascii="黑体" w:hAnsi="黑体"/>
      <w:b/>
      <w:bCs/>
      <w:kern w:val="44"/>
      <w:sz w:val="24"/>
      <w:szCs w:val="44"/>
    </w:rPr>
  </w:style>
  <w:style w:type="paragraph" w:styleId="3">
    <w:name w:val="heading 2"/>
    <w:basedOn w:val="1"/>
    <w:next w:val="1"/>
    <w:qFormat/>
    <w:uiPriority w:val="0"/>
    <w:pPr>
      <w:keepNext/>
      <w:keepLines/>
      <w:jc w:val="left"/>
      <w:outlineLvl w:val="1"/>
    </w:pPr>
    <w:rPr>
      <w:rFonts w:ascii="Cambria" w:hAnsi="Cambria"/>
      <w:b/>
      <w:bCs/>
      <w:kern w:val="0"/>
      <w:sz w:val="24"/>
      <w:szCs w:val="32"/>
    </w:rPr>
  </w:style>
  <w:style w:type="paragraph" w:styleId="4">
    <w:name w:val="heading 3"/>
    <w:basedOn w:val="1"/>
    <w:next w:val="5"/>
    <w:qFormat/>
    <w:uiPriority w:val="99"/>
    <w:pPr>
      <w:keepNext/>
      <w:keepLines/>
      <w:outlineLvl w:val="2"/>
    </w:pPr>
    <w:rPr>
      <w:rFonts w:ascii="仿宋_GB2312" w:hAnsi="仿宋_GB2312"/>
      <w:b/>
      <w:bCs/>
      <w:kern w:val="0"/>
      <w:szCs w:val="32"/>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6"/>
    <w:qFormat/>
    <w:uiPriority w:val="0"/>
    <w:pPr>
      <w:ind w:firstLine="420"/>
    </w:pPr>
  </w:style>
  <w:style w:type="paragraph" w:styleId="6">
    <w:name w:val="toc 4"/>
    <w:basedOn w:val="1"/>
    <w:next w:val="1"/>
    <w:qFormat/>
    <w:uiPriority w:val="0"/>
    <w:pPr>
      <w:ind w:left="1260" w:leftChars="600"/>
    </w:pPr>
  </w:style>
  <w:style w:type="paragraph" w:styleId="7">
    <w:name w:val="toa heading"/>
    <w:basedOn w:val="1"/>
    <w:next w:val="1"/>
    <w:unhideWhenUsed/>
    <w:qFormat/>
    <w:uiPriority w:val="99"/>
    <w:pPr>
      <w:spacing w:before="120"/>
    </w:pPr>
    <w:rPr>
      <w:rFonts w:ascii="Arial" w:hAnsi="Arial"/>
      <w:sz w:val="24"/>
    </w:rPr>
  </w:style>
  <w:style w:type="paragraph" w:styleId="8">
    <w:name w:val="annotation text"/>
    <w:basedOn w:val="1"/>
    <w:link w:val="47"/>
    <w:unhideWhenUsed/>
    <w:qFormat/>
    <w:uiPriority w:val="99"/>
    <w:rPr>
      <w:rFonts w:ascii="Calibri" w:hAnsi="Calibri" w:eastAsia="仿宋"/>
      <w:kern w:val="0"/>
      <w:sz w:val="24"/>
      <w:szCs w:val="20"/>
    </w:rPr>
  </w:style>
  <w:style w:type="paragraph" w:styleId="9">
    <w:name w:val="Body Text"/>
    <w:basedOn w:val="1"/>
    <w:qFormat/>
    <w:uiPriority w:val="0"/>
  </w:style>
  <w:style w:type="paragraph" w:styleId="10">
    <w:name w:val="Body Text Indent"/>
    <w:basedOn w:val="1"/>
    <w:qFormat/>
    <w:uiPriority w:val="0"/>
    <w:pPr>
      <w:ind w:firstLine="570"/>
    </w:pPr>
    <w:rPr>
      <w:rFonts w:eastAsia="宋体"/>
      <w:sz w:val="24"/>
    </w:rPr>
  </w:style>
  <w:style w:type="paragraph" w:styleId="11">
    <w:name w:val="Balloon Text"/>
    <w:basedOn w:val="1"/>
    <w:link w:val="49"/>
    <w:semiHidden/>
    <w:unhideWhenUsed/>
    <w:qFormat/>
    <w:uiPriority w:val="99"/>
    <w:pPr>
      <w:spacing w:line="240" w:lineRule="auto"/>
    </w:pPr>
    <w:rPr>
      <w:sz w:val="18"/>
      <w:szCs w:val="18"/>
    </w:rPr>
  </w:style>
  <w:style w:type="paragraph" w:styleId="12">
    <w:name w:val="footer"/>
    <w:basedOn w:val="1"/>
    <w:link w:val="28"/>
    <w:unhideWhenUsed/>
    <w:qFormat/>
    <w:uiPriority w:val="99"/>
    <w:pPr>
      <w:tabs>
        <w:tab w:val="center" w:pos="4153"/>
        <w:tab w:val="right" w:pos="8306"/>
      </w:tabs>
      <w:jc w:val="left"/>
    </w:pPr>
    <w:rPr>
      <w:sz w:val="18"/>
      <w:szCs w:val="18"/>
    </w:rPr>
  </w:style>
  <w:style w:type="paragraph" w:styleId="13">
    <w:name w:val="header"/>
    <w:basedOn w:val="1"/>
    <w:link w:val="27"/>
    <w:unhideWhenUsed/>
    <w:qFormat/>
    <w:uiPriority w:val="99"/>
    <w:pPr>
      <w:pBdr>
        <w:bottom w:val="single" w:color="auto" w:sz="6" w:space="1"/>
      </w:pBdr>
      <w:tabs>
        <w:tab w:val="center" w:pos="4153"/>
        <w:tab w:val="right" w:pos="8306"/>
      </w:tabs>
      <w:jc w:val="center"/>
    </w:pPr>
    <w:rPr>
      <w:sz w:val="18"/>
      <w:szCs w:val="18"/>
    </w:rPr>
  </w:style>
  <w:style w:type="paragraph" w:styleId="14">
    <w:name w:val="toc 1"/>
    <w:basedOn w:val="1"/>
    <w:next w:val="1"/>
    <w:qFormat/>
    <w:uiPriority w:val="39"/>
    <w:pPr>
      <w:tabs>
        <w:tab w:val="right" w:leader="dot" w:pos="9356"/>
      </w:tabs>
      <w:ind w:firstLine="0" w:firstLineChars="0"/>
    </w:pPr>
    <w:rPr>
      <w:rFonts w:ascii="黑体" w:hAnsi="黑体" w:cs="仿宋_GB2312"/>
      <w:bCs/>
      <w:color w:val="000000"/>
      <w:kern w:val="0"/>
      <w:sz w:val="28"/>
      <w:szCs w:val="28"/>
    </w:rPr>
  </w:style>
  <w:style w:type="paragraph" w:styleId="15">
    <w:name w:val="toc 2"/>
    <w:basedOn w:val="1"/>
    <w:next w:val="1"/>
    <w:semiHidden/>
    <w:unhideWhenUsed/>
    <w:qFormat/>
    <w:uiPriority w:val="39"/>
    <w:pPr>
      <w:ind w:firstLine="663" w:firstLineChars="150"/>
    </w:pPr>
    <w:rPr>
      <w:sz w:val="24"/>
    </w:rPr>
  </w:style>
  <w:style w:type="paragraph" w:styleId="16">
    <w:name w:val="Body Text 2"/>
    <w:basedOn w:val="1"/>
    <w:qFormat/>
    <w:uiPriority w:val="0"/>
    <w:pPr>
      <w:spacing w:after="120" w:line="480" w:lineRule="auto"/>
    </w:pPr>
    <w:rPr>
      <w:rFonts w:eastAsia="宋体"/>
    </w:rPr>
  </w:style>
  <w:style w:type="paragraph" w:styleId="17">
    <w:name w:val="Normal (Web)"/>
    <w:basedOn w:val="1"/>
    <w:semiHidden/>
    <w:unhideWhenUsed/>
    <w:qFormat/>
    <w:uiPriority w:val="99"/>
    <w:pPr>
      <w:spacing w:beforeAutospacing="1" w:afterAutospacing="1"/>
      <w:jc w:val="left"/>
    </w:pPr>
    <w:rPr>
      <w:kern w:val="0"/>
      <w:sz w:val="24"/>
    </w:rPr>
  </w:style>
  <w:style w:type="paragraph" w:styleId="18">
    <w:name w:val="annotation subject"/>
    <w:basedOn w:val="8"/>
    <w:next w:val="8"/>
    <w:link w:val="48"/>
    <w:semiHidden/>
    <w:unhideWhenUsed/>
    <w:qFormat/>
    <w:uiPriority w:val="99"/>
    <w:pPr>
      <w:jc w:val="left"/>
    </w:pPr>
    <w:rPr>
      <w:rFonts w:ascii="Times New Roman" w:hAnsi="Times New Roman" w:eastAsiaTheme="minorEastAsia"/>
      <w:b/>
      <w:bCs/>
      <w:kern w:val="2"/>
      <w:sz w:val="21"/>
      <w:szCs w:val="21"/>
    </w:rPr>
  </w:style>
  <w:style w:type="paragraph" w:styleId="19">
    <w:name w:val="Body Text First Indent"/>
    <w:basedOn w:val="9"/>
    <w:qFormat/>
    <w:uiPriority w:val="0"/>
    <w:pPr>
      <w:ind w:firstLine="420" w:firstLineChars="100"/>
    </w:pPr>
  </w:style>
  <w:style w:type="paragraph" w:styleId="20">
    <w:name w:val="Body Text First Indent 2"/>
    <w:basedOn w:val="10"/>
    <w:qFormat/>
    <w:uiPriority w:val="0"/>
    <w:pPr>
      <w:ind w:firstLine="420"/>
    </w:pPr>
  </w:style>
  <w:style w:type="table" w:styleId="22">
    <w:name w:val="Table Grid"/>
    <w:basedOn w:val="21"/>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Strong"/>
    <w:basedOn w:val="23"/>
    <w:qFormat/>
    <w:uiPriority w:val="22"/>
    <w:rPr>
      <w:b/>
    </w:rPr>
  </w:style>
  <w:style w:type="character" w:styleId="25">
    <w:name w:val="page number"/>
    <w:basedOn w:val="23"/>
    <w:qFormat/>
    <w:uiPriority w:val="0"/>
  </w:style>
  <w:style w:type="character" w:styleId="26">
    <w:name w:val="annotation reference"/>
    <w:basedOn w:val="23"/>
    <w:semiHidden/>
    <w:unhideWhenUsed/>
    <w:qFormat/>
    <w:uiPriority w:val="99"/>
    <w:rPr>
      <w:sz w:val="21"/>
      <w:szCs w:val="21"/>
    </w:rPr>
  </w:style>
  <w:style w:type="character" w:customStyle="1" w:styleId="27">
    <w:name w:val="页眉 Char"/>
    <w:basedOn w:val="23"/>
    <w:link w:val="13"/>
    <w:qFormat/>
    <w:uiPriority w:val="99"/>
    <w:rPr>
      <w:sz w:val="18"/>
      <w:szCs w:val="18"/>
    </w:rPr>
  </w:style>
  <w:style w:type="character" w:customStyle="1" w:styleId="28">
    <w:name w:val="页脚 Char"/>
    <w:basedOn w:val="23"/>
    <w:link w:val="12"/>
    <w:qFormat/>
    <w:uiPriority w:val="99"/>
    <w:rPr>
      <w:sz w:val="18"/>
      <w:szCs w:val="18"/>
    </w:rPr>
  </w:style>
  <w:style w:type="paragraph" w:customStyle="1" w:styleId="29">
    <w:name w:val="闻政-正文二级标题"/>
    <w:basedOn w:val="3"/>
    <w:next w:val="30"/>
    <w:qFormat/>
    <w:uiPriority w:val="3"/>
    <w:pPr>
      <w:spacing w:before="120" w:after="60" w:line="500" w:lineRule="exact"/>
      <w:ind w:left="200" w:leftChars="200" w:firstLine="0" w:firstLineChars="0"/>
    </w:pPr>
    <w:rPr>
      <w:rFonts w:ascii="Times New Roman" w:hAnsi="Times New Roman"/>
      <w:sz w:val="28"/>
    </w:rPr>
  </w:style>
  <w:style w:type="paragraph" w:customStyle="1" w:styleId="30">
    <w:name w:val="闻政-正文段落文字"/>
    <w:basedOn w:val="1"/>
    <w:qFormat/>
    <w:uiPriority w:val="3"/>
    <w:pPr>
      <w:spacing w:line="500" w:lineRule="exact"/>
      <w:ind w:firstLine="200"/>
    </w:pPr>
    <w:rPr>
      <w:kern w:val="0"/>
      <w:szCs w:val="28"/>
    </w:rPr>
  </w:style>
  <w:style w:type="paragraph" w:customStyle="1" w:styleId="31">
    <w:name w:val="闻政-正文一级标题"/>
    <w:basedOn w:val="4"/>
    <w:next w:val="30"/>
    <w:qFormat/>
    <w:uiPriority w:val="3"/>
    <w:pPr>
      <w:spacing w:before="120" w:after="60" w:line="500" w:lineRule="exact"/>
      <w:ind w:firstLine="0" w:firstLineChars="0"/>
      <w:outlineLvl w:val="0"/>
    </w:pPr>
    <w:rPr>
      <w:rFonts w:ascii="黑体" w:hAnsi="黑体" w:eastAsia="黑体"/>
      <w:sz w:val="32"/>
    </w:rPr>
  </w:style>
  <w:style w:type="paragraph" w:styleId="32">
    <w:name w:val="List Paragraph"/>
    <w:basedOn w:val="1"/>
    <w:qFormat/>
    <w:uiPriority w:val="34"/>
    <w:pPr>
      <w:ind w:firstLine="420"/>
    </w:pPr>
  </w:style>
  <w:style w:type="paragraph" w:customStyle="1" w:styleId="33">
    <w:name w:val="正文 A"/>
    <w:qFormat/>
    <w:uiPriority w:val="99"/>
    <w:pPr>
      <w:widowControl w:val="0"/>
      <w:spacing w:before="50" w:after="50" w:line="360" w:lineRule="auto"/>
    </w:pPr>
    <w:rPr>
      <w:rFonts w:ascii="Times New Roman" w:hAnsi="Arial Unicode MS" w:eastAsia="Times New Roman" w:cs="Arial Unicode MS"/>
      <w:color w:val="000000"/>
      <w:kern w:val="2"/>
      <w:sz w:val="28"/>
      <w:szCs w:val="28"/>
      <w:u w:color="000000"/>
      <w:lang w:val="en-US" w:eastAsia="zh-CN" w:bidi="ar-SA"/>
    </w:rPr>
  </w:style>
  <w:style w:type="paragraph" w:customStyle="1" w:styleId="34">
    <w:name w:val="WPSOffice手动目录 1"/>
    <w:qFormat/>
    <w:uiPriority w:val="0"/>
    <w:rPr>
      <w:rFonts w:ascii="Times New Roman" w:hAnsi="Times New Roman" w:eastAsia="宋体" w:cs="Times New Roman"/>
      <w:lang w:val="en-US" w:eastAsia="zh-CN" w:bidi="ar-SA"/>
    </w:rPr>
  </w:style>
  <w:style w:type="paragraph" w:customStyle="1" w:styleId="35">
    <w:name w:val="WPSOffice手动目录 2"/>
    <w:qFormat/>
    <w:uiPriority w:val="0"/>
    <w:pPr>
      <w:ind w:left="200" w:leftChars="200"/>
    </w:pPr>
    <w:rPr>
      <w:rFonts w:ascii="Times New Roman" w:hAnsi="Times New Roman" w:eastAsia="宋体" w:cs="Times New Roman"/>
      <w:lang w:val="en-US" w:eastAsia="zh-CN" w:bidi="ar-SA"/>
    </w:rPr>
  </w:style>
  <w:style w:type="table" w:customStyle="1" w:styleId="36">
    <w:name w:val="Table Normal"/>
    <w:semiHidden/>
    <w:unhideWhenUsed/>
    <w:qFormat/>
    <w:uiPriority w:val="0"/>
    <w:tblPr>
      <w:tblCellMar>
        <w:top w:w="0" w:type="dxa"/>
        <w:left w:w="0" w:type="dxa"/>
        <w:bottom w:w="0" w:type="dxa"/>
        <w:right w:w="0" w:type="dxa"/>
      </w:tblCellMar>
    </w:tblPr>
  </w:style>
  <w:style w:type="character" w:customStyle="1" w:styleId="37">
    <w:name w:val="font31"/>
    <w:basedOn w:val="23"/>
    <w:qFormat/>
    <w:uiPriority w:val="0"/>
    <w:rPr>
      <w:rFonts w:hint="eastAsia" w:ascii="宋体" w:hAnsi="宋体" w:eastAsia="宋体" w:cs="宋体"/>
      <w:color w:val="000000"/>
      <w:sz w:val="21"/>
      <w:szCs w:val="21"/>
      <w:u w:val="none"/>
    </w:rPr>
  </w:style>
  <w:style w:type="character" w:customStyle="1" w:styleId="38">
    <w:name w:val="font101"/>
    <w:basedOn w:val="23"/>
    <w:qFormat/>
    <w:uiPriority w:val="0"/>
    <w:rPr>
      <w:rFonts w:hint="eastAsia" w:ascii="仿宋_GB2312" w:eastAsia="仿宋_GB2312" w:cs="仿宋_GB2312"/>
      <w:color w:val="000000"/>
      <w:sz w:val="16"/>
      <w:szCs w:val="16"/>
      <w:u w:val="none"/>
    </w:rPr>
  </w:style>
  <w:style w:type="character" w:customStyle="1" w:styleId="39">
    <w:name w:val="font51"/>
    <w:basedOn w:val="23"/>
    <w:qFormat/>
    <w:uiPriority w:val="0"/>
    <w:rPr>
      <w:rFonts w:hint="eastAsia" w:ascii="仿宋_GB2312" w:eastAsia="仿宋_GB2312" w:cs="仿宋_GB2312"/>
      <w:color w:val="000000"/>
      <w:sz w:val="16"/>
      <w:szCs w:val="16"/>
      <w:u w:val="none"/>
    </w:rPr>
  </w:style>
  <w:style w:type="character" w:customStyle="1" w:styleId="40">
    <w:name w:val="font21"/>
    <w:basedOn w:val="23"/>
    <w:qFormat/>
    <w:uiPriority w:val="0"/>
    <w:rPr>
      <w:rFonts w:hint="eastAsia" w:ascii="宋体" w:hAnsi="宋体" w:eastAsia="宋体" w:cs="宋体"/>
      <w:color w:val="FF0000"/>
      <w:sz w:val="20"/>
      <w:szCs w:val="20"/>
      <w:u w:val="none"/>
    </w:rPr>
  </w:style>
  <w:style w:type="character" w:customStyle="1" w:styleId="41">
    <w:name w:val="font41"/>
    <w:basedOn w:val="23"/>
    <w:qFormat/>
    <w:uiPriority w:val="0"/>
    <w:rPr>
      <w:rFonts w:hint="eastAsia" w:ascii="宋体" w:hAnsi="宋体" w:eastAsia="宋体" w:cs="宋体"/>
      <w:color w:val="000000"/>
      <w:sz w:val="20"/>
      <w:szCs w:val="20"/>
      <w:u w:val="none"/>
    </w:rPr>
  </w:style>
  <w:style w:type="character" w:customStyle="1" w:styleId="42">
    <w:name w:val="font81"/>
    <w:basedOn w:val="23"/>
    <w:qFormat/>
    <w:uiPriority w:val="0"/>
    <w:rPr>
      <w:rFonts w:ascii="Arial" w:hAnsi="Arial" w:cs="Arial"/>
      <w:color w:val="000000"/>
      <w:sz w:val="21"/>
      <w:szCs w:val="21"/>
      <w:u w:val="none"/>
    </w:rPr>
  </w:style>
  <w:style w:type="character" w:customStyle="1" w:styleId="43">
    <w:name w:val="font71"/>
    <w:basedOn w:val="23"/>
    <w:qFormat/>
    <w:uiPriority w:val="0"/>
    <w:rPr>
      <w:rFonts w:hint="eastAsia" w:ascii="宋体" w:hAnsi="宋体" w:eastAsia="宋体" w:cs="宋体"/>
      <w:color w:val="000000"/>
      <w:sz w:val="17"/>
      <w:szCs w:val="17"/>
      <w:u w:val="none"/>
    </w:rPr>
  </w:style>
  <w:style w:type="paragraph" w:customStyle="1" w:styleId="44">
    <w:name w:val="p-txt"/>
    <w:basedOn w:val="1"/>
    <w:qFormat/>
    <w:uiPriority w:val="0"/>
    <w:pPr>
      <w:widowControl/>
      <w:spacing w:before="100" w:beforeAutospacing="1" w:after="100" w:afterAutospacing="1"/>
      <w:jc w:val="left"/>
    </w:pPr>
    <w:rPr>
      <w:rFonts w:ascii="宋体" w:hAnsi="宋体" w:cs="宋体"/>
      <w:kern w:val="0"/>
      <w:sz w:val="24"/>
    </w:rPr>
  </w:style>
  <w:style w:type="character" w:customStyle="1" w:styleId="45">
    <w:name w:val="font61"/>
    <w:basedOn w:val="23"/>
    <w:qFormat/>
    <w:uiPriority w:val="0"/>
    <w:rPr>
      <w:rFonts w:hint="eastAsia" w:ascii="宋体" w:hAnsi="宋体" w:eastAsia="宋体" w:cs="宋体"/>
      <w:color w:val="000000"/>
      <w:sz w:val="20"/>
      <w:szCs w:val="20"/>
      <w:u w:val="none"/>
    </w:rPr>
  </w:style>
  <w:style w:type="paragraph" w:customStyle="1" w:styleId="46">
    <w:name w:val="p0"/>
    <w:basedOn w:val="1"/>
    <w:qFormat/>
    <w:uiPriority w:val="0"/>
    <w:pPr>
      <w:widowControl/>
    </w:pPr>
    <w:rPr>
      <w:kern w:val="0"/>
    </w:rPr>
  </w:style>
  <w:style w:type="character" w:customStyle="1" w:styleId="47">
    <w:name w:val="批注文字 Char"/>
    <w:basedOn w:val="23"/>
    <w:link w:val="8"/>
    <w:qFormat/>
    <w:uiPriority w:val="99"/>
    <w:rPr>
      <w:rFonts w:ascii="Calibri" w:hAnsi="Calibri" w:eastAsia="仿宋"/>
      <w:sz w:val="24"/>
    </w:rPr>
  </w:style>
  <w:style w:type="character" w:customStyle="1" w:styleId="48">
    <w:name w:val="批注主题 Char"/>
    <w:basedOn w:val="47"/>
    <w:link w:val="18"/>
    <w:semiHidden/>
    <w:qFormat/>
    <w:uiPriority w:val="99"/>
    <w:rPr>
      <w:rFonts w:ascii="Calibri" w:hAnsi="Calibri" w:eastAsiaTheme="minorEastAsia"/>
      <w:b/>
      <w:bCs/>
      <w:kern w:val="2"/>
      <w:sz w:val="21"/>
      <w:szCs w:val="21"/>
    </w:rPr>
  </w:style>
  <w:style w:type="character" w:customStyle="1" w:styleId="49">
    <w:name w:val="批注框文本 Char"/>
    <w:basedOn w:val="23"/>
    <w:link w:val="11"/>
    <w:semiHidden/>
    <w:qFormat/>
    <w:uiPriority w:val="99"/>
    <w:rPr>
      <w:rFonts w:eastAsiaTheme="minorEastAsia"/>
      <w:kern w:val="2"/>
      <w:sz w:val="18"/>
      <w:szCs w:val="18"/>
    </w:rPr>
  </w:style>
  <w:style w:type="character" w:customStyle="1" w:styleId="50">
    <w:name w:val="font11"/>
    <w:basedOn w:val="23"/>
    <w:qFormat/>
    <w:uiPriority w:val="0"/>
    <w:rPr>
      <w:rFonts w:hint="eastAsia" w:ascii="宋体" w:hAnsi="宋体" w:eastAsia="宋体" w:cs="宋体"/>
      <w:color w:val="000000"/>
      <w:sz w:val="28"/>
      <w:szCs w:val="28"/>
      <w:u w:val="none"/>
    </w:rPr>
  </w:style>
  <w:style w:type="paragraph" w:customStyle="1" w:styleId="51">
    <w:name w:val="Table Text"/>
    <w:basedOn w:val="1"/>
    <w:semiHidden/>
    <w:qFormat/>
    <w:uiPriority w:val="0"/>
    <w:rPr>
      <w:rFonts w:ascii="宋体" w:hAnsi="宋体" w:eastAsia="宋体" w:cs="宋体"/>
      <w:sz w:val="20"/>
      <w:szCs w:val="20"/>
      <w:lang w:val="en-US" w:eastAsia="en-US" w:bidi="ar-SA"/>
    </w:rPr>
  </w:style>
  <w:style w:type="character" w:customStyle="1" w:styleId="52">
    <w:name w:val="标题 1 Char"/>
    <w:link w:val="2"/>
    <w:qFormat/>
    <w:uiPriority w:val="99"/>
    <w:rPr>
      <w:rFonts w:ascii="黑体" w:hAnsi="黑体"/>
      <w:b/>
      <w:bCs/>
      <w:kern w:val="44"/>
      <w:sz w:val="24"/>
      <w:szCs w:val="44"/>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17.jpeg"/><Relationship Id="rId30" Type="http://schemas.openxmlformats.org/officeDocument/2006/relationships/image" Target="media/image16.jpeg"/><Relationship Id="rId3" Type="http://schemas.openxmlformats.org/officeDocument/2006/relationships/footnotes" Target="footnotes.xml"/><Relationship Id="rId29" Type="http://schemas.openxmlformats.org/officeDocument/2006/relationships/image" Target="media/image15.jpeg"/><Relationship Id="rId28" Type="http://schemas.openxmlformats.org/officeDocument/2006/relationships/image" Target="media/image14.jpeg"/><Relationship Id="rId27" Type="http://schemas.openxmlformats.org/officeDocument/2006/relationships/image" Target="media/image13.jpeg"/><Relationship Id="rId26" Type="http://schemas.openxmlformats.org/officeDocument/2006/relationships/image" Target="media/image12.jpeg"/><Relationship Id="rId25" Type="http://schemas.openxmlformats.org/officeDocument/2006/relationships/image" Target="media/image11.jpeg"/><Relationship Id="rId24" Type="http://schemas.openxmlformats.org/officeDocument/2006/relationships/image" Target="media/image10.jpeg"/><Relationship Id="rId23" Type="http://schemas.openxmlformats.org/officeDocument/2006/relationships/image" Target="media/image9.jpeg"/><Relationship Id="rId22" Type="http://schemas.openxmlformats.org/officeDocument/2006/relationships/image" Target="media/image8.jpeg"/><Relationship Id="rId21" Type="http://schemas.openxmlformats.org/officeDocument/2006/relationships/image" Target="media/image7.jpeg"/><Relationship Id="rId20" Type="http://schemas.openxmlformats.org/officeDocument/2006/relationships/image" Target="media/image6.jpe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jpeg"/><Relationship Id="rId17" Type="http://schemas.openxmlformats.org/officeDocument/2006/relationships/image" Target="media/image3.jpeg"/><Relationship Id="rId16" Type="http://schemas.openxmlformats.org/officeDocument/2006/relationships/image" Target="media/image2.jpeg"/><Relationship Id="rId15" Type="http://schemas.openxmlformats.org/officeDocument/2006/relationships/image" Target="media/image1.jpeg"/><Relationship Id="rId14" Type="http://schemas.openxmlformats.org/officeDocument/2006/relationships/theme" Target="theme/theme1.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52</Pages>
  <Words>31392</Words>
  <Characters>35982</Characters>
  <Lines>227</Lines>
  <Paragraphs>64</Paragraphs>
  <TotalTime>9</TotalTime>
  <ScaleCrop>false</ScaleCrop>
  <LinksUpToDate>false</LinksUpToDate>
  <CharactersWithSpaces>36369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2020-09-22T07:41:00Z</dcterms:created>
  <dc:creator>Lenovo</dc:creator>
  <cp:lastModifiedBy>HH</cp:lastModifiedBy>
  <dcterms:modified xsi:type="dcterms:W3CDTF">2025-09-10T04:47:29Z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06A108CB3DB34726B54E30970CD00B57_13</vt:lpwstr>
  </property>
  <property fmtid="{D5CDD505-2E9C-101B-9397-08002B2CF9AE}" pid="4" name="KSOTemplateDocerSaveRecord">
    <vt:lpwstr>eyJoZGlkIjoiZDU5ODI3OTZlMjJmZjZkNDhjY2NkNTZiNTU2ZmRkMGYiLCJ1c2VySWQiOiI0OTM4NDcxMDAifQ==</vt:lpwstr>
  </property>
</Properties>
</file>