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AD1FD66">
      <w:pPr>
        <w:pageBreakBefore w:val="0"/>
        <w:pBdr>
          <w:bottom w:val="dotDotDash" w:color="auto" w:sz="24" w:space="10"/>
        </w:pBdr>
        <w:kinsoku/>
        <w:wordWrap/>
        <w:overflowPunct/>
        <w:topLinePunct w:val="0"/>
        <w:autoSpaceDE/>
        <w:autoSpaceDN/>
        <w:bidi w:val="0"/>
        <w:adjustRightInd/>
        <w:snapToGrid w:val="0"/>
        <w:spacing w:before="312" w:beforeLines="100" w:after="312" w:afterLines="100" w:line="360" w:lineRule="auto"/>
        <w:ind w:firstLine="0" w:firstLineChars="0"/>
        <w:rPr>
          <w:rFonts w:hint="default" w:ascii="Times New Roman" w:hAnsi="Times New Roman" w:eastAsia="黑体" w:cs="Times New Roman"/>
          <w:b/>
          <w:color w:val="auto"/>
          <w:sz w:val="30"/>
          <w:szCs w:val="30"/>
        </w:rPr>
      </w:pPr>
    </w:p>
    <w:p w14:paraId="799C5A24">
      <w:pPr>
        <w:pageBreakBefore w:val="0"/>
        <w:pBdr>
          <w:bottom w:val="dotDotDash" w:color="auto" w:sz="24" w:space="10"/>
        </w:pBdr>
        <w:kinsoku/>
        <w:wordWrap/>
        <w:overflowPunct/>
        <w:topLinePunct w:val="0"/>
        <w:autoSpaceDE/>
        <w:autoSpaceDN/>
        <w:bidi w:val="0"/>
        <w:adjustRightInd/>
        <w:snapToGrid w:val="0"/>
        <w:spacing w:before="312" w:beforeLines="100" w:after="312" w:afterLines="100" w:line="360" w:lineRule="auto"/>
        <w:ind w:firstLine="0" w:firstLineChars="0"/>
        <w:jc w:val="center"/>
        <w:rPr>
          <w:rFonts w:hint="default" w:ascii="Times New Roman" w:hAnsi="Times New Roman" w:eastAsia="黑体" w:cs="Times New Roman"/>
          <w:b/>
          <w:color w:val="auto"/>
          <w:sz w:val="30"/>
          <w:szCs w:val="30"/>
        </w:rPr>
      </w:pPr>
    </w:p>
    <w:p w14:paraId="3EADF377">
      <w:pPr>
        <w:keepNext w:val="0"/>
        <w:keepLines w:val="0"/>
        <w:pageBreakBefore w:val="0"/>
        <w:widowControl w:val="0"/>
        <w:pBdr>
          <w:bottom w:val="dotDotDash" w:color="auto" w:sz="24" w:space="10"/>
        </w:pBdr>
        <w:kinsoku/>
        <w:wordWrap/>
        <w:overflowPunct/>
        <w:topLinePunct w:val="0"/>
        <w:autoSpaceDE/>
        <w:autoSpaceDN/>
        <w:bidi w:val="0"/>
        <w:adjustRightInd w:val="0"/>
        <w:snapToGrid w:val="0"/>
        <w:spacing w:before="156" w:beforeLines="50" w:after="157" w:afterLines="50" w:line="240" w:lineRule="auto"/>
        <w:ind w:firstLine="0" w:firstLineChars="0"/>
        <w:jc w:val="center"/>
        <w:textAlignment w:val="center"/>
        <w:rPr>
          <w:rFonts w:hint="default" w:ascii="Times New Roman" w:hAnsi="Times New Roman" w:eastAsia="黑体" w:cs="Times New Roman"/>
          <w:b/>
          <w:color w:val="auto"/>
          <w:sz w:val="44"/>
          <w:szCs w:val="22"/>
          <w:lang w:val="en-US" w:eastAsia="zh-CN"/>
        </w:rPr>
      </w:pPr>
      <w:r>
        <w:rPr>
          <w:rFonts w:hint="default" w:ascii="Times New Roman" w:hAnsi="Times New Roman" w:eastAsia="黑体" w:cs="Times New Roman"/>
          <w:b/>
          <w:color w:val="auto"/>
          <w:sz w:val="44"/>
          <w:szCs w:val="22"/>
          <w:lang w:val="en-US" w:eastAsia="zh-CN"/>
        </w:rPr>
        <w:t>吉木萨尔县住房和城乡建设局</w:t>
      </w:r>
    </w:p>
    <w:p w14:paraId="5FBF8F80">
      <w:pPr>
        <w:keepNext w:val="0"/>
        <w:keepLines w:val="0"/>
        <w:pageBreakBefore w:val="0"/>
        <w:widowControl w:val="0"/>
        <w:pBdr>
          <w:bottom w:val="dotDotDash" w:color="auto" w:sz="24" w:space="10"/>
        </w:pBdr>
        <w:kinsoku/>
        <w:wordWrap/>
        <w:overflowPunct/>
        <w:topLinePunct w:val="0"/>
        <w:autoSpaceDE/>
        <w:autoSpaceDN/>
        <w:bidi w:val="0"/>
        <w:adjustRightInd w:val="0"/>
        <w:snapToGrid w:val="0"/>
        <w:spacing w:before="156" w:beforeLines="50" w:after="157" w:afterLines="50" w:line="240" w:lineRule="auto"/>
        <w:ind w:firstLine="0" w:firstLineChars="0"/>
        <w:jc w:val="center"/>
        <w:textAlignment w:val="center"/>
        <w:rPr>
          <w:rFonts w:hint="default" w:ascii="Times New Roman" w:hAnsi="Times New Roman" w:eastAsia="黑体" w:cs="Times New Roman"/>
          <w:b/>
          <w:color w:val="auto"/>
          <w:sz w:val="44"/>
          <w:szCs w:val="22"/>
          <w:lang w:val="en-US" w:eastAsia="zh-CN"/>
        </w:rPr>
      </w:pPr>
      <w:r>
        <w:rPr>
          <w:rFonts w:hint="default" w:ascii="Times New Roman" w:hAnsi="Times New Roman" w:eastAsia="黑体" w:cs="Times New Roman"/>
          <w:b/>
          <w:color w:val="auto"/>
          <w:sz w:val="44"/>
          <w:szCs w:val="22"/>
          <w:lang w:val="en-US" w:eastAsia="zh-CN"/>
        </w:rPr>
        <w:t>吉木萨尔县城市管理服务“三位一体”委托运营项目</w:t>
      </w:r>
    </w:p>
    <w:p w14:paraId="46AF5042">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eastAsia="黑体" w:cs="Times New Roman"/>
          <w:color w:val="auto"/>
          <w:sz w:val="44"/>
          <w:szCs w:val="44"/>
        </w:rPr>
      </w:pPr>
      <w:r>
        <w:rPr>
          <w:rFonts w:hint="default" w:ascii="Times New Roman" w:hAnsi="Times New Roman" w:eastAsia="黑体" w:cs="Times New Roman"/>
          <w:color w:val="auto"/>
          <w:spacing w:val="23"/>
          <w:kern w:val="0"/>
          <w:sz w:val="44"/>
          <w:szCs w:val="44"/>
          <w:fitText w:val="2872" w:id="1924366299"/>
        </w:rPr>
        <w:t>绩效评价报</w:t>
      </w:r>
      <w:r>
        <w:rPr>
          <w:rFonts w:hint="default" w:ascii="Times New Roman" w:hAnsi="Times New Roman" w:eastAsia="黑体" w:cs="Times New Roman"/>
          <w:color w:val="auto"/>
          <w:spacing w:val="1"/>
          <w:kern w:val="0"/>
          <w:sz w:val="44"/>
          <w:szCs w:val="44"/>
          <w:fitText w:val="2872" w:id="1924366299"/>
        </w:rPr>
        <w:t>告</w:t>
      </w:r>
    </w:p>
    <w:p w14:paraId="4665743B">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cs="Times New Roman"/>
          <w:color w:val="auto"/>
        </w:rPr>
      </w:pPr>
      <w:r>
        <w:rPr>
          <w:rFonts w:hint="default" w:ascii="Times New Roman" w:hAnsi="Times New Roman" w:eastAsia="黑体" w:cs="Times New Roman"/>
          <w:color w:val="auto"/>
        </w:rPr>
        <w:t>驰天会咨字[20</w:t>
      </w:r>
      <w:r>
        <w:rPr>
          <w:rFonts w:hint="default" w:ascii="Times New Roman" w:hAnsi="Times New Roman" w:eastAsia="黑体" w:cs="Times New Roman"/>
          <w:color w:val="auto"/>
          <w:lang w:val="en-US" w:eastAsia="zh-CN"/>
        </w:rPr>
        <w:t>25</w:t>
      </w:r>
      <w:r>
        <w:rPr>
          <w:rFonts w:hint="default" w:ascii="Times New Roman" w:hAnsi="Times New Roman" w:eastAsia="黑体" w:cs="Times New Roman"/>
          <w:color w:val="auto"/>
        </w:rPr>
        <w:t>]1-</w:t>
      </w:r>
      <w:r>
        <w:rPr>
          <w:rFonts w:hint="default" w:ascii="Times New Roman" w:hAnsi="Times New Roman" w:eastAsia="黑体" w:cs="Times New Roman"/>
          <w:color w:val="auto"/>
          <w:lang w:val="en-US" w:eastAsia="zh-CN"/>
        </w:rPr>
        <w:t>0179</w:t>
      </w:r>
      <w:r>
        <w:rPr>
          <w:rFonts w:hint="default" w:ascii="Times New Roman" w:hAnsi="Times New Roman" w:eastAsia="黑体" w:cs="Times New Roman"/>
          <w:color w:val="auto"/>
        </w:rPr>
        <w:t>号</w:t>
      </w:r>
    </w:p>
    <w:p w14:paraId="7B01BBEE">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cs="Times New Roman"/>
          <w:b/>
          <w:color w:val="auto"/>
          <w:sz w:val="32"/>
          <w:szCs w:val="22"/>
        </w:rPr>
      </w:pPr>
    </w:p>
    <w:p w14:paraId="7DEF80D4">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cs="Times New Roman"/>
          <w:b/>
          <w:color w:val="auto"/>
          <w:sz w:val="32"/>
          <w:szCs w:val="22"/>
        </w:rPr>
      </w:pPr>
    </w:p>
    <w:p w14:paraId="6CDDF738">
      <w:pPr>
        <w:pageBreakBefore w:val="0"/>
        <w:kinsoku/>
        <w:wordWrap/>
        <w:overflowPunct/>
        <w:topLinePunct w:val="0"/>
        <w:autoSpaceDE/>
        <w:autoSpaceDN/>
        <w:bidi w:val="0"/>
        <w:adjustRightInd/>
        <w:snapToGrid w:val="0"/>
        <w:spacing w:before="0" w:after="0" w:line="360" w:lineRule="auto"/>
        <w:ind w:firstLine="0" w:firstLineChars="0"/>
        <w:jc w:val="both"/>
        <w:rPr>
          <w:rFonts w:hint="default" w:ascii="Times New Roman" w:hAnsi="Times New Roman" w:cs="Times New Roman"/>
          <w:b/>
          <w:color w:val="auto"/>
          <w:sz w:val="32"/>
          <w:szCs w:val="22"/>
        </w:rPr>
      </w:pPr>
    </w:p>
    <w:p w14:paraId="6F246074">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cs="Times New Roman"/>
          <w:b/>
          <w:color w:val="auto"/>
          <w:sz w:val="32"/>
          <w:szCs w:val="22"/>
        </w:rPr>
      </w:pPr>
    </w:p>
    <w:p w14:paraId="0A28AE8B">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cs="Times New Roman"/>
          <w:b/>
          <w:color w:val="auto"/>
          <w:sz w:val="32"/>
          <w:szCs w:val="22"/>
        </w:rPr>
      </w:pPr>
    </w:p>
    <w:p w14:paraId="34E93FB9">
      <w:pPr>
        <w:pageBreakBefore w:val="0"/>
        <w:kinsoku/>
        <w:wordWrap/>
        <w:overflowPunct/>
        <w:topLinePunct w:val="0"/>
        <w:autoSpaceDE/>
        <w:autoSpaceDN/>
        <w:bidi w:val="0"/>
        <w:adjustRightInd/>
        <w:snapToGrid w:val="0"/>
        <w:spacing w:before="0" w:after="0" w:line="360" w:lineRule="auto"/>
        <w:ind w:firstLine="0" w:firstLineChars="0"/>
        <w:rPr>
          <w:rFonts w:hint="default" w:ascii="Times New Roman" w:hAnsi="Times New Roman" w:cs="Times New Roman"/>
          <w:b/>
          <w:color w:val="auto"/>
          <w:sz w:val="32"/>
          <w:szCs w:val="22"/>
        </w:rPr>
      </w:pPr>
    </w:p>
    <w:p w14:paraId="73060623">
      <w:pPr>
        <w:pStyle w:val="8"/>
        <w:pageBreakBefore w:val="0"/>
        <w:kinsoku/>
        <w:wordWrap/>
        <w:overflowPunct/>
        <w:topLinePunct w:val="0"/>
        <w:autoSpaceDE/>
        <w:autoSpaceDN/>
        <w:bidi w:val="0"/>
        <w:snapToGrid w:val="0"/>
        <w:spacing w:before="0" w:after="0" w:line="360" w:lineRule="auto"/>
        <w:ind w:firstLine="643"/>
        <w:rPr>
          <w:rFonts w:hint="default" w:ascii="Times New Roman" w:hAnsi="Times New Roman" w:cs="Times New Roman"/>
          <w:b/>
          <w:color w:val="auto"/>
          <w:sz w:val="32"/>
          <w:szCs w:val="22"/>
        </w:rPr>
      </w:pPr>
    </w:p>
    <w:p w14:paraId="78F58DC4">
      <w:pPr>
        <w:pStyle w:val="8"/>
        <w:pageBreakBefore w:val="0"/>
        <w:kinsoku/>
        <w:wordWrap/>
        <w:overflowPunct/>
        <w:topLinePunct w:val="0"/>
        <w:autoSpaceDE/>
        <w:autoSpaceDN/>
        <w:bidi w:val="0"/>
        <w:snapToGrid w:val="0"/>
        <w:spacing w:before="0" w:after="0" w:line="360" w:lineRule="auto"/>
        <w:ind w:firstLine="643"/>
        <w:rPr>
          <w:rFonts w:hint="default" w:ascii="Times New Roman" w:hAnsi="Times New Roman" w:cs="Times New Roman"/>
          <w:b/>
          <w:color w:val="auto"/>
          <w:sz w:val="32"/>
          <w:szCs w:val="22"/>
        </w:rPr>
      </w:pPr>
    </w:p>
    <w:p w14:paraId="04F252E3">
      <w:pPr>
        <w:pStyle w:val="8"/>
        <w:pageBreakBefore w:val="0"/>
        <w:kinsoku/>
        <w:wordWrap/>
        <w:overflowPunct/>
        <w:topLinePunct w:val="0"/>
        <w:autoSpaceDE/>
        <w:autoSpaceDN/>
        <w:bidi w:val="0"/>
        <w:snapToGrid w:val="0"/>
        <w:spacing w:before="0" w:after="0" w:line="360" w:lineRule="auto"/>
        <w:ind w:firstLine="643"/>
        <w:rPr>
          <w:rFonts w:hint="default" w:ascii="Times New Roman" w:hAnsi="Times New Roman" w:cs="Times New Roman"/>
          <w:b/>
          <w:color w:val="auto"/>
          <w:sz w:val="32"/>
          <w:szCs w:val="22"/>
        </w:rPr>
      </w:pPr>
    </w:p>
    <w:p w14:paraId="7810A8E3">
      <w:pPr>
        <w:pStyle w:val="8"/>
        <w:pageBreakBefore w:val="0"/>
        <w:kinsoku/>
        <w:wordWrap/>
        <w:overflowPunct/>
        <w:topLinePunct w:val="0"/>
        <w:autoSpaceDE/>
        <w:autoSpaceDN/>
        <w:bidi w:val="0"/>
        <w:snapToGrid w:val="0"/>
        <w:spacing w:before="0" w:after="0" w:line="360" w:lineRule="auto"/>
        <w:ind w:firstLine="643"/>
        <w:rPr>
          <w:rFonts w:hint="default" w:ascii="Times New Roman" w:hAnsi="Times New Roman" w:cs="Times New Roman"/>
          <w:b/>
          <w:color w:val="auto"/>
          <w:sz w:val="32"/>
          <w:szCs w:val="22"/>
        </w:rPr>
      </w:pPr>
    </w:p>
    <w:p w14:paraId="7227AFBE">
      <w:pPr>
        <w:pStyle w:val="15"/>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p>
    <w:p w14:paraId="215C2F70">
      <w:pPr>
        <w:pStyle w:val="15"/>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p>
    <w:p w14:paraId="1EC68202">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cs="Times New Roman"/>
          <w:b/>
          <w:color w:val="auto"/>
          <w:sz w:val="32"/>
          <w:szCs w:val="22"/>
        </w:rPr>
      </w:pPr>
      <w:r>
        <w:rPr>
          <w:rFonts w:hint="default" w:ascii="Times New Roman" w:hAnsi="Times New Roman" w:cs="Times New Roman"/>
          <w:b/>
          <w:color w:val="auto"/>
          <w:sz w:val="32"/>
          <w:szCs w:val="22"/>
        </w:rPr>
        <w:t>新疆驰远天合有限责任会计师事务所</w:t>
      </w:r>
    </w:p>
    <w:p w14:paraId="517D1E4B">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eastAsia="等线" w:cs="Times New Roman"/>
          <w:b/>
          <w:color w:val="auto"/>
          <w:sz w:val="28"/>
          <w:szCs w:val="28"/>
        </w:rPr>
      </w:pPr>
      <w:r>
        <w:rPr>
          <w:rFonts w:hint="default" w:ascii="Times New Roman" w:hAnsi="Times New Roman" w:eastAsia="等线" w:cs="Times New Roman"/>
          <w:b/>
          <w:color w:val="auto"/>
          <w:sz w:val="28"/>
          <w:szCs w:val="28"/>
        </w:rPr>
        <w:t>XIN JIANG CHI YUAN TIAN HE</w:t>
      </w:r>
    </w:p>
    <w:p w14:paraId="633CE8E1">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eastAsia="等线" w:cs="Times New Roman"/>
          <w:b/>
          <w:color w:val="auto"/>
        </w:rPr>
      </w:pPr>
      <w:r>
        <w:rPr>
          <w:rFonts w:hint="default" w:ascii="Times New Roman" w:hAnsi="Times New Roman" w:eastAsia="等线" w:cs="Times New Roman"/>
          <w:b/>
          <w:color w:val="auto"/>
        </w:rPr>
        <w:t>Certified Public Accountants Co.,Ltd.</w:t>
      </w:r>
    </w:p>
    <w:p w14:paraId="11CAA934">
      <w:pPr>
        <w:pageBreakBefore w:val="0"/>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rPr>
      </w:pPr>
    </w:p>
    <w:p w14:paraId="546006CB">
      <w:pPr>
        <w:pageBreakBefore w:val="0"/>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lang w:val="en-US" w:eastAsia="zh-CN"/>
        </w:rPr>
      </w:pPr>
      <w:r>
        <w:rPr>
          <w:rFonts w:hint="default" w:ascii="Times New Roman" w:hAnsi="Times New Roman" w:eastAsia="黑体" w:cs="Times New Roman"/>
          <w:bCs/>
          <w:color w:val="auto"/>
          <w:sz w:val="24"/>
          <w:szCs w:val="24"/>
        </w:rPr>
        <w:t>项目名称：</w:t>
      </w:r>
      <w:r>
        <w:rPr>
          <w:rFonts w:hint="default" w:ascii="Times New Roman" w:hAnsi="Times New Roman" w:eastAsia="黑体" w:cs="Times New Roman"/>
          <w:bCs/>
          <w:color w:val="auto"/>
          <w:sz w:val="24"/>
          <w:szCs w:val="24"/>
          <w:lang w:val="en-US" w:eastAsia="zh-CN"/>
        </w:rPr>
        <w:t>吉木萨尔县城市管理服务“三位一体”委托运营项目</w:t>
      </w:r>
    </w:p>
    <w:p w14:paraId="49B6CAEA">
      <w:pPr>
        <w:pageBreakBefore w:val="0"/>
        <w:widowControl/>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rPr>
      </w:pPr>
      <w:r>
        <w:rPr>
          <w:rFonts w:hint="default" w:ascii="Times New Roman" w:hAnsi="Times New Roman" w:eastAsia="黑体" w:cs="Times New Roman"/>
          <w:bCs/>
          <w:color w:val="auto"/>
          <w:sz w:val="24"/>
          <w:szCs w:val="24"/>
        </w:rPr>
        <w:t>委托单位：</w:t>
      </w:r>
      <w:r>
        <w:rPr>
          <w:rFonts w:hint="default" w:ascii="Times New Roman" w:hAnsi="Times New Roman" w:eastAsia="黑体" w:cs="Times New Roman"/>
          <w:bCs/>
          <w:color w:val="auto"/>
          <w:sz w:val="24"/>
          <w:szCs w:val="24"/>
          <w:lang w:val="en-US" w:eastAsia="zh-CN"/>
        </w:rPr>
        <w:t>吉木萨尔县财政局</w:t>
      </w:r>
    </w:p>
    <w:p w14:paraId="7282ADF0">
      <w:pPr>
        <w:pageBreakBefore w:val="0"/>
        <w:widowControl/>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rPr>
      </w:pPr>
      <w:r>
        <w:rPr>
          <w:rFonts w:hint="default" w:ascii="Times New Roman" w:hAnsi="Times New Roman" w:eastAsia="黑体" w:cs="Times New Roman"/>
          <w:bCs/>
          <w:color w:val="auto"/>
          <w:sz w:val="24"/>
          <w:szCs w:val="24"/>
        </w:rPr>
        <w:t>评价机构：新疆驰远天合有限责任会计师事务所</w:t>
      </w:r>
    </w:p>
    <w:p w14:paraId="3C92F776">
      <w:pPr>
        <w:pageBreakBefore w:val="0"/>
        <w:widowControl/>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rPr>
      </w:pPr>
      <w:r>
        <w:rPr>
          <w:rFonts w:hint="default" w:ascii="Times New Roman" w:hAnsi="Times New Roman" w:eastAsia="黑体" w:cs="Times New Roman"/>
          <w:bCs/>
          <w:color w:val="auto"/>
          <w:sz w:val="24"/>
          <w:szCs w:val="24"/>
        </w:rPr>
        <w:t>机构负责人：孙卫红</w:t>
      </w:r>
    </w:p>
    <w:p w14:paraId="24D3577E">
      <w:pPr>
        <w:pageBreakBefore w:val="0"/>
        <w:widowControl/>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rPr>
      </w:pPr>
      <w:r>
        <w:rPr>
          <w:rFonts w:hint="default" w:ascii="Times New Roman" w:hAnsi="Times New Roman" w:eastAsia="黑体" w:cs="Times New Roman"/>
          <w:bCs/>
          <w:color w:val="auto"/>
          <w:sz w:val="24"/>
          <w:szCs w:val="24"/>
        </w:rPr>
        <w:t>联系方式：0991-2835917、0991-2831583</w:t>
      </w:r>
    </w:p>
    <w:p w14:paraId="44F4D698">
      <w:pPr>
        <w:pageBreakBefore w:val="0"/>
        <w:widowControl/>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rPr>
      </w:pPr>
      <w:r>
        <w:rPr>
          <w:rFonts w:hint="default" w:ascii="Times New Roman" w:hAnsi="Times New Roman" w:eastAsia="黑体" w:cs="Times New Roman"/>
          <w:bCs/>
          <w:color w:val="auto"/>
          <w:sz w:val="24"/>
          <w:szCs w:val="24"/>
        </w:rPr>
        <w:t>通讯地址：新疆乌鲁木齐市天山区新华南路9号汇源大厦13楼</w:t>
      </w:r>
    </w:p>
    <w:p w14:paraId="1E13FA55">
      <w:pPr>
        <w:pageBreakBefore w:val="0"/>
        <w:widowControl/>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rPr>
      </w:pPr>
      <w:r>
        <w:rPr>
          <w:rFonts w:hint="default" w:ascii="Times New Roman" w:hAnsi="Times New Roman" w:eastAsia="黑体" w:cs="Times New Roman"/>
          <w:bCs/>
          <w:color w:val="auto"/>
          <w:sz w:val="24"/>
          <w:szCs w:val="24"/>
        </w:rPr>
        <w:t>邮政编码：830004</w:t>
      </w:r>
    </w:p>
    <w:p w14:paraId="0E6CCF16">
      <w:pPr>
        <w:pageBreakBefore w:val="0"/>
        <w:widowControl/>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rPr>
      </w:pPr>
    </w:p>
    <w:p w14:paraId="558489F9">
      <w:pPr>
        <w:pageBreakBefore w:val="0"/>
        <w:widowControl/>
        <w:kinsoku/>
        <w:wordWrap/>
        <w:overflowPunct/>
        <w:topLinePunct w:val="0"/>
        <w:autoSpaceDE/>
        <w:autoSpaceDN/>
        <w:bidi w:val="0"/>
        <w:snapToGrid w:val="0"/>
        <w:spacing w:before="0" w:after="0" w:line="360" w:lineRule="auto"/>
        <w:ind w:firstLine="0" w:firstLineChars="0"/>
        <w:rPr>
          <w:rFonts w:hint="default" w:ascii="Times New Roman" w:hAnsi="Times New Roman" w:eastAsia="黑体" w:cs="Times New Roman"/>
          <w:bCs/>
          <w:color w:val="auto"/>
          <w:sz w:val="24"/>
          <w:szCs w:val="24"/>
        </w:rPr>
      </w:pPr>
    </w:p>
    <w:p w14:paraId="155D46CA">
      <w:pPr>
        <w:widowControl/>
        <w:spacing w:line="440" w:lineRule="exact"/>
        <w:ind w:firstLine="0" w:firstLineChars="0"/>
        <w:rPr>
          <w:rFonts w:hint="default" w:ascii="Times New Roman" w:hAnsi="Times New Roman" w:eastAsia="黑体" w:cs="Times New Roman"/>
          <w:bCs/>
          <w:color w:val="auto"/>
          <w:sz w:val="24"/>
          <w:szCs w:val="24"/>
        </w:rPr>
      </w:pPr>
      <w:r>
        <w:rPr>
          <w:rFonts w:hint="default" w:ascii="Times New Roman" w:hAnsi="Times New Roman" w:eastAsia="黑体" w:cs="Times New Roman"/>
          <w:bCs/>
          <w:color w:val="auto"/>
          <w:sz w:val="24"/>
          <w:szCs w:val="24"/>
        </w:rPr>
        <w:t>项目评价小组成员：</w:t>
      </w:r>
    </w:p>
    <w:p w14:paraId="7F9AE56E">
      <w:pPr>
        <w:widowControl/>
        <w:spacing w:line="240" w:lineRule="auto"/>
        <w:ind w:firstLine="480"/>
        <w:rPr>
          <w:rFonts w:hint="default" w:ascii="Times New Roman" w:hAnsi="Times New Roman" w:eastAsia="黑体" w:cs="Times New Roman"/>
          <w:bCs/>
          <w:color w:val="auto"/>
          <w:sz w:val="24"/>
          <w:szCs w:val="24"/>
        </w:rPr>
      </w:pPr>
    </w:p>
    <w:p w14:paraId="32DDAD97">
      <w:pPr>
        <w:pageBreakBefore w:val="0"/>
        <w:widowControl/>
        <w:kinsoku/>
        <w:wordWrap/>
        <w:overflowPunct/>
        <w:topLinePunct w:val="0"/>
        <w:autoSpaceDE/>
        <w:autoSpaceDN/>
        <w:bidi w:val="0"/>
        <w:snapToGrid w:val="0"/>
        <w:spacing w:line="360" w:lineRule="auto"/>
        <w:ind w:firstLine="480"/>
        <w:rPr>
          <w:rFonts w:hint="default" w:ascii="Times New Roman" w:hAnsi="Times New Roman" w:eastAsia="黑体" w:cs="Times New Roman"/>
          <w:bCs/>
          <w:color w:val="auto"/>
          <w:sz w:val="24"/>
          <w:szCs w:val="24"/>
        </w:rPr>
      </w:pPr>
      <w:r>
        <w:rPr>
          <w:rFonts w:hint="default" w:ascii="Times New Roman" w:hAnsi="Times New Roman" w:eastAsia="黑体" w:cs="Times New Roman"/>
          <w:bCs/>
          <w:color w:val="auto"/>
          <w:sz w:val="24"/>
          <w:szCs w:val="24"/>
        </w:rPr>
        <w:t>项目主评人：冯延萍  注册会计师、注册评估师</w:t>
      </w:r>
    </w:p>
    <w:p w14:paraId="471ACDA8">
      <w:pPr>
        <w:pageBreakBefore w:val="0"/>
        <w:widowControl/>
        <w:kinsoku/>
        <w:wordWrap/>
        <w:overflowPunct/>
        <w:topLinePunct w:val="0"/>
        <w:autoSpaceDE/>
        <w:autoSpaceDN/>
        <w:bidi w:val="0"/>
        <w:snapToGrid w:val="0"/>
        <w:spacing w:line="360" w:lineRule="auto"/>
        <w:ind w:firstLine="480"/>
        <w:rPr>
          <w:rFonts w:hint="default" w:ascii="Times New Roman" w:hAnsi="Times New Roman" w:eastAsia="黑体" w:cs="Times New Roman"/>
          <w:bCs/>
          <w:color w:val="auto"/>
          <w:sz w:val="24"/>
          <w:szCs w:val="24"/>
          <w:lang w:val="en-US" w:eastAsia="zh-CN"/>
        </w:rPr>
      </w:pPr>
      <w:r>
        <w:rPr>
          <w:rFonts w:hint="default" w:ascii="Times New Roman" w:hAnsi="Times New Roman" w:eastAsia="黑体" w:cs="Times New Roman"/>
          <w:bCs/>
          <w:color w:val="auto"/>
          <w:sz w:val="24"/>
          <w:szCs w:val="24"/>
        </w:rPr>
        <w:t xml:space="preserve">报告复核人：腊晓林  </w:t>
      </w:r>
      <w:r>
        <w:rPr>
          <w:rFonts w:hint="default" w:ascii="Times New Roman" w:hAnsi="Times New Roman" w:eastAsia="黑体" w:cs="Times New Roman"/>
          <w:bCs/>
          <w:color w:val="auto"/>
          <w:sz w:val="24"/>
          <w:szCs w:val="24"/>
          <w:lang w:val="en-US" w:eastAsia="zh-CN"/>
        </w:rPr>
        <w:t>咨询工程师</w:t>
      </w:r>
    </w:p>
    <w:p w14:paraId="23491384">
      <w:pPr>
        <w:pageBreakBefore w:val="0"/>
        <w:widowControl/>
        <w:kinsoku/>
        <w:wordWrap/>
        <w:overflowPunct/>
        <w:topLinePunct w:val="0"/>
        <w:autoSpaceDE/>
        <w:autoSpaceDN/>
        <w:bidi w:val="0"/>
        <w:snapToGrid w:val="0"/>
        <w:spacing w:line="360" w:lineRule="auto"/>
        <w:ind w:firstLine="480"/>
        <w:rPr>
          <w:rFonts w:hint="default" w:ascii="Times New Roman" w:hAnsi="Times New Roman" w:eastAsia="黑体" w:cs="Times New Roman"/>
          <w:bCs/>
          <w:color w:val="auto"/>
          <w:sz w:val="24"/>
          <w:szCs w:val="24"/>
        </w:rPr>
      </w:pPr>
      <w:r>
        <w:rPr>
          <w:rFonts w:hint="default" w:ascii="Times New Roman" w:hAnsi="Times New Roman" w:eastAsia="黑体" w:cs="Times New Roman"/>
          <w:bCs/>
          <w:color w:val="auto"/>
          <w:sz w:val="24"/>
          <w:szCs w:val="24"/>
        </w:rPr>
        <w:t>项目负责人：郝</w:t>
      </w:r>
      <w:r>
        <w:rPr>
          <w:rFonts w:hint="default" w:ascii="Times New Roman" w:hAnsi="Times New Roman" w:eastAsia="黑体" w:cs="Times New Roman"/>
          <w:bCs/>
          <w:color w:val="auto"/>
          <w:sz w:val="24"/>
          <w:szCs w:val="24"/>
          <w:lang w:val="en-US" w:eastAsia="zh-CN"/>
        </w:rPr>
        <w:t xml:space="preserve">  </w:t>
      </w:r>
      <w:r>
        <w:rPr>
          <w:rFonts w:hint="default" w:ascii="Times New Roman" w:hAnsi="Times New Roman" w:eastAsia="黑体" w:cs="Times New Roman"/>
          <w:bCs/>
          <w:color w:val="auto"/>
          <w:sz w:val="24"/>
          <w:szCs w:val="24"/>
        </w:rPr>
        <w:t>欢</w:t>
      </w:r>
    </w:p>
    <w:p w14:paraId="0F355C6D">
      <w:pPr>
        <w:pageBreakBefore w:val="0"/>
        <w:widowControl/>
        <w:kinsoku/>
        <w:wordWrap/>
        <w:overflowPunct/>
        <w:topLinePunct w:val="0"/>
        <w:autoSpaceDE/>
        <w:autoSpaceDN/>
        <w:bidi w:val="0"/>
        <w:snapToGrid w:val="0"/>
        <w:spacing w:line="360" w:lineRule="auto"/>
        <w:ind w:firstLine="480"/>
        <w:rPr>
          <w:rFonts w:hint="default" w:ascii="Times New Roman" w:hAnsi="Times New Roman" w:eastAsia="黑体" w:cs="Times New Roman"/>
          <w:bCs/>
          <w:color w:val="auto"/>
          <w:sz w:val="24"/>
          <w:szCs w:val="24"/>
          <w:lang w:val="en-US" w:eastAsia="zh-CN"/>
        </w:rPr>
      </w:pPr>
      <w:r>
        <w:rPr>
          <w:rFonts w:hint="default" w:ascii="Times New Roman" w:hAnsi="Times New Roman" w:eastAsia="黑体" w:cs="Times New Roman"/>
          <w:bCs/>
          <w:color w:val="auto"/>
          <w:sz w:val="24"/>
          <w:szCs w:val="24"/>
        </w:rPr>
        <w:t>项目组成员：</w:t>
      </w:r>
      <w:r>
        <w:rPr>
          <w:rFonts w:hint="default" w:ascii="Times New Roman" w:hAnsi="Times New Roman" w:eastAsia="黑体" w:cs="Times New Roman"/>
          <w:bCs/>
          <w:color w:val="auto"/>
          <w:sz w:val="24"/>
          <w:szCs w:val="24"/>
          <w:lang w:val="en-US" w:eastAsia="zh-CN"/>
        </w:rPr>
        <w:t>石俊宇</w:t>
      </w:r>
    </w:p>
    <w:p w14:paraId="0D2AAEF1">
      <w:pPr>
        <w:keepNext/>
        <w:keepLines/>
        <w:pageBreakBefore w:val="0"/>
        <w:kinsoku/>
        <w:wordWrap/>
        <w:overflowPunct/>
        <w:topLinePunct w:val="0"/>
        <w:autoSpaceDE/>
        <w:autoSpaceDN/>
        <w:bidi w:val="0"/>
        <w:adjustRightInd/>
        <w:snapToGrid w:val="0"/>
        <w:spacing w:before="0" w:after="0" w:line="360" w:lineRule="auto"/>
        <w:ind w:firstLine="0" w:firstLineChars="0"/>
        <w:rPr>
          <w:rFonts w:hint="default" w:ascii="Times New Roman" w:hAnsi="Times New Roman" w:eastAsia="黑体" w:cs="Times New Roman"/>
          <w:bCs/>
          <w:color w:val="auto"/>
          <w:sz w:val="24"/>
          <w:szCs w:val="24"/>
        </w:rPr>
        <w:sectPr>
          <w:headerReference r:id="rId7" w:type="first"/>
          <w:footerReference r:id="rId10" w:type="first"/>
          <w:headerReference r:id="rId5" w:type="default"/>
          <w:footerReference r:id="rId8" w:type="default"/>
          <w:headerReference r:id="rId6" w:type="even"/>
          <w:footerReference r:id="rId9" w:type="even"/>
          <w:pgSz w:w="11906" w:h="16838"/>
          <w:pgMar w:top="1440" w:right="1797" w:bottom="1440" w:left="1797" w:header="851" w:footer="992" w:gutter="0"/>
          <w:pgNumType w:fmt="upperRoman" w:start="1"/>
          <w:cols w:space="720" w:num="1"/>
          <w:docGrid w:type="lines" w:linePitch="312" w:charSpace="0"/>
        </w:sectPr>
      </w:pPr>
    </w:p>
    <w:p w14:paraId="4C4BBAD0">
      <w:pPr>
        <w:pStyle w:val="2"/>
        <w:pageBreakBefore w:val="0"/>
        <w:kinsoku/>
        <w:wordWrap/>
        <w:overflowPunct/>
        <w:topLinePunct w:val="0"/>
        <w:autoSpaceDE/>
        <w:autoSpaceDN/>
        <w:bidi w:val="0"/>
        <w:snapToGrid w:val="0"/>
        <w:spacing w:before="0" w:after="0" w:line="360" w:lineRule="auto"/>
        <w:ind w:firstLine="0" w:firstLineChars="0"/>
        <w:jc w:val="center"/>
        <w:rPr>
          <w:rFonts w:hint="default" w:ascii="Times New Roman" w:hAnsi="Times New Roman" w:cs="Times New Roman"/>
          <w:color w:val="auto"/>
        </w:rPr>
      </w:pPr>
      <w:bookmarkStart w:id="0" w:name="_Toc16666"/>
      <w:bookmarkStart w:id="1" w:name="_Toc31437"/>
      <w:bookmarkStart w:id="2" w:name="_Toc28447"/>
      <w:bookmarkStart w:id="3" w:name="_Toc26712"/>
      <w:bookmarkStart w:id="4" w:name="_Toc9680"/>
      <w:bookmarkStart w:id="5" w:name="_Toc17859"/>
      <w:bookmarkStart w:id="6" w:name="_Toc27606"/>
      <w:bookmarkStart w:id="7" w:name="_Toc10292"/>
      <w:bookmarkStart w:id="8" w:name="_Toc13486"/>
      <w:r>
        <w:rPr>
          <w:rFonts w:hint="default" w:ascii="Times New Roman" w:hAnsi="Times New Roman" w:cs="Times New Roman"/>
          <w:color w:val="auto"/>
          <w:szCs w:val="32"/>
        </w:rPr>
        <w:t>报告摘要</w:t>
      </w:r>
      <w:bookmarkEnd w:id="0"/>
      <w:bookmarkEnd w:id="1"/>
      <w:bookmarkEnd w:id="2"/>
      <w:bookmarkEnd w:id="3"/>
      <w:bookmarkEnd w:id="4"/>
      <w:bookmarkEnd w:id="5"/>
      <w:bookmarkEnd w:id="6"/>
      <w:bookmarkEnd w:id="7"/>
      <w:bookmarkEnd w:id="8"/>
    </w:p>
    <w:p w14:paraId="3FA28312">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受</w:t>
      </w:r>
      <w:r>
        <w:rPr>
          <w:rFonts w:hint="default" w:ascii="Times New Roman" w:hAnsi="Times New Roman" w:cs="Times New Roman"/>
          <w:color w:val="auto"/>
          <w:lang w:val="en-US" w:eastAsia="zh-CN"/>
        </w:rPr>
        <w:t>吉木萨尔县财政局</w:t>
      </w:r>
      <w:r>
        <w:rPr>
          <w:rFonts w:hint="default" w:ascii="Times New Roman" w:hAnsi="Times New Roman" w:cs="Times New Roman"/>
          <w:color w:val="auto"/>
        </w:rPr>
        <w:t>委托，新疆驰远天合有限责任会计师事务所以第三方社会评价机构的身份，对</w:t>
      </w:r>
      <w:r>
        <w:rPr>
          <w:rFonts w:hint="default" w:ascii="Times New Roman" w:hAnsi="Times New Roman" w:cs="Times New Roman"/>
          <w:color w:val="auto"/>
          <w:lang w:val="en-US" w:eastAsia="zh-CN"/>
        </w:rPr>
        <w:t>2024</w:t>
      </w:r>
      <w:r>
        <w:rPr>
          <w:rFonts w:hint="default" w:ascii="Times New Roman" w:hAnsi="Times New Roman" w:cs="Times New Roman"/>
          <w:color w:val="auto"/>
        </w:rPr>
        <w:t>年度</w:t>
      </w:r>
      <w:r>
        <w:rPr>
          <w:rFonts w:hint="default" w:ascii="Times New Roman" w:hAnsi="Times New Roman" w:cs="Times New Roman"/>
          <w:color w:val="auto"/>
          <w:lang w:val="en-US" w:eastAsia="zh-CN"/>
        </w:rPr>
        <w:t>吉木萨尔县住房和城乡建设局</w:t>
      </w:r>
      <w:r>
        <w:rPr>
          <w:rFonts w:hint="default" w:ascii="Times New Roman" w:hAnsi="Times New Roman" w:cs="Times New Roman"/>
          <w:color w:val="auto"/>
        </w:rPr>
        <w:t>实施的</w:t>
      </w:r>
      <w:r>
        <w:rPr>
          <w:rFonts w:hint="default" w:ascii="Times New Roman" w:hAnsi="Times New Roman" w:cs="Times New Roman"/>
          <w:color w:val="auto"/>
          <w:lang w:val="en-US" w:eastAsia="zh-CN"/>
        </w:rPr>
        <w:t>吉木萨尔县城市管理服务“三位一体”委托运营项目</w:t>
      </w:r>
      <w:r>
        <w:rPr>
          <w:rFonts w:hint="default" w:ascii="Times New Roman" w:hAnsi="Times New Roman" w:cs="Times New Roman"/>
          <w:color w:val="auto"/>
        </w:rPr>
        <w:t>开展了绩效评价工作并形成绩效评价报告，评价情况如下：</w:t>
      </w:r>
    </w:p>
    <w:p w14:paraId="770AD5BE">
      <w:pPr>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b/>
          <w:bCs/>
          <w:color w:val="auto"/>
          <w:sz w:val="24"/>
          <w:szCs w:val="28"/>
        </w:rPr>
      </w:pPr>
      <w:r>
        <w:rPr>
          <w:rFonts w:hint="default" w:ascii="Times New Roman" w:hAnsi="Times New Roman" w:cs="Times New Roman"/>
          <w:b/>
          <w:bCs/>
          <w:color w:val="auto"/>
          <w:sz w:val="24"/>
          <w:szCs w:val="28"/>
        </w:rPr>
        <w:t>一、基本情况</w:t>
      </w:r>
    </w:p>
    <w:p w14:paraId="23895353">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sz w:val="24"/>
          <w:szCs w:val="28"/>
        </w:rPr>
      </w:pPr>
      <w:r>
        <w:rPr>
          <w:rFonts w:hint="default" w:ascii="Times New Roman" w:hAnsi="Times New Roman" w:cs="Times New Roman"/>
          <w:b/>
          <w:bCs/>
          <w:color w:val="auto"/>
          <w:sz w:val="24"/>
          <w:szCs w:val="28"/>
        </w:rPr>
        <w:t>（一）项目背景</w:t>
      </w:r>
    </w:p>
    <w:p w14:paraId="1E15638A">
      <w:pPr>
        <w:bidi w:val="0"/>
        <w:spacing w:before="0" w:after="0" w:line="360" w:lineRule="auto"/>
        <w:rPr>
          <w:rFonts w:hint="default" w:ascii="Times New Roman" w:hAnsi="Times New Roman" w:cs="Times New Roman"/>
          <w:color w:val="auto"/>
        </w:rPr>
      </w:pPr>
      <w:r>
        <w:rPr>
          <w:rFonts w:hint="default" w:ascii="Times New Roman" w:hAnsi="Times New Roman" w:cs="Times New Roman"/>
          <w:color w:val="auto"/>
        </w:rPr>
        <w:t>环境卫生管理工作是与人民生活息息相关的公共事业，是社会经济发展的基础和保障。国家制定《城市市容和环境卫生管理条例》，提出环境卫生管理应当逐步实行社会化服务</w:t>
      </w:r>
      <w:r>
        <w:rPr>
          <w:rFonts w:hint="default" w:ascii="Times New Roman" w:hAnsi="Times New Roman" w:cs="Times New Roman"/>
          <w:color w:val="auto"/>
          <w:lang w:eastAsia="zh-CN"/>
        </w:rPr>
        <w:t>，</w:t>
      </w:r>
      <w:r>
        <w:rPr>
          <w:rFonts w:hint="default" w:ascii="Times New Roman" w:hAnsi="Times New Roman" w:cs="Times New Roman"/>
          <w:color w:val="auto"/>
        </w:rPr>
        <w:t>加强城市市容和环境卫生管理，创造清洁、优美的城市工作、生活环境，促进城市社会主义物质文明和精神文明建设</w:t>
      </w:r>
      <w:r>
        <w:rPr>
          <w:rFonts w:hint="default" w:ascii="Times New Roman" w:hAnsi="Times New Roman" w:cs="Times New Roman"/>
          <w:color w:val="auto"/>
          <w:lang w:eastAsia="zh-CN"/>
        </w:rPr>
        <w:t>。</w:t>
      </w:r>
      <w:r>
        <w:rPr>
          <w:rFonts w:hint="default" w:ascii="Times New Roman" w:hAnsi="Times New Roman" w:cs="Times New Roman"/>
          <w:color w:val="auto"/>
        </w:rPr>
        <w:t>新疆维吾尔自治区住房和城乡建设厅印发《关于加强自治区城市精细化管理的通知》提出</w:t>
      </w:r>
      <w:r>
        <w:rPr>
          <w:rFonts w:hint="default" w:ascii="Times New Roman" w:hAnsi="Times New Roman" w:cs="Times New Roman"/>
          <w:color w:val="auto"/>
          <w:lang w:eastAsia="zh-CN"/>
        </w:rPr>
        <w:t>，</w:t>
      </w:r>
      <w:r>
        <w:rPr>
          <w:rFonts w:hint="default" w:ascii="Times New Roman" w:hAnsi="Times New Roman" w:cs="Times New Roman"/>
          <w:color w:val="auto"/>
        </w:rPr>
        <w:t>将围绕法治建设、信息化建设、市容市貌管理、环境卫生、园林绿化管理等10个方面</w:t>
      </w:r>
      <w:r>
        <w:rPr>
          <w:rFonts w:hint="default" w:ascii="Times New Roman" w:hAnsi="Times New Roman" w:cs="Times New Roman"/>
          <w:color w:val="auto"/>
          <w:lang w:eastAsia="zh-CN"/>
        </w:rPr>
        <w:t>，</w:t>
      </w:r>
      <w:r>
        <w:rPr>
          <w:rFonts w:hint="default" w:ascii="Times New Roman" w:hAnsi="Times New Roman" w:cs="Times New Roman"/>
          <w:color w:val="auto"/>
        </w:rPr>
        <w:t>通过城市精细化管理提升群众获得感和幸福感。在提升环境卫生水平方面，要全面落实生活垃圾分类和建筑垃圾资源化利用，提高环卫机械效能，大力推进城市道路清扫保洁工作市场化、专业化、标准化。</w:t>
      </w:r>
    </w:p>
    <w:p w14:paraId="4F364C25">
      <w:pPr>
        <w:bidi w:val="0"/>
        <w:spacing w:before="0" w:after="0" w:line="360" w:lineRule="auto"/>
        <w:rPr>
          <w:rFonts w:hint="default" w:ascii="Times New Roman" w:hAnsi="Times New Roman" w:cs="Times New Roman"/>
          <w:color w:val="auto"/>
        </w:rPr>
      </w:pPr>
      <w:r>
        <w:rPr>
          <w:rFonts w:hint="default" w:ascii="Times New Roman" w:hAnsi="Times New Roman" w:cs="Times New Roman"/>
          <w:color w:val="auto"/>
        </w:rPr>
        <w:t>为进一步抓好</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rPr>
        <w:t>城市环境卫生，改善城市居民环境质量</w:t>
      </w:r>
      <w:r>
        <w:rPr>
          <w:rFonts w:hint="default" w:ascii="Times New Roman" w:hAnsi="Times New Roman" w:cs="Times New Roman"/>
          <w:color w:val="auto"/>
          <w:lang w:eastAsia="zh-CN"/>
        </w:rPr>
        <w:t>，</w:t>
      </w:r>
      <w:r>
        <w:rPr>
          <w:rFonts w:hint="default" w:ascii="Times New Roman" w:hAnsi="Times New Roman" w:cs="Times New Roman"/>
          <w:color w:val="auto"/>
        </w:rPr>
        <w:t>推动</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rPr>
        <w:t>城市环境卫生管理事业向“作业专业化、经营企业化、服务社会化、管理规范化”的发展。</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rPr>
        <w:t>住房和城乡建设局通过政府购买服务方式，引进一家有管理经验和实力的环卫公司，对县城道路、工业园区道路及广场等进行清扫保洁，对公共设施的维护管理，解决现行环卫作业效果不高，人员密度不够、考核标准不严、队伍活力不足等突出问题。</w:t>
      </w:r>
    </w:p>
    <w:p w14:paraId="2DFD6E96">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sz w:val="24"/>
          <w:szCs w:val="28"/>
        </w:rPr>
      </w:pPr>
      <w:r>
        <w:rPr>
          <w:rFonts w:hint="default" w:ascii="Times New Roman" w:hAnsi="Times New Roman" w:cs="Times New Roman"/>
          <w:b/>
          <w:bCs/>
          <w:color w:val="auto"/>
          <w:sz w:val="24"/>
          <w:szCs w:val="28"/>
        </w:rPr>
        <w:t>（二）项目概况</w:t>
      </w:r>
    </w:p>
    <w:p w14:paraId="499135CE">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项目名称：吉木萨尔县城市管理服务“三位一体”委托运营项目（以下简称“该项目”）</w:t>
      </w:r>
    </w:p>
    <w:p w14:paraId="5E263EC6">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rPr>
        <w:t>项目</w:t>
      </w:r>
      <w:r>
        <w:rPr>
          <w:rFonts w:hint="default" w:ascii="Times New Roman" w:hAnsi="Times New Roman" w:cs="Times New Roman"/>
          <w:color w:val="auto"/>
          <w:lang w:val="en-US" w:eastAsia="zh-CN"/>
        </w:rPr>
        <w:t>购买</w:t>
      </w:r>
      <w:r>
        <w:rPr>
          <w:rFonts w:hint="default" w:ascii="Times New Roman" w:hAnsi="Times New Roman" w:cs="Times New Roman"/>
          <w:color w:val="auto"/>
        </w:rPr>
        <w:t>主体：吉木萨尔县住房和城乡建设局</w:t>
      </w:r>
      <w:r>
        <w:rPr>
          <w:rFonts w:hint="default" w:ascii="Times New Roman" w:hAnsi="Times New Roman" w:cs="Times New Roman"/>
          <w:color w:val="auto"/>
          <w:lang w:val="en-US" w:eastAsia="zh-CN"/>
        </w:rPr>
        <w:t>（以下简称“吉木萨尔县住建局”）</w:t>
      </w:r>
    </w:p>
    <w:p w14:paraId="000AA7DB">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项目承接主体：泓欣环境集团有限公司（以下简称“泓欣集团”）</w:t>
      </w:r>
    </w:p>
    <w:p w14:paraId="489CFCC2">
      <w:pPr>
        <w:bidi w:val="0"/>
        <w:spacing w:before="0" w:after="0" w:line="360" w:lineRule="auto"/>
        <w:rPr>
          <w:rFonts w:hint="default" w:ascii="Times New Roman" w:hAnsi="Times New Roman" w:cs="Times New Roman"/>
          <w:lang w:val="en-US" w:eastAsia="zh-CN"/>
        </w:rPr>
      </w:pPr>
      <w:r>
        <w:rPr>
          <w:rFonts w:hint="default" w:ascii="Times New Roman" w:hAnsi="Times New Roman" w:cs="Times New Roman"/>
          <w:lang w:val="en-US" w:eastAsia="zh-CN"/>
        </w:rPr>
        <w:t>运营管理公司： 泓欣环境集团有限公司吉木萨尔分公司（以下简称“运营管理公司”）</w:t>
      </w:r>
    </w:p>
    <w:p w14:paraId="219A383A">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根据《泓欣环境集团有限公司关于同意授予泓欣环境集团有限公司吉木萨尔分公司相关权限的批复》（泓欣环境〔2024〕06号）资料显示，2024年4月1日同意授权</w:t>
      </w:r>
      <w:r>
        <w:rPr>
          <w:rFonts w:hint="default" w:ascii="Times New Roman" w:hAnsi="Times New Roman" w:cs="Times New Roman"/>
          <w:lang w:val="en-US" w:eastAsia="zh-CN"/>
        </w:rPr>
        <w:t>泓欣环境集团有限公司吉木萨尔分公司运营管理</w:t>
      </w:r>
      <w:r>
        <w:rPr>
          <w:rFonts w:hint="default" w:ascii="Times New Roman" w:hAnsi="Times New Roman" w:cs="Times New Roman"/>
          <w:color w:val="auto"/>
          <w:lang w:val="en-US" w:eastAsia="zh-CN"/>
        </w:rPr>
        <w:t>该项目，授权项目范围内以泓欣环境集团有限公司吉木萨尔分公司的名义签订对下各类合同、委托运营项目管理、用章管理、运营结算、委托运营项目款、开具增值税发票及抵扣进项税额、工作联系事宜。</w:t>
      </w:r>
    </w:p>
    <w:p w14:paraId="0CA03E30">
      <w:pPr>
        <w:bidi w:val="0"/>
        <w:spacing w:before="0" w:after="0" w:line="360" w:lineRule="auto"/>
        <w:rPr>
          <w:rFonts w:hint="default" w:cs="Times New Roman"/>
          <w:color w:val="auto"/>
          <w:lang w:val="en-US" w:eastAsia="zh-CN"/>
        </w:rPr>
      </w:pPr>
      <w:r>
        <w:rPr>
          <w:rFonts w:hint="default" w:ascii="Times New Roman" w:hAnsi="Times New Roman" w:cs="Times New Roman"/>
          <w:color w:val="auto"/>
          <w:lang w:val="en-US" w:eastAsia="zh-CN"/>
        </w:rPr>
        <w:t>项目服务费：</w:t>
      </w:r>
      <w:r>
        <w:rPr>
          <w:rFonts w:hint="eastAsia" w:cs="Times New Roman"/>
          <w:color w:val="auto"/>
          <w:lang w:val="en-US" w:eastAsia="zh-CN"/>
        </w:rPr>
        <w:t>根据《</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w:t>
      </w:r>
      <w:r>
        <w:rPr>
          <w:rFonts w:hint="default" w:ascii="Times New Roman" w:hAnsi="Times New Roman" w:cs="Times New Roman"/>
          <w:color w:val="auto"/>
          <w:lang w:val="en-US" w:eastAsia="zh-CN"/>
        </w:rPr>
        <w:t>第四章服务费及支付方式</w:t>
      </w:r>
      <w:r>
        <w:rPr>
          <w:rFonts w:hint="eastAsia" w:cs="Times New Roman"/>
          <w:color w:val="auto"/>
          <w:lang w:val="en-US" w:eastAsia="zh-CN"/>
        </w:rPr>
        <w:t>，中标服务费金额为4,329.51万元/年。按季度依据考核结果支付服务费，服务费包含</w:t>
      </w:r>
      <w:r>
        <w:rPr>
          <w:rFonts w:hint="default" w:ascii="Times New Roman" w:hAnsi="Times New Roman" w:cs="Times New Roman"/>
          <w:color w:val="auto"/>
          <w:lang w:val="en-US" w:eastAsia="zh-CN"/>
        </w:rPr>
        <w:t>吉木萨尔县城环境卫生保洁</w:t>
      </w:r>
      <w:r>
        <w:rPr>
          <w:rFonts w:hint="eastAsia" w:cs="Times New Roman"/>
          <w:color w:val="auto"/>
          <w:lang w:val="en-US" w:eastAsia="zh-CN"/>
        </w:rPr>
        <w:t>服务和</w:t>
      </w:r>
      <w:r>
        <w:rPr>
          <w:rFonts w:hint="default" w:ascii="Times New Roman" w:hAnsi="Times New Roman" w:cs="Times New Roman"/>
          <w:color w:val="auto"/>
          <w:lang w:val="en-US" w:eastAsia="zh-CN"/>
        </w:rPr>
        <w:t>绿地养护</w:t>
      </w:r>
      <w:r>
        <w:rPr>
          <w:rFonts w:hint="eastAsia" w:cs="Times New Roman"/>
          <w:color w:val="auto"/>
          <w:lang w:val="en-US" w:eastAsia="zh-CN"/>
        </w:rPr>
        <w:t>服务内容的全部费用，包括但不限于税费、材料设备费用、人员人工费及其他费用。</w:t>
      </w:r>
    </w:p>
    <w:p w14:paraId="5D0D236E">
      <w:pPr>
        <w:bidi w:val="0"/>
        <w:spacing w:before="0" w:after="0" w:line="360" w:lineRule="auto"/>
        <w:rPr>
          <w:rFonts w:hint="eastAsia" w:cs="Times New Roman"/>
          <w:color w:val="auto"/>
          <w:lang w:val="en-US" w:eastAsia="zh-CN"/>
        </w:rPr>
      </w:pPr>
      <w:r>
        <w:rPr>
          <w:rFonts w:hint="eastAsia" w:cs="Times New Roman"/>
          <w:color w:val="auto"/>
          <w:lang w:val="en-US" w:eastAsia="zh-CN"/>
        </w:rPr>
        <w:t>服务期实施内容</w:t>
      </w:r>
      <w:r>
        <w:rPr>
          <w:rFonts w:hint="default" w:ascii="Times New Roman" w:hAnsi="Times New Roman" w:cs="Times New Roman"/>
          <w:color w:val="auto"/>
          <w:lang w:val="en-US" w:eastAsia="zh-CN"/>
        </w:rPr>
        <w:t>：</w:t>
      </w:r>
      <w:r>
        <w:rPr>
          <w:rFonts w:hint="eastAsia" w:cs="Times New Roman"/>
          <w:color w:val="auto"/>
          <w:lang w:val="en-US" w:eastAsia="zh-CN"/>
        </w:rPr>
        <w:t>完成</w:t>
      </w:r>
      <w:r>
        <w:rPr>
          <w:rFonts w:hint="default" w:ascii="Times New Roman" w:hAnsi="Times New Roman" w:cs="Times New Roman"/>
          <w:color w:val="auto"/>
          <w:lang w:val="en-US" w:eastAsia="zh-CN"/>
        </w:rPr>
        <w:t>吉木萨尔县</w:t>
      </w:r>
      <w:r>
        <w:rPr>
          <w:rFonts w:hint="eastAsia" w:cs="Times New Roman"/>
          <w:color w:val="auto"/>
          <w:lang w:val="en-US" w:eastAsia="zh-CN"/>
        </w:rPr>
        <w:t>城区</w:t>
      </w:r>
      <w:r>
        <w:rPr>
          <w:rFonts w:hint="default" w:ascii="Times New Roman" w:hAnsi="Times New Roman" w:cs="Times New Roman"/>
          <w:color w:val="auto"/>
          <w:lang w:val="en-US" w:eastAsia="zh-CN"/>
        </w:rPr>
        <w:t>环境卫生保洁服务，包括道路清扫保洁、吉木萨尔县城区垃圾、餐厨垃圾的收集运输，公共厕所的维修养护、冬季道路除雪、1座填埋场的管理，智慧平台的建设以及生活垃圾清运费收缴管理；</w:t>
      </w:r>
      <w:r>
        <w:rPr>
          <w:rFonts w:hint="eastAsia" w:cs="Times New Roman"/>
          <w:color w:val="auto"/>
          <w:lang w:val="en-US" w:eastAsia="zh-CN"/>
        </w:rPr>
        <w:t>完成</w:t>
      </w:r>
      <w:r>
        <w:rPr>
          <w:rFonts w:hint="default" w:ascii="Times New Roman" w:hAnsi="Times New Roman" w:cs="Times New Roman"/>
          <w:color w:val="auto"/>
          <w:lang w:val="en-US" w:eastAsia="zh-CN"/>
        </w:rPr>
        <w:t>绿地养护服务，包括</w:t>
      </w:r>
      <w:r>
        <w:rPr>
          <w:rFonts w:hint="eastAsia" w:cs="Times New Roman"/>
          <w:color w:val="auto"/>
          <w:lang w:val="en-US" w:eastAsia="zh-CN"/>
        </w:rPr>
        <w:t>县城</w:t>
      </w:r>
      <w:r>
        <w:rPr>
          <w:rFonts w:hint="default" w:ascii="Times New Roman" w:hAnsi="Times New Roman" w:cs="Times New Roman"/>
          <w:color w:val="auto"/>
          <w:lang w:val="en-US" w:eastAsia="zh-CN"/>
        </w:rPr>
        <w:t>园林绿化日常养护、县城游园的维修养护，每年重大假日街景布置</w:t>
      </w:r>
      <w:r>
        <w:rPr>
          <w:rFonts w:hint="eastAsia" w:cs="Times New Roman"/>
          <w:color w:val="auto"/>
          <w:lang w:val="en-US" w:eastAsia="zh-CN"/>
        </w:rPr>
        <w:t>。</w:t>
      </w:r>
    </w:p>
    <w:p w14:paraId="4909DFAC">
      <w:pPr>
        <w:bidi w:val="0"/>
        <w:spacing w:before="0" w:after="0" w:line="360" w:lineRule="auto"/>
        <w:ind w:firstLine="42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合同项目服务期：合同期限为两年，自2023年1月1日至2024年12月31日止。</w:t>
      </w:r>
    </w:p>
    <w:p w14:paraId="1F26B66A">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本次绩效评价项目服务时间：12个月，2024年1月-2024年12月。</w:t>
      </w:r>
    </w:p>
    <w:p w14:paraId="38C412A3">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项目评价时间：2025年8月。</w:t>
      </w:r>
    </w:p>
    <w:p w14:paraId="65D86CA4">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sz w:val="24"/>
          <w:szCs w:val="28"/>
        </w:rPr>
      </w:pPr>
      <w:r>
        <w:rPr>
          <w:rFonts w:hint="default" w:ascii="Times New Roman" w:hAnsi="Times New Roman" w:cs="Times New Roman"/>
          <w:b/>
          <w:bCs/>
          <w:color w:val="auto"/>
          <w:sz w:val="24"/>
          <w:szCs w:val="28"/>
        </w:rPr>
        <w:t>（三）资金使用情况</w:t>
      </w:r>
    </w:p>
    <w:p w14:paraId="7BF51A15">
      <w:pPr>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cs="Times New Roman"/>
          <w:color w:val="auto"/>
        </w:rPr>
      </w:pPr>
      <w:r>
        <w:rPr>
          <w:rFonts w:hint="default" w:ascii="Times New Roman" w:hAnsi="Times New Roman" w:cs="Times New Roman"/>
          <w:color w:val="auto"/>
        </w:rPr>
        <w:t>该项目</w:t>
      </w:r>
      <w:r>
        <w:rPr>
          <w:rFonts w:hint="default" w:ascii="Times New Roman" w:hAnsi="Times New Roman" w:cs="Times New Roman"/>
          <w:color w:val="auto"/>
          <w:lang w:val="en-US" w:eastAsia="zh-CN"/>
        </w:rPr>
        <w:t>2024年</w:t>
      </w:r>
      <w:r>
        <w:rPr>
          <w:rFonts w:hint="default" w:ascii="Times New Roman" w:hAnsi="Times New Roman" w:cs="Times New Roman"/>
          <w:color w:val="auto"/>
        </w:rPr>
        <w:t>预算资金总额为</w:t>
      </w:r>
      <w:r>
        <w:rPr>
          <w:rFonts w:hint="default" w:ascii="Times New Roman" w:hAnsi="Times New Roman" w:cs="Times New Roman"/>
          <w:color w:val="auto"/>
          <w:lang w:eastAsia="zh-CN"/>
        </w:rPr>
        <w:t>4,606.81</w:t>
      </w:r>
      <w:r>
        <w:rPr>
          <w:rFonts w:hint="default" w:ascii="Times New Roman" w:hAnsi="Times New Roman" w:cs="Times New Roman"/>
          <w:color w:val="auto"/>
        </w:rPr>
        <w:t>万元，</w:t>
      </w:r>
      <w:r>
        <w:rPr>
          <w:rFonts w:hint="default" w:ascii="Times New Roman" w:hAnsi="Times New Roman" w:cs="Times New Roman"/>
          <w:color w:val="auto"/>
          <w:lang w:val="en-US" w:eastAsia="zh-CN"/>
        </w:rPr>
        <w:t>由县级财政资金承担</w:t>
      </w:r>
      <w:r>
        <w:rPr>
          <w:rFonts w:hint="default" w:ascii="Times New Roman" w:hAnsi="Times New Roman" w:cs="Times New Roman"/>
          <w:color w:val="auto"/>
          <w:highlight w:val="none"/>
        </w:rPr>
        <w:t>。</w:t>
      </w:r>
      <w:r>
        <w:rPr>
          <w:rFonts w:hint="default" w:ascii="Times New Roman" w:hAnsi="Times New Roman" w:cs="Times New Roman"/>
          <w:color w:val="auto"/>
        </w:rPr>
        <w:t>截至2024年12月31日，项目资金实际支出</w:t>
      </w:r>
      <w:r>
        <w:rPr>
          <w:rFonts w:hint="default" w:ascii="Times New Roman" w:hAnsi="Times New Roman" w:cs="Times New Roman"/>
          <w:color w:val="auto"/>
          <w:lang w:eastAsia="zh-CN"/>
        </w:rPr>
        <w:t>4,606.81</w:t>
      </w:r>
      <w:r>
        <w:rPr>
          <w:rFonts w:hint="default" w:ascii="Times New Roman" w:hAnsi="Times New Roman" w:cs="Times New Roman"/>
          <w:color w:val="auto"/>
        </w:rPr>
        <w:t>万元，预算资金执行率为100</w:t>
      </w:r>
      <w:r>
        <w:rPr>
          <w:rFonts w:hint="default" w:ascii="Times New Roman" w:hAnsi="Times New Roman" w:cs="Times New Roman"/>
          <w:color w:val="auto"/>
          <w:lang w:val="en-US" w:eastAsia="zh-CN"/>
        </w:rPr>
        <w:t>.00</w:t>
      </w:r>
      <w:r>
        <w:rPr>
          <w:rFonts w:hint="default" w:ascii="Times New Roman" w:hAnsi="Times New Roman" w:cs="Times New Roman"/>
          <w:color w:val="auto"/>
        </w:rPr>
        <w:t>%。</w:t>
      </w:r>
    </w:p>
    <w:p w14:paraId="163FF204">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sz w:val="24"/>
          <w:szCs w:val="28"/>
          <w:lang w:val="en-US" w:eastAsia="zh-CN"/>
        </w:rPr>
        <w:t>二</w:t>
      </w:r>
      <w:r>
        <w:rPr>
          <w:rFonts w:hint="default" w:ascii="Times New Roman" w:hAnsi="Times New Roman" w:cs="Times New Roman"/>
          <w:b/>
          <w:bCs/>
          <w:color w:val="auto"/>
          <w:sz w:val="24"/>
          <w:szCs w:val="28"/>
        </w:rPr>
        <w:t>、评价结论</w:t>
      </w:r>
    </w:p>
    <w:p w14:paraId="1C7FBC00">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lang w:val="zh-TW" w:eastAsia="zh-TW"/>
        </w:rPr>
        <w:t>通过调研、数据分析、访谈等方式，根据工作方案确定的指标体系及评分标准，对“</w:t>
      </w:r>
      <w:r>
        <w:rPr>
          <w:rFonts w:hint="default" w:ascii="Times New Roman" w:hAnsi="Times New Roman" w:cs="Times New Roman"/>
          <w:color w:val="auto"/>
          <w:lang w:val="en-US" w:eastAsia="zh-CN"/>
        </w:rPr>
        <w:t>吉木萨尔县城市管理服务“三位一体”委托运营项目</w:t>
      </w:r>
      <w:r>
        <w:rPr>
          <w:rFonts w:hint="default" w:ascii="Times New Roman" w:hAnsi="Times New Roman" w:cs="Times New Roman"/>
          <w:color w:val="auto"/>
          <w:lang w:val="zh-TW" w:eastAsia="zh-TW"/>
        </w:rPr>
        <w:t>”绩效进行客观评价</w:t>
      </w:r>
      <w:r>
        <w:rPr>
          <w:rFonts w:hint="default" w:ascii="Times New Roman" w:hAnsi="Times New Roman" w:cs="Times New Roman"/>
          <w:color w:val="auto"/>
        </w:rPr>
        <w:t>，</w:t>
      </w:r>
      <w:r>
        <w:rPr>
          <w:rFonts w:hint="default" w:ascii="Times New Roman" w:hAnsi="Times New Roman" w:cs="Times New Roman"/>
          <w:color w:val="auto"/>
          <w:lang w:val="en-US" w:eastAsia="zh-CN"/>
        </w:rPr>
        <w:t>该</w:t>
      </w:r>
      <w:r>
        <w:rPr>
          <w:rFonts w:hint="default" w:ascii="Times New Roman" w:hAnsi="Times New Roman" w:cs="Times New Roman"/>
          <w:color w:val="auto"/>
        </w:rPr>
        <w:t>项目最终得分为</w:t>
      </w:r>
      <w:r>
        <w:rPr>
          <w:rFonts w:hint="eastAsia" w:cs="Times New Roman"/>
          <w:color w:val="auto"/>
          <w:lang w:val="en-US" w:eastAsia="zh-CN"/>
        </w:rPr>
        <w:t>92.50</w:t>
      </w:r>
      <w:r>
        <w:rPr>
          <w:rFonts w:hint="default" w:ascii="Times New Roman" w:hAnsi="Times New Roman" w:cs="Times New Roman"/>
          <w:color w:val="auto"/>
        </w:rPr>
        <w:t>分，评价级别属于“</w:t>
      </w:r>
      <w:r>
        <w:rPr>
          <w:rFonts w:hint="eastAsia" w:cs="Times New Roman"/>
          <w:color w:val="auto"/>
          <w:lang w:val="en-US" w:eastAsia="zh-CN"/>
        </w:rPr>
        <w:t>优</w:t>
      </w:r>
      <w:r>
        <w:rPr>
          <w:rFonts w:hint="default" w:ascii="Times New Roman" w:hAnsi="Times New Roman" w:cs="Times New Roman"/>
          <w:color w:val="auto"/>
        </w:rPr>
        <w:t>”。各部分权重和绩效分值如下表：</w:t>
      </w:r>
    </w:p>
    <w:p w14:paraId="64A56A7F">
      <w:pPr>
        <w:pStyle w:val="29"/>
        <w:pageBreakBefore w:val="0"/>
        <w:kinsoku/>
        <w:wordWrap/>
        <w:overflowPunct/>
        <w:topLinePunct w:val="0"/>
        <w:autoSpaceDE/>
        <w:autoSpaceDN/>
        <w:bidi w:val="0"/>
        <w:snapToGrid w:val="0"/>
        <w:spacing w:before="0" w:after="0" w:line="360" w:lineRule="auto"/>
        <w:jc w:val="center"/>
        <w:rPr>
          <w:rFonts w:hint="default" w:ascii="Times New Roman" w:hAnsi="Times New Roman" w:eastAsia="黑体" w:cs="Times New Roman"/>
          <w:bCs/>
          <w:color w:val="auto"/>
          <w:sz w:val="21"/>
          <w:szCs w:val="21"/>
        </w:rPr>
      </w:pPr>
      <w:r>
        <w:rPr>
          <w:rFonts w:hint="default" w:ascii="Times New Roman" w:hAnsi="Times New Roman" w:eastAsia="黑体" w:cs="Times New Roman"/>
          <w:bCs/>
          <w:color w:val="auto"/>
          <w:sz w:val="21"/>
          <w:szCs w:val="21"/>
          <w:lang w:val="en-US" w:eastAsia="zh-CN"/>
        </w:rPr>
        <w:t>吉木萨尔县城市管理服务“三位一体”委托运营项目</w:t>
      </w:r>
      <w:r>
        <w:rPr>
          <w:rFonts w:hint="default" w:ascii="Times New Roman" w:hAnsi="Times New Roman" w:eastAsia="黑体" w:cs="Times New Roman"/>
          <w:bCs/>
          <w:color w:val="auto"/>
          <w:sz w:val="21"/>
          <w:szCs w:val="21"/>
          <w:lang w:val="zh-TW"/>
        </w:rPr>
        <w:t>得分表</w:t>
      </w:r>
    </w:p>
    <w:tbl>
      <w:tblPr>
        <w:tblStyle w:val="18"/>
        <w:tblW w:w="4998"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883"/>
        <w:gridCol w:w="1614"/>
        <w:gridCol w:w="1614"/>
        <w:gridCol w:w="1614"/>
        <w:gridCol w:w="1614"/>
        <w:gridCol w:w="1130"/>
      </w:tblGrid>
      <w:tr w14:paraId="6160A7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0" w:hRule="atLeast"/>
        </w:trPr>
        <w:tc>
          <w:tcPr>
            <w:tcW w:w="521"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79AC22DF">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指标</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3D74A9E8">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项目决策类</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1149A4C2">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项目</w:t>
            </w:r>
            <w:r>
              <w:rPr>
                <w:rFonts w:hint="default" w:ascii="Times New Roman" w:hAnsi="Times New Roman" w:eastAsia="宋体" w:cs="Times New Roman"/>
                <w:b/>
                <w:bCs/>
                <w:color w:val="auto"/>
                <w:sz w:val="21"/>
                <w:szCs w:val="21"/>
              </w:rPr>
              <w:t>过程</w:t>
            </w:r>
            <w:r>
              <w:rPr>
                <w:rFonts w:hint="default" w:ascii="Times New Roman" w:hAnsi="Times New Roman" w:eastAsia="宋体" w:cs="Times New Roman"/>
                <w:b/>
                <w:bCs/>
                <w:color w:val="auto"/>
                <w:sz w:val="21"/>
                <w:szCs w:val="21"/>
                <w:lang w:val="zh-TW" w:eastAsia="zh-TW"/>
              </w:rPr>
              <w:t>类</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511B6527">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项目</w:t>
            </w:r>
            <w:r>
              <w:rPr>
                <w:rFonts w:hint="default" w:ascii="Times New Roman" w:hAnsi="Times New Roman" w:eastAsia="宋体" w:cs="Times New Roman"/>
                <w:b/>
                <w:bCs/>
                <w:color w:val="auto"/>
                <w:sz w:val="21"/>
                <w:szCs w:val="21"/>
              </w:rPr>
              <w:t>产出</w:t>
            </w:r>
            <w:r>
              <w:rPr>
                <w:rFonts w:hint="default" w:ascii="Times New Roman" w:hAnsi="Times New Roman" w:eastAsia="宋体" w:cs="Times New Roman"/>
                <w:b/>
                <w:bCs/>
                <w:color w:val="auto"/>
                <w:sz w:val="21"/>
                <w:szCs w:val="21"/>
                <w:lang w:val="zh-TW" w:eastAsia="zh-TW"/>
              </w:rPr>
              <w:t>类</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1AAC87CA">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lang w:val="zh-TW" w:eastAsia="zh-TW"/>
              </w:rPr>
            </w:pPr>
            <w:r>
              <w:rPr>
                <w:rFonts w:hint="default" w:ascii="Times New Roman" w:hAnsi="Times New Roman" w:eastAsia="宋体" w:cs="Times New Roman"/>
                <w:b/>
                <w:bCs/>
                <w:color w:val="auto"/>
                <w:sz w:val="21"/>
                <w:szCs w:val="21"/>
                <w:lang w:val="zh-TW" w:eastAsia="zh-TW"/>
              </w:rPr>
              <w:t>项目</w:t>
            </w:r>
            <w:r>
              <w:rPr>
                <w:rFonts w:hint="default" w:ascii="Times New Roman" w:hAnsi="Times New Roman" w:eastAsia="宋体" w:cs="Times New Roman"/>
                <w:b/>
                <w:bCs/>
                <w:color w:val="auto"/>
                <w:sz w:val="21"/>
                <w:szCs w:val="21"/>
              </w:rPr>
              <w:t>效益</w:t>
            </w:r>
            <w:r>
              <w:rPr>
                <w:rFonts w:hint="default" w:ascii="Times New Roman" w:hAnsi="Times New Roman" w:eastAsia="宋体" w:cs="Times New Roman"/>
                <w:b/>
                <w:bCs/>
                <w:color w:val="auto"/>
                <w:sz w:val="21"/>
                <w:szCs w:val="21"/>
                <w:lang w:val="zh-TW" w:eastAsia="zh-TW"/>
              </w:rPr>
              <w:t>类</w:t>
            </w:r>
          </w:p>
        </w:tc>
        <w:tc>
          <w:tcPr>
            <w:tcW w:w="666"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6BB6381A">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合计分值</w:t>
            </w:r>
          </w:p>
        </w:tc>
      </w:tr>
      <w:tr w14:paraId="3B6ADD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43" w:hRule="atLeast"/>
        </w:trPr>
        <w:tc>
          <w:tcPr>
            <w:tcW w:w="521"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6D88C5DE">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权重</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508DF8E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15.00 </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0BB2B86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25.00 </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1A51E8D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30.00 </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706CF1C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30.00 </w:t>
            </w:r>
          </w:p>
        </w:tc>
        <w:tc>
          <w:tcPr>
            <w:tcW w:w="1130"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62B73BC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100.00 </w:t>
            </w:r>
          </w:p>
        </w:tc>
      </w:tr>
      <w:tr w14:paraId="7B6579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43" w:hRule="atLeast"/>
        </w:trPr>
        <w:tc>
          <w:tcPr>
            <w:tcW w:w="521"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6FAB2A20">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得分</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45189B5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 xml:space="preserve">15.00 </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69F4BCA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 xml:space="preserve">20.00 </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157C106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2</w:t>
            </w:r>
            <w:r>
              <w:rPr>
                <w:rFonts w:hint="eastAsia" w:eastAsia="宋体" w:cs="Times New Roman"/>
                <w:b w:val="0"/>
                <w:bCs w:val="0"/>
                <w:i w:val="0"/>
                <w:iCs w:val="0"/>
                <w:color w:val="auto"/>
                <w:kern w:val="0"/>
                <w:sz w:val="21"/>
                <w:szCs w:val="21"/>
                <w:u w:val="none"/>
                <w:lang w:val="en-US" w:eastAsia="zh-CN" w:bidi="ar"/>
              </w:rPr>
              <w:t>7</w:t>
            </w:r>
            <w:r>
              <w:rPr>
                <w:rFonts w:hint="eastAsia" w:ascii="Times New Roman" w:hAnsi="Times New Roman" w:eastAsia="宋体" w:cs="Times New Roman"/>
                <w:b w:val="0"/>
                <w:bCs w:val="0"/>
                <w:i w:val="0"/>
                <w:iCs w:val="0"/>
                <w:color w:val="auto"/>
                <w:kern w:val="0"/>
                <w:sz w:val="21"/>
                <w:szCs w:val="21"/>
                <w:u w:val="none"/>
                <w:lang w:val="en-US" w:eastAsia="zh-CN" w:bidi="ar"/>
              </w:rPr>
              <w:t xml:space="preserve">.50 </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33EC1FA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 xml:space="preserve">30.00 </w:t>
            </w:r>
          </w:p>
        </w:tc>
        <w:tc>
          <w:tcPr>
            <w:tcW w:w="1130"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6E1E54D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9</w:t>
            </w:r>
            <w:r>
              <w:rPr>
                <w:rFonts w:hint="eastAsia" w:eastAsia="宋体" w:cs="Times New Roman"/>
                <w:b w:val="0"/>
                <w:bCs w:val="0"/>
                <w:i w:val="0"/>
                <w:iCs w:val="0"/>
                <w:color w:val="auto"/>
                <w:kern w:val="0"/>
                <w:sz w:val="21"/>
                <w:szCs w:val="21"/>
                <w:u w:val="none"/>
                <w:lang w:val="en-US" w:eastAsia="zh-CN" w:bidi="ar"/>
              </w:rPr>
              <w:t>2.</w:t>
            </w:r>
            <w:r>
              <w:rPr>
                <w:rFonts w:hint="eastAsia" w:ascii="Times New Roman" w:hAnsi="Times New Roman" w:eastAsia="宋体" w:cs="Times New Roman"/>
                <w:b w:val="0"/>
                <w:bCs w:val="0"/>
                <w:i w:val="0"/>
                <w:iCs w:val="0"/>
                <w:color w:val="auto"/>
                <w:kern w:val="0"/>
                <w:sz w:val="21"/>
                <w:szCs w:val="21"/>
                <w:u w:val="none"/>
                <w:lang w:val="en-US" w:eastAsia="zh-CN" w:bidi="ar"/>
              </w:rPr>
              <w:t xml:space="preserve">50 </w:t>
            </w:r>
          </w:p>
        </w:tc>
      </w:tr>
      <w:tr w14:paraId="02B342D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43" w:hRule="atLeast"/>
        </w:trPr>
        <w:tc>
          <w:tcPr>
            <w:tcW w:w="521"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21399B51">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得分率</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2ABCBA4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100.00%</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525117F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80.00%</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0D8E6F3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eastAsia="宋体" w:cs="Times New Roman"/>
                <w:b w:val="0"/>
                <w:bCs w:val="0"/>
                <w:i w:val="0"/>
                <w:iCs w:val="0"/>
                <w:color w:val="auto"/>
                <w:kern w:val="0"/>
                <w:sz w:val="21"/>
                <w:szCs w:val="21"/>
                <w:u w:val="none"/>
                <w:lang w:val="en-US" w:eastAsia="zh-CN" w:bidi="ar"/>
              </w:rPr>
              <w:t>91.67</w:t>
            </w:r>
            <w:r>
              <w:rPr>
                <w:rFonts w:hint="eastAsia" w:ascii="Times New Roman" w:hAnsi="Times New Roman" w:eastAsia="宋体" w:cs="Times New Roman"/>
                <w:b w:val="0"/>
                <w:bCs w:val="0"/>
                <w:i w:val="0"/>
                <w:iCs w:val="0"/>
                <w:color w:val="auto"/>
                <w:kern w:val="0"/>
                <w:sz w:val="21"/>
                <w:szCs w:val="21"/>
                <w:u w:val="none"/>
                <w:lang w:val="en-US" w:eastAsia="zh-CN" w:bidi="ar"/>
              </w:rPr>
              <w:t>%</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2CF226B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100.00%</w:t>
            </w:r>
          </w:p>
        </w:tc>
        <w:tc>
          <w:tcPr>
            <w:tcW w:w="1130"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7CA417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9</w:t>
            </w:r>
            <w:r>
              <w:rPr>
                <w:rFonts w:hint="eastAsia" w:eastAsia="宋体" w:cs="Times New Roman"/>
                <w:b w:val="0"/>
                <w:bCs w:val="0"/>
                <w:i w:val="0"/>
                <w:iCs w:val="0"/>
                <w:color w:val="auto"/>
                <w:kern w:val="0"/>
                <w:sz w:val="21"/>
                <w:szCs w:val="21"/>
                <w:u w:val="none"/>
                <w:lang w:val="en-US" w:eastAsia="zh-CN" w:bidi="ar"/>
              </w:rPr>
              <w:t>2</w:t>
            </w:r>
            <w:r>
              <w:rPr>
                <w:rFonts w:hint="eastAsia" w:ascii="Times New Roman" w:hAnsi="Times New Roman" w:eastAsia="宋体" w:cs="Times New Roman"/>
                <w:b w:val="0"/>
                <w:bCs w:val="0"/>
                <w:i w:val="0"/>
                <w:iCs w:val="0"/>
                <w:color w:val="auto"/>
                <w:kern w:val="0"/>
                <w:sz w:val="21"/>
                <w:szCs w:val="21"/>
                <w:u w:val="none"/>
                <w:lang w:val="en-US" w:eastAsia="zh-CN" w:bidi="ar"/>
              </w:rPr>
              <w:t>.50%</w:t>
            </w:r>
          </w:p>
        </w:tc>
      </w:tr>
    </w:tbl>
    <w:p w14:paraId="47A1AC94">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lang w:val="zh-TW"/>
        </w:rPr>
      </w:pPr>
    </w:p>
    <w:p w14:paraId="13F90668">
      <w:pPr>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sz w:val="24"/>
          <w:szCs w:val="28"/>
        </w:rPr>
      </w:pPr>
      <w:r>
        <w:rPr>
          <w:rFonts w:hint="default" w:ascii="Times New Roman" w:hAnsi="Times New Roman" w:cs="Times New Roman"/>
          <w:b/>
          <w:bCs/>
          <w:color w:val="auto"/>
          <w:sz w:val="24"/>
          <w:szCs w:val="28"/>
          <w:lang w:val="en-US" w:eastAsia="zh-CN"/>
        </w:rPr>
        <w:t>三</w:t>
      </w:r>
      <w:r>
        <w:rPr>
          <w:rFonts w:hint="default" w:ascii="Times New Roman" w:hAnsi="Times New Roman" w:cs="Times New Roman"/>
          <w:b/>
          <w:bCs/>
          <w:color w:val="auto"/>
          <w:sz w:val="24"/>
          <w:szCs w:val="28"/>
        </w:rPr>
        <w:t>、取得的业绩、存在的问题和改进的建议</w:t>
      </w:r>
    </w:p>
    <w:p w14:paraId="6DC69897">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sz w:val="24"/>
          <w:szCs w:val="28"/>
        </w:rPr>
      </w:pPr>
      <w:r>
        <w:rPr>
          <w:rFonts w:hint="default" w:ascii="Times New Roman" w:hAnsi="Times New Roman" w:cs="Times New Roman"/>
          <w:b/>
          <w:bCs/>
          <w:color w:val="auto"/>
          <w:sz w:val="24"/>
          <w:szCs w:val="28"/>
        </w:rPr>
        <w:t>（一）主要经验及做法</w:t>
      </w:r>
    </w:p>
    <w:p w14:paraId="681E02C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为促进城市管理由传统的粗放式逐步向精细化管理模式的转变，吉木萨尔县住建局制定环卫保洁、园林养护、住宅小区管理考核实施细则，采取日常巡查结合不定期抽查的方式对环境卫生保洁、绿地养护、居住区管理工作进行考核和评分，考核结果作为</w:t>
      </w:r>
      <w:r>
        <w:rPr>
          <w:rFonts w:hint="default" w:ascii="Times New Roman" w:hAnsi="Times New Roman" w:cs="Times New Roman"/>
          <w:color w:val="auto"/>
          <w:lang w:val="en-US" w:eastAsia="zh-CN"/>
        </w:rPr>
        <w:t>承接主体</w:t>
      </w:r>
      <w:r>
        <w:rPr>
          <w:rFonts w:hint="default" w:ascii="Times New Roman" w:hAnsi="Times New Roman" w:cs="Times New Roman"/>
          <w:color w:val="auto"/>
        </w:rPr>
        <w:t>支付服务费的依据，做到以考促管、以考促改、以考促效，以考促靓，实现城市管理提档升级，全面提升县城环境品质，增强居民幸福感、获得感。</w:t>
      </w:r>
    </w:p>
    <w:p w14:paraId="2E01C27E">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sz w:val="24"/>
          <w:szCs w:val="28"/>
        </w:rPr>
      </w:pPr>
      <w:r>
        <w:rPr>
          <w:rFonts w:hint="default" w:ascii="Times New Roman" w:hAnsi="Times New Roman" w:cs="Times New Roman"/>
          <w:b/>
          <w:bCs/>
          <w:color w:val="auto"/>
          <w:sz w:val="24"/>
          <w:szCs w:val="28"/>
        </w:rPr>
        <w:t>（二）存在的问题</w:t>
      </w:r>
    </w:p>
    <w:p w14:paraId="2CA8ABD5">
      <w:pPr>
        <w:spacing w:line="360" w:lineRule="auto"/>
        <w:ind w:firstLine="420"/>
        <w:rPr>
          <w:rFonts w:hint="eastAsia" w:cs="Times New Roman"/>
          <w:b/>
          <w:bCs/>
          <w:color w:val="auto"/>
          <w:lang w:val="en-US" w:eastAsia="zh-CN"/>
        </w:rPr>
      </w:pPr>
      <w:r>
        <w:rPr>
          <w:rFonts w:hint="eastAsia" w:cs="Times New Roman"/>
          <w:b w:val="0"/>
          <w:bCs w:val="0"/>
          <w:color w:val="auto"/>
          <w:lang w:val="en-US" w:eastAsia="zh-CN"/>
        </w:rPr>
        <w:t>在本次绩效过程中，我们注意到已签订的</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w:t>
      </w:r>
      <w:r>
        <w:rPr>
          <w:rFonts w:hint="eastAsia" w:cs="Times New Roman"/>
          <w:b w:val="0"/>
          <w:bCs w:val="0"/>
          <w:color w:val="auto"/>
          <w:lang w:val="en-US" w:eastAsia="zh-CN"/>
        </w:rPr>
        <w:t>关于</w:t>
      </w:r>
      <w:r>
        <w:rPr>
          <w:rFonts w:hint="default" w:ascii="Times New Roman" w:hAnsi="Times New Roman" w:cs="Times New Roman"/>
          <w:color w:val="auto"/>
        </w:rPr>
        <w:t>居民区日常管理服务</w:t>
      </w:r>
      <w:r>
        <w:rPr>
          <w:rFonts w:hint="eastAsia" w:cs="Times New Roman"/>
          <w:b w:val="0"/>
          <w:bCs w:val="0"/>
          <w:color w:val="auto"/>
          <w:lang w:val="en-US" w:eastAsia="zh-CN"/>
        </w:rPr>
        <w:t>范围、承接主体履约要求、行业管理、服务费用支付时限等内容约定不够明确，导致项目实际实施过程存在无法严格按照合同约定条款执行相关工作要求，主要存在偏差情况如下：</w:t>
      </w:r>
    </w:p>
    <w:p w14:paraId="0CA7F382">
      <w:pPr>
        <w:spacing w:line="360" w:lineRule="auto"/>
        <w:ind w:firstLine="420"/>
        <w:rPr>
          <w:rFonts w:hint="default" w:ascii="Times New Roman" w:hAnsi="Times New Roman" w:cs="Times New Roman"/>
          <w:color w:val="auto"/>
        </w:rPr>
      </w:pPr>
      <w:r>
        <w:rPr>
          <w:rFonts w:hint="eastAsia" w:cs="Times New Roman"/>
          <w:color w:val="auto"/>
          <w:lang w:val="en-US" w:eastAsia="zh-CN"/>
        </w:rPr>
        <w:t>一是，根据</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委托运营项目服务合同》中</w:t>
      </w:r>
      <w:r>
        <w:rPr>
          <w:rFonts w:hint="eastAsia" w:cs="Times New Roman"/>
          <w:color w:val="auto"/>
          <w:lang w:val="en-US" w:eastAsia="zh-CN"/>
        </w:rPr>
        <w:t>第四章第二条“</w:t>
      </w:r>
      <w:r>
        <w:rPr>
          <w:rFonts w:hint="default" w:ascii="Times New Roman" w:hAnsi="Times New Roman" w:cs="Times New Roman"/>
          <w:color w:val="auto"/>
        </w:rPr>
        <w:t>居民区日常管理服务</w:t>
      </w:r>
      <w:r>
        <w:rPr>
          <w:rFonts w:hint="eastAsia" w:cs="Times New Roman"/>
          <w:color w:val="auto"/>
          <w:lang w:val="en-US" w:eastAsia="zh-CN"/>
        </w:rPr>
        <w:t xml:space="preserve"> </w:t>
      </w:r>
      <w:r>
        <w:rPr>
          <w:rFonts w:hint="default" w:ascii="Times New Roman" w:hAnsi="Times New Roman" w:cs="Times New Roman"/>
          <w:color w:val="auto"/>
        </w:rPr>
        <w:t>此项服务由乙方自主经营，自负盈亏</w:t>
      </w:r>
      <w:r>
        <w:rPr>
          <w:rFonts w:hint="eastAsia" w:cs="Times New Roman"/>
          <w:color w:val="auto"/>
          <w:lang w:val="en-US" w:eastAsia="zh-CN"/>
        </w:rPr>
        <w:t>”，但合同中</w:t>
      </w:r>
      <w:r>
        <w:rPr>
          <w:rFonts w:hint="default" w:ascii="Times New Roman" w:hAnsi="Times New Roman" w:cs="Times New Roman"/>
          <w:color w:val="auto"/>
          <w:lang w:val="en-US" w:eastAsia="zh-CN"/>
        </w:rPr>
        <w:t>第五章第一条第3款</w:t>
      </w:r>
      <w:r>
        <w:rPr>
          <w:rFonts w:hint="eastAsia" w:cs="Times New Roman"/>
          <w:color w:val="auto"/>
          <w:lang w:val="en-US" w:eastAsia="zh-CN"/>
        </w:rPr>
        <w:t>同时</w:t>
      </w:r>
      <w:r>
        <w:rPr>
          <w:rFonts w:hint="default" w:ascii="Times New Roman" w:hAnsi="Times New Roman" w:cs="Times New Roman"/>
          <w:color w:val="auto"/>
          <w:lang w:val="en-US" w:eastAsia="zh-CN"/>
        </w:rPr>
        <w:t>约定</w:t>
      </w:r>
      <w:r>
        <w:rPr>
          <w:rFonts w:hint="eastAsia" w:cs="Times New Roman"/>
          <w:color w:val="auto"/>
          <w:lang w:val="en-US" w:eastAsia="zh-CN"/>
        </w:rPr>
        <w:t>了“</w:t>
      </w:r>
      <w:r>
        <w:rPr>
          <w:rFonts w:hint="default" w:ascii="Times New Roman" w:hAnsi="Times New Roman" w:cs="Times New Roman"/>
          <w:color w:val="auto"/>
          <w:lang w:val="en-US" w:eastAsia="zh-CN"/>
        </w:rPr>
        <w:t>居民区日常管理执行《吉木萨尔县住建局居民区日常管理考核实施细则》</w:t>
      </w:r>
      <w:r>
        <w:rPr>
          <w:rFonts w:hint="eastAsia" w:cs="Times New Roman"/>
          <w:color w:val="auto"/>
          <w:lang w:val="en-US" w:eastAsia="zh-CN"/>
        </w:rPr>
        <w:t>”。项目实施单位实际并不对第三方运营管理公司自主经营的</w:t>
      </w:r>
      <w:r>
        <w:rPr>
          <w:rFonts w:hint="default" w:ascii="Times New Roman" w:hAnsi="Times New Roman" w:cs="Times New Roman"/>
          <w:color w:val="auto"/>
        </w:rPr>
        <w:t>居民区日常管理服务</w:t>
      </w:r>
      <w:r>
        <w:rPr>
          <w:rFonts w:hint="eastAsia" w:cs="Times New Roman"/>
          <w:color w:val="auto"/>
          <w:lang w:val="en-US" w:eastAsia="zh-CN"/>
        </w:rPr>
        <w:t>进行绩效考核</w:t>
      </w:r>
      <w:r>
        <w:rPr>
          <w:rFonts w:hint="default" w:ascii="Times New Roman" w:hAnsi="Times New Roman" w:cs="Times New Roman"/>
          <w:color w:val="auto"/>
        </w:rPr>
        <w:t>。</w:t>
      </w:r>
    </w:p>
    <w:p w14:paraId="213928AD">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rPr>
      </w:pPr>
      <w:r>
        <w:rPr>
          <w:rFonts w:hint="eastAsia" w:cs="Times New Roman"/>
          <w:color w:val="auto"/>
          <w:lang w:val="en-US" w:eastAsia="zh-CN"/>
        </w:rPr>
        <w:t>二是，</w:t>
      </w:r>
      <w:r>
        <w:rPr>
          <w:rFonts w:hint="default" w:ascii="Times New Roman" w:hAnsi="Times New Roman" w:cs="Times New Roman"/>
          <w:color w:val="auto"/>
        </w:rPr>
        <w:t>根据《吉木萨尔县城市管理服务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委托运营项目服务合同》中</w:t>
      </w:r>
      <w:r>
        <w:rPr>
          <w:rFonts w:hint="eastAsia" w:cs="Times New Roman"/>
          <w:color w:val="auto"/>
          <w:lang w:val="en-US" w:eastAsia="zh-CN"/>
        </w:rPr>
        <w:t>第六章第四条“1、乙方在本合同期内陆续对车辆的配置投资不少于2,000.00万元（具体投入以乙方拟定的投入计划经甲方审核同意后为准）”要求，但合同服务内容中没有对道路清洁服务所需配备车辆类型，数量，是否满足道路清洁服务需求等车辆配置投资要求做明确约定</w:t>
      </w:r>
      <w:r>
        <w:rPr>
          <w:rFonts w:hint="default" w:ascii="Times New Roman" w:hAnsi="Times New Roman" w:cs="Times New Roman"/>
          <w:color w:val="auto"/>
        </w:rPr>
        <w:t>。</w:t>
      </w:r>
      <w:r>
        <w:rPr>
          <w:rFonts w:hint="eastAsia" w:cs="Times New Roman"/>
          <w:color w:val="auto"/>
          <w:lang w:val="en-US" w:eastAsia="zh-CN"/>
        </w:rPr>
        <w:t>根据</w:t>
      </w:r>
      <w:r>
        <w:rPr>
          <w:rFonts w:hint="default" w:ascii="Times New Roman" w:hAnsi="Times New Roman" w:cs="Times New Roman"/>
          <w:color w:val="auto"/>
          <w:lang w:eastAsia="zh-CN"/>
        </w:rPr>
        <w:t>《吉木萨尔县城市管理服务“三位一体”委托运营项目专项审计报告》（新晟专审字〔2024〕2-008号）</w:t>
      </w:r>
      <w:r>
        <w:rPr>
          <w:rFonts w:hint="default" w:ascii="Times New Roman" w:hAnsi="Times New Roman" w:cs="Times New Roman"/>
          <w:color w:val="auto"/>
        </w:rPr>
        <w:t>的资料显示，</w:t>
      </w:r>
      <w:r>
        <w:rPr>
          <w:rFonts w:hint="default" w:ascii="Times New Roman" w:hAnsi="Times New Roman" w:cs="Times New Roman"/>
          <w:color w:val="auto"/>
          <w:lang w:val="en-US" w:eastAsia="zh-CN"/>
        </w:rPr>
        <w:t>截至2024年12月31日，泓欣集团共对车辆配置投资1,862.40万元，其中2023年车辆投资1,185.37万元，2024年车辆投资677.03万元</w:t>
      </w:r>
      <w:r>
        <w:rPr>
          <w:rFonts w:hint="eastAsia" w:cs="Times New Roman"/>
          <w:color w:val="auto"/>
          <w:lang w:val="en-US" w:eastAsia="zh-CN"/>
        </w:rPr>
        <w:t>。项目运营管理公司已完成的车辆配置投资完成度评价依据不足。</w:t>
      </w:r>
    </w:p>
    <w:p w14:paraId="34D48C7D">
      <w:pPr>
        <w:spacing w:line="360" w:lineRule="auto"/>
        <w:ind w:firstLine="420"/>
        <w:rPr>
          <w:rFonts w:hint="default" w:ascii="Times New Roman" w:hAnsi="Times New Roman" w:cs="Times New Roman"/>
          <w:color w:val="auto"/>
        </w:rPr>
      </w:pPr>
      <w:r>
        <w:rPr>
          <w:rFonts w:hint="eastAsia" w:cs="Times New Roman"/>
          <w:color w:val="auto"/>
          <w:lang w:val="en-US" w:eastAsia="zh-CN"/>
        </w:rPr>
        <w:t>三是，</w:t>
      </w:r>
      <w:r>
        <w:rPr>
          <w:rFonts w:hint="default" w:ascii="Times New Roman" w:hAnsi="Times New Roman" w:cs="Times New Roman"/>
          <w:color w:val="auto"/>
          <w:lang w:val="en-US" w:eastAsia="zh-CN"/>
        </w:rPr>
        <w:t>根据</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w:t>
      </w:r>
      <w:r>
        <w:rPr>
          <w:rFonts w:hint="default" w:ascii="Times New Roman" w:hAnsi="Times New Roman" w:cs="Times New Roman"/>
          <w:color w:val="auto"/>
          <w:lang w:val="en-US" w:eastAsia="zh-CN"/>
        </w:rPr>
        <w:t>第七章第一条</w:t>
      </w:r>
      <w:r>
        <w:rPr>
          <w:rFonts w:hint="eastAsia" w:cs="Times New Roman"/>
          <w:color w:val="auto"/>
          <w:lang w:val="en-US" w:eastAsia="zh-CN"/>
        </w:rPr>
        <w:t>“</w:t>
      </w:r>
      <w:r>
        <w:rPr>
          <w:rFonts w:hint="default" w:ascii="Times New Roman" w:hAnsi="Times New Roman" w:cs="Times New Roman"/>
          <w:color w:val="auto"/>
          <w:lang w:val="en-US" w:eastAsia="zh-CN"/>
        </w:rPr>
        <w:t>4.甲方对乙方在服务过程中实施行业监管，监管内容包括服务的质量，安全防范措施等</w:t>
      </w:r>
      <w:r>
        <w:rPr>
          <w:rFonts w:hint="eastAsia" w:cs="Times New Roman"/>
          <w:color w:val="auto"/>
          <w:lang w:val="en-US" w:eastAsia="zh-CN"/>
        </w:rPr>
        <w:t>”</w:t>
      </w:r>
      <w:r>
        <w:rPr>
          <w:rFonts w:hint="default" w:ascii="Times New Roman" w:hAnsi="Times New Roman" w:cs="Times New Roman"/>
          <w:color w:val="auto"/>
          <w:lang w:val="en-US" w:eastAsia="zh-CN"/>
        </w:rPr>
        <w:t>。但</w:t>
      </w:r>
      <w:r>
        <w:rPr>
          <w:rFonts w:hint="eastAsia" w:cs="Times New Roman"/>
          <w:color w:val="auto"/>
          <w:lang w:val="en-US" w:eastAsia="zh-CN"/>
        </w:rPr>
        <w:t>项目实施单位</w:t>
      </w:r>
      <w:r>
        <w:rPr>
          <w:rFonts w:hint="default" w:ascii="Times New Roman" w:hAnsi="Times New Roman" w:cs="Times New Roman"/>
          <w:color w:val="auto"/>
          <w:lang w:val="en-US" w:eastAsia="zh-CN"/>
        </w:rPr>
        <w:t>未</w:t>
      </w:r>
      <w:r>
        <w:rPr>
          <w:rFonts w:hint="eastAsia" w:cs="Times New Roman"/>
          <w:color w:val="auto"/>
          <w:lang w:val="en-US" w:eastAsia="zh-CN"/>
        </w:rPr>
        <w:t>提供</w:t>
      </w:r>
      <w:r>
        <w:rPr>
          <w:rFonts w:hint="default" w:ascii="Times New Roman" w:hAnsi="Times New Roman" w:cs="Times New Roman"/>
          <w:color w:val="auto"/>
          <w:lang w:val="en-US" w:eastAsia="zh-CN"/>
        </w:rPr>
        <w:t>对项目承接主体</w:t>
      </w:r>
      <w:r>
        <w:rPr>
          <w:rFonts w:hint="eastAsia" w:cs="Times New Roman"/>
          <w:color w:val="auto"/>
          <w:lang w:val="en-US" w:eastAsia="zh-CN"/>
        </w:rPr>
        <w:t>开展</w:t>
      </w:r>
      <w:r>
        <w:rPr>
          <w:rFonts w:hint="default" w:ascii="Times New Roman" w:hAnsi="Times New Roman" w:cs="Times New Roman"/>
          <w:color w:val="auto"/>
          <w:lang w:val="en-US" w:eastAsia="zh-CN"/>
        </w:rPr>
        <w:t>相关行业监管</w:t>
      </w:r>
      <w:r>
        <w:rPr>
          <w:rFonts w:hint="eastAsia" w:cs="Times New Roman"/>
          <w:color w:val="auto"/>
          <w:lang w:val="en-US" w:eastAsia="zh-CN"/>
        </w:rPr>
        <w:t>的</w:t>
      </w:r>
      <w:r>
        <w:rPr>
          <w:rFonts w:hint="default" w:ascii="Times New Roman" w:hAnsi="Times New Roman" w:cs="Times New Roman"/>
          <w:color w:val="auto"/>
          <w:lang w:val="en-US" w:eastAsia="zh-CN"/>
        </w:rPr>
        <w:t>资料。</w:t>
      </w:r>
    </w:p>
    <w:p w14:paraId="507B92FA">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highlight w:val="none"/>
          <w:lang w:val="en-US" w:eastAsia="zh-CN"/>
        </w:rPr>
      </w:pPr>
      <w:r>
        <w:rPr>
          <w:rFonts w:hint="eastAsia" w:cs="Times New Roman"/>
          <w:color w:val="auto"/>
          <w:highlight w:val="none"/>
          <w:lang w:val="en-US" w:eastAsia="zh-CN"/>
        </w:rPr>
        <w:t>四是，</w:t>
      </w:r>
      <w:r>
        <w:rPr>
          <w:rFonts w:hint="default" w:ascii="Times New Roman" w:hAnsi="Times New Roman" w:cs="Times New Roman"/>
          <w:color w:val="auto"/>
          <w:highlight w:val="none"/>
          <w:lang w:val="en-US" w:eastAsia="zh-CN"/>
        </w:rPr>
        <w:t>根据</w:t>
      </w:r>
      <w:r>
        <w:rPr>
          <w:rFonts w:hint="default" w:ascii="Times New Roman" w:hAnsi="Times New Roman" w:cs="Times New Roman"/>
          <w:color w:val="auto"/>
          <w:highlight w:val="none"/>
          <w:lang w:eastAsia="zh-CN"/>
        </w:rPr>
        <w:t>《吉木萨尔县城市管理服务“三位一体”委托运营项目服务合同》</w:t>
      </w:r>
      <w:r>
        <w:rPr>
          <w:rFonts w:hint="default" w:ascii="Times New Roman" w:hAnsi="Times New Roman" w:cs="Times New Roman"/>
          <w:highlight w:val="none"/>
        </w:rPr>
        <w:t>第</w:t>
      </w:r>
      <w:r>
        <w:rPr>
          <w:rFonts w:hint="default" w:ascii="Times New Roman" w:hAnsi="Times New Roman" w:cs="Times New Roman"/>
          <w:highlight w:val="none"/>
          <w:lang w:val="en-US" w:eastAsia="zh-CN"/>
        </w:rPr>
        <w:t>四</w:t>
      </w:r>
      <w:r>
        <w:rPr>
          <w:rFonts w:hint="default" w:ascii="Times New Roman" w:hAnsi="Times New Roman" w:cs="Times New Roman"/>
          <w:highlight w:val="none"/>
        </w:rPr>
        <w:t>条：</w:t>
      </w:r>
      <w:r>
        <w:rPr>
          <w:rFonts w:hint="default" w:ascii="Times New Roman" w:hAnsi="Times New Roman" w:cs="Times New Roman"/>
          <w:highlight w:val="none"/>
          <w:lang w:eastAsia="zh-CN"/>
        </w:rPr>
        <w:t>“按季度依据考核结果支付服务费”</w:t>
      </w:r>
      <w:r>
        <w:rPr>
          <w:rFonts w:hint="eastAsia" w:cs="Times New Roman"/>
          <w:highlight w:val="none"/>
          <w:lang w:eastAsia="zh-CN"/>
        </w:rPr>
        <w:t>，</w:t>
      </w:r>
      <w:r>
        <w:rPr>
          <w:rFonts w:hint="eastAsia" w:cs="Times New Roman"/>
          <w:highlight w:val="none"/>
          <w:lang w:val="en-US" w:eastAsia="zh-CN"/>
        </w:rPr>
        <w:t>但未明确具体的服务费支付时限和支付条件。项目实施单位在实际支付服务费用的支付时效存在较大差异，具体如下：</w:t>
      </w:r>
      <w:r>
        <w:rPr>
          <w:rFonts w:hint="default" w:ascii="Times New Roman" w:hAnsi="Times New Roman" w:cs="Times New Roman"/>
          <w:highlight w:val="none"/>
          <w:lang w:val="en-US" w:eastAsia="zh-CN"/>
        </w:rPr>
        <w:t>截至2024年12月31日，</w:t>
      </w:r>
      <w:r>
        <w:rPr>
          <w:rFonts w:hint="eastAsia" w:cs="Times New Roman"/>
          <w:highlight w:val="none"/>
          <w:lang w:val="en-US" w:eastAsia="zh-CN"/>
        </w:rPr>
        <w:t>项目实际于</w:t>
      </w:r>
      <w:r>
        <w:rPr>
          <w:rFonts w:hint="eastAsia"/>
        </w:rPr>
        <w:t>2024</w:t>
      </w:r>
      <w:r>
        <w:rPr>
          <w:rFonts w:hint="eastAsia"/>
          <w:lang w:val="en-US" w:eastAsia="zh-CN"/>
        </w:rPr>
        <w:t>年</w:t>
      </w:r>
      <w:r>
        <w:rPr>
          <w:rFonts w:hint="eastAsia"/>
        </w:rPr>
        <w:t>4</w:t>
      </w:r>
      <w:r>
        <w:rPr>
          <w:rFonts w:hint="eastAsia"/>
          <w:lang w:val="en-US" w:eastAsia="zh-CN"/>
        </w:rPr>
        <w:t>月</w:t>
      </w:r>
      <w:r>
        <w:rPr>
          <w:rFonts w:hint="eastAsia"/>
        </w:rPr>
        <w:t>25</w:t>
      </w:r>
      <w:r>
        <w:rPr>
          <w:rFonts w:hint="eastAsia"/>
          <w:lang w:val="en-US" w:eastAsia="zh-CN"/>
        </w:rPr>
        <w:t>日支付服务费用1,267.18万元；</w:t>
      </w:r>
      <w:r>
        <w:rPr>
          <w:rFonts w:hint="eastAsia" w:cs="Times New Roman"/>
          <w:highlight w:val="none"/>
          <w:lang w:val="en-US" w:eastAsia="zh-CN"/>
        </w:rPr>
        <w:t>于</w:t>
      </w:r>
      <w:r>
        <w:rPr>
          <w:rFonts w:hint="default" w:ascii="Times New Roman" w:hAnsi="Times New Roman" w:cs="Times New Roman"/>
          <w:highlight w:val="none"/>
          <w:lang w:val="en-US" w:eastAsia="zh-CN"/>
        </w:rPr>
        <w:t>2024</w:t>
      </w:r>
      <w:r>
        <w:rPr>
          <w:rFonts w:hint="default" w:ascii="Times New Roman" w:hAnsi="Times New Roman" w:cs="Times New Roman"/>
          <w:highlight w:val="none"/>
          <w:lang w:eastAsia="zh-CN"/>
        </w:rPr>
        <w:t>年7月19日</w:t>
      </w:r>
      <w:r>
        <w:rPr>
          <w:rFonts w:hint="default" w:ascii="Times New Roman" w:hAnsi="Times New Roman" w:cs="Times New Roman"/>
          <w:highlight w:val="none"/>
          <w:lang w:val="en-US" w:eastAsia="zh-CN"/>
        </w:rPr>
        <w:t>支付</w:t>
      </w:r>
      <w:r>
        <w:rPr>
          <w:rFonts w:hint="default" w:ascii="Times New Roman" w:hAnsi="Times New Roman" w:cs="Times New Roman"/>
          <w:highlight w:val="none"/>
          <w:lang w:eastAsia="zh-CN"/>
        </w:rPr>
        <w:t>2024年第一季度</w:t>
      </w:r>
      <w:r>
        <w:rPr>
          <w:rFonts w:hint="eastAsia" w:cs="Times New Roman"/>
          <w:highlight w:val="none"/>
          <w:lang w:val="en-US" w:eastAsia="zh-CN"/>
        </w:rPr>
        <w:t>服务</w:t>
      </w:r>
      <w:r>
        <w:rPr>
          <w:rFonts w:hint="default" w:ascii="Times New Roman" w:hAnsi="Times New Roman" w:cs="Times New Roman"/>
          <w:highlight w:val="none"/>
          <w:lang w:eastAsia="zh-CN"/>
        </w:rPr>
        <w:t>费</w:t>
      </w:r>
      <w:r>
        <w:rPr>
          <w:rFonts w:hint="eastAsia" w:cs="Times New Roman"/>
          <w:highlight w:val="none"/>
          <w:lang w:val="en-US" w:eastAsia="zh-CN"/>
        </w:rPr>
        <w:t>用</w:t>
      </w:r>
      <w:r>
        <w:rPr>
          <w:rFonts w:hint="default" w:ascii="Times New Roman" w:hAnsi="Times New Roman" w:cs="Times New Roman"/>
          <w:highlight w:val="none"/>
          <w:lang w:eastAsia="zh-CN"/>
        </w:rPr>
        <w:t>1,082.38</w:t>
      </w:r>
      <w:r>
        <w:rPr>
          <w:rFonts w:hint="default" w:ascii="Times New Roman" w:hAnsi="Times New Roman" w:cs="Times New Roman"/>
          <w:highlight w:val="none"/>
          <w:lang w:val="en-US" w:eastAsia="zh-CN"/>
        </w:rPr>
        <w:t>万元</w:t>
      </w:r>
      <w:r>
        <w:rPr>
          <w:rFonts w:hint="default" w:ascii="Times New Roman" w:hAnsi="Times New Roman" w:cs="Times New Roman"/>
          <w:highlight w:val="none"/>
          <w:lang w:eastAsia="zh-CN"/>
        </w:rPr>
        <w:t>；2024年8月31日</w:t>
      </w:r>
      <w:r>
        <w:rPr>
          <w:rFonts w:hint="default" w:ascii="Times New Roman" w:hAnsi="Times New Roman" w:cs="Times New Roman"/>
          <w:highlight w:val="none"/>
          <w:lang w:val="en-US" w:eastAsia="zh-CN"/>
        </w:rPr>
        <w:t>支付</w:t>
      </w:r>
      <w:r>
        <w:rPr>
          <w:rFonts w:hint="default" w:ascii="Times New Roman" w:hAnsi="Times New Roman" w:cs="Times New Roman"/>
          <w:highlight w:val="none"/>
          <w:lang w:eastAsia="zh-CN"/>
        </w:rPr>
        <w:t>2024年第一、第二季度</w:t>
      </w:r>
      <w:r>
        <w:rPr>
          <w:rFonts w:hint="eastAsia" w:cs="Times New Roman"/>
          <w:highlight w:val="none"/>
          <w:lang w:val="en-US" w:eastAsia="zh-CN"/>
        </w:rPr>
        <w:t>服务费用</w:t>
      </w:r>
      <w:r>
        <w:rPr>
          <w:rFonts w:hint="default" w:ascii="Times New Roman" w:hAnsi="Times New Roman" w:cs="Times New Roman"/>
          <w:highlight w:val="none"/>
          <w:lang w:eastAsia="zh-CN"/>
        </w:rPr>
        <w:t>100.00</w:t>
      </w:r>
      <w:r>
        <w:rPr>
          <w:rFonts w:hint="default" w:ascii="Times New Roman" w:hAnsi="Times New Roman" w:cs="Times New Roman"/>
          <w:highlight w:val="none"/>
          <w:lang w:val="en-US" w:eastAsia="zh-CN"/>
        </w:rPr>
        <w:t>万元</w:t>
      </w:r>
      <w:r>
        <w:rPr>
          <w:rFonts w:hint="default" w:ascii="Times New Roman" w:hAnsi="Times New Roman" w:cs="Times New Roman"/>
          <w:highlight w:val="none"/>
          <w:lang w:eastAsia="zh-CN"/>
        </w:rPr>
        <w:t>；2024年8月31日</w:t>
      </w:r>
      <w:r>
        <w:rPr>
          <w:rFonts w:hint="eastAsia" w:cs="Times New Roman"/>
          <w:highlight w:val="none"/>
          <w:lang w:val="en-US" w:eastAsia="zh-CN"/>
        </w:rPr>
        <w:t>支付</w:t>
      </w:r>
      <w:r>
        <w:rPr>
          <w:rFonts w:hint="default" w:ascii="Times New Roman" w:hAnsi="Times New Roman" w:cs="Times New Roman"/>
          <w:highlight w:val="none"/>
          <w:lang w:eastAsia="zh-CN"/>
        </w:rPr>
        <w:t>2024年第二季度</w:t>
      </w:r>
      <w:r>
        <w:rPr>
          <w:rFonts w:hint="eastAsia" w:cs="Times New Roman"/>
          <w:highlight w:val="none"/>
          <w:lang w:val="en-US" w:eastAsia="zh-CN"/>
        </w:rPr>
        <w:t>服务</w:t>
      </w:r>
      <w:r>
        <w:rPr>
          <w:rFonts w:hint="default" w:ascii="Times New Roman" w:hAnsi="Times New Roman" w:cs="Times New Roman"/>
          <w:highlight w:val="none"/>
          <w:lang w:eastAsia="zh-CN"/>
        </w:rPr>
        <w:t>费用1,075.33</w:t>
      </w:r>
      <w:r>
        <w:rPr>
          <w:rFonts w:hint="default" w:ascii="Times New Roman" w:hAnsi="Times New Roman" w:cs="Times New Roman"/>
          <w:highlight w:val="none"/>
          <w:lang w:val="en-US" w:eastAsia="zh-CN"/>
        </w:rPr>
        <w:t>万元</w:t>
      </w:r>
      <w:r>
        <w:rPr>
          <w:rFonts w:hint="default" w:ascii="Times New Roman" w:hAnsi="Times New Roman" w:cs="Times New Roman"/>
          <w:highlight w:val="none"/>
          <w:lang w:eastAsia="zh-CN"/>
        </w:rPr>
        <w:t>；2024年9月30日、2024年11月19日</w:t>
      </w:r>
      <w:r>
        <w:rPr>
          <w:rFonts w:hint="eastAsia" w:cs="Times New Roman"/>
          <w:highlight w:val="none"/>
          <w:lang w:val="en-US" w:eastAsia="zh-CN"/>
        </w:rPr>
        <w:t>分2次</w:t>
      </w:r>
      <w:r>
        <w:rPr>
          <w:rFonts w:hint="default" w:ascii="Times New Roman" w:hAnsi="Times New Roman" w:cs="Times New Roman"/>
          <w:highlight w:val="none"/>
          <w:lang w:val="en-US" w:eastAsia="zh-CN"/>
        </w:rPr>
        <w:t>支付</w:t>
      </w:r>
      <w:r>
        <w:rPr>
          <w:rFonts w:hint="default" w:ascii="Times New Roman" w:hAnsi="Times New Roman" w:cs="Times New Roman"/>
          <w:highlight w:val="none"/>
          <w:lang w:eastAsia="zh-CN"/>
        </w:rPr>
        <w:t>2024年第三季度</w:t>
      </w:r>
      <w:r>
        <w:rPr>
          <w:rFonts w:hint="eastAsia" w:cs="Times New Roman"/>
          <w:highlight w:val="none"/>
          <w:lang w:val="en-US" w:eastAsia="zh-CN"/>
        </w:rPr>
        <w:t>服务</w:t>
      </w:r>
      <w:r>
        <w:rPr>
          <w:rFonts w:hint="default" w:ascii="Times New Roman" w:hAnsi="Times New Roman" w:cs="Times New Roman"/>
          <w:highlight w:val="none"/>
          <w:lang w:eastAsia="zh-CN"/>
        </w:rPr>
        <w:t>费用</w:t>
      </w:r>
      <w:r>
        <w:rPr>
          <w:rFonts w:hint="default" w:ascii="Times New Roman" w:hAnsi="Times New Roman" w:cs="Times New Roman"/>
          <w:highlight w:val="none"/>
          <w:lang w:val="en-US" w:eastAsia="zh-CN"/>
        </w:rPr>
        <w:t>1</w:t>
      </w:r>
      <w:r>
        <w:rPr>
          <w:rFonts w:hint="eastAsia" w:cs="Times New Roman"/>
          <w:highlight w:val="none"/>
          <w:lang w:val="en-US" w:eastAsia="zh-CN"/>
        </w:rPr>
        <w:t>,0</w:t>
      </w:r>
      <w:r>
        <w:rPr>
          <w:rFonts w:hint="default" w:ascii="Times New Roman" w:hAnsi="Times New Roman" w:cs="Times New Roman"/>
          <w:highlight w:val="none"/>
          <w:lang w:val="en-US" w:eastAsia="zh-CN"/>
        </w:rPr>
        <w:t>81.92万元</w:t>
      </w:r>
      <w:r>
        <w:rPr>
          <w:rFonts w:hint="eastAsia" w:cs="Times New Roman"/>
          <w:highlight w:val="none"/>
          <w:lang w:val="en-US" w:eastAsia="zh-CN"/>
        </w:rPr>
        <w:t>。</w:t>
      </w:r>
    </w:p>
    <w:p w14:paraId="7338EA12">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sz w:val="24"/>
          <w:szCs w:val="28"/>
        </w:rPr>
      </w:pPr>
      <w:r>
        <w:rPr>
          <w:rFonts w:hint="default" w:ascii="Times New Roman" w:hAnsi="Times New Roman" w:cs="Times New Roman"/>
          <w:b/>
          <w:bCs/>
          <w:color w:val="auto"/>
          <w:sz w:val="24"/>
          <w:szCs w:val="28"/>
        </w:rPr>
        <w:t>（三）有关建议</w:t>
      </w:r>
    </w:p>
    <w:p w14:paraId="488A1D5A">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eastAsia="zh-CN"/>
        </w:rPr>
      </w:pPr>
      <w:r>
        <w:rPr>
          <w:rFonts w:hint="eastAsia" w:cs="Times New Roman"/>
          <w:color w:val="auto"/>
          <w:lang w:val="en-US" w:eastAsia="zh-CN"/>
        </w:rPr>
        <w:t>一是建议</w:t>
      </w:r>
      <w:r>
        <w:rPr>
          <w:rFonts w:hint="default" w:ascii="Times New Roman" w:hAnsi="Times New Roman" w:cs="Times New Roman"/>
          <w:color w:val="auto"/>
          <w:lang w:val="en-US" w:eastAsia="zh-CN"/>
        </w:rPr>
        <w:t>项目实施单位及运营单位加强合同履约过程监督</w:t>
      </w:r>
      <w:r>
        <w:rPr>
          <w:rFonts w:hint="eastAsia" w:cs="Times New Roman"/>
          <w:color w:val="auto"/>
          <w:lang w:val="en-US" w:eastAsia="zh-CN"/>
        </w:rPr>
        <w:t>，在以后年度签订服务合同时，结合该项目运营管理实际情况，细化合同相关条款，使其明确具体并可落地。包括对居民日常管理服务监督与考核应明确责任主体，考核方式，考核时间以及考核频次；对于服务费支付方式应明确付款时限、付款条件、付款依据及付款比例，用于确保按时支付服务费保障运营公司正常运转；对于运营期内车辆投资的确认，应根据现有清扫服务面积，服务质量，服务要求和现有车辆情况等按年度确定投资车辆的数量，型号以及投资金额，保障服务机械化率提升。同时建议</w:t>
      </w:r>
      <w:r>
        <w:rPr>
          <w:rFonts w:hint="default" w:ascii="Times New Roman" w:hAnsi="Times New Roman" w:cs="Times New Roman"/>
          <w:color w:val="auto"/>
          <w:lang w:val="en-US" w:eastAsia="zh-CN"/>
        </w:rPr>
        <w:t>制定统一的项目管理框架，确定项目运营期各阶段任务，明确各阶段分工及职责，落实动态化监管机制，建立周报、月报制度跟踪里程碑节点，及时对项目运营过程中出现的问题进行纠偏，确保合同</w:t>
      </w:r>
      <w:r>
        <w:rPr>
          <w:rFonts w:hint="eastAsia" w:cs="Times New Roman"/>
          <w:color w:val="auto"/>
          <w:lang w:val="en-US" w:eastAsia="zh-CN"/>
        </w:rPr>
        <w:t>履约</w:t>
      </w:r>
      <w:r>
        <w:rPr>
          <w:rFonts w:hint="default" w:ascii="Times New Roman" w:hAnsi="Times New Roman" w:cs="Times New Roman"/>
          <w:color w:val="auto"/>
          <w:lang w:val="en-US" w:eastAsia="zh-CN"/>
        </w:rPr>
        <w:t>落实到位。</w:t>
      </w:r>
    </w:p>
    <w:p w14:paraId="72EB993D">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eastAsia="zh-CN"/>
        </w:rPr>
      </w:pPr>
      <w:r>
        <w:rPr>
          <w:rFonts w:hint="eastAsia" w:cs="Times New Roman"/>
          <w:color w:val="auto"/>
          <w:lang w:val="en-US" w:eastAsia="zh-CN"/>
        </w:rPr>
        <w:t>二是，建议</w:t>
      </w:r>
      <w:r>
        <w:rPr>
          <w:rFonts w:hint="default" w:ascii="Times New Roman" w:hAnsi="Times New Roman" w:cs="Times New Roman"/>
          <w:color w:val="auto"/>
          <w:lang w:val="en-US" w:eastAsia="zh-CN"/>
        </w:rPr>
        <w:t>项目实施单位</w:t>
      </w:r>
      <w:r>
        <w:rPr>
          <w:rFonts w:hint="eastAsia" w:cs="Times New Roman"/>
          <w:color w:val="auto"/>
          <w:lang w:val="en-US" w:eastAsia="zh-CN"/>
        </w:rPr>
        <w:t>根据</w:t>
      </w:r>
      <w:r>
        <w:rPr>
          <w:rFonts w:hint="default" w:ascii="Times New Roman" w:hAnsi="Times New Roman" w:cs="Times New Roman"/>
          <w:color w:val="auto"/>
        </w:rPr>
        <w:t>《政府购买服务管理办法》中“第二十条购买主体实施政府购买服务项目绩效管理，应当开展事前绩效评估，定期对所购服务实施情况开展绩效评价，具备条件的项目可以运用第三方评价评估”</w:t>
      </w:r>
      <w:r>
        <w:rPr>
          <w:rFonts w:hint="eastAsia" w:cs="Times New Roman"/>
          <w:color w:val="auto"/>
          <w:lang w:val="en-US" w:eastAsia="zh-CN"/>
        </w:rPr>
        <w:t>的要求，</w:t>
      </w:r>
      <w:r>
        <w:rPr>
          <w:rFonts w:hint="default" w:ascii="Times New Roman" w:hAnsi="Times New Roman" w:cs="Times New Roman"/>
          <w:color w:val="auto"/>
        </w:rPr>
        <w:t>每季度组织一次现场核查，年终引入第三方评价，评价报告作为下一年度预算安排和续约依据，确保“花钱必问效、无效必问责”</w:t>
      </w:r>
      <w:r>
        <w:rPr>
          <w:rFonts w:hint="default" w:ascii="Times New Roman" w:hAnsi="Times New Roman" w:cs="Times New Roman"/>
          <w:color w:val="auto"/>
          <w:lang w:val="en-US" w:eastAsia="zh-CN"/>
        </w:rPr>
        <w:t>。</w:t>
      </w:r>
    </w:p>
    <w:p w14:paraId="18D27DFE">
      <w:pPr>
        <w:spacing w:line="360" w:lineRule="auto"/>
        <w:ind w:firstLine="420"/>
        <w:rPr>
          <w:rFonts w:hint="default" w:ascii="Times New Roman" w:hAnsi="Times New Roman" w:cs="Times New Roman"/>
          <w:color w:val="auto"/>
          <w:lang w:val="en-US"/>
        </w:rPr>
      </w:pPr>
    </w:p>
    <w:p w14:paraId="4E0DD4C1">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eastAsia="zh-CN"/>
        </w:rPr>
      </w:pPr>
    </w:p>
    <w:p w14:paraId="5CB3B2A9">
      <w:pPr>
        <w:pStyle w:val="13"/>
        <w:keepNext w:val="0"/>
        <w:keepLines w:val="0"/>
        <w:pageBreakBefore w:val="0"/>
        <w:widowControl w:val="0"/>
        <w:tabs>
          <w:tab w:val="right" w:leader="dot" w:pos="8879"/>
          <w:tab w:val="clear" w:pos="9356"/>
        </w:tabs>
        <w:kinsoku/>
        <w:wordWrap/>
        <w:overflowPunct/>
        <w:topLinePunct w:val="0"/>
        <w:autoSpaceDE/>
        <w:autoSpaceDN/>
        <w:bidi w:val="0"/>
        <w:adjustRightInd w:val="0"/>
        <w:snapToGrid w:val="0"/>
        <w:spacing w:line="360" w:lineRule="auto"/>
        <w:textAlignment w:val="auto"/>
        <w:rPr>
          <w:rFonts w:hint="default" w:ascii="Times New Roman" w:hAnsi="Times New Roman" w:cs="Times New Roman" w:eastAsiaTheme="minorEastAsia"/>
          <w:bCs w:val="0"/>
          <w:color w:val="auto"/>
          <w:kern w:val="2"/>
          <w:sz w:val="21"/>
          <w:szCs w:val="21"/>
          <w:highlight w:val="none"/>
          <w:lang w:val="en-US" w:eastAsia="zh-CN" w:bidi="ar-SA"/>
        </w:rPr>
      </w:pPr>
    </w:p>
    <w:p w14:paraId="6431A074">
      <w:pPr>
        <w:pageBreakBefore w:val="0"/>
        <w:widowControl/>
        <w:kinsoku/>
        <w:wordWrap/>
        <w:overflowPunct/>
        <w:topLinePunct w:val="0"/>
        <w:autoSpaceDE/>
        <w:autoSpaceDN/>
        <w:bidi w:val="0"/>
        <w:snapToGrid w:val="0"/>
        <w:spacing w:before="0" w:after="0" w:line="360" w:lineRule="auto"/>
        <w:rPr>
          <w:rFonts w:hint="default" w:ascii="Times New Roman" w:hAnsi="Times New Roman" w:cs="Times New Roman"/>
          <w:color w:val="auto"/>
        </w:rPr>
        <w:sectPr>
          <w:headerReference r:id="rId11" w:type="default"/>
          <w:footerReference r:id="rId12" w:type="default"/>
          <w:pgSz w:w="11906" w:h="16838"/>
          <w:pgMar w:top="1440" w:right="1797" w:bottom="1440" w:left="1797" w:header="964" w:footer="850" w:gutter="0"/>
          <w:pgNumType w:fmt="upperRoman" w:start="1"/>
          <w:cols w:space="720" w:num="1"/>
          <w:docGrid w:type="lines" w:linePitch="312" w:charSpace="0"/>
        </w:sectPr>
      </w:pPr>
    </w:p>
    <w:sdt>
      <w:sdtPr>
        <w:rPr>
          <w:rFonts w:hint="default" w:ascii="Times New Roman" w:hAnsi="Times New Roman" w:eastAsia="宋体" w:cs="Times New Roman"/>
          <w:color w:val="auto"/>
          <w:sz w:val="21"/>
          <w:szCs w:val="21"/>
        </w:rPr>
        <w:id w:val="147469479"/>
        <w:docPartObj>
          <w:docPartGallery w:val="Table of Contents"/>
          <w:docPartUnique/>
        </w:docPartObj>
      </w:sdtPr>
      <w:sdtEndPr>
        <w:rPr>
          <w:rFonts w:hint="default" w:ascii="Times New Roman" w:hAnsi="Times New Roman" w:eastAsia="宋体" w:cs="Times New Roman"/>
          <w:b/>
          <w:color w:val="auto"/>
          <w:sz w:val="21"/>
          <w:szCs w:val="21"/>
        </w:rPr>
      </w:sdtEndPr>
      <w:sdtContent>
        <w:p w14:paraId="045C4970">
          <w:pPr>
            <w:keepNext w:val="0"/>
            <w:keepLines w:val="0"/>
            <w:pageBreakBefore w:val="0"/>
            <w:widowControl w:val="0"/>
            <w:kinsoku/>
            <w:wordWrap/>
            <w:overflowPunct/>
            <w:topLinePunct w:val="0"/>
            <w:autoSpaceDE/>
            <w:autoSpaceDN/>
            <w:bidi w:val="0"/>
            <w:adjustRightInd w:val="0"/>
            <w:snapToGrid w:val="0"/>
            <w:spacing w:before="0" w:after="0" w:line="360" w:lineRule="auto"/>
            <w:ind w:firstLine="0" w:firstLineChars="0"/>
            <w:jc w:val="center"/>
            <w:textAlignment w:val="auto"/>
            <w:rPr>
              <w:rFonts w:hint="default" w:ascii="Times New Roman" w:hAnsi="Times New Roman" w:eastAsia="宋体" w:cs="Times New Roman"/>
              <w:b/>
              <w:color w:val="auto"/>
              <w:kern w:val="2"/>
              <w:sz w:val="21"/>
              <w:szCs w:val="21"/>
              <w:lang w:val="en-US" w:eastAsia="zh-CN" w:bidi="ar-SA"/>
            </w:rPr>
          </w:pPr>
          <w:r>
            <w:rPr>
              <w:rFonts w:hint="default" w:ascii="Times New Roman" w:hAnsi="Times New Roman" w:eastAsia="宋体" w:cs="Times New Roman"/>
              <w:b/>
              <w:bCs/>
              <w:color w:val="auto"/>
              <w:sz w:val="28"/>
              <w:szCs w:val="28"/>
            </w:rPr>
            <w:t>目录</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TOC \o "1-2" \h \u </w:instrText>
          </w:r>
          <w:r>
            <w:rPr>
              <w:rFonts w:hint="default" w:ascii="Times New Roman" w:hAnsi="Times New Roman" w:eastAsia="宋体" w:cs="Times New Roman"/>
              <w:color w:val="auto"/>
              <w:sz w:val="21"/>
              <w:szCs w:val="21"/>
            </w:rPr>
            <w:fldChar w:fldCharType="separate"/>
          </w:r>
        </w:p>
        <w:p w14:paraId="74AE5B3D">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_Toc31366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lang w:val="en-US" w:eastAsia="zh-CN"/>
            </w:rPr>
            <w:t>一、基本情况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_Toc31366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31C344A0">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_Toc32159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highlight w:val="none"/>
            </w:rPr>
            <w:t>（一）</w:t>
          </w:r>
          <w:r>
            <w:rPr>
              <w:rFonts w:hint="default" w:ascii="Times New Roman" w:hAnsi="Times New Roman" w:eastAsia="宋体" w:cs="Times New Roman"/>
              <w:color w:val="auto"/>
              <w:sz w:val="21"/>
              <w:szCs w:val="21"/>
              <w:highlight w:val="none"/>
              <w:lang w:val="en-US" w:eastAsia="zh-CN"/>
            </w:rPr>
            <w:t>项目概况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_Toc32159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6430358C">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_Toc29804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（二）资金投入和使用情况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_Toc29804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156D9BBF">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_Toc25259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（三）项目实施情况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_Toc25259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3</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28560E3">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_Toc26405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（四）项目组织管理</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_Toc26405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6</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6291950">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_Toc22144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二、项目绩效目标</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_Toc22144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6</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687804FE">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_Toc4806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（一）项目绩效总目标</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_Toc4806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6</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1C03EA3E">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_Toc31967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（二）年度绩效目标</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_Toc31967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7</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7E4B5D4D">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_Toc26625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三、绩效评价工作开展情况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_Toc26625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8</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D49B402">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_Toc22469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（一）绩效评价依据</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_Toc22469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8</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501DEBD">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_Toc11435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（二）绩效评价目的、对象和范围</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_Toc11435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8</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6A19D118">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_Toc23126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（三）绩效评价原则</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_Toc23126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9</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724D5034">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_Toc16754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（四）绩效评价标准</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_Toc16754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9</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79B81BCB">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_Toc7223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（五）绩效评价方法</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_Toc7223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9</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42DDD544">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_Toc31310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（六）绩效评价指标体系设计</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_Toc31310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11</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7B99FEF">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_Toc30912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（七）绩效评价工作过程</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_Toc30912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12</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03BDE86">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_Toc18294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四、综合评价情况及评价结论</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_Toc18294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13</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257117EB">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_Toc166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（一）评价得分情况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_Toc166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13</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2C5A1D8">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_Toc6865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（二）综合评价结论</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_Toc6865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14</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43DF9349">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_Toc6670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五、绩效评价指标分析</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_Toc6670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14</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E38CBB0">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_Toc5706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（一）项目决策情况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_Toc5706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14</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2F4E8251">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_Toc18988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（二）项目过程情况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_Toc18988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17</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2B205BCA">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_Toc12656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（三）项目产出情况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_Toc12656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20</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6CDC9923">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_Toc15575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（四）项目效益情况</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_Toc15575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24</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2580A629">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_Toc14652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六、主要经验及做法、存在的问题及原因分析</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_Toc14652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26</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7AD3D58E">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_Toc438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（一）主要经验及做法</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_Toc438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26</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7C393196">
          <w:pPr>
            <w:pStyle w:val="14"/>
            <w:keepNext w:val="0"/>
            <w:keepLines w:val="0"/>
            <w:pageBreakBefore w:val="0"/>
            <w:widowControl w:val="0"/>
            <w:tabs>
              <w:tab w:val="right" w:leader="dot" w:pos="830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_Toc25341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（二）存在的问题</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_Toc25341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26</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77005EBE">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_Toc29690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七、有关建议</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_Toc29690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27</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646D765A">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_Toc13243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bCs/>
              <w:color w:val="auto"/>
              <w:kern w:val="44"/>
              <w:sz w:val="21"/>
              <w:szCs w:val="21"/>
              <w:lang w:val="en-US" w:eastAsia="zh-CN" w:bidi="ar-SA"/>
            </w:rPr>
            <w:t>八、 绩效评价</w:t>
          </w:r>
          <w:r>
            <w:rPr>
              <w:rFonts w:hint="default" w:ascii="Times New Roman" w:hAnsi="Times New Roman" w:eastAsia="宋体" w:cs="Times New Roman"/>
              <w:color w:val="auto"/>
              <w:sz w:val="21"/>
              <w:szCs w:val="21"/>
              <w:lang w:val="en-US" w:eastAsia="zh-CN"/>
            </w:rPr>
            <w:t>结果</w:t>
          </w:r>
          <w:r>
            <w:rPr>
              <w:rFonts w:hint="default" w:ascii="Times New Roman" w:hAnsi="Times New Roman" w:eastAsia="宋体" w:cs="Times New Roman"/>
              <w:bCs/>
              <w:color w:val="auto"/>
              <w:kern w:val="44"/>
              <w:sz w:val="21"/>
              <w:szCs w:val="21"/>
              <w:lang w:val="en-US" w:eastAsia="zh-CN" w:bidi="ar-SA"/>
            </w:rPr>
            <w:t>应用建议</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_Toc13243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27</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3F4C3D4A">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_Toc8368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lang w:val="en-US" w:eastAsia="zh-CN"/>
            </w:rPr>
            <w:t>九</w:t>
          </w:r>
          <w:r>
            <w:rPr>
              <w:rFonts w:hint="default" w:ascii="Times New Roman" w:hAnsi="Times New Roman" w:eastAsia="宋体" w:cs="Times New Roman"/>
              <w:color w:val="auto"/>
              <w:sz w:val="21"/>
              <w:szCs w:val="21"/>
            </w:rPr>
            <w:t>、其他需要说明的问题</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_Toc8368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28</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44E13145">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_Toc11103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附件1：绩效评价指标体系及综合评价表</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_Toc11103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29</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07E02AB9">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_Toc9327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附件2：基础表</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_Toc9327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29</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65357B2F">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_Toc13189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附件3：问卷调查分析报告</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_Toc13189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41</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3D95A35">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_Toc613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附件4：现场勘查照片</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_Toc613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45</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5A03BA3B">
          <w:pPr>
            <w:pStyle w:val="13"/>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40" w:lineRule="exact"/>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HYPERLINK \l _Toc27647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附件5：绩效评价工作沟通反馈结果</w:t>
          </w:r>
          <w:r>
            <w:rPr>
              <w:rFonts w:hint="default" w:ascii="Times New Roman" w:hAnsi="Times New Roman" w:eastAsia="宋体" w:cs="Times New Roman"/>
              <w:color w:val="auto"/>
              <w:sz w:val="21"/>
              <w:szCs w:val="21"/>
            </w:rPr>
            <w:tab/>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 PAGEREF _Toc27647 \h </w:instrText>
          </w:r>
          <w:r>
            <w:rPr>
              <w:rFonts w:hint="default" w:ascii="Times New Roman" w:hAnsi="Times New Roman" w:eastAsia="宋体" w:cs="Times New Roman"/>
              <w:color w:val="auto"/>
              <w:sz w:val="21"/>
              <w:szCs w:val="21"/>
            </w:rPr>
            <w:fldChar w:fldCharType="separate"/>
          </w:r>
          <w:r>
            <w:rPr>
              <w:rFonts w:hint="default" w:ascii="Times New Roman" w:hAnsi="Times New Roman" w:eastAsia="宋体" w:cs="Times New Roman"/>
              <w:color w:val="auto"/>
              <w:sz w:val="21"/>
              <w:szCs w:val="21"/>
            </w:rPr>
            <w:t>49</w:t>
          </w:r>
          <w:r>
            <w:rPr>
              <w:rFonts w:hint="default" w:ascii="Times New Roman" w:hAnsi="Times New Roman" w:eastAsia="宋体" w:cs="Times New Roman"/>
              <w:color w:val="auto"/>
              <w:sz w:val="21"/>
              <w:szCs w:val="21"/>
            </w:rPr>
            <w:fldChar w:fldCharType="end"/>
          </w:r>
          <w:r>
            <w:rPr>
              <w:rFonts w:hint="default" w:ascii="Times New Roman" w:hAnsi="Times New Roman" w:eastAsia="宋体" w:cs="Times New Roman"/>
              <w:color w:val="auto"/>
              <w:sz w:val="21"/>
              <w:szCs w:val="21"/>
            </w:rPr>
            <w:fldChar w:fldCharType="end"/>
          </w:r>
        </w:p>
        <w:p w14:paraId="21D01172">
          <w:pPr>
            <w:keepNext w:val="0"/>
            <w:keepLines w:val="0"/>
            <w:pageBreakBefore w:val="0"/>
            <w:widowControl w:val="0"/>
            <w:kinsoku/>
            <w:wordWrap/>
            <w:overflowPunct/>
            <w:topLinePunct w:val="0"/>
            <w:autoSpaceDE/>
            <w:autoSpaceDN/>
            <w:bidi w:val="0"/>
            <w:adjustRightInd w:val="0"/>
            <w:snapToGrid w:val="0"/>
            <w:spacing w:before="0" w:after="0" w:line="360" w:lineRule="auto"/>
            <w:ind w:firstLine="0" w:firstLineChars="0"/>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b/>
              <w:color w:val="auto"/>
              <w:sz w:val="21"/>
              <w:szCs w:val="21"/>
            </w:rPr>
            <w:fldChar w:fldCharType="end"/>
          </w:r>
        </w:p>
      </w:sdtContent>
    </w:sdt>
    <w:p w14:paraId="24C1013E">
      <w:pPr>
        <w:keepNext w:val="0"/>
        <w:keepLines w:val="0"/>
        <w:pageBreakBefore w:val="0"/>
        <w:widowControl w:val="0"/>
        <w:kinsoku/>
        <w:wordWrap/>
        <w:overflowPunct/>
        <w:topLinePunct w:val="0"/>
        <w:autoSpaceDE/>
        <w:autoSpaceDN/>
        <w:bidi w:val="0"/>
        <w:adjustRightInd w:val="0"/>
        <w:snapToGrid w:val="0"/>
        <w:spacing w:before="0" w:after="0" w:line="360" w:lineRule="auto"/>
        <w:ind w:firstLine="0" w:firstLineChars="0"/>
        <w:textAlignment w:val="auto"/>
        <w:rPr>
          <w:rFonts w:hint="default" w:ascii="Times New Roman" w:hAnsi="Times New Roman" w:eastAsia="宋体" w:cs="Times New Roman"/>
          <w:color w:val="auto"/>
          <w:sz w:val="21"/>
          <w:szCs w:val="21"/>
        </w:rPr>
        <w:sectPr>
          <w:footerReference r:id="rId13" w:type="default"/>
          <w:pgSz w:w="11906" w:h="16838"/>
          <w:pgMar w:top="1440" w:right="1800" w:bottom="1440" w:left="1800" w:header="737" w:footer="794" w:gutter="0"/>
          <w:pgNumType w:start="1"/>
          <w:cols w:space="425" w:num="1"/>
          <w:docGrid w:type="lines" w:linePitch="312" w:charSpace="0"/>
        </w:sectPr>
      </w:pPr>
    </w:p>
    <w:p w14:paraId="34C186FD">
      <w:pPr>
        <w:adjustRightInd/>
        <w:snapToGrid/>
        <w:spacing w:line="500" w:lineRule="exact"/>
        <w:ind w:left="-178" w:leftChars="-85" w:firstLine="0" w:firstLineChars="0"/>
        <w:jc w:val="center"/>
        <w:outlineLvl w:val="0"/>
        <w:rPr>
          <w:rFonts w:hint="default" w:ascii="Times New Roman" w:hAnsi="Times New Roman" w:eastAsia="楷体_GB2312" w:cs="Times New Roman"/>
          <w:b/>
          <w:color w:val="auto"/>
          <w:sz w:val="48"/>
          <w:szCs w:val="48"/>
        </w:rPr>
      </w:pPr>
      <w:bookmarkStart w:id="9" w:name="_Toc15317"/>
      <w:bookmarkStart w:id="10" w:name="_Toc25378"/>
      <w:bookmarkStart w:id="11" w:name="_Toc17971"/>
      <w:bookmarkStart w:id="12" w:name="_Toc26455"/>
      <w:bookmarkStart w:id="13" w:name="_Toc5622"/>
      <w:bookmarkStart w:id="14" w:name="_Toc8027"/>
      <w:r>
        <w:rPr>
          <w:rFonts w:hint="default" w:ascii="Times New Roman" w:hAnsi="Times New Roman" w:eastAsia="仿宋_GB2312" w:cs="Times New Roman"/>
          <w:b/>
          <w:color w:val="auto"/>
          <w:sz w:val="48"/>
          <w:szCs w:val="48"/>
        </w:rPr>
        <w:t>新疆驰远天合有限责任会计师事务所</w:t>
      </w:r>
      <w:bookmarkEnd w:id="9"/>
      <w:bookmarkEnd w:id="10"/>
      <w:bookmarkEnd w:id="11"/>
      <w:bookmarkEnd w:id="12"/>
      <w:bookmarkEnd w:id="13"/>
      <w:bookmarkEnd w:id="14"/>
    </w:p>
    <w:p w14:paraId="409B0B44">
      <w:pPr>
        <w:pageBreakBefore w:val="0"/>
        <w:kinsoku/>
        <w:wordWrap/>
        <w:overflowPunct/>
        <w:topLinePunct w:val="0"/>
        <w:autoSpaceDE/>
        <w:autoSpaceDN/>
        <w:bidi w:val="0"/>
        <w:adjustRightInd/>
        <w:snapToGrid w:val="0"/>
        <w:spacing w:before="0" w:after="0" w:line="360" w:lineRule="auto"/>
        <w:ind w:firstLine="0" w:firstLineChars="0"/>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Xinjiang Chiyuantianhe Certified Public Accountants Co.,Ltd.</w:t>
      </w:r>
    </w:p>
    <w:p w14:paraId="2B0C9F46">
      <w:pPr>
        <w:pageBreakBefore w:val="0"/>
        <w:kinsoku/>
        <w:wordWrap/>
        <w:overflowPunct/>
        <w:topLinePunct w:val="0"/>
        <w:autoSpaceDE/>
        <w:autoSpaceDN/>
        <w:bidi w:val="0"/>
        <w:adjustRightInd/>
        <w:snapToGrid w:val="0"/>
        <w:spacing w:before="0" w:after="0" w:line="360" w:lineRule="auto"/>
        <w:ind w:firstLine="0" w:firstLineChars="0"/>
        <w:jc w:val="center"/>
        <w:outlineLvl w:val="0"/>
        <w:rPr>
          <w:rFonts w:hint="default" w:ascii="Times New Roman" w:hAnsi="Times New Roman" w:eastAsia="宋体" w:cs="Times New Roman"/>
          <w:color w:val="auto"/>
        </w:rPr>
      </w:pPr>
      <w:bookmarkStart w:id="15" w:name="_Toc28509"/>
      <w:bookmarkStart w:id="16" w:name="_Toc21607"/>
      <w:bookmarkStart w:id="17" w:name="_Toc23718"/>
      <w:bookmarkStart w:id="18" w:name="_Toc4177"/>
      <w:bookmarkStart w:id="19" w:name="_Toc6782"/>
      <w:bookmarkStart w:id="20" w:name="_Toc11722"/>
      <w:r>
        <w:rPr>
          <w:rFonts w:hint="default" w:ascii="Times New Roman" w:hAnsi="Times New Roman" w:eastAsia="宋体" w:cs="Times New Roman"/>
          <w:b/>
          <w:color w:val="auto"/>
          <w:spacing w:val="66"/>
          <w:kern w:val="0"/>
          <w:sz w:val="44"/>
          <w:szCs w:val="44"/>
          <w:fitText w:val="3300" w:id="1424759405"/>
        </w:rPr>
        <w:t>绩效评价报</w:t>
      </w:r>
      <w:r>
        <w:rPr>
          <w:rFonts w:hint="default" w:ascii="Times New Roman" w:hAnsi="Times New Roman" w:eastAsia="宋体" w:cs="Times New Roman"/>
          <w:b/>
          <w:color w:val="auto"/>
          <w:spacing w:val="0"/>
          <w:kern w:val="0"/>
          <w:sz w:val="44"/>
          <w:szCs w:val="44"/>
          <w:fitText w:val="3300" w:id="1424759405"/>
        </w:rPr>
        <w:t>告</w:t>
      </w:r>
      <w:bookmarkEnd w:id="15"/>
      <w:bookmarkEnd w:id="16"/>
      <w:bookmarkEnd w:id="17"/>
      <w:bookmarkEnd w:id="18"/>
      <w:bookmarkEnd w:id="19"/>
      <w:bookmarkEnd w:id="20"/>
    </w:p>
    <w:p w14:paraId="28823909">
      <w:pPr>
        <w:pageBreakBefore w:val="0"/>
        <w:kinsoku/>
        <w:wordWrap/>
        <w:overflowPunct/>
        <w:topLinePunct w:val="0"/>
        <w:autoSpaceDE/>
        <w:autoSpaceDN/>
        <w:bidi w:val="0"/>
        <w:adjustRightInd/>
        <w:snapToGrid w:val="0"/>
        <w:spacing w:before="0" w:after="0" w:line="360" w:lineRule="auto"/>
        <w:ind w:firstLine="0" w:firstLineChars="0"/>
        <w:jc w:val="center"/>
        <w:outlineLvl w:val="0"/>
        <w:rPr>
          <w:rFonts w:hint="default" w:ascii="Times New Roman" w:hAnsi="Times New Roman" w:eastAsia="宋体" w:cs="Times New Roman"/>
          <w:color w:val="auto"/>
        </w:rPr>
      </w:pPr>
      <w:bookmarkStart w:id="21" w:name="_Toc22944"/>
      <w:bookmarkStart w:id="22" w:name="_Toc13608"/>
      <w:bookmarkStart w:id="23" w:name="_Toc3967"/>
      <w:bookmarkStart w:id="24" w:name="_Toc29876"/>
      <w:bookmarkStart w:id="25" w:name="_Toc29279"/>
      <w:bookmarkStart w:id="26" w:name="_Toc2662"/>
      <w:r>
        <w:rPr>
          <w:rFonts w:hint="default" w:ascii="Times New Roman" w:hAnsi="Times New Roman" w:eastAsia="宋体" w:cs="Times New Roman"/>
          <w:color w:val="auto"/>
        </w:rPr>
        <w:t>驰天会咨字[20</w:t>
      </w:r>
      <w:r>
        <w:rPr>
          <w:rFonts w:hint="default" w:ascii="Times New Roman" w:hAnsi="Times New Roman" w:eastAsia="宋体" w:cs="Times New Roman"/>
          <w:color w:val="auto"/>
          <w:lang w:val="en-US" w:eastAsia="zh-CN"/>
        </w:rPr>
        <w:t>25</w:t>
      </w:r>
      <w:r>
        <w:rPr>
          <w:rFonts w:hint="default" w:ascii="Times New Roman" w:hAnsi="Times New Roman" w:eastAsia="宋体" w:cs="Times New Roman"/>
          <w:color w:val="auto"/>
        </w:rPr>
        <w:t>]1-</w:t>
      </w:r>
      <w:r>
        <w:rPr>
          <w:rFonts w:hint="default" w:ascii="Times New Roman" w:hAnsi="Times New Roman" w:eastAsia="宋体" w:cs="Times New Roman"/>
          <w:color w:val="auto"/>
          <w:lang w:val="en-US" w:eastAsia="zh-CN"/>
        </w:rPr>
        <w:t>0179</w:t>
      </w:r>
      <w:r>
        <w:rPr>
          <w:rFonts w:hint="default" w:ascii="Times New Roman" w:hAnsi="Times New Roman" w:eastAsia="宋体" w:cs="Times New Roman"/>
          <w:color w:val="auto"/>
        </w:rPr>
        <w:t>号</w:t>
      </w:r>
      <w:bookmarkEnd w:id="21"/>
      <w:bookmarkEnd w:id="22"/>
      <w:bookmarkEnd w:id="23"/>
      <w:bookmarkEnd w:id="24"/>
      <w:bookmarkEnd w:id="25"/>
      <w:bookmarkEnd w:id="26"/>
    </w:p>
    <w:p w14:paraId="6D958C1F">
      <w:pPr>
        <w:spacing w:before="0" w:after="0" w:line="360" w:lineRule="auto"/>
        <w:ind w:firstLine="0" w:firstLineChars="0"/>
        <w:rPr>
          <w:rFonts w:hint="default" w:ascii="Times New Roman" w:hAnsi="Times New Roman" w:cs="Times New Roman"/>
          <w:color w:val="auto"/>
          <w:highlight w:val="none"/>
        </w:rPr>
      </w:pPr>
      <w:r>
        <w:rPr>
          <w:rFonts w:hint="default" w:ascii="Times New Roman" w:hAnsi="Times New Roman" w:cs="Times New Roman"/>
          <w:color w:val="auto"/>
          <w:lang w:val="en-US" w:eastAsia="zh-CN"/>
        </w:rPr>
        <w:t>吉木萨尔县财政局</w:t>
      </w:r>
      <w:r>
        <w:rPr>
          <w:rFonts w:hint="default" w:ascii="Times New Roman" w:hAnsi="Times New Roman" w:cs="Times New Roman"/>
          <w:color w:val="auto"/>
          <w:highlight w:val="none"/>
        </w:rPr>
        <w:t>：</w:t>
      </w:r>
    </w:p>
    <w:p w14:paraId="4458A1F5">
      <w:pPr>
        <w:spacing w:before="0" w:after="0" w:line="360" w:lineRule="auto"/>
        <w:ind w:firstLine="664"/>
        <w:rPr>
          <w:rFonts w:hint="default" w:ascii="Times New Roman" w:hAnsi="Times New Roman" w:cs="Times New Roman"/>
          <w:color w:val="auto"/>
          <w:lang w:val="en-US" w:eastAsia="zh-CN"/>
        </w:rPr>
      </w:pPr>
      <w:r>
        <w:rPr>
          <w:rFonts w:hint="default" w:ascii="Times New Roman" w:hAnsi="Times New Roman" w:cs="Times New Roman"/>
          <w:color w:val="auto"/>
          <w:highlight w:val="none"/>
        </w:rPr>
        <w:t>为贯彻落实全面推进预算绩效管理工作的要求，完善部门预算管理，强化预算支出责任，提高</w:t>
      </w:r>
      <w:r>
        <w:rPr>
          <w:rFonts w:hint="default" w:ascii="Times New Roman" w:hAnsi="Times New Roman" w:cs="Times New Roman"/>
          <w:color w:val="auto"/>
          <w:highlight w:val="none"/>
          <w:lang w:eastAsia="zh-CN"/>
        </w:rPr>
        <w:t>财政资金使用</w:t>
      </w:r>
      <w:r>
        <w:rPr>
          <w:rFonts w:hint="default" w:ascii="Times New Roman" w:hAnsi="Times New Roman" w:cs="Times New Roman"/>
          <w:color w:val="auto"/>
          <w:highlight w:val="none"/>
        </w:rPr>
        <w:t>效益，根据《</w:t>
      </w:r>
      <w:r>
        <w:rPr>
          <w:rFonts w:hint="default" w:ascii="Times New Roman" w:hAnsi="Times New Roman" w:cs="Times New Roman"/>
          <w:color w:val="auto"/>
          <w:highlight w:val="none"/>
          <w:lang w:eastAsia="zh-CN"/>
        </w:rPr>
        <w:t>中共中央、国务院</w:t>
      </w:r>
      <w:r>
        <w:rPr>
          <w:rFonts w:hint="default" w:ascii="Times New Roman" w:hAnsi="Times New Roman" w:cs="Times New Roman"/>
          <w:color w:val="auto"/>
          <w:highlight w:val="none"/>
        </w:rPr>
        <w:t>关于全面实施预算绩效管理的意见》（中发〔2018〕34号）、《项目支出绩效评价管理办法》（财预〔2020〕10号）、《关于进一步加强和规范第三方机构参与预算绩效管理的通知》（新财预〔2021〕49号）等系列文件的要求，受</w:t>
      </w:r>
      <w:r>
        <w:rPr>
          <w:rFonts w:hint="default" w:ascii="Times New Roman" w:hAnsi="Times New Roman" w:cs="Times New Roman"/>
          <w:color w:val="auto"/>
          <w:lang w:val="en-US" w:eastAsia="zh-CN"/>
        </w:rPr>
        <w:t>吉木萨尔县财政局</w:t>
      </w:r>
      <w:r>
        <w:rPr>
          <w:rFonts w:hint="default" w:ascii="Times New Roman" w:hAnsi="Times New Roman" w:cs="Times New Roman"/>
          <w:color w:val="auto"/>
          <w:highlight w:val="none"/>
        </w:rPr>
        <w:t>的委托，新疆驰远天合有限责任会计师事务所以第三方社会评价机构的身份，承担了</w:t>
      </w:r>
      <w:r>
        <w:rPr>
          <w:rFonts w:hint="default" w:ascii="Times New Roman" w:hAnsi="Times New Roman" w:cs="Times New Roman"/>
          <w:color w:val="auto"/>
          <w:lang w:val="en-US" w:eastAsia="zh-CN"/>
        </w:rPr>
        <w:t>吉木萨尔县城市管理服务“三位一体”委托运营项目</w:t>
      </w:r>
      <w:r>
        <w:rPr>
          <w:rFonts w:hint="default" w:ascii="Times New Roman" w:hAnsi="Times New Roman" w:cs="Times New Roman"/>
        </w:rPr>
        <w:t>202</w:t>
      </w:r>
      <w:r>
        <w:rPr>
          <w:rFonts w:hint="default" w:ascii="Times New Roman" w:hAnsi="Times New Roman" w:cs="Times New Roman"/>
          <w:lang w:val="en-US" w:eastAsia="zh-CN"/>
        </w:rPr>
        <w:t>4</w:t>
      </w:r>
      <w:r>
        <w:rPr>
          <w:rFonts w:hint="default" w:ascii="Times New Roman" w:hAnsi="Times New Roman" w:cs="Times New Roman"/>
        </w:rPr>
        <w:t>年度运营</w:t>
      </w:r>
      <w:r>
        <w:rPr>
          <w:rFonts w:hint="default" w:ascii="Times New Roman" w:hAnsi="Times New Roman" w:cs="Times New Roman"/>
          <w:lang w:val="en-US" w:eastAsia="zh-CN"/>
        </w:rPr>
        <w:t>服务</w:t>
      </w:r>
      <w:r>
        <w:rPr>
          <w:rFonts w:hint="default" w:ascii="Times New Roman" w:hAnsi="Times New Roman" w:cs="Times New Roman"/>
        </w:rPr>
        <w:t>的</w:t>
      </w:r>
      <w:r>
        <w:rPr>
          <w:rFonts w:hint="default" w:ascii="Times New Roman" w:hAnsi="Times New Roman" w:cs="Times New Roman"/>
          <w:color w:val="auto"/>
          <w:highlight w:val="none"/>
        </w:rPr>
        <w:t>绩效评价工作并形成绩效评价报告</w:t>
      </w:r>
      <w:r>
        <w:rPr>
          <w:rFonts w:hint="default" w:ascii="Times New Roman" w:hAnsi="Times New Roman" w:cs="Times New Roman"/>
          <w:color w:val="auto"/>
          <w:highlight w:val="none"/>
          <w:lang w:eastAsia="zh-CN"/>
        </w:rPr>
        <w:t>，</w:t>
      </w:r>
      <w:r>
        <w:rPr>
          <w:rFonts w:hint="default" w:ascii="Times New Roman" w:hAnsi="Times New Roman" w:cs="Times New Roman"/>
          <w:color w:val="auto"/>
          <w:lang w:val="en-US" w:eastAsia="zh-CN"/>
        </w:rPr>
        <w:t>吉木萨尔县住房和城乡建设局</w:t>
      </w:r>
      <w:r>
        <w:rPr>
          <w:rFonts w:hint="default" w:ascii="Times New Roman" w:hAnsi="Times New Roman" w:cs="Times New Roman"/>
          <w:color w:val="auto"/>
          <w:highlight w:val="none"/>
        </w:rPr>
        <w:t>负责提供与本次绩效评价相关的项目资料并保证项目资料的真实、合法、准确和完整，现将项目绩效评价情况报告如下：</w:t>
      </w:r>
    </w:p>
    <w:p w14:paraId="3FDA7063">
      <w:pPr>
        <w:pStyle w:val="2"/>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eastAsiaTheme="minorEastAsia"/>
          <w:color w:val="auto"/>
          <w:lang w:eastAsia="zh-CN"/>
        </w:rPr>
      </w:pPr>
      <w:bookmarkStart w:id="27" w:name="_Toc31366"/>
      <w:r>
        <w:rPr>
          <w:rFonts w:hint="default" w:ascii="Times New Roman" w:hAnsi="Times New Roman" w:cs="Times New Roman"/>
          <w:color w:val="auto"/>
          <w:lang w:val="en-US" w:eastAsia="zh-CN"/>
        </w:rPr>
        <w:t>一、基本情况</w:t>
      </w:r>
      <w:bookmarkEnd w:id="27"/>
    </w:p>
    <w:p w14:paraId="77603EFE">
      <w:pPr>
        <w:pStyle w:val="3"/>
        <w:spacing w:before="0" w:after="0" w:line="360" w:lineRule="auto"/>
        <w:ind w:firstLine="667"/>
        <w:rPr>
          <w:rFonts w:hint="default" w:ascii="Times New Roman" w:hAnsi="Times New Roman" w:cs="Times New Roman"/>
          <w:color w:val="auto"/>
          <w:highlight w:val="none"/>
        </w:rPr>
      </w:pPr>
      <w:bookmarkStart w:id="28" w:name="_Toc5761"/>
      <w:bookmarkStart w:id="29" w:name="_Toc19237"/>
      <w:bookmarkStart w:id="30" w:name="_Toc32159"/>
      <w:bookmarkStart w:id="31" w:name="_Toc327"/>
      <w:bookmarkStart w:id="32" w:name="_Toc29804"/>
      <w:r>
        <w:rPr>
          <w:rFonts w:hint="default" w:ascii="Times New Roman" w:hAnsi="Times New Roman" w:cs="Times New Roman"/>
          <w:color w:val="auto"/>
          <w:highlight w:val="none"/>
        </w:rPr>
        <w:t>（一）</w:t>
      </w:r>
      <w:r>
        <w:rPr>
          <w:rFonts w:hint="default" w:ascii="Times New Roman" w:hAnsi="Times New Roman" w:cs="Times New Roman"/>
          <w:color w:val="auto"/>
          <w:highlight w:val="none"/>
          <w:lang w:val="en-US" w:eastAsia="zh-CN"/>
        </w:rPr>
        <w:t>项目概况</w:t>
      </w:r>
      <w:bookmarkEnd w:id="28"/>
      <w:bookmarkEnd w:id="29"/>
      <w:bookmarkEnd w:id="30"/>
      <w:bookmarkEnd w:id="31"/>
    </w:p>
    <w:p w14:paraId="18D9E077">
      <w:pPr>
        <w:bidi w:val="0"/>
        <w:spacing w:before="0" w:after="0" w:line="360" w:lineRule="auto"/>
        <w:rPr>
          <w:rFonts w:hint="default" w:ascii="Times New Roman" w:hAnsi="Times New Roman" w:cs="Times New Roman"/>
          <w:b/>
          <w:bCs/>
          <w:color w:val="auto"/>
          <w:lang w:val="en-US" w:eastAsia="zh-CN"/>
        </w:rPr>
      </w:pPr>
      <w:r>
        <w:rPr>
          <w:rFonts w:hint="default" w:ascii="Times New Roman" w:hAnsi="Times New Roman" w:cs="Times New Roman"/>
          <w:b/>
          <w:bCs/>
          <w:color w:val="auto"/>
        </w:rPr>
        <w:t>1.</w:t>
      </w:r>
      <w:r>
        <w:rPr>
          <w:rFonts w:hint="default" w:ascii="Times New Roman" w:hAnsi="Times New Roman" w:cs="Times New Roman"/>
          <w:b/>
          <w:bCs/>
          <w:color w:val="auto"/>
          <w:lang w:val="en-US" w:eastAsia="zh-CN"/>
        </w:rPr>
        <w:t>项目立项背景及目的</w:t>
      </w:r>
    </w:p>
    <w:p w14:paraId="06109BDB">
      <w:pPr>
        <w:bidi w:val="0"/>
        <w:spacing w:before="0" w:after="0" w:line="360" w:lineRule="auto"/>
        <w:rPr>
          <w:rFonts w:hint="default" w:ascii="Times New Roman" w:hAnsi="Times New Roman" w:cs="Times New Roman"/>
          <w:color w:val="auto"/>
        </w:rPr>
      </w:pPr>
      <w:r>
        <w:rPr>
          <w:rFonts w:hint="default" w:ascii="Times New Roman" w:hAnsi="Times New Roman" w:cs="Times New Roman"/>
          <w:color w:val="auto"/>
        </w:rPr>
        <w:t>环境卫生管理工作是与人民生活息息相关的公共事业，是社会经济发展的基础和保障。国家制定《城市市容和环境卫生管理条例》，提出环境卫生管理应当逐步实行社会化服务</w:t>
      </w:r>
      <w:r>
        <w:rPr>
          <w:rFonts w:hint="default" w:ascii="Times New Roman" w:hAnsi="Times New Roman" w:cs="Times New Roman"/>
          <w:color w:val="auto"/>
          <w:lang w:eastAsia="zh-CN"/>
        </w:rPr>
        <w:t>，</w:t>
      </w:r>
      <w:r>
        <w:rPr>
          <w:rFonts w:hint="default" w:ascii="Times New Roman" w:hAnsi="Times New Roman" w:cs="Times New Roman"/>
          <w:color w:val="auto"/>
        </w:rPr>
        <w:t>加强城市市容和环境卫生管理，创造清洁、优美的城市工作、生活环境，促进城市社会主义物质文明和精神文明建设</w:t>
      </w:r>
      <w:r>
        <w:rPr>
          <w:rFonts w:hint="default" w:ascii="Times New Roman" w:hAnsi="Times New Roman" w:cs="Times New Roman"/>
          <w:color w:val="auto"/>
          <w:lang w:eastAsia="zh-CN"/>
        </w:rPr>
        <w:t>。</w:t>
      </w:r>
      <w:r>
        <w:rPr>
          <w:rFonts w:hint="default" w:ascii="Times New Roman" w:hAnsi="Times New Roman" w:cs="Times New Roman"/>
          <w:color w:val="auto"/>
        </w:rPr>
        <w:t>新疆维吾尔自治区住房和城乡建设厅印发《关于加强自治区城市精细化管理的通知》提出</w:t>
      </w:r>
      <w:r>
        <w:rPr>
          <w:rFonts w:hint="default" w:ascii="Times New Roman" w:hAnsi="Times New Roman" w:cs="Times New Roman"/>
          <w:color w:val="auto"/>
          <w:lang w:eastAsia="zh-CN"/>
        </w:rPr>
        <w:t>，</w:t>
      </w:r>
      <w:r>
        <w:rPr>
          <w:rFonts w:hint="default" w:ascii="Times New Roman" w:hAnsi="Times New Roman" w:cs="Times New Roman"/>
          <w:color w:val="auto"/>
        </w:rPr>
        <w:t>将围绕法治建设、信息化建设、市容市貌管理、环境卫生、园林绿化管理等10个方面</w:t>
      </w:r>
      <w:r>
        <w:rPr>
          <w:rFonts w:hint="default" w:ascii="Times New Roman" w:hAnsi="Times New Roman" w:cs="Times New Roman"/>
          <w:color w:val="auto"/>
          <w:lang w:eastAsia="zh-CN"/>
        </w:rPr>
        <w:t>，</w:t>
      </w:r>
      <w:r>
        <w:rPr>
          <w:rFonts w:hint="default" w:ascii="Times New Roman" w:hAnsi="Times New Roman" w:cs="Times New Roman"/>
          <w:color w:val="auto"/>
        </w:rPr>
        <w:t>通过城市精细化管理提升群众获得感和幸福感。在提升环境卫生水平方面，要全面落实生活垃圾分类和建筑垃圾资源化利用，提高环卫机械效能，大力推进城市道路清扫保洁工作市场化、专业化、标准化。</w:t>
      </w:r>
    </w:p>
    <w:p w14:paraId="1A98B21E">
      <w:pPr>
        <w:bidi w:val="0"/>
        <w:spacing w:before="0" w:after="0" w:line="360" w:lineRule="auto"/>
        <w:rPr>
          <w:rFonts w:hint="default" w:ascii="Times New Roman" w:hAnsi="Times New Roman" w:cs="Times New Roman"/>
          <w:color w:val="auto"/>
        </w:rPr>
      </w:pPr>
      <w:r>
        <w:rPr>
          <w:rFonts w:hint="default" w:ascii="Times New Roman" w:hAnsi="Times New Roman" w:cs="Times New Roman"/>
          <w:color w:val="auto"/>
        </w:rPr>
        <w:t>为进一步抓好</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rPr>
        <w:t>城市环境卫生，改善城市居民环境质量</w:t>
      </w:r>
      <w:r>
        <w:rPr>
          <w:rFonts w:hint="default" w:ascii="Times New Roman" w:hAnsi="Times New Roman" w:cs="Times New Roman"/>
          <w:color w:val="auto"/>
          <w:lang w:eastAsia="zh-CN"/>
        </w:rPr>
        <w:t>，</w:t>
      </w:r>
      <w:r>
        <w:rPr>
          <w:rFonts w:hint="default" w:ascii="Times New Roman" w:hAnsi="Times New Roman" w:cs="Times New Roman"/>
          <w:color w:val="auto"/>
        </w:rPr>
        <w:t>推动</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rPr>
        <w:t>城市环境卫生管理事业向“作业专业化、经营企业化、服务社会化、管理规范化”的发展。</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rPr>
        <w:t>住房和城乡建设局通过政府购买服务方式，引进一家有管理经验和实力的环卫公司，对县城道路、工业园区道路及广场等进行清扫保洁，对公共设施的维护管理，解决现行环卫作业效果不高，人员密度不够、考核标准不严、队伍活力不足等突出问题。</w:t>
      </w:r>
    </w:p>
    <w:p w14:paraId="482CE92B">
      <w:pPr>
        <w:bidi w:val="0"/>
        <w:spacing w:before="0" w:after="0" w:line="360" w:lineRule="auto"/>
        <w:rPr>
          <w:rFonts w:hint="default" w:ascii="Times New Roman" w:hAnsi="Times New Roman" w:cs="Times New Roman"/>
          <w:b/>
          <w:bCs/>
          <w:color w:val="auto"/>
          <w:lang w:val="en-US" w:eastAsia="zh-CN"/>
        </w:rPr>
      </w:pPr>
      <w:r>
        <w:rPr>
          <w:rFonts w:hint="default" w:ascii="Times New Roman" w:hAnsi="Times New Roman" w:cs="Times New Roman"/>
          <w:b/>
          <w:bCs/>
          <w:color w:val="auto"/>
          <w:lang w:val="en-US" w:eastAsia="zh-CN"/>
        </w:rPr>
        <w:t>2</w:t>
      </w:r>
      <w:r>
        <w:rPr>
          <w:rFonts w:hint="default" w:ascii="Times New Roman" w:hAnsi="Times New Roman" w:cs="Times New Roman"/>
          <w:b/>
          <w:bCs/>
          <w:color w:val="auto"/>
        </w:rPr>
        <w:t>.</w:t>
      </w:r>
      <w:r>
        <w:rPr>
          <w:rFonts w:hint="default" w:ascii="Times New Roman" w:hAnsi="Times New Roman" w:cs="Times New Roman"/>
          <w:b/>
          <w:bCs/>
          <w:color w:val="auto"/>
          <w:lang w:val="en-US" w:eastAsia="zh-CN"/>
        </w:rPr>
        <w:t>项目基本情况</w:t>
      </w:r>
    </w:p>
    <w:p w14:paraId="143E339A">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项目名称：吉木萨尔县城市管理服务“三位一体”委托运营项目（以下简称“该项目”）</w:t>
      </w:r>
    </w:p>
    <w:p w14:paraId="063816B2">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rPr>
        <w:t>项目</w:t>
      </w:r>
      <w:r>
        <w:rPr>
          <w:rFonts w:hint="default" w:ascii="Times New Roman" w:hAnsi="Times New Roman" w:cs="Times New Roman"/>
          <w:color w:val="auto"/>
          <w:lang w:val="en-US" w:eastAsia="zh-CN"/>
        </w:rPr>
        <w:t>购买</w:t>
      </w:r>
      <w:r>
        <w:rPr>
          <w:rFonts w:hint="default" w:ascii="Times New Roman" w:hAnsi="Times New Roman" w:cs="Times New Roman"/>
          <w:color w:val="auto"/>
        </w:rPr>
        <w:t>主体：吉木萨尔县住房和城乡建设局</w:t>
      </w:r>
      <w:r>
        <w:rPr>
          <w:rFonts w:hint="default" w:ascii="Times New Roman" w:hAnsi="Times New Roman" w:cs="Times New Roman"/>
          <w:color w:val="auto"/>
          <w:lang w:val="en-US" w:eastAsia="zh-CN"/>
        </w:rPr>
        <w:t>（以下简称“吉木萨尔县住建局”）</w:t>
      </w:r>
    </w:p>
    <w:p w14:paraId="0AE5E838">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项目承接主体：泓欣环境集团有限公司（以下简称“泓欣集团”）</w:t>
      </w:r>
    </w:p>
    <w:p w14:paraId="7E346678">
      <w:pPr>
        <w:bidi w:val="0"/>
        <w:spacing w:before="0" w:after="0" w:line="360" w:lineRule="auto"/>
        <w:rPr>
          <w:rFonts w:hint="default" w:ascii="Times New Roman" w:hAnsi="Times New Roman" w:cs="Times New Roman"/>
          <w:lang w:val="en-US" w:eastAsia="zh-CN"/>
        </w:rPr>
      </w:pPr>
      <w:r>
        <w:rPr>
          <w:rFonts w:hint="default" w:ascii="Times New Roman" w:hAnsi="Times New Roman" w:cs="Times New Roman"/>
          <w:lang w:val="en-US" w:eastAsia="zh-CN"/>
        </w:rPr>
        <w:t>运营管理公司： 泓欣环境集团有限公司吉木萨尔分公司（以下简称“运营管理公司”）</w:t>
      </w:r>
    </w:p>
    <w:p w14:paraId="314C12F9">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根据《泓欣环境集团有限公司关于同意授予泓欣环境集团有限公司吉木萨尔分公司相关权限的批复》（泓欣环境〔2024〕06号），2024年4月1日泓欣环境集团有限公司授权</w:t>
      </w:r>
      <w:r>
        <w:rPr>
          <w:rFonts w:hint="default" w:ascii="Times New Roman" w:hAnsi="Times New Roman" w:cs="Times New Roman"/>
          <w:lang w:val="en-US" w:eastAsia="zh-CN"/>
        </w:rPr>
        <w:t>泓欣环境集团有限公司吉木萨尔分公司运营管理</w:t>
      </w:r>
      <w:r>
        <w:rPr>
          <w:rFonts w:hint="default" w:ascii="Times New Roman" w:hAnsi="Times New Roman" w:cs="Times New Roman"/>
          <w:color w:val="auto"/>
          <w:lang w:val="en-US" w:eastAsia="zh-CN"/>
        </w:rPr>
        <w:t>该项目，授权项目范围内以泓欣环境集团有限公司吉木萨尔分公司的名义签订对下各类合同、委托运营项目管理、用章管理、运营结算、委托运营项目款、开具增值税发票及抵扣进项税额、工作联系事宜。</w:t>
      </w:r>
    </w:p>
    <w:p w14:paraId="45809255">
      <w:pPr>
        <w:bidi w:val="0"/>
        <w:spacing w:before="0" w:after="0" w:line="360" w:lineRule="auto"/>
        <w:rPr>
          <w:rFonts w:hint="default" w:cs="Times New Roman"/>
          <w:color w:val="auto"/>
          <w:lang w:val="en-US" w:eastAsia="zh-CN"/>
        </w:rPr>
      </w:pPr>
      <w:r>
        <w:rPr>
          <w:rFonts w:hint="default" w:ascii="Times New Roman" w:hAnsi="Times New Roman" w:cs="Times New Roman"/>
          <w:color w:val="auto"/>
          <w:lang w:val="en-US" w:eastAsia="zh-CN"/>
        </w:rPr>
        <w:t>项目服务费：</w:t>
      </w:r>
      <w:r>
        <w:rPr>
          <w:rFonts w:hint="eastAsia" w:cs="Times New Roman"/>
          <w:color w:val="auto"/>
          <w:lang w:val="en-US" w:eastAsia="zh-CN"/>
        </w:rPr>
        <w:t>根据《</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w:t>
      </w:r>
      <w:r>
        <w:rPr>
          <w:rFonts w:hint="default" w:ascii="Times New Roman" w:hAnsi="Times New Roman" w:cs="Times New Roman"/>
          <w:color w:val="auto"/>
          <w:lang w:val="en-US" w:eastAsia="zh-CN"/>
        </w:rPr>
        <w:t>第四章服务费及支付方式</w:t>
      </w:r>
      <w:r>
        <w:rPr>
          <w:rFonts w:hint="eastAsia" w:cs="Times New Roman"/>
          <w:color w:val="auto"/>
          <w:lang w:val="en-US" w:eastAsia="zh-CN"/>
        </w:rPr>
        <w:t>，中标服务费金额为4,329.51万元/年。按季度依据考核结果支付服务费，服务费包含</w:t>
      </w:r>
      <w:r>
        <w:rPr>
          <w:rFonts w:hint="default" w:ascii="Times New Roman" w:hAnsi="Times New Roman" w:cs="Times New Roman"/>
          <w:color w:val="auto"/>
          <w:lang w:val="en-US" w:eastAsia="zh-CN"/>
        </w:rPr>
        <w:t>吉木萨尔县城环境卫生保洁</w:t>
      </w:r>
      <w:r>
        <w:rPr>
          <w:rFonts w:hint="eastAsia" w:cs="Times New Roman"/>
          <w:color w:val="auto"/>
          <w:lang w:val="en-US" w:eastAsia="zh-CN"/>
        </w:rPr>
        <w:t>服务和</w:t>
      </w:r>
      <w:r>
        <w:rPr>
          <w:rFonts w:hint="default" w:ascii="Times New Roman" w:hAnsi="Times New Roman" w:cs="Times New Roman"/>
          <w:color w:val="auto"/>
          <w:lang w:val="en-US" w:eastAsia="zh-CN"/>
        </w:rPr>
        <w:t>绿地养护</w:t>
      </w:r>
      <w:r>
        <w:rPr>
          <w:rFonts w:hint="eastAsia" w:cs="Times New Roman"/>
          <w:color w:val="auto"/>
          <w:lang w:val="en-US" w:eastAsia="zh-CN"/>
        </w:rPr>
        <w:t>服务内容的全部费用，包括但不限于税费、材料设备费用、人员人工费及其他费用。</w:t>
      </w:r>
    </w:p>
    <w:p w14:paraId="653C868A">
      <w:pPr>
        <w:bidi w:val="0"/>
        <w:spacing w:before="0" w:after="0" w:line="360" w:lineRule="auto"/>
        <w:rPr>
          <w:rFonts w:hint="eastAsia" w:cs="Times New Roman"/>
          <w:color w:val="auto"/>
          <w:lang w:val="en-US" w:eastAsia="zh-CN"/>
        </w:rPr>
      </w:pPr>
      <w:r>
        <w:rPr>
          <w:rFonts w:hint="eastAsia" w:cs="Times New Roman"/>
          <w:color w:val="auto"/>
          <w:lang w:val="en-US" w:eastAsia="zh-CN"/>
        </w:rPr>
        <w:t>服务期实施内容</w:t>
      </w:r>
      <w:r>
        <w:rPr>
          <w:rFonts w:hint="default" w:ascii="Times New Roman" w:hAnsi="Times New Roman" w:cs="Times New Roman"/>
          <w:color w:val="auto"/>
          <w:lang w:val="en-US" w:eastAsia="zh-CN"/>
        </w:rPr>
        <w:t>：</w:t>
      </w:r>
      <w:r>
        <w:rPr>
          <w:rFonts w:hint="eastAsia" w:cs="Times New Roman"/>
          <w:color w:val="auto"/>
          <w:lang w:val="en-US" w:eastAsia="zh-CN"/>
        </w:rPr>
        <w:t>完成</w:t>
      </w:r>
      <w:r>
        <w:rPr>
          <w:rFonts w:hint="default" w:ascii="Times New Roman" w:hAnsi="Times New Roman" w:cs="Times New Roman"/>
          <w:color w:val="auto"/>
          <w:lang w:val="en-US" w:eastAsia="zh-CN"/>
        </w:rPr>
        <w:t>吉木萨尔县</w:t>
      </w:r>
      <w:r>
        <w:rPr>
          <w:rFonts w:hint="eastAsia" w:cs="Times New Roman"/>
          <w:color w:val="auto"/>
          <w:lang w:val="en-US" w:eastAsia="zh-CN"/>
        </w:rPr>
        <w:t>城区</w:t>
      </w:r>
      <w:r>
        <w:rPr>
          <w:rFonts w:hint="default" w:ascii="Times New Roman" w:hAnsi="Times New Roman" w:cs="Times New Roman"/>
          <w:color w:val="auto"/>
          <w:lang w:val="en-US" w:eastAsia="zh-CN"/>
        </w:rPr>
        <w:t>环境卫生保洁服务，包括道路清扫保洁、吉木萨尔县城区垃圾、餐厨垃圾的收集运输，公共厕所的维修养护、冬季道路除雪、1座填埋场的管理，智慧平台的建设以及生活垃圾清运费收缴管理；</w:t>
      </w:r>
      <w:r>
        <w:rPr>
          <w:rFonts w:hint="eastAsia" w:cs="Times New Roman"/>
          <w:color w:val="auto"/>
          <w:lang w:val="en-US" w:eastAsia="zh-CN"/>
        </w:rPr>
        <w:t>完成</w:t>
      </w:r>
      <w:r>
        <w:rPr>
          <w:rFonts w:hint="default" w:ascii="Times New Roman" w:hAnsi="Times New Roman" w:cs="Times New Roman"/>
          <w:color w:val="auto"/>
          <w:lang w:val="en-US" w:eastAsia="zh-CN"/>
        </w:rPr>
        <w:t>绿地养护服务，包括</w:t>
      </w:r>
      <w:r>
        <w:rPr>
          <w:rFonts w:hint="eastAsia" w:cs="Times New Roman"/>
          <w:color w:val="auto"/>
          <w:lang w:val="en-US" w:eastAsia="zh-CN"/>
        </w:rPr>
        <w:t>县城</w:t>
      </w:r>
      <w:r>
        <w:rPr>
          <w:rFonts w:hint="default" w:ascii="Times New Roman" w:hAnsi="Times New Roman" w:cs="Times New Roman"/>
          <w:color w:val="auto"/>
          <w:lang w:val="en-US" w:eastAsia="zh-CN"/>
        </w:rPr>
        <w:t>园林绿化日常养护、县城游园的维修养护，每年重大假日街景布置</w:t>
      </w:r>
      <w:r>
        <w:rPr>
          <w:rFonts w:hint="eastAsia" w:cs="Times New Roman"/>
          <w:color w:val="auto"/>
          <w:lang w:val="en-US" w:eastAsia="zh-CN"/>
        </w:rPr>
        <w:t>。</w:t>
      </w:r>
    </w:p>
    <w:p w14:paraId="1886F004">
      <w:pPr>
        <w:bidi w:val="0"/>
        <w:spacing w:before="0" w:after="0" w:line="360" w:lineRule="auto"/>
        <w:ind w:firstLine="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合同项目服务期：合同期限为两年，自2023年1月1日至2024年12月31日止。</w:t>
      </w:r>
    </w:p>
    <w:p w14:paraId="459A2E0D">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本次绩效评价项目服务时间：12个月，2024年1月-2024年12月。</w:t>
      </w:r>
    </w:p>
    <w:p w14:paraId="64C8900C">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r>
        <w:rPr>
          <w:rFonts w:hint="default" w:ascii="Times New Roman" w:hAnsi="Times New Roman" w:cs="Times New Roman"/>
          <w:color w:val="auto"/>
        </w:rPr>
        <w:t>（二）资金投入和使用情况</w:t>
      </w:r>
      <w:bookmarkEnd w:id="32"/>
    </w:p>
    <w:p w14:paraId="33665631">
      <w:pPr>
        <w:bidi w:val="0"/>
        <w:spacing w:before="0" w:after="0" w:line="360" w:lineRule="auto"/>
        <w:rPr>
          <w:rFonts w:hint="default" w:ascii="Times New Roman" w:hAnsi="Times New Roman" w:cs="Times New Roman"/>
          <w:b/>
          <w:bCs/>
          <w:color w:val="auto"/>
        </w:rPr>
      </w:pPr>
      <w:r>
        <w:rPr>
          <w:rFonts w:hint="default" w:ascii="Times New Roman" w:hAnsi="Times New Roman" w:cs="Times New Roman"/>
          <w:b/>
          <w:bCs/>
          <w:color w:val="auto"/>
        </w:rPr>
        <w:t>1.预算安排情况</w:t>
      </w:r>
    </w:p>
    <w:p w14:paraId="0D14B7DA">
      <w:pPr>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cs="Times New Roman"/>
          <w:b/>
          <w:bCs/>
          <w:color w:val="auto"/>
          <w:lang w:val="en-US" w:eastAsia="zh-CN"/>
        </w:rPr>
      </w:pPr>
      <w:r>
        <w:rPr>
          <w:rFonts w:hint="default" w:ascii="Times New Roman" w:hAnsi="Times New Roman" w:cs="Times New Roman"/>
          <w:color w:val="auto"/>
        </w:rPr>
        <w:t>该项目</w:t>
      </w:r>
      <w:r>
        <w:rPr>
          <w:rFonts w:hint="default" w:ascii="Times New Roman" w:hAnsi="Times New Roman" w:cs="Times New Roman"/>
          <w:color w:val="auto"/>
          <w:lang w:val="en-US" w:eastAsia="zh-CN"/>
        </w:rPr>
        <w:t>2024年年中追加</w:t>
      </w:r>
      <w:r>
        <w:rPr>
          <w:rFonts w:hint="default" w:ascii="Times New Roman" w:hAnsi="Times New Roman" w:cs="Times New Roman"/>
          <w:color w:val="auto"/>
        </w:rPr>
        <w:t>预算资金总额为</w:t>
      </w:r>
      <w:r>
        <w:rPr>
          <w:rFonts w:hint="default" w:ascii="Times New Roman" w:hAnsi="Times New Roman" w:cs="Times New Roman"/>
          <w:color w:val="auto"/>
          <w:lang w:eastAsia="zh-CN"/>
        </w:rPr>
        <w:t>4,606.81</w:t>
      </w:r>
      <w:r>
        <w:rPr>
          <w:rFonts w:hint="default" w:ascii="Times New Roman" w:hAnsi="Times New Roman" w:cs="Times New Roman"/>
          <w:color w:val="auto"/>
        </w:rPr>
        <w:t>万元，</w:t>
      </w:r>
      <w:r>
        <w:rPr>
          <w:rFonts w:hint="default" w:ascii="Times New Roman" w:hAnsi="Times New Roman" w:cs="Times New Roman"/>
          <w:color w:val="auto"/>
          <w:lang w:val="en-US" w:eastAsia="zh-CN"/>
        </w:rPr>
        <w:t>由县级财政资金承担</w:t>
      </w:r>
      <w:r>
        <w:rPr>
          <w:rFonts w:hint="default" w:ascii="Times New Roman" w:hAnsi="Times New Roman" w:cs="Times New Roman"/>
          <w:color w:val="auto"/>
          <w:highlight w:val="none"/>
        </w:rPr>
        <w:t>。</w:t>
      </w:r>
      <w:r>
        <w:rPr>
          <w:rFonts w:hint="default" w:ascii="Times New Roman" w:hAnsi="Times New Roman" w:cs="Times New Roman"/>
          <w:color w:val="auto"/>
          <w:highlight w:val="none"/>
          <w:lang w:val="en-US" w:eastAsia="zh-CN"/>
        </w:rPr>
        <w:t>其中，根据2023年专项审计报告结果安排2023年第四季度服务费1,267.18万元，安排2024年第一、二、三季度以及补充协议服务费用3,339.63万元。</w:t>
      </w:r>
    </w:p>
    <w:p w14:paraId="0E7246BD">
      <w:pPr>
        <w:bidi w:val="0"/>
        <w:spacing w:before="0" w:after="0" w:line="360" w:lineRule="auto"/>
        <w:rPr>
          <w:rFonts w:hint="default" w:ascii="Times New Roman" w:hAnsi="Times New Roman" w:cs="Times New Roman"/>
          <w:b/>
          <w:bCs/>
          <w:color w:val="auto"/>
        </w:rPr>
      </w:pPr>
      <w:r>
        <w:rPr>
          <w:rFonts w:hint="default" w:ascii="Times New Roman" w:hAnsi="Times New Roman" w:cs="Times New Roman"/>
          <w:b/>
          <w:bCs/>
          <w:color w:val="auto"/>
          <w:lang w:val="en-US" w:eastAsia="zh-CN"/>
        </w:rPr>
        <w:t>2.</w:t>
      </w:r>
      <w:r>
        <w:rPr>
          <w:rFonts w:hint="default" w:ascii="Times New Roman" w:hAnsi="Times New Roman" w:cs="Times New Roman"/>
          <w:b/>
          <w:bCs/>
          <w:color w:val="auto"/>
        </w:rPr>
        <w:t>资金到位及使用情况</w:t>
      </w:r>
    </w:p>
    <w:p w14:paraId="5CBB5754">
      <w:pPr>
        <w:pageBreakBefore w:val="0"/>
        <w:widowControl/>
        <w:kinsoku/>
        <w:wordWrap/>
        <w:overflowPunct/>
        <w:topLinePunct w:val="0"/>
        <w:autoSpaceDE/>
        <w:autoSpaceDN/>
        <w:bidi w:val="0"/>
        <w:adjustRightInd/>
        <w:snapToGrid/>
        <w:spacing w:line="360" w:lineRule="auto"/>
        <w:jc w:val="left"/>
        <w:textAlignment w:val="auto"/>
        <w:rPr>
          <w:rFonts w:hint="default" w:ascii="Times New Roman" w:hAnsi="Times New Roman" w:eastAsia="黑体" w:cs="Times New Roman"/>
          <w:color w:val="auto"/>
        </w:rPr>
      </w:pPr>
      <w:r>
        <w:rPr>
          <w:rFonts w:hint="default" w:ascii="Times New Roman" w:hAnsi="Times New Roman" w:cs="Times New Roman"/>
          <w:color w:val="auto"/>
        </w:rPr>
        <w:t>截至2024年12月31日，项目资金实际支出</w:t>
      </w:r>
      <w:r>
        <w:rPr>
          <w:rFonts w:hint="default" w:ascii="Times New Roman" w:hAnsi="Times New Roman" w:cs="Times New Roman"/>
          <w:color w:val="auto"/>
          <w:lang w:eastAsia="zh-CN"/>
        </w:rPr>
        <w:t>4,606.81</w:t>
      </w:r>
      <w:r>
        <w:rPr>
          <w:rFonts w:hint="default" w:ascii="Times New Roman" w:hAnsi="Times New Roman" w:cs="Times New Roman"/>
          <w:color w:val="auto"/>
        </w:rPr>
        <w:t>万元，预算资金执行率为100</w:t>
      </w:r>
      <w:r>
        <w:rPr>
          <w:rFonts w:hint="default" w:ascii="Times New Roman" w:hAnsi="Times New Roman" w:cs="Times New Roman"/>
          <w:color w:val="auto"/>
          <w:lang w:val="en-US" w:eastAsia="zh-CN"/>
        </w:rPr>
        <w:t>.00</w:t>
      </w:r>
      <w:r>
        <w:rPr>
          <w:rFonts w:hint="default" w:ascii="Times New Roman" w:hAnsi="Times New Roman" w:cs="Times New Roman"/>
          <w:color w:val="auto"/>
        </w:rPr>
        <w:t>%。资金支出明细详见下表。</w:t>
      </w:r>
    </w:p>
    <w:p w14:paraId="4262B44D">
      <w:pPr>
        <w:rPr>
          <w:rFonts w:hint="default" w:ascii="Times New Roman" w:hAnsi="Times New Roman" w:eastAsia="黑体" w:cs="Times New Roman"/>
          <w:color w:val="auto"/>
        </w:rPr>
      </w:pPr>
      <w:r>
        <w:rPr>
          <w:rFonts w:hint="default" w:ascii="Times New Roman" w:hAnsi="Times New Roman" w:eastAsia="黑体" w:cs="Times New Roman"/>
          <w:color w:val="auto"/>
        </w:rPr>
        <w:br w:type="page"/>
      </w:r>
    </w:p>
    <w:p w14:paraId="254070CE">
      <w:pPr>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黑体" w:cs="Times New Roman"/>
          <w:color w:val="auto"/>
        </w:rPr>
      </w:pPr>
      <w:r>
        <w:rPr>
          <w:rFonts w:hint="default" w:ascii="Times New Roman" w:hAnsi="Times New Roman" w:eastAsia="黑体" w:cs="Times New Roman"/>
          <w:color w:val="auto"/>
        </w:rPr>
        <w:t>表1-1：吉木萨尔县城市管理服务“三位一体”委托运营项目支出明细表</w:t>
      </w:r>
    </w:p>
    <w:p w14:paraId="66C260A9">
      <w:pPr>
        <w:pageBreakBefore w:val="0"/>
        <w:widowControl w:val="0"/>
        <w:kinsoku/>
        <w:wordWrap/>
        <w:overflowPunct/>
        <w:topLinePunct w:val="0"/>
        <w:autoSpaceDE/>
        <w:autoSpaceDN/>
        <w:bidi w:val="0"/>
        <w:adjustRightInd w:val="0"/>
        <w:snapToGrid w:val="0"/>
        <w:spacing w:line="360" w:lineRule="auto"/>
        <w:jc w:val="right"/>
        <w:textAlignment w:val="auto"/>
        <w:rPr>
          <w:rFonts w:hint="default" w:ascii="Times New Roman" w:hAnsi="Times New Roman" w:cs="Times New Roman"/>
        </w:rPr>
      </w:pPr>
      <w:r>
        <w:rPr>
          <w:rFonts w:hint="default" w:ascii="Times New Roman" w:hAnsi="Times New Roman" w:cs="Times New Roman"/>
          <w:color w:val="auto"/>
        </w:rPr>
        <w:t>单位：万元</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51" w:type="dxa"/>
          <w:bottom w:w="0" w:type="dxa"/>
          <w:right w:w="51" w:type="dxa"/>
        </w:tblCellMar>
      </w:tblPr>
      <w:tblGrid>
        <w:gridCol w:w="504"/>
        <w:gridCol w:w="1197"/>
        <w:gridCol w:w="2987"/>
        <w:gridCol w:w="1307"/>
        <w:gridCol w:w="1307"/>
        <w:gridCol w:w="1106"/>
      </w:tblGrid>
      <w:tr w14:paraId="7EE169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51" w:type="dxa"/>
            <w:bottom w:w="0" w:type="dxa"/>
            <w:right w:w="51" w:type="dxa"/>
          </w:tblCellMar>
        </w:tblPrEx>
        <w:trPr>
          <w:trHeight w:val="295" w:hRule="atLeast"/>
          <w:tblHeader/>
        </w:trPr>
        <w:tc>
          <w:tcPr>
            <w:tcW w:w="0" w:type="auto"/>
            <w:shd w:val="clear" w:color="auto" w:fill="auto"/>
            <w:noWrap/>
            <w:vAlign w:val="center"/>
          </w:tcPr>
          <w:p w14:paraId="53166E7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序号</w:t>
            </w:r>
          </w:p>
        </w:tc>
        <w:tc>
          <w:tcPr>
            <w:tcW w:w="0" w:type="auto"/>
            <w:shd w:val="clear" w:color="auto" w:fill="auto"/>
            <w:noWrap/>
            <w:vAlign w:val="center"/>
          </w:tcPr>
          <w:p w14:paraId="67A7734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支付时间</w:t>
            </w:r>
          </w:p>
        </w:tc>
        <w:tc>
          <w:tcPr>
            <w:tcW w:w="0" w:type="auto"/>
            <w:shd w:val="clear" w:color="auto" w:fill="auto"/>
            <w:noWrap/>
            <w:vAlign w:val="center"/>
          </w:tcPr>
          <w:p w14:paraId="36C00A4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摘要</w:t>
            </w:r>
          </w:p>
        </w:tc>
        <w:tc>
          <w:tcPr>
            <w:tcW w:w="0" w:type="auto"/>
            <w:shd w:val="clear" w:color="auto" w:fill="auto"/>
            <w:noWrap/>
            <w:vAlign w:val="center"/>
          </w:tcPr>
          <w:p w14:paraId="06D19FA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下达预算指标</w:t>
            </w:r>
          </w:p>
        </w:tc>
        <w:tc>
          <w:tcPr>
            <w:tcW w:w="0" w:type="auto"/>
            <w:shd w:val="clear" w:color="auto" w:fill="auto"/>
            <w:noWrap/>
            <w:vAlign w:val="center"/>
          </w:tcPr>
          <w:p w14:paraId="073D5E5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实际支出金额</w:t>
            </w:r>
          </w:p>
        </w:tc>
        <w:tc>
          <w:tcPr>
            <w:tcW w:w="0" w:type="auto"/>
            <w:shd w:val="clear" w:color="auto" w:fill="auto"/>
            <w:noWrap/>
            <w:vAlign w:val="center"/>
          </w:tcPr>
          <w:p w14:paraId="1A31D20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资金支付率</w:t>
            </w:r>
          </w:p>
        </w:tc>
      </w:tr>
      <w:tr w14:paraId="6EBF8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795" w:hRule="atLeast"/>
        </w:trPr>
        <w:tc>
          <w:tcPr>
            <w:tcW w:w="0" w:type="auto"/>
            <w:shd w:val="clear" w:color="auto" w:fill="auto"/>
            <w:noWrap/>
            <w:vAlign w:val="center"/>
          </w:tcPr>
          <w:p w14:paraId="4D2A9A6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w:t>
            </w:r>
          </w:p>
        </w:tc>
        <w:tc>
          <w:tcPr>
            <w:tcW w:w="0" w:type="auto"/>
            <w:shd w:val="clear" w:color="auto" w:fill="auto"/>
            <w:vAlign w:val="center"/>
          </w:tcPr>
          <w:p w14:paraId="7B049CD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2024年4月25日</w:t>
            </w:r>
          </w:p>
        </w:tc>
        <w:tc>
          <w:tcPr>
            <w:tcW w:w="0" w:type="auto"/>
            <w:shd w:val="clear" w:color="auto" w:fill="auto"/>
            <w:vAlign w:val="center"/>
          </w:tcPr>
          <w:p w14:paraId="1CE0E45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2023年第四季度城市管理服务“三位一体”委托运营项目费用</w:t>
            </w:r>
          </w:p>
        </w:tc>
        <w:tc>
          <w:tcPr>
            <w:tcW w:w="0" w:type="auto"/>
            <w:shd w:val="clear" w:color="auto" w:fill="auto"/>
            <w:noWrap/>
            <w:vAlign w:val="center"/>
          </w:tcPr>
          <w:p w14:paraId="5FFF5149">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1,267.18 </w:t>
            </w:r>
          </w:p>
        </w:tc>
        <w:tc>
          <w:tcPr>
            <w:tcW w:w="0" w:type="auto"/>
            <w:shd w:val="clear" w:color="auto" w:fill="auto"/>
            <w:noWrap/>
            <w:vAlign w:val="center"/>
          </w:tcPr>
          <w:p w14:paraId="300A423E">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1,267.18 </w:t>
            </w:r>
          </w:p>
        </w:tc>
        <w:tc>
          <w:tcPr>
            <w:tcW w:w="0" w:type="auto"/>
            <w:shd w:val="clear" w:color="auto" w:fill="auto"/>
            <w:noWrap/>
            <w:vAlign w:val="center"/>
          </w:tcPr>
          <w:p w14:paraId="6A36069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3222F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535" w:hRule="atLeast"/>
        </w:trPr>
        <w:tc>
          <w:tcPr>
            <w:tcW w:w="0" w:type="auto"/>
            <w:shd w:val="clear" w:color="auto" w:fill="auto"/>
            <w:noWrap/>
            <w:vAlign w:val="center"/>
          </w:tcPr>
          <w:p w14:paraId="3222E0D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0" w:type="auto"/>
            <w:shd w:val="clear" w:color="auto" w:fill="auto"/>
            <w:vAlign w:val="center"/>
          </w:tcPr>
          <w:p w14:paraId="768171D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2024年7月19日</w:t>
            </w:r>
          </w:p>
        </w:tc>
        <w:tc>
          <w:tcPr>
            <w:tcW w:w="0" w:type="auto"/>
            <w:shd w:val="clear" w:color="auto" w:fill="auto"/>
            <w:vAlign w:val="center"/>
          </w:tcPr>
          <w:p w14:paraId="4EF0C07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2024年第一季度“三位一体”管理运营费</w:t>
            </w:r>
          </w:p>
        </w:tc>
        <w:tc>
          <w:tcPr>
            <w:tcW w:w="0" w:type="auto"/>
            <w:shd w:val="clear" w:color="auto" w:fill="auto"/>
            <w:noWrap/>
            <w:vAlign w:val="center"/>
          </w:tcPr>
          <w:p w14:paraId="3DCEF3F6">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1,082.38 </w:t>
            </w:r>
          </w:p>
        </w:tc>
        <w:tc>
          <w:tcPr>
            <w:tcW w:w="0" w:type="auto"/>
            <w:shd w:val="clear" w:color="auto" w:fill="auto"/>
            <w:noWrap/>
            <w:vAlign w:val="center"/>
          </w:tcPr>
          <w:p w14:paraId="60998C89">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1,082.38 </w:t>
            </w:r>
          </w:p>
        </w:tc>
        <w:tc>
          <w:tcPr>
            <w:tcW w:w="0" w:type="auto"/>
            <w:shd w:val="clear" w:color="auto" w:fill="auto"/>
            <w:noWrap/>
            <w:vAlign w:val="center"/>
          </w:tcPr>
          <w:p w14:paraId="3E81A2B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65DB12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1055" w:hRule="atLeast"/>
        </w:trPr>
        <w:tc>
          <w:tcPr>
            <w:tcW w:w="0" w:type="auto"/>
            <w:shd w:val="clear" w:color="auto" w:fill="auto"/>
            <w:noWrap/>
            <w:vAlign w:val="center"/>
          </w:tcPr>
          <w:p w14:paraId="0DEF8B4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3</w:t>
            </w:r>
          </w:p>
        </w:tc>
        <w:tc>
          <w:tcPr>
            <w:tcW w:w="0" w:type="auto"/>
            <w:shd w:val="clear" w:color="auto" w:fill="auto"/>
            <w:vAlign w:val="center"/>
          </w:tcPr>
          <w:p w14:paraId="023F085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2024年8月31日</w:t>
            </w:r>
          </w:p>
        </w:tc>
        <w:tc>
          <w:tcPr>
            <w:tcW w:w="0" w:type="auto"/>
            <w:shd w:val="clear" w:color="auto" w:fill="auto"/>
            <w:vAlign w:val="center"/>
          </w:tcPr>
          <w:p w14:paraId="533AF57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2024年第一、第二季度城市管理服务“三位一体”新增道路清扫保洁及冬季除雪项目费用</w:t>
            </w:r>
          </w:p>
        </w:tc>
        <w:tc>
          <w:tcPr>
            <w:tcW w:w="0" w:type="auto"/>
            <w:shd w:val="clear" w:color="auto" w:fill="auto"/>
            <w:noWrap/>
            <w:vAlign w:val="center"/>
          </w:tcPr>
          <w:p w14:paraId="6A5927B7">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100.00 </w:t>
            </w:r>
          </w:p>
        </w:tc>
        <w:tc>
          <w:tcPr>
            <w:tcW w:w="0" w:type="auto"/>
            <w:shd w:val="clear" w:color="auto" w:fill="auto"/>
            <w:noWrap/>
            <w:vAlign w:val="center"/>
          </w:tcPr>
          <w:p w14:paraId="34EAD9D2">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100.00 </w:t>
            </w:r>
          </w:p>
        </w:tc>
        <w:tc>
          <w:tcPr>
            <w:tcW w:w="0" w:type="auto"/>
            <w:shd w:val="clear" w:color="auto" w:fill="auto"/>
            <w:noWrap/>
            <w:vAlign w:val="center"/>
          </w:tcPr>
          <w:p w14:paraId="005C3D8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1F6A80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795" w:hRule="atLeast"/>
        </w:trPr>
        <w:tc>
          <w:tcPr>
            <w:tcW w:w="0" w:type="auto"/>
            <w:shd w:val="clear" w:color="auto" w:fill="auto"/>
            <w:noWrap/>
            <w:vAlign w:val="center"/>
          </w:tcPr>
          <w:p w14:paraId="70ABC16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4</w:t>
            </w:r>
          </w:p>
        </w:tc>
        <w:tc>
          <w:tcPr>
            <w:tcW w:w="0" w:type="auto"/>
            <w:shd w:val="clear" w:color="auto" w:fill="auto"/>
            <w:vAlign w:val="center"/>
          </w:tcPr>
          <w:p w14:paraId="0AC51BE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2024年8月31日</w:t>
            </w:r>
          </w:p>
        </w:tc>
        <w:tc>
          <w:tcPr>
            <w:tcW w:w="0" w:type="auto"/>
            <w:shd w:val="clear" w:color="auto" w:fill="auto"/>
            <w:vAlign w:val="center"/>
          </w:tcPr>
          <w:p w14:paraId="3DC3FB7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2024年第二季度城市管理服务“三位一体”委托运营项目费用</w:t>
            </w:r>
          </w:p>
        </w:tc>
        <w:tc>
          <w:tcPr>
            <w:tcW w:w="0" w:type="auto"/>
            <w:shd w:val="clear" w:color="auto" w:fill="auto"/>
            <w:noWrap/>
            <w:vAlign w:val="center"/>
          </w:tcPr>
          <w:p w14:paraId="2DA87887">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1,075.33 </w:t>
            </w:r>
          </w:p>
        </w:tc>
        <w:tc>
          <w:tcPr>
            <w:tcW w:w="0" w:type="auto"/>
            <w:shd w:val="clear" w:color="auto" w:fill="auto"/>
            <w:noWrap/>
            <w:vAlign w:val="center"/>
          </w:tcPr>
          <w:p w14:paraId="0A512B1E">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1,075.33 </w:t>
            </w:r>
          </w:p>
        </w:tc>
        <w:tc>
          <w:tcPr>
            <w:tcW w:w="0" w:type="auto"/>
            <w:shd w:val="clear" w:color="auto" w:fill="auto"/>
            <w:noWrap/>
            <w:vAlign w:val="center"/>
          </w:tcPr>
          <w:p w14:paraId="4F191F6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52A247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795" w:hRule="atLeast"/>
        </w:trPr>
        <w:tc>
          <w:tcPr>
            <w:tcW w:w="0" w:type="auto"/>
            <w:shd w:val="clear" w:color="auto" w:fill="auto"/>
            <w:noWrap/>
            <w:vAlign w:val="center"/>
          </w:tcPr>
          <w:p w14:paraId="52F9223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5</w:t>
            </w:r>
          </w:p>
        </w:tc>
        <w:tc>
          <w:tcPr>
            <w:tcW w:w="0" w:type="auto"/>
            <w:shd w:val="clear" w:color="auto" w:fill="auto"/>
            <w:vAlign w:val="center"/>
          </w:tcPr>
          <w:p w14:paraId="3BD9913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2024年9月30日</w:t>
            </w:r>
          </w:p>
        </w:tc>
        <w:tc>
          <w:tcPr>
            <w:tcW w:w="0" w:type="auto"/>
            <w:shd w:val="clear" w:color="auto" w:fill="auto"/>
            <w:vAlign w:val="center"/>
          </w:tcPr>
          <w:p w14:paraId="08D05D8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2024年第三季度城市管理服务“三位一体”委托运营项目费用</w:t>
            </w:r>
          </w:p>
        </w:tc>
        <w:tc>
          <w:tcPr>
            <w:tcW w:w="0" w:type="auto"/>
            <w:shd w:val="clear" w:color="auto" w:fill="auto"/>
            <w:noWrap/>
            <w:vAlign w:val="center"/>
          </w:tcPr>
          <w:p w14:paraId="3A27EAF0">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300.00 </w:t>
            </w:r>
          </w:p>
        </w:tc>
        <w:tc>
          <w:tcPr>
            <w:tcW w:w="0" w:type="auto"/>
            <w:shd w:val="clear" w:color="auto" w:fill="auto"/>
            <w:noWrap/>
            <w:vAlign w:val="center"/>
          </w:tcPr>
          <w:p w14:paraId="22C630FC">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300.00 </w:t>
            </w:r>
          </w:p>
        </w:tc>
        <w:tc>
          <w:tcPr>
            <w:tcW w:w="0" w:type="auto"/>
            <w:shd w:val="clear" w:color="auto" w:fill="auto"/>
            <w:noWrap/>
            <w:vAlign w:val="center"/>
          </w:tcPr>
          <w:p w14:paraId="7F2C24C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4BD9F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795" w:hRule="atLeast"/>
        </w:trPr>
        <w:tc>
          <w:tcPr>
            <w:tcW w:w="0" w:type="auto"/>
            <w:shd w:val="clear" w:color="auto" w:fill="auto"/>
            <w:noWrap/>
            <w:vAlign w:val="center"/>
          </w:tcPr>
          <w:p w14:paraId="3DA35D30">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shd w:val="clear" w:color="auto" w:fill="auto"/>
            <w:vAlign w:val="center"/>
          </w:tcPr>
          <w:p w14:paraId="6BB5414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2024年11月19日</w:t>
            </w:r>
          </w:p>
        </w:tc>
        <w:tc>
          <w:tcPr>
            <w:tcW w:w="0" w:type="auto"/>
            <w:shd w:val="clear" w:color="auto" w:fill="auto"/>
            <w:vAlign w:val="center"/>
          </w:tcPr>
          <w:p w14:paraId="700359E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2024年第三季度城市管理服务“三位一体”委托运营项目费用</w:t>
            </w:r>
          </w:p>
        </w:tc>
        <w:tc>
          <w:tcPr>
            <w:tcW w:w="0" w:type="auto"/>
            <w:shd w:val="clear" w:color="auto" w:fill="auto"/>
            <w:noWrap/>
            <w:vAlign w:val="center"/>
          </w:tcPr>
          <w:p w14:paraId="1A022F51">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781.92 </w:t>
            </w:r>
          </w:p>
        </w:tc>
        <w:tc>
          <w:tcPr>
            <w:tcW w:w="0" w:type="auto"/>
            <w:shd w:val="clear" w:color="auto" w:fill="auto"/>
            <w:noWrap/>
            <w:vAlign w:val="center"/>
          </w:tcPr>
          <w:p w14:paraId="25BA75EC">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781.92 </w:t>
            </w:r>
          </w:p>
        </w:tc>
        <w:tc>
          <w:tcPr>
            <w:tcW w:w="0" w:type="auto"/>
            <w:shd w:val="clear" w:color="auto" w:fill="auto"/>
            <w:noWrap/>
            <w:vAlign w:val="center"/>
          </w:tcPr>
          <w:p w14:paraId="2F80A08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43EEA8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295" w:hRule="atLeast"/>
        </w:trPr>
        <w:tc>
          <w:tcPr>
            <w:tcW w:w="0" w:type="auto"/>
            <w:gridSpan w:val="3"/>
            <w:shd w:val="clear" w:color="auto" w:fill="auto"/>
            <w:noWrap/>
            <w:vAlign w:val="center"/>
          </w:tcPr>
          <w:p w14:paraId="6B7BB54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共计</w:t>
            </w:r>
          </w:p>
        </w:tc>
        <w:tc>
          <w:tcPr>
            <w:tcW w:w="0" w:type="auto"/>
            <w:shd w:val="clear" w:color="auto" w:fill="auto"/>
            <w:noWrap/>
            <w:vAlign w:val="center"/>
          </w:tcPr>
          <w:p w14:paraId="2A6D085A">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4,606.81 </w:t>
            </w:r>
          </w:p>
        </w:tc>
        <w:tc>
          <w:tcPr>
            <w:tcW w:w="0" w:type="auto"/>
            <w:shd w:val="clear" w:color="auto" w:fill="auto"/>
            <w:noWrap/>
            <w:vAlign w:val="center"/>
          </w:tcPr>
          <w:p w14:paraId="36AE33CC">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4,606.81 </w:t>
            </w:r>
          </w:p>
        </w:tc>
        <w:tc>
          <w:tcPr>
            <w:tcW w:w="0" w:type="auto"/>
            <w:shd w:val="clear" w:color="auto" w:fill="auto"/>
            <w:noWrap/>
            <w:vAlign w:val="center"/>
          </w:tcPr>
          <w:p w14:paraId="5E35B8C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bl>
    <w:p w14:paraId="40374739">
      <w:pPr>
        <w:pageBreakBefore w:val="0"/>
        <w:widowControl w:val="0"/>
        <w:kinsoku/>
        <w:wordWrap/>
        <w:overflowPunct/>
        <w:topLinePunct w:val="0"/>
        <w:autoSpaceDE/>
        <w:autoSpaceDN/>
        <w:bidi w:val="0"/>
        <w:adjustRightInd w:val="0"/>
        <w:snapToGrid w:val="0"/>
        <w:spacing w:line="360" w:lineRule="auto"/>
        <w:jc w:val="right"/>
        <w:textAlignment w:val="auto"/>
        <w:rPr>
          <w:rFonts w:hint="default" w:ascii="Times New Roman" w:hAnsi="Times New Roman" w:cs="Times New Roman"/>
          <w:color w:val="auto"/>
        </w:rPr>
      </w:pPr>
    </w:p>
    <w:p w14:paraId="113C0F17">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33" w:name="_Toc25259"/>
      <w:r>
        <w:rPr>
          <w:rFonts w:hint="default" w:ascii="Times New Roman" w:hAnsi="Times New Roman" w:cs="Times New Roman"/>
          <w:color w:val="auto"/>
        </w:rPr>
        <w:t>（三）项目实施情况</w:t>
      </w:r>
      <w:bookmarkEnd w:id="33"/>
    </w:p>
    <w:p w14:paraId="3A3952EC">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b/>
          <w:bCs/>
          <w:color w:val="auto"/>
          <w:lang w:val="en-US" w:eastAsia="zh-CN"/>
        </w:rPr>
      </w:pPr>
      <w:r>
        <w:rPr>
          <w:rFonts w:hint="default" w:ascii="Times New Roman" w:hAnsi="Times New Roman" w:cs="Times New Roman"/>
          <w:b/>
          <w:bCs/>
          <w:color w:val="auto"/>
          <w:lang w:val="en-US" w:eastAsia="zh-CN"/>
        </w:rPr>
        <w:t>1.政府购买</w:t>
      </w:r>
      <w:r>
        <w:rPr>
          <w:rFonts w:hint="eastAsia" w:ascii="Times New Roman" w:hAnsi="Times New Roman" w:cs="Times New Roman"/>
          <w:b/>
          <w:bCs/>
          <w:color w:val="auto"/>
          <w:lang w:val="en-US" w:eastAsia="zh-CN"/>
        </w:rPr>
        <w:t>服务</w:t>
      </w:r>
      <w:r>
        <w:rPr>
          <w:rFonts w:hint="default" w:ascii="Times New Roman" w:hAnsi="Times New Roman" w:cs="Times New Roman"/>
          <w:b/>
          <w:bCs/>
          <w:color w:val="auto"/>
          <w:lang w:val="en-US" w:eastAsia="zh-CN"/>
        </w:rPr>
        <w:t>采购情况</w:t>
      </w:r>
    </w:p>
    <w:p w14:paraId="77DEEA01">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吉木萨尔县住房和城乡建设局于2022年10月12日通过公开招标政府购买服务方式确定由泓欣环境集团有限公司获得吉木萨尔县城环卫服务、园林绿化养护、居民区日常管理资格。2022年12月28日，与其签订了《吉木萨尔县城市管理服务</w:t>
      </w:r>
      <w:r>
        <w:rPr>
          <w:rFonts w:hint="default" w:ascii="Times New Roman" w:hAnsi="Times New Roman" w:cs="Times New Roman"/>
          <w:color w:val="auto"/>
          <w:lang w:val="en-US" w:eastAsia="zh-CN"/>
        </w:rPr>
        <w:t>“三位一体”</w:t>
      </w:r>
      <w:r>
        <w:rPr>
          <w:rFonts w:hint="default" w:ascii="Times New Roman" w:hAnsi="Times New Roman" w:cs="Times New Roman"/>
          <w:color w:val="auto"/>
        </w:rPr>
        <w:t>委托运营项目服务合同》，中标合同金额4,329.51万元/年，服务期限为8年，自2023年1月1日-2030年12月31日止。</w:t>
      </w:r>
    </w:p>
    <w:p w14:paraId="466A517D">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人员安置：</w:t>
      </w:r>
      <w:r>
        <w:rPr>
          <w:rFonts w:hint="default" w:ascii="Times New Roman" w:hAnsi="Times New Roman" w:cs="Times New Roman"/>
          <w:color w:val="auto"/>
        </w:rPr>
        <w:t>泓欣环境集团有限公司</w:t>
      </w:r>
      <w:r>
        <w:rPr>
          <w:rFonts w:hint="default" w:ascii="Times New Roman" w:hAnsi="Times New Roman" w:cs="Times New Roman"/>
          <w:color w:val="auto"/>
          <w:lang w:val="en-US" w:eastAsia="zh-CN"/>
        </w:rPr>
        <w:t>按照全员接收原则接收</w:t>
      </w:r>
      <w:r>
        <w:rPr>
          <w:rFonts w:hint="default" w:ascii="Times New Roman" w:hAnsi="Times New Roman" w:cs="Times New Roman"/>
          <w:color w:val="auto"/>
        </w:rPr>
        <w:t>吉木萨尔县住房和城乡建设局</w:t>
      </w:r>
      <w:r>
        <w:rPr>
          <w:rFonts w:hint="default" w:ascii="Times New Roman" w:hAnsi="Times New Roman" w:cs="Times New Roman"/>
          <w:color w:val="auto"/>
          <w:lang w:val="en-US" w:eastAsia="zh-CN"/>
        </w:rPr>
        <w:t>现有人员，实际接收</w:t>
      </w:r>
      <w:r>
        <w:rPr>
          <w:rFonts w:hint="eastAsia" w:cs="Times New Roman"/>
          <w:color w:val="auto"/>
          <w:lang w:val="en-US" w:eastAsia="zh-CN"/>
        </w:rPr>
        <w:t>环卫工人</w:t>
      </w:r>
      <w:r>
        <w:rPr>
          <w:rFonts w:hint="default" w:ascii="Times New Roman" w:hAnsi="Times New Roman" w:cs="Times New Roman"/>
          <w:color w:val="auto"/>
          <w:lang w:val="en-US" w:eastAsia="zh-CN"/>
        </w:rPr>
        <w:t>275人，接收后</w:t>
      </w:r>
      <w:r>
        <w:rPr>
          <w:rFonts w:hint="eastAsia" w:cs="Times New Roman"/>
          <w:color w:val="auto"/>
          <w:lang w:val="en-US" w:eastAsia="zh-CN"/>
        </w:rPr>
        <w:t>运营管理公司</w:t>
      </w:r>
      <w:r>
        <w:rPr>
          <w:rFonts w:hint="default" w:ascii="Times New Roman" w:hAnsi="Times New Roman" w:cs="Times New Roman"/>
          <w:color w:val="auto"/>
          <w:lang w:val="en-US" w:eastAsia="zh-CN"/>
        </w:rPr>
        <w:t>支付工资并缴纳养老保险、医疗保险、失业保险、工伤保险和生育保险等</w:t>
      </w:r>
      <w:r>
        <w:rPr>
          <w:rFonts w:hint="eastAsia" w:cs="Times New Roman"/>
          <w:color w:val="auto"/>
          <w:lang w:val="en-US" w:eastAsia="zh-CN"/>
        </w:rPr>
        <w:t>基本福利待遇</w:t>
      </w:r>
      <w:r>
        <w:rPr>
          <w:rFonts w:hint="default" w:ascii="Times New Roman" w:hAnsi="Times New Roman" w:cs="Times New Roman"/>
          <w:color w:val="auto"/>
          <w:lang w:val="en-US" w:eastAsia="zh-CN"/>
        </w:rPr>
        <w:t>。</w:t>
      </w:r>
    </w:p>
    <w:p w14:paraId="5E7311D7">
      <w:pPr>
        <w:bidi w:val="0"/>
        <w:spacing w:before="0" w:after="0" w:line="360" w:lineRule="auto"/>
        <w:ind w:firstLine="420"/>
        <w:rPr>
          <w:rFonts w:hint="default" w:ascii="Times New Roman" w:hAnsi="Times New Roman" w:cs="Times New Roman" w:eastAsiaTheme="minorEastAsia"/>
          <w:color w:val="auto"/>
          <w:lang w:val="en-US" w:eastAsia="zh-CN"/>
        </w:rPr>
      </w:pPr>
      <w:r>
        <w:rPr>
          <w:rFonts w:hint="default" w:ascii="Times New Roman" w:hAnsi="Times New Roman" w:cs="Times New Roman"/>
          <w:color w:val="auto"/>
          <w:lang w:val="en-US" w:eastAsia="zh-CN"/>
        </w:rPr>
        <w:t>车辆租赁：</w:t>
      </w:r>
      <w:r>
        <w:rPr>
          <w:rFonts w:hint="default" w:ascii="Times New Roman" w:hAnsi="Times New Roman" w:cs="Times New Roman"/>
          <w:lang w:val="en-US" w:eastAsia="zh-CN"/>
        </w:rPr>
        <w:t>2023年12月13日，由吉木萨尔县住建局与洪欣环境集团有限公司签订《吉木萨尔县环卫作业车辆租赁协议》，租赁期实行一年一租，2024年租赁81辆环卫车，年度租金433.43万元，在2024年10月30日前全部打入吉木萨尔县住建局账户。</w:t>
      </w:r>
    </w:p>
    <w:p w14:paraId="3C592B7D">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2024年7月31日，</w:t>
      </w:r>
      <w:r>
        <w:rPr>
          <w:rFonts w:hint="default" w:ascii="Times New Roman" w:hAnsi="Times New Roman" w:cs="Times New Roman"/>
          <w:color w:val="auto"/>
        </w:rPr>
        <w:t>吉木萨尔县住房和城乡建设局</w:t>
      </w:r>
      <w:r>
        <w:rPr>
          <w:rFonts w:hint="default" w:ascii="Times New Roman" w:hAnsi="Times New Roman" w:cs="Times New Roman"/>
          <w:color w:val="auto"/>
          <w:lang w:val="en-US" w:eastAsia="zh-CN"/>
        </w:rPr>
        <w:t>与</w:t>
      </w:r>
      <w:r>
        <w:rPr>
          <w:rFonts w:hint="default" w:ascii="Times New Roman" w:hAnsi="Times New Roman" w:cs="Times New Roman"/>
          <w:color w:val="auto"/>
        </w:rPr>
        <w:t>泓欣环境集团有限公司</w:t>
      </w:r>
      <w:r>
        <w:rPr>
          <w:rFonts w:hint="default" w:ascii="Times New Roman" w:hAnsi="Times New Roman" w:cs="Times New Roman"/>
          <w:color w:val="auto"/>
          <w:lang w:val="en-US" w:eastAsia="zh-CN"/>
        </w:rPr>
        <w:t>签订《吉木萨尔县城市管理服务“三位一体”项目新增清扫保洁及冬季除雪补充协议书》，补充城区新建8条道路共250,269 m</w:t>
      </w:r>
      <w:r>
        <w:rPr>
          <w:rFonts w:hint="default" w:ascii="Times New Roman" w:hAnsi="Times New Roman" w:cs="Times New Roman"/>
          <w:color w:val="auto"/>
          <w:vertAlign w:val="superscript"/>
          <w:lang w:val="en-US" w:eastAsia="zh-CN"/>
        </w:rPr>
        <w:t>2</w:t>
      </w:r>
      <w:r>
        <w:rPr>
          <w:rFonts w:hint="default" w:ascii="Times New Roman" w:hAnsi="Times New Roman" w:cs="Times New Roman"/>
          <w:color w:val="auto"/>
          <w:lang w:val="en-US" w:eastAsia="zh-CN"/>
        </w:rPr>
        <w:t>移交</w:t>
      </w:r>
      <w:r>
        <w:rPr>
          <w:rFonts w:hint="default" w:ascii="Times New Roman" w:hAnsi="Times New Roman" w:cs="Times New Roman"/>
          <w:color w:val="auto"/>
        </w:rPr>
        <w:t>泓欣环境集团有限公司</w:t>
      </w:r>
      <w:r>
        <w:rPr>
          <w:rFonts w:hint="default" w:ascii="Times New Roman" w:hAnsi="Times New Roman" w:cs="Times New Roman"/>
          <w:color w:val="auto"/>
          <w:lang w:val="en-US" w:eastAsia="zh-CN"/>
        </w:rPr>
        <w:t>进行除雪及保洁作业服务。</w:t>
      </w:r>
      <w:r>
        <w:rPr>
          <w:rFonts w:hint="eastAsia" w:cs="Times New Roman"/>
          <w:color w:val="auto"/>
          <w:lang w:val="en-US" w:eastAsia="zh-CN"/>
        </w:rPr>
        <w:t>服务费：</w:t>
      </w:r>
      <w:r>
        <w:rPr>
          <w:rFonts w:hint="default" w:ascii="Times New Roman" w:hAnsi="Times New Roman" w:cs="Times New Roman"/>
          <w:color w:val="auto"/>
          <w:highlight w:val="none"/>
          <w:lang w:val="en-US" w:eastAsia="zh-CN"/>
        </w:rPr>
        <w:t>“根据吉木萨尔县城市管理服务“三位一体”委托运营项目合同中“分项报价明细表”之规定，冬季除雪单价为4.48元/m</w:t>
      </w:r>
      <w:r>
        <w:rPr>
          <w:rFonts w:hint="eastAsia" w:ascii="Times New Roman" w:hAnsi="Times New Roman" w:cs="Times New Roman"/>
          <w:color w:val="auto"/>
          <w:highlight w:val="none"/>
          <w:vertAlign w:val="superscript"/>
          <w:lang w:val="en-US" w:eastAsia="zh-CN"/>
        </w:rPr>
        <w:t>2</w:t>
      </w:r>
      <w:r>
        <w:rPr>
          <w:rFonts w:hint="default" w:ascii="Times New Roman" w:hAnsi="Times New Roman" w:cs="Times New Roman"/>
          <w:color w:val="auto"/>
          <w:highlight w:val="none"/>
          <w:lang w:val="en-US" w:eastAsia="zh-CN"/>
        </w:rPr>
        <w:t>，冬季除雪增加费用1,121,205元。清扫保洁面积单价为4.58元/m</w:t>
      </w:r>
      <w:r>
        <w:rPr>
          <w:rFonts w:hint="eastAsia" w:ascii="Times New Roman" w:hAnsi="Times New Roman" w:cs="Times New Roman"/>
          <w:color w:val="auto"/>
          <w:highlight w:val="none"/>
          <w:vertAlign w:val="superscript"/>
          <w:lang w:val="en-US" w:eastAsia="zh-CN"/>
        </w:rPr>
        <w:t>2</w:t>
      </w:r>
      <w:r>
        <w:rPr>
          <w:rFonts w:hint="default" w:ascii="Times New Roman" w:hAnsi="Times New Roman" w:cs="Times New Roman"/>
          <w:color w:val="auto"/>
          <w:highlight w:val="none"/>
          <w:lang w:val="en-US" w:eastAsia="zh-CN"/>
        </w:rPr>
        <w:t>，清扫保洁增加费用1,146,232元。两项费用合计2,267,437元，经双方友好协商费用降至2,000,000元</w:t>
      </w:r>
      <w:r>
        <w:rPr>
          <w:rFonts w:hint="eastAsia" w:ascii="Times New Roman" w:hAnsi="Times New Roman" w:cs="Times New Roman"/>
          <w:color w:val="auto"/>
          <w:highlight w:val="none"/>
          <w:lang w:val="en-US" w:eastAsia="zh-CN"/>
        </w:rPr>
        <w:t>（</w:t>
      </w:r>
      <w:r>
        <w:rPr>
          <w:rFonts w:hint="default" w:ascii="Times New Roman" w:hAnsi="Times New Roman" w:cs="Times New Roman"/>
          <w:color w:val="auto"/>
          <w:highlight w:val="none"/>
          <w:lang w:val="en-US" w:eastAsia="zh-CN"/>
        </w:rPr>
        <w:t>贰佰万元整</w:t>
      </w:r>
      <w:r>
        <w:rPr>
          <w:rFonts w:hint="eastAsia" w:ascii="Times New Roman" w:hAnsi="Times New Roman" w:cs="Times New Roman"/>
          <w:color w:val="auto"/>
          <w:highlight w:val="none"/>
          <w:lang w:val="en-US" w:eastAsia="zh-CN"/>
        </w:rPr>
        <w:t>）</w:t>
      </w:r>
      <w:r>
        <w:rPr>
          <w:rFonts w:hint="default" w:ascii="Times New Roman" w:hAnsi="Times New Roman" w:cs="Times New Roman"/>
          <w:color w:val="auto"/>
          <w:highlight w:val="none"/>
          <w:lang w:val="en-US" w:eastAsia="zh-CN"/>
        </w:rPr>
        <w:t>”服务费合同追加200.00万元/年</w:t>
      </w:r>
      <w:r>
        <w:rPr>
          <w:rFonts w:hint="default" w:ascii="Times New Roman" w:hAnsi="Times New Roman" w:cs="Times New Roman"/>
          <w:color w:val="auto"/>
          <w:lang w:val="en-US" w:eastAsia="zh-CN"/>
        </w:rPr>
        <w:t>。服务时间：2024年1月1日起至2024 年12月31日止。</w:t>
      </w:r>
    </w:p>
    <w:p w14:paraId="7CB84818">
      <w:pPr>
        <w:bidi w:val="0"/>
        <w:spacing w:before="0" w:after="0" w:line="360" w:lineRule="auto"/>
        <w:rPr>
          <w:rFonts w:hint="default" w:ascii="Times New Roman" w:hAnsi="Times New Roman" w:cs="Times New Roman"/>
          <w:b/>
          <w:bCs/>
          <w:color w:val="auto"/>
          <w:lang w:val="en-US" w:eastAsia="zh-CN"/>
        </w:rPr>
      </w:pPr>
      <w:r>
        <w:rPr>
          <w:rFonts w:hint="default" w:ascii="Times New Roman" w:hAnsi="Times New Roman" w:cs="Times New Roman"/>
          <w:b/>
          <w:bCs/>
          <w:color w:val="auto"/>
          <w:lang w:val="en-US" w:eastAsia="zh-CN"/>
        </w:rPr>
        <w:t>2.项目实际完成情况</w:t>
      </w:r>
    </w:p>
    <w:p w14:paraId="13194EE1">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（1）</w:t>
      </w:r>
      <w:r>
        <w:rPr>
          <w:rFonts w:hint="default" w:ascii="Times New Roman" w:hAnsi="Times New Roman" w:cs="Times New Roman"/>
          <w:color w:val="auto"/>
          <w:lang w:eastAsia="zh-Hans"/>
        </w:rPr>
        <w:t>环境卫生保洁服务</w:t>
      </w:r>
      <w:r>
        <w:rPr>
          <w:rFonts w:hint="default" w:ascii="Times New Roman" w:hAnsi="Times New Roman" w:cs="Times New Roman"/>
          <w:color w:val="auto"/>
          <w:lang w:val="en-US" w:eastAsia="zh-CN"/>
        </w:rPr>
        <w:t>实际完成情况</w:t>
      </w:r>
    </w:p>
    <w:p w14:paraId="521F3B16">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①</w:t>
      </w:r>
      <w:r>
        <w:rPr>
          <w:rFonts w:hint="default" w:ascii="Times New Roman" w:hAnsi="Times New Roman" w:cs="Times New Roman"/>
          <w:color w:val="auto"/>
          <w:lang w:eastAsia="zh-Hans"/>
        </w:rPr>
        <w:t>清扫保洁。清扫保洁总面积318.31万平方米（其中原合同293.28万平方米，</w:t>
      </w:r>
      <w:r>
        <w:rPr>
          <w:rFonts w:hint="default" w:ascii="Times New Roman" w:hAnsi="Times New Roman" w:cs="Times New Roman"/>
          <w:color w:val="auto"/>
          <w:lang w:val="en-US" w:eastAsia="zh-CN"/>
        </w:rPr>
        <w:t>2024年</w:t>
      </w:r>
      <w:r>
        <w:rPr>
          <w:rFonts w:hint="default" w:ascii="Times New Roman" w:hAnsi="Times New Roman" w:cs="Times New Roman"/>
          <w:color w:val="auto"/>
          <w:lang w:eastAsia="zh-Hans"/>
        </w:rPr>
        <w:t>新增25.03万平方米）。包含主次道路、非机动车道、人行道、停车场、巷道、绿地及城乡结合部的清扫保洁、洗扫、洒水降尘及市政、环境卫生设施的管理。</w:t>
      </w:r>
    </w:p>
    <w:p w14:paraId="639D1FA0">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②</w:t>
      </w:r>
      <w:r>
        <w:rPr>
          <w:rFonts w:hint="default" w:ascii="Times New Roman" w:hAnsi="Times New Roman" w:cs="Times New Roman"/>
          <w:color w:val="auto"/>
          <w:lang w:eastAsia="zh-Hans"/>
        </w:rPr>
        <w:t>生活垃圾收运。2024年度生活垃圾</w:t>
      </w:r>
      <w:r>
        <w:rPr>
          <w:rFonts w:hint="default" w:ascii="Times New Roman" w:hAnsi="Times New Roman" w:cs="Times New Roman"/>
          <w:color w:val="auto"/>
          <w:lang w:eastAsia="zh-CN"/>
        </w:rPr>
        <w:t>收运</w:t>
      </w:r>
      <w:r>
        <w:rPr>
          <w:rFonts w:hint="default" w:ascii="Times New Roman" w:hAnsi="Times New Roman" w:cs="Times New Roman"/>
          <w:color w:val="auto"/>
          <w:lang w:eastAsia="zh-Hans"/>
        </w:rPr>
        <w:t xml:space="preserve">乡镇城区 </w:t>
      </w:r>
      <w:r>
        <w:rPr>
          <w:rFonts w:hint="eastAsia" w:ascii="Times New Roman" w:hAnsi="Times New Roman" w:cs="Times New Roman"/>
          <w:color w:val="auto"/>
          <w:lang w:eastAsia="zh-CN"/>
        </w:rPr>
        <w:t>（</w:t>
      </w:r>
      <w:r>
        <w:rPr>
          <w:rFonts w:hint="default" w:ascii="Times New Roman" w:hAnsi="Times New Roman" w:cs="Times New Roman"/>
          <w:color w:val="auto"/>
          <w:lang w:eastAsia="zh-Hans"/>
        </w:rPr>
        <w:t xml:space="preserve"> 吉木萨尔镇</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、北庭镇、三台镇、大有镇、二工镇、庆阳湖乡、老台乡、新地乡和泉子街镇生活垃圾33</w:t>
      </w:r>
      <w:r>
        <w:rPr>
          <w:rFonts w:hint="default" w:ascii="Times New Roman" w:hAnsi="Times New Roman" w:cs="Times New Roman"/>
          <w:color w:val="auto"/>
          <w:lang w:val="en-US" w:eastAsia="zh-CN"/>
        </w:rPr>
        <w:t>,</w:t>
      </w:r>
      <w:r>
        <w:rPr>
          <w:rFonts w:hint="default" w:ascii="Times New Roman" w:hAnsi="Times New Roman" w:cs="Times New Roman"/>
          <w:color w:val="auto"/>
          <w:lang w:eastAsia="zh-Hans"/>
        </w:rPr>
        <w:t>335.44吨</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餐厨垃圾1</w:t>
      </w:r>
      <w:r>
        <w:rPr>
          <w:rFonts w:hint="default" w:ascii="Times New Roman" w:hAnsi="Times New Roman" w:cs="Times New Roman"/>
          <w:color w:val="auto"/>
          <w:lang w:val="en-US" w:eastAsia="zh-CN"/>
        </w:rPr>
        <w:t>,</w:t>
      </w:r>
      <w:r>
        <w:rPr>
          <w:rFonts w:hint="default" w:ascii="Times New Roman" w:hAnsi="Times New Roman" w:cs="Times New Roman"/>
          <w:color w:val="auto"/>
          <w:lang w:eastAsia="zh-Hans"/>
        </w:rPr>
        <w:t>071.11吨</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污泥2</w:t>
      </w:r>
      <w:r>
        <w:rPr>
          <w:rFonts w:hint="default" w:ascii="Times New Roman" w:hAnsi="Times New Roman" w:cs="Times New Roman"/>
          <w:color w:val="auto"/>
          <w:lang w:val="en-US" w:eastAsia="zh-CN"/>
        </w:rPr>
        <w:t>,</w:t>
      </w:r>
      <w:r>
        <w:rPr>
          <w:rFonts w:hint="default" w:ascii="Times New Roman" w:hAnsi="Times New Roman" w:cs="Times New Roman"/>
          <w:color w:val="auto"/>
          <w:lang w:eastAsia="zh-Hans"/>
        </w:rPr>
        <w:t>568.71吨，农用地膜3</w:t>
      </w:r>
      <w:r>
        <w:rPr>
          <w:rFonts w:hint="default" w:ascii="Times New Roman" w:hAnsi="Times New Roman" w:cs="Times New Roman"/>
          <w:color w:val="auto"/>
          <w:lang w:val="en-US" w:eastAsia="zh-CN"/>
        </w:rPr>
        <w:t>,</w:t>
      </w:r>
      <w:r>
        <w:rPr>
          <w:rFonts w:hint="default" w:ascii="Times New Roman" w:hAnsi="Times New Roman" w:cs="Times New Roman"/>
          <w:color w:val="auto"/>
          <w:lang w:eastAsia="zh-Hans"/>
        </w:rPr>
        <w:t>355.78吨</w:t>
      </w:r>
      <w:r>
        <w:rPr>
          <w:rFonts w:hint="default" w:ascii="Times New Roman" w:hAnsi="Times New Roman" w:cs="Times New Roman"/>
          <w:color w:val="auto"/>
          <w:lang w:eastAsia="zh-CN"/>
        </w:rPr>
        <w:t>，总计40</w:t>
      </w:r>
      <w:r>
        <w:rPr>
          <w:rFonts w:hint="default" w:ascii="Times New Roman" w:hAnsi="Times New Roman" w:cs="Times New Roman"/>
          <w:color w:val="auto"/>
          <w:lang w:val="en-US" w:eastAsia="zh-CN"/>
        </w:rPr>
        <w:t>,</w:t>
      </w:r>
      <w:r>
        <w:rPr>
          <w:rFonts w:hint="default" w:ascii="Times New Roman" w:hAnsi="Times New Roman" w:cs="Times New Roman"/>
          <w:color w:val="auto"/>
          <w:lang w:eastAsia="zh-CN"/>
        </w:rPr>
        <w:t>331.04 吨。</w:t>
      </w:r>
      <w:r>
        <w:rPr>
          <w:rFonts w:hint="default" w:ascii="Times New Roman" w:hAnsi="Times New Roman" w:cs="Times New Roman"/>
          <w:color w:val="auto"/>
          <w:lang w:val="en-US" w:eastAsia="zh-CN"/>
        </w:rPr>
        <w:t>完成了</w:t>
      </w:r>
      <w:r>
        <w:rPr>
          <w:rFonts w:hint="default" w:ascii="Times New Roman" w:hAnsi="Times New Roman" w:cs="Times New Roman"/>
          <w:color w:val="auto"/>
          <w:lang w:eastAsia="zh-Hans"/>
        </w:rPr>
        <w:t>吉木萨尔县城区生活垃圾、厨余垃圾的收集运输，对垃圾桶、垃圾箱、果皮箱等管理和保洁</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各企事业单位生活垃圾桶的清洗由所属单位自行保洁清洗，公共区域使用的垃圾桶、果皮箱</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w:t>
      </w:r>
    </w:p>
    <w:p w14:paraId="472C9E90">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③</w:t>
      </w:r>
      <w:r>
        <w:rPr>
          <w:rFonts w:hint="default" w:ascii="Times New Roman" w:hAnsi="Times New Roman" w:cs="Times New Roman"/>
          <w:color w:val="auto"/>
          <w:lang w:eastAsia="zh-Hans"/>
        </w:rPr>
        <w:t>公厕。</w:t>
      </w:r>
      <w:r>
        <w:rPr>
          <w:rFonts w:hint="default" w:ascii="Times New Roman" w:hAnsi="Times New Roman" w:cs="Times New Roman"/>
          <w:color w:val="auto"/>
          <w:lang w:val="en-US" w:eastAsia="zh-CN"/>
        </w:rPr>
        <w:t>对</w:t>
      </w:r>
      <w:r>
        <w:rPr>
          <w:rFonts w:hint="default" w:ascii="Times New Roman" w:hAnsi="Times New Roman" w:cs="Times New Roman"/>
          <w:color w:val="auto"/>
          <w:lang w:eastAsia="zh-Hans"/>
        </w:rPr>
        <w:t>26座公厕</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实行</w:t>
      </w:r>
      <w:r>
        <w:rPr>
          <w:rFonts w:hint="default" w:ascii="Times New Roman" w:hAnsi="Times New Roman" w:cs="Times New Roman"/>
          <w:color w:val="auto"/>
          <w:lang w:eastAsia="zh-Hans"/>
        </w:rPr>
        <w:t>一人一厕，专人负责，内部及周边环境进行清扫、冲洗、消毒、杀虫，保持公厕的完好整洁。</w:t>
      </w:r>
    </w:p>
    <w:p w14:paraId="4ECE20CC">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④</w:t>
      </w:r>
      <w:r>
        <w:rPr>
          <w:rFonts w:hint="default" w:ascii="Times New Roman" w:hAnsi="Times New Roman" w:cs="Times New Roman"/>
          <w:color w:val="auto"/>
          <w:lang w:eastAsia="zh-Hans"/>
        </w:rPr>
        <w:t>冬季除雪。实施人机结合清雪工作，保障辖区道路安全畅通，</w:t>
      </w:r>
      <w:r>
        <w:rPr>
          <w:rFonts w:hint="default" w:ascii="Times New Roman" w:hAnsi="Times New Roman" w:cs="Times New Roman"/>
          <w:color w:val="auto"/>
          <w:lang w:val="en-US" w:eastAsia="zh-CN"/>
        </w:rPr>
        <w:t>实际</w:t>
      </w:r>
      <w:r>
        <w:rPr>
          <w:rFonts w:hint="default" w:ascii="Times New Roman" w:hAnsi="Times New Roman" w:cs="Times New Roman"/>
          <w:color w:val="auto"/>
          <w:lang w:eastAsia="zh-Hans"/>
        </w:rPr>
        <w:t>清雪道路面积</w:t>
      </w:r>
      <w:r>
        <w:rPr>
          <w:rFonts w:hint="default" w:ascii="Times New Roman" w:hAnsi="Times New Roman" w:cs="Times New Roman"/>
          <w:color w:val="auto"/>
          <w:lang w:val="en-US" w:eastAsia="zh-CN"/>
        </w:rPr>
        <w:t>201.03</w:t>
      </w:r>
      <w:r>
        <w:rPr>
          <w:rFonts w:hint="default" w:ascii="Times New Roman" w:hAnsi="Times New Roman" w:cs="Times New Roman"/>
          <w:color w:val="auto"/>
          <w:lang w:eastAsia="zh-Hans"/>
        </w:rPr>
        <w:t>万平方米，（其中原合同176万平方米，新增25.03万平方米，含非机动车道和人行道面积）。</w:t>
      </w:r>
    </w:p>
    <w:p w14:paraId="0C7890C5">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⑤</w:t>
      </w:r>
      <w:r>
        <w:rPr>
          <w:rFonts w:hint="default" w:ascii="Times New Roman" w:hAnsi="Times New Roman" w:cs="Times New Roman"/>
          <w:color w:val="auto"/>
          <w:lang w:eastAsia="zh-Hans"/>
        </w:rPr>
        <w:t>填埋场的管理。</w:t>
      </w:r>
      <w:r>
        <w:rPr>
          <w:rFonts w:hint="default" w:ascii="Times New Roman" w:hAnsi="Times New Roman" w:cs="Times New Roman"/>
          <w:color w:val="auto"/>
          <w:lang w:val="en-US" w:eastAsia="zh-CN"/>
        </w:rPr>
        <w:t>实际完成</w:t>
      </w:r>
      <w:r>
        <w:rPr>
          <w:rFonts w:hint="default" w:ascii="Times New Roman" w:hAnsi="Times New Roman" w:cs="Times New Roman"/>
          <w:color w:val="auto"/>
          <w:lang w:eastAsia="zh-Hans"/>
        </w:rPr>
        <w:t>1座垃圾填埋场运营管理。负责填埋场的运营管理，包含日常管护、填埋、消杀、监测以及安全生产、疫情防控等常态化重点工作。</w:t>
      </w:r>
    </w:p>
    <w:p w14:paraId="08A32D23">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⑥</w:t>
      </w:r>
      <w:r>
        <w:rPr>
          <w:rFonts w:hint="default" w:ascii="Times New Roman" w:hAnsi="Times New Roman" w:cs="Times New Roman"/>
          <w:color w:val="auto"/>
          <w:lang w:eastAsia="zh-Hans"/>
        </w:rPr>
        <w:t>智慧环卫平台建设。202</w:t>
      </w:r>
      <w:r>
        <w:rPr>
          <w:rFonts w:hint="default" w:ascii="Times New Roman" w:hAnsi="Times New Roman" w:cs="Times New Roman"/>
          <w:color w:val="auto"/>
          <w:lang w:val="en-US" w:eastAsia="zh-CN"/>
        </w:rPr>
        <w:t>4</w:t>
      </w:r>
      <w:r>
        <w:rPr>
          <w:rFonts w:hint="default" w:ascii="Times New Roman" w:hAnsi="Times New Roman" w:cs="Times New Roman"/>
          <w:color w:val="auto"/>
          <w:lang w:eastAsia="zh-Hans"/>
        </w:rPr>
        <w:t>年</w:t>
      </w:r>
      <w:r>
        <w:rPr>
          <w:rFonts w:hint="default" w:ascii="Times New Roman" w:hAnsi="Times New Roman" w:cs="Times New Roman"/>
          <w:color w:val="auto"/>
          <w:lang w:val="en-US" w:eastAsia="zh-CN"/>
        </w:rPr>
        <w:t>9</w:t>
      </w:r>
      <w:r>
        <w:rPr>
          <w:rFonts w:hint="default" w:ascii="Times New Roman" w:hAnsi="Times New Roman" w:cs="Times New Roman"/>
          <w:color w:val="auto"/>
          <w:lang w:eastAsia="zh-Hans"/>
        </w:rPr>
        <w:t>月</w:t>
      </w:r>
      <w:r>
        <w:rPr>
          <w:rFonts w:hint="default" w:ascii="Times New Roman" w:hAnsi="Times New Roman" w:cs="Times New Roman"/>
          <w:color w:val="auto"/>
          <w:lang w:val="en-US" w:eastAsia="zh-CN"/>
        </w:rPr>
        <w:t>2</w:t>
      </w:r>
      <w:r>
        <w:rPr>
          <w:rFonts w:hint="default" w:ascii="Times New Roman" w:hAnsi="Times New Roman" w:cs="Times New Roman"/>
          <w:color w:val="auto"/>
          <w:lang w:eastAsia="zh-Hans"/>
        </w:rPr>
        <w:t>日</w:t>
      </w:r>
      <w:r>
        <w:rPr>
          <w:rFonts w:hint="default" w:ascii="Times New Roman" w:hAnsi="Times New Roman" w:cs="Times New Roman"/>
          <w:color w:val="auto"/>
          <w:lang w:val="en-US" w:eastAsia="zh-CN"/>
        </w:rPr>
        <w:t>由泓欣环境集团有限公司对吉木萨尔三位一体项目综合智慧管理平台进行了验收，验收结果“经过对平台各项功能全面测试，功能达到开发要求，性能稳定”</w:t>
      </w:r>
      <w:r>
        <w:rPr>
          <w:rFonts w:hint="default" w:ascii="Times New Roman" w:hAnsi="Times New Roman" w:cs="Times New Roman"/>
          <w:color w:val="auto"/>
          <w:lang w:eastAsia="zh-Hans"/>
        </w:rPr>
        <w:t>。</w:t>
      </w:r>
    </w:p>
    <w:p w14:paraId="225927A3">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⑦</w:t>
      </w:r>
      <w:r>
        <w:rPr>
          <w:rFonts w:hint="default" w:ascii="Times New Roman" w:hAnsi="Times New Roman" w:cs="Times New Roman"/>
          <w:color w:val="auto"/>
          <w:lang w:eastAsia="zh-Hans"/>
        </w:rPr>
        <w:t>生活垃圾清运费收缴管理。负责对县城所有清运垃圾的住宅小区、商业网点、行政事业单位、周边厂矿企业、加油加气站、收费站、高速公路服务区、G335服务区垃圾清运费的收缴工作。</w:t>
      </w:r>
    </w:p>
    <w:p w14:paraId="31F2AF8F">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eastAsia="zh-CN"/>
        </w:rPr>
        <w:t>（2）</w:t>
      </w:r>
      <w:r>
        <w:rPr>
          <w:rFonts w:hint="default" w:ascii="Times New Roman" w:hAnsi="Times New Roman" w:cs="Times New Roman"/>
          <w:color w:val="auto"/>
          <w:lang w:eastAsia="zh-Hans"/>
        </w:rPr>
        <w:t>绿地养护服务</w:t>
      </w:r>
      <w:r>
        <w:rPr>
          <w:rFonts w:hint="default" w:ascii="Times New Roman" w:hAnsi="Times New Roman" w:cs="Times New Roman"/>
          <w:color w:val="auto"/>
          <w:lang w:val="en-US" w:eastAsia="zh-CN"/>
        </w:rPr>
        <w:t>实际完成情况</w:t>
      </w:r>
    </w:p>
    <w:p w14:paraId="5D8385DC">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①</w:t>
      </w:r>
      <w:r>
        <w:rPr>
          <w:rFonts w:hint="default" w:ascii="Times New Roman" w:hAnsi="Times New Roman" w:cs="Times New Roman"/>
          <w:color w:val="auto"/>
          <w:lang w:eastAsia="zh-Hans"/>
        </w:rPr>
        <w:t>日常养护。园林绿化养护面积</w:t>
      </w:r>
      <w:r>
        <w:rPr>
          <w:rFonts w:hint="default" w:ascii="Times New Roman" w:hAnsi="Times New Roman" w:cs="Times New Roman"/>
          <w:color w:val="auto"/>
          <w:lang w:val="en-US" w:eastAsia="zh-CN"/>
        </w:rPr>
        <w:t>共计272.83万平方米（其中原合同</w:t>
      </w:r>
      <w:r>
        <w:rPr>
          <w:rFonts w:hint="default" w:ascii="Times New Roman" w:hAnsi="Times New Roman" w:cs="Times New Roman"/>
          <w:color w:val="auto"/>
          <w:lang w:eastAsia="zh-Hans"/>
        </w:rPr>
        <w:t>225.9万平方米</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2024年移交46.93万平方米</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主要包括城市道路绿化养护、小游园绿化养护；春季花卉栽植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含花卉采购及人工栽植种植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、春秋季补植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原绿化补植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公共绿地的整形修剪、除草；绿地浇水排水；除草施肥；病虫害防治；浇水支线管网维护维修、供水管道的应急抢修和日常维护均由养护单位负责，出现爆管、断裂、渗漏等影响绿化供水现象，须及时予以抢修恢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含主辅材及人工</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其他日常养护管理内容。</w:t>
      </w:r>
    </w:p>
    <w:p w14:paraId="47546729">
      <w:pPr>
        <w:bidi w:val="0"/>
        <w:spacing w:before="0" w:after="0" w:line="360" w:lineRule="auto"/>
        <w:rPr>
          <w:rFonts w:hint="default" w:ascii="Times New Roman" w:hAnsi="Times New Roman" w:cs="Times New Roman"/>
          <w:color w:val="auto"/>
          <w:lang w:eastAsia="zh-Hans"/>
        </w:rPr>
      </w:pPr>
      <w:r>
        <w:rPr>
          <w:rFonts w:hint="default" w:ascii="Times New Roman" w:hAnsi="Times New Roman" w:cs="Times New Roman"/>
          <w:color w:val="auto"/>
          <w:lang w:val="en-US" w:eastAsia="zh-CN"/>
        </w:rPr>
        <w:t>③</w:t>
      </w:r>
      <w:r>
        <w:rPr>
          <w:rFonts w:hint="default" w:ascii="Times New Roman" w:hAnsi="Times New Roman" w:cs="Times New Roman"/>
          <w:color w:val="auto"/>
          <w:lang w:eastAsia="zh-Hans"/>
        </w:rPr>
        <w:t>游园维修维护。全县小游园共计15座</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含县政府大院</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定期对园内园林小品、设施设备进行维修、保养及更换。</w:t>
      </w:r>
    </w:p>
    <w:p w14:paraId="6E07ECD2">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④</w:t>
      </w:r>
      <w:r>
        <w:rPr>
          <w:rFonts w:hint="default" w:ascii="Times New Roman" w:hAnsi="Times New Roman" w:cs="Times New Roman"/>
          <w:color w:val="auto"/>
          <w:lang w:eastAsia="zh-Hans"/>
        </w:rPr>
        <w:t>街景布置。2024年泓欣集团与乌鲁木齐县板房沟乡虎林花卉种植园签订街景布置</w:t>
      </w:r>
      <w:r>
        <w:rPr>
          <w:rFonts w:hint="default" w:ascii="Times New Roman" w:hAnsi="Times New Roman" w:cs="Times New Roman"/>
          <w:color w:val="auto"/>
          <w:lang w:val="en-US" w:eastAsia="zh-CN"/>
        </w:rPr>
        <w:t>采购合同，实际完成投资</w:t>
      </w:r>
      <w:r>
        <w:rPr>
          <w:rFonts w:hint="default" w:ascii="Times New Roman" w:hAnsi="Times New Roman" w:cs="Times New Roman"/>
          <w:color w:val="auto"/>
          <w:lang w:eastAsia="zh-Hans"/>
        </w:rPr>
        <w:t>265</w:t>
      </w:r>
      <w:r>
        <w:rPr>
          <w:rFonts w:hint="default" w:ascii="Times New Roman" w:hAnsi="Times New Roman" w:cs="Times New Roman"/>
          <w:color w:val="auto"/>
          <w:lang w:val="en-US" w:eastAsia="zh-CN"/>
        </w:rPr>
        <w:t>.18万</w:t>
      </w:r>
      <w:r>
        <w:rPr>
          <w:rFonts w:hint="default" w:ascii="Times New Roman" w:hAnsi="Times New Roman" w:cs="Times New Roman"/>
          <w:color w:val="auto"/>
          <w:lang w:eastAsia="zh-Hans"/>
        </w:rPr>
        <w:t>元用于街景布置。</w:t>
      </w:r>
      <w:r>
        <w:rPr>
          <w:rFonts w:hint="default" w:ascii="Times New Roman" w:hAnsi="Times New Roman" w:cs="Times New Roman"/>
          <w:color w:val="auto"/>
          <w:lang w:val="en-US" w:eastAsia="zh-CN"/>
        </w:rPr>
        <w:t>2024年5月31日完成花卉景观布置工作完成后经</w:t>
      </w:r>
      <w:r>
        <w:rPr>
          <w:rFonts w:hint="default" w:ascii="Times New Roman" w:hAnsi="Times New Roman" w:cs="Times New Roman"/>
          <w:lang w:val="en-US" w:eastAsia="zh-CN"/>
        </w:rPr>
        <w:t>泓欣环境集团有限公司吉木萨尔分公司</w:t>
      </w:r>
      <w:r>
        <w:rPr>
          <w:rFonts w:hint="default" w:ascii="Times New Roman" w:hAnsi="Times New Roman" w:cs="Times New Roman"/>
          <w:color w:val="auto"/>
          <w:lang w:val="en-US" w:eastAsia="zh-CN"/>
        </w:rPr>
        <w:t>验收通过，验收意见为合格。</w:t>
      </w:r>
    </w:p>
    <w:p w14:paraId="0A4FC230">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w:t>
      </w:r>
      <w:r>
        <w:rPr>
          <w:rFonts w:hint="eastAsia" w:cs="Times New Roman"/>
          <w:color w:val="auto"/>
          <w:lang w:val="en-US" w:eastAsia="zh-CN"/>
        </w:rPr>
        <w:t>3</w:t>
      </w:r>
      <w:r>
        <w:rPr>
          <w:rFonts w:hint="default" w:ascii="Times New Roman" w:hAnsi="Times New Roman" w:cs="Times New Roman"/>
          <w:color w:val="auto"/>
          <w:lang w:val="en-US" w:eastAsia="zh-CN"/>
        </w:rPr>
        <w:t>）资产使用情况</w:t>
      </w:r>
    </w:p>
    <w:p w14:paraId="2CB5C59C">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吉木萨尔县住建局根据《服务合同》约定将吉木萨尔县中转站及填埋场等作业场所的办公室、停车场（库）、库房、员工宿舍、相关设施设备及院内的空地（若要搭建设施需经吉木萨尔县住建局同意，且合同期限届</w:t>
      </w:r>
      <w:r>
        <w:rPr>
          <w:rFonts w:hint="eastAsia" w:ascii="Times New Roman" w:hAnsi="Times New Roman" w:cs="Times New Roman"/>
          <w:color w:val="auto"/>
          <w:lang w:val="en-US" w:eastAsia="zh-CN"/>
        </w:rPr>
        <w:t>满后</w:t>
      </w:r>
      <w:r>
        <w:rPr>
          <w:rFonts w:hint="default" w:ascii="Times New Roman" w:hAnsi="Times New Roman" w:cs="Times New Roman"/>
          <w:color w:val="auto"/>
          <w:lang w:val="en-US" w:eastAsia="zh-CN"/>
        </w:rPr>
        <w:t>所搭建设施资产归吉木萨尔县住建局所有）等交给泓欣环境集团有限公司使用，并确保能够正常使用，使用期间产生的水电费、维修费及相关费用均由泓欣环境集团有限公司自行承担。</w:t>
      </w:r>
    </w:p>
    <w:p w14:paraId="2136561A">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w:t>
      </w:r>
      <w:r>
        <w:rPr>
          <w:rFonts w:hint="eastAsia" w:cs="Times New Roman"/>
          <w:color w:val="auto"/>
          <w:lang w:val="en-US" w:eastAsia="zh-CN"/>
        </w:rPr>
        <w:t>4</w:t>
      </w:r>
      <w:r>
        <w:rPr>
          <w:rFonts w:hint="default" w:ascii="Times New Roman" w:hAnsi="Times New Roman" w:cs="Times New Roman"/>
          <w:color w:val="auto"/>
          <w:lang w:val="en-US" w:eastAsia="zh-CN"/>
        </w:rPr>
        <w:t>）服务绩效考核工作</w:t>
      </w:r>
    </w:p>
    <w:p w14:paraId="53513BD5">
      <w:pPr>
        <w:bidi w:val="0"/>
        <w:spacing w:before="0" w:after="0" w:line="360" w:lineRule="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考核方式：吉木萨尔县住建局采取日常巡查结合不定期抽查的方式对环境卫生保洁、绿地养护、居住区管理工作进行考核；随时对安全文明作业、疫情防控工作进行检查。</w:t>
      </w:r>
    </w:p>
    <w:p w14:paraId="4574C425">
      <w:pPr>
        <w:bidi w:val="0"/>
        <w:spacing w:before="0" w:after="0" w:line="360" w:lineRule="auto"/>
        <w:rPr>
          <w:rFonts w:hint="default" w:ascii="Times New Roman" w:hAnsi="Times New Roman" w:eastAsia="黑体" w:cs="Times New Roman"/>
          <w:lang w:val="en-US" w:eastAsia="zh-CN"/>
        </w:rPr>
      </w:pPr>
      <w:r>
        <w:rPr>
          <w:rFonts w:hint="default" w:ascii="Times New Roman" w:hAnsi="Times New Roman" w:cs="Times New Roman"/>
          <w:color w:val="auto"/>
          <w:lang w:val="en-US" w:eastAsia="zh-CN"/>
        </w:rPr>
        <w:t>考核结果：吉木萨尔县住建局实际每天安排外业人按照《服务合同》第五章第一条第3款约定“居民区日常管理执行《吉木萨尔县住建局居民区日常管理考核实施细则》”对项目进行环卫保洁服务</w:t>
      </w:r>
      <w:r>
        <w:rPr>
          <w:rFonts w:hint="eastAsia" w:cs="Times New Roman"/>
          <w:color w:val="auto"/>
          <w:lang w:val="en-US" w:eastAsia="zh-CN"/>
        </w:rPr>
        <w:t>和</w:t>
      </w:r>
      <w:r>
        <w:rPr>
          <w:rFonts w:hint="default" w:ascii="Times New Roman" w:hAnsi="Times New Roman" w:cs="Times New Roman"/>
          <w:color w:val="auto"/>
          <w:lang w:val="en-US" w:eastAsia="zh-CN"/>
        </w:rPr>
        <w:t>园林保洁服务</w:t>
      </w:r>
      <w:r>
        <w:rPr>
          <w:rFonts w:hint="eastAsia" w:cs="Times New Roman"/>
          <w:color w:val="auto"/>
          <w:lang w:val="en-US" w:eastAsia="zh-CN"/>
        </w:rPr>
        <w:t>进行考核，并按</w:t>
      </w:r>
      <w:r>
        <w:rPr>
          <w:rFonts w:hint="default" w:ascii="Times New Roman" w:hAnsi="Times New Roman" w:cs="Times New Roman"/>
          <w:color w:val="auto"/>
          <w:lang w:val="en-US" w:eastAsia="zh-CN"/>
        </w:rPr>
        <w:t>考核结果按季度支付服务费用</w:t>
      </w:r>
      <w:r>
        <w:rPr>
          <w:rFonts w:hint="eastAsia" w:cs="Times New Roman"/>
          <w:color w:val="auto"/>
          <w:lang w:val="en-US" w:eastAsia="zh-CN"/>
        </w:rPr>
        <w:t>，具体考核结果如下：</w:t>
      </w:r>
    </w:p>
    <w:p w14:paraId="34656B54">
      <w:pPr>
        <w:jc w:val="center"/>
        <w:rPr>
          <w:rFonts w:hint="default" w:ascii="Times New Roman" w:hAnsi="Times New Roman" w:eastAsia="黑体" w:cs="Times New Roman"/>
          <w:lang w:val="en-US" w:eastAsia="zh-CN"/>
        </w:rPr>
      </w:pPr>
      <w:r>
        <w:rPr>
          <w:rFonts w:hint="default" w:ascii="Times New Roman" w:hAnsi="Times New Roman" w:eastAsia="黑体" w:cs="Times New Roman"/>
          <w:lang w:val="en-US" w:eastAsia="zh-CN"/>
        </w:rPr>
        <w:t>表1-2：绩效考核结果付费表</w:t>
      </w:r>
    </w:p>
    <w:tbl>
      <w:tblPr>
        <w:tblStyle w:val="18"/>
        <w:tblW w:w="94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57" w:type="dxa"/>
          <w:left w:w="40" w:type="dxa"/>
          <w:bottom w:w="57" w:type="dxa"/>
          <w:right w:w="40" w:type="dxa"/>
        </w:tblCellMar>
      </w:tblPr>
      <w:tblGrid>
        <w:gridCol w:w="1102"/>
        <w:gridCol w:w="2371"/>
        <w:gridCol w:w="1186"/>
        <w:gridCol w:w="1000"/>
        <w:gridCol w:w="714"/>
        <w:gridCol w:w="763"/>
        <w:gridCol w:w="1166"/>
        <w:gridCol w:w="1113"/>
      </w:tblGrid>
      <w:tr w14:paraId="6B0DD7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57" w:type="dxa"/>
            <w:left w:w="40" w:type="dxa"/>
            <w:bottom w:w="57" w:type="dxa"/>
            <w:right w:w="40" w:type="dxa"/>
          </w:tblCellMar>
        </w:tblPrEx>
        <w:trPr>
          <w:trHeight w:val="0" w:hRule="atLeast"/>
          <w:tblHeader/>
          <w:jc w:val="center"/>
        </w:trPr>
        <w:tc>
          <w:tcPr>
            <w:tcW w:w="1102" w:type="dxa"/>
            <w:shd w:val="clear" w:color="auto" w:fill="auto"/>
            <w:vAlign w:val="center"/>
          </w:tcPr>
          <w:p w14:paraId="5B69E0E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服务时间</w:t>
            </w:r>
          </w:p>
        </w:tc>
        <w:tc>
          <w:tcPr>
            <w:tcW w:w="2371" w:type="dxa"/>
            <w:shd w:val="clear" w:color="auto" w:fill="auto"/>
            <w:vAlign w:val="center"/>
          </w:tcPr>
          <w:p w14:paraId="0477DB9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服务内容</w:t>
            </w:r>
          </w:p>
        </w:tc>
        <w:tc>
          <w:tcPr>
            <w:tcW w:w="1186" w:type="dxa"/>
            <w:shd w:val="clear" w:color="auto" w:fill="auto"/>
            <w:vAlign w:val="center"/>
          </w:tcPr>
          <w:p w14:paraId="22EF08F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合同约定绩效考核及付费方式</w:t>
            </w:r>
          </w:p>
        </w:tc>
        <w:tc>
          <w:tcPr>
            <w:tcW w:w="1000" w:type="dxa"/>
            <w:shd w:val="clear" w:color="auto" w:fill="auto"/>
            <w:vAlign w:val="center"/>
          </w:tcPr>
          <w:p w14:paraId="70FAA5A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服务考核时间</w:t>
            </w:r>
          </w:p>
        </w:tc>
        <w:tc>
          <w:tcPr>
            <w:tcW w:w="714" w:type="dxa"/>
            <w:shd w:val="clear" w:color="auto" w:fill="auto"/>
            <w:vAlign w:val="center"/>
          </w:tcPr>
          <w:p w14:paraId="2CE2056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环卫考核结果</w:t>
            </w:r>
          </w:p>
        </w:tc>
        <w:tc>
          <w:tcPr>
            <w:tcW w:w="763" w:type="dxa"/>
            <w:shd w:val="clear" w:color="auto" w:fill="auto"/>
            <w:vAlign w:val="center"/>
          </w:tcPr>
          <w:p w14:paraId="4214A1B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园林考核结果</w:t>
            </w:r>
          </w:p>
        </w:tc>
        <w:tc>
          <w:tcPr>
            <w:tcW w:w="1166" w:type="dxa"/>
            <w:shd w:val="clear" w:color="auto" w:fill="auto"/>
            <w:vAlign w:val="center"/>
          </w:tcPr>
          <w:p w14:paraId="42D963E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资金支付时间</w:t>
            </w:r>
          </w:p>
        </w:tc>
        <w:tc>
          <w:tcPr>
            <w:tcW w:w="1113" w:type="dxa"/>
            <w:shd w:val="clear" w:color="auto" w:fill="auto"/>
            <w:vAlign w:val="center"/>
          </w:tcPr>
          <w:p w14:paraId="3EC8873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支付服务费用（万元）</w:t>
            </w:r>
          </w:p>
        </w:tc>
      </w:tr>
      <w:tr w14:paraId="726B88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57" w:type="dxa"/>
            <w:left w:w="40" w:type="dxa"/>
            <w:bottom w:w="57" w:type="dxa"/>
            <w:right w:w="40" w:type="dxa"/>
          </w:tblCellMar>
        </w:tblPrEx>
        <w:trPr>
          <w:trHeight w:val="0" w:hRule="atLeast"/>
          <w:jc w:val="center"/>
        </w:trPr>
        <w:tc>
          <w:tcPr>
            <w:tcW w:w="1102" w:type="dxa"/>
            <w:shd w:val="clear" w:color="auto" w:fill="auto"/>
            <w:noWrap/>
            <w:vAlign w:val="center"/>
          </w:tcPr>
          <w:p w14:paraId="12A73FB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宋体" w:hAnsi="Times New Roman" w:eastAsia="宋体" w:cs="Times New Roman"/>
                <w:i w:val="0"/>
                <w:iCs w:val="0"/>
                <w:color w:val="000000"/>
                <w:sz w:val="21"/>
                <w:szCs w:val="21"/>
                <w:u w:val="none"/>
              </w:rPr>
            </w:pPr>
            <w:r>
              <w:rPr>
                <w:rFonts w:hint="default" w:ascii="宋体" w:hAnsi="Times New Roman" w:eastAsia="宋体" w:cs="Times New Roman"/>
                <w:i w:val="0"/>
                <w:iCs w:val="0"/>
                <w:color w:val="000000"/>
                <w:kern w:val="0"/>
                <w:sz w:val="21"/>
                <w:szCs w:val="21"/>
                <w:u w:val="none"/>
                <w:lang w:val="en-US" w:eastAsia="zh-CN" w:bidi="ar"/>
              </w:rPr>
              <w:t>2023</w:t>
            </w:r>
            <w:r>
              <w:rPr>
                <w:rStyle w:val="36"/>
                <w:rFonts w:ascii="宋体" w:eastAsia="宋体"/>
                <w:sz w:val="21"/>
                <w:lang w:val="en-US" w:eastAsia="zh-CN" w:bidi="ar"/>
              </w:rPr>
              <w:t>年第四季度</w:t>
            </w:r>
          </w:p>
        </w:tc>
        <w:tc>
          <w:tcPr>
            <w:tcW w:w="2371" w:type="dxa"/>
            <w:vMerge w:val="restart"/>
            <w:shd w:val="clear" w:color="auto" w:fill="auto"/>
            <w:vAlign w:val="center"/>
          </w:tcPr>
          <w:p w14:paraId="41A1E4D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left"/>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是吉木萨尔县城区环境卫生保洁服务，包括道路清扫保洁、吉木萨尔县城区垃圾、餐厨垃圾的收集运输，公共厕所的维修养护、冬季道路除雪、1座填埋场的管理，智慧平台的建设以及生活垃圾清运费收缴管理；二是绿地养护服务，包括县城园林绿化日常养护、县城游园的维修养护，每年重大假日街景布置。</w:t>
            </w:r>
          </w:p>
        </w:tc>
        <w:tc>
          <w:tcPr>
            <w:tcW w:w="1186" w:type="dxa"/>
            <w:vMerge w:val="restart"/>
            <w:shd w:val="clear" w:color="auto" w:fill="auto"/>
            <w:vAlign w:val="center"/>
          </w:tcPr>
          <w:p w14:paraId="2527C5D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按季度付费</w:t>
            </w:r>
          </w:p>
        </w:tc>
        <w:tc>
          <w:tcPr>
            <w:tcW w:w="1000" w:type="dxa"/>
            <w:shd w:val="clear" w:color="auto" w:fill="auto"/>
            <w:vAlign w:val="center"/>
          </w:tcPr>
          <w:p w14:paraId="368C2DC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2023年10月-12月</w:t>
            </w:r>
          </w:p>
        </w:tc>
        <w:tc>
          <w:tcPr>
            <w:tcW w:w="714" w:type="dxa"/>
            <w:shd w:val="clear" w:color="auto" w:fill="auto"/>
            <w:vAlign w:val="center"/>
          </w:tcPr>
          <w:p w14:paraId="046C27B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82.3</w:t>
            </w:r>
          </w:p>
        </w:tc>
        <w:tc>
          <w:tcPr>
            <w:tcW w:w="763" w:type="dxa"/>
            <w:shd w:val="clear" w:color="auto" w:fill="auto"/>
            <w:noWrap/>
            <w:vAlign w:val="center"/>
          </w:tcPr>
          <w:p w14:paraId="0915C3F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宋体" w:hAnsi="宋体" w:eastAsia="宋体" w:cs="宋体"/>
                <w:i w:val="0"/>
                <w:iCs w:val="0"/>
                <w:color w:val="000000"/>
                <w:sz w:val="21"/>
                <w:szCs w:val="22"/>
                <w:u w:val="none"/>
                <w:lang w:val="en-US"/>
              </w:rPr>
            </w:pPr>
            <w:r>
              <w:rPr>
                <w:rFonts w:hint="eastAsia" w:ascii="宋体" w:hAnsi="宋体" w:eastAsia="宋体" w:cs="宋体"/>
                <w:i w:val="0"/>
                <w:iCs w:val="0"/>
                <w:color w:val="000000"/>
                <w:kern w:val="0"/>
                <w:sz w:val="21"/>
                <w:szCs w:val="22"/>
                <w:u w:val="none"/>
                <w:lang w:val="en-US" w:eastAsia="zh-CN" w:bidi="ar"/>
              </w:rPr>
              <w:t>83.30</w:t>
            </w:r>
          </w:p>
        </w:tc>
        <w:tc>
          <w:tcPr>
            <w:tcW w:w="1166" w:type="dxa"/>
            <w:shd w:val="clear" w:color="auto" w:fill="auto"/>
            <w:vAlign w:val="center"/>
          </w:tcPr>
          <w:p w14:paraId="724ABCA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2024年7月19日</w:t>
            </w:r>
          </w:p>
        </w:tc>
        <w:tc>
          <w:tcPr>
            <w:tcW w:w="1113" w:type="dxa"/>
            <w:shd w:val="clear" w:color="auto" w:fill="auto"/>
            <w:noWrap/>
            <w:vAlign w:val="center"/>
          </w:tcPr>
          <w:p w14:paraId="58C4EB4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eastAsia" w:ascii="宋体" w:hAnsi="宋体" w:eastAsia="宋体" w:cs="宋体"/>
                <w:i w:val="0"/>
                <w:iCs w:val="0"/>
                <w:color w:val="000000"/>
                <w:sz w:val="21"/>
                <w:szCs w:val="22"/>
                <w:u w:val="none"/>
              </w:rPr>
            </w:pPr>
            <w:r>
              <w:rPr>
                <w:rFonts w:hint="eastAsia" w:ascii="宋体" w:hAnsi="宋体" w:eastAsia="宋体" w:cs="宋体"/>
                <w:i w:val="0"/>
                <w:iCs w:val="0"/>
                <w:color w:val="000000"/>
                <w:kern w:val="0"/>
                <w:sz w:val="21"/>
                <w:szCs w:val="22"/>
                <w:u w:val="none"/>
                <w:lang w:val="en-US" w:eastAsia="zh-CN" w:bidi="ar"/>
              </w:rPr>
              <w:t>1,267.18</w:t>
            </w:r>
          </w:p>
        </w:tc>
      </w:tr>
      <w:tr w14:paraId="17BE2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57" w:type="dxa"/>
            <w:left w:w="40" w:type="dxa"/>
            <w:bottom w:w="57" w:type="dxa"/>
            <w:right w:w="40" w:type="dxa"/>
          </w:tblCellMar>
        </w:tblPrEx>
        <w:trPr>
          <w:trHeight w:val="0" w:hRule="atLeast"/>
          <w:jc w:val="center"/>
        </w:trPr>
        <w:tc>
          <w:tcPr>
            <w:tcW w:w="1102" w:type="dxa"/>
            <w:shd w:val="clear" w:color="auto" w:fill="auto"/>
            <w:vAlign w:val="center"/>
          </w:tcPr>
          <w:p w14:paraId="6B18A38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2024年度第一季度</w:t>
            </w:r>
          </w:p>
        </w:tc>
        <w:tc>
          <w:tcPr>
            <w:tcW w:w="2371" w:type="dxa"/>
            <w:vMerge w:val="continue"/>
            <w:shd w:val="clear" w:color="auto" w:fill="auto"/>
            <w:vAlign w:val="center"/>
          </w:tcPr>
          <w:p w14:paraId="4749082A">
            <w:pPr>
              <w:keepNext w:val="0"/>
              <w:keepLines w:val="0"/>
              <w:pageBreakBefore w:val="0"/>
              <w:widowControl/>
              <w:kinsoku/>
              <w:wordWrap/>
              <w:overflowPunct/>
              <w:topLinePunct w:val="0"/>
              <w:autoSpaceDE/>
              <w:autoSpaceDN/>
              <w:bidi w:val="0"/>
              <w:snapToGrid w:val="0"/>
              <w:spacing w:line="240" w:lineRule="auto"/>
              <w:ind w:firstLine="0" w:firstLineChars="0"/>
              <w:jc w:val="left"/>
              <w:rPr>
                <w:rFonts w:hint="eastAsia" w:ascii="宋体" w:hAnsi="宋体" w:eastAsia="宋体" w:cs="宋体"/>
                <w:i w:val="0"/>
                <w:iCs w:val="0"/>
                <w:color w:val="000000"/>
                <w:sz w:val="21"/>
                <w:szCs w:val="21"/>
                <w:u w:val="none"/>
              </w:rPr>
            </w:pPr>
          </w:p>
        </w:tc>
        <w:tc>
          <w:tcPr>
            <w:tcW w:w="1186" w:type="dxa"/>
            <w:vMerge w:val="continue"/>
            <w:shd w:val="clear" w:color="auto" w:fill="auto"/>
            <w:vAlign w:val="center"/>
          </w:tcPr>
          <w:p w14:paraId="19F211AA">
            <w:pPr>
              <w:keepNext w:val="0"/>
              <w:keepLines w:val="0"/>
              <w:pageBreakBefore w:val="0"/>
              <w:widowControl/>
              <w:kinsoku/>
              <w:wordWrap/>
              <w:overflowPunct/>
              <w:topLinePunct w:val="0"/>
              <w:autoSpaceDE/>
              <w:autoSpaceDN/>
              <w:bidi w:val="0"/>
              <w:snapToGrid w:val="0"/>
              <w:spacing w:line="240" w:lineRule="auto"/>
              <w:ind w:firstLine="0" w:firstLineChars="0"/>
              <w:jc w:val="center"/>
              <w:rPr>
                <w:rFonts w:hint="eastAsia" w:ascii="宋体" w:hAnsi="宋体" w:eastAsia="宋体" w:cs="宋体"/>
                <w:i w:val="0"/>
                <w:iCs w:val="0"/>
                <w:color w:val="000000"/>
                <w:sz w:val="21"/>
                <w:szCs w:val="21"/>
                <w:u w:val="none"/>
              </w:rPr>
            </w:pPr>
          </w:p>
        </w:tc>
        <w:tc>
          <w:tcPr>
            <w:tcW w:w="1000" w:type="dxa"/>
            <w:shd w:val="clear" w:color="auto" w:fill="auto"/>
            <w:vAlign w:val="center"/>
          </w:tcPr>
          <w:p w14:paraId="422E8B8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2024年1月-3月</w:t>
            </w:r>
          </w:p>
        </w:tc>
        <w:tc>
          <w:tcPr>
            <w:tcW w:w="714" w:type="dxa"/>
            <w:shd w:val="clear" w:color="auto" w:fill="auto"/>
            <w:vAlign w:val="center"/>
          </w:tcPr>
          <w:p w14:paraId="3B3F9D5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89.3</w:t>
            </w:r>
          </w:p>
        </w:tc>
        <w:tc>
          <w:tcPr>
            <w:tcW w:w="763" w:type="dxa"/>
            <w:shd w:val="clear" w:color="auto" w:fill="auto"/>
            <w:noWrap/>
            <w:vAlign w:val="center"/>
          </w:tcPr>
          <w:p w14:paraId="602DE5F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宋体" w:hAnsi="宋体" w:eastAsia="宋体" w:cs="宋体"/>
                <w:i w:val="0"/>
                <w:iCs w:val="0"/>
                <w:color w:val="000000"/>
                <w:sz w:val="21"/>
                <w:szCs w:val="22"/>
                <w:u w:val="none"/>
                <w:lang w:val="en-US"/>
              </w:rPr>
            </w:pPr>
            <w:r>
              <w:rPr>
                <w:rFonts w:hint="eastAsia" w:ascii="宋体" w:hAnsi="宋体" w:eastAsia="宋体" w:cs="宋体"/>
                <w:i w:val="0"/>
                <w:iCs w:val="0"/>
                <w:color w:val="000000"/>
                <w:kern w:val="0"/>
                <w:sz w:val="21"/>
                <w:szCs w:val="22"/>
                <w:u w:val="none"/>
                <w:lang w:val="en-US" w:eastAsia="zh-CN" w:bidi="ar"/>
              </w:rPr>
              <w:t>92.30</w:t>
            </w:r>
          </w:p>
        </w:tc>
        <w:tc>
          <w:tcPr>
            <w:tcW w:w="1166" w:type="dxa"/>
            <w:shd w:val="clear" w:color="auto" w:fill="auto"/>
            <w:vAlign w:val="center"/>
          </w:tcPr>
          <w:p w14:paraId="49F0EAC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i w:val="0"/>
                <w:iCs w:val="0"/>
                <w:color w:val="000000"/>
                <w:sz w:val="21"/>
                <w:szCs w:val="20"/>
                <w:u w:val="none"/>
              </w:rPr>
            </w:pPr>
            <w:r>
              <w:rPr>
                <w:rFonts w:hint="eastAsia" w:ascii="宋体" w:hAnsi="宋体" w:eastAsia="宋体" w:cs="宋体"/>
                <w:i w:val="0"/>
                <w:iCs w:val="0"/>
                <w:color w:val="000000"/>
                <w:kern w:val="0"/>
                <w:sz w:val="21"/>
                <w:szCs w:val="20"/>
                <w:u w:val="none"/>
                <w:lang w:val="en-US" w:eastAsia="zh-CN" w:bidi="ar"/>
              </w:rPr>
              <w:t>2024年8月31日</w:t>
            </w:r>
          </w:p>
        </w:tc>
        <w:tc>
          <w:tcPr>
            <w:tcW w:w="1113" w:type="dxa"/>
            <w:shd w:val="clear" w:color="auto" w:fill="auto"/>
            <w:noWrap/>
            <w:vAlign w:val="center"/>
          </w:tcPr>
          <w:p w14:paraId="26D0CF2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eastAsia" w:ascii="宋体" w:hAnsi="宋体" w:eastAsia="宋体" w:cs="宋体"/>
                <w:i w:val="0"/>
                <w:iCs w:val="0"/>
                <w:color w:val="000000"/>
                <w:sz w:val="21"/>
                <w:szCs w:val="20"/>
                <w:u w:val="none"/>
              </w:rPr>
            </w:pPr>
            <w:r>
              <w:rPr>
                <w:rFonts w:hint="eastAsia" w:ascii="宋体" w:hAnsi="宋体" w:eastAsia="宋体" w:cs="宋体"/>
                <w:i w:val="0"/>
                <w:iCs w:val="0"/>
                <w:color w:val="000000"/>
                <w:kern w:val="0"/>
                <w:sz w:val="21"/>
                <w:szCs w:val="20"/>
                <w:u w:val="none"/>
                <w:lang w:val="en-US" w:eastAsia="zh-CN" w:bidi="ar"/>
              </w:rPr>
              <w:t>1,082.38</w:t>
            </w:r>
          </w:p>
        </w:tc>
      </w:tr>
      <w:tr w14:paraId="04FE6F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57" w:type="dxa"/>
            <w:left w:w="40" w:type="dxa"/>
            <w:bottom w:w="57" w:type="dxa"/>
            <w:right w:w="40" w:type="dxa"/>
          </w:tblCellMar>
        </w:tblPrEx>
        <w:trPr>
          <w:trHeight w:val="0" w:hRule="atLeast"/>
          <w:jc w:val="center"/>
        </w:trPr>
        <w:tc>
          <w:tcPr>
            <w:tcW w:w="1102" w:type="dxa"/>
            <w:shd w:val="clear" w:color="auto" w:fill="auto"/>
            <w:vAlign w:val="center"/>
          </w:tcPr>
          <w:p w14:paraId="0E14ADD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2024度第二季度</w:t>
            </w:r>
          </w:p>
        </w:tc>
        <w:tc>
          <w:tcPr>
            <w:tcW w:w="2371" w:type="dxa"/>
            <w:vMerge w:val="continue"/>
            <w:shd w:val="clear" w:color="auto" w:fill="auto"/>
            <w:vAlign w:val="center"/>
          </w:tcPr>
          <w:p w14:paraId="5A445FF3">
            <w:pPr>
              <w:keepNext w:val="0"/>
              <w:keepLines w:val="0"/>
              <w:pageBreakBefore w:val="0"/>
              <w:widowControl/>
              <w:kinsoku/>
              <w:wordWrap/>
              <w:overflowPunct/>
              <w:topLinePunct w:val="0"/>
              <w:autoSpaceDE/>
              <w:autoSpaceDN/>
              <w:bidi w:val="0"/>
              <w:snapToGrid w:val="0"/>
              <w:spacing w:line="240" w:lineRule="auto"/>
              <w:ind w:firstLine="0" w:firstLineChars="0"/>
              <w:jc w:val="left"/>
              <w:rPr>
                <w:rFonts w:hint="eastAsia" w:ascii="宋体" w:hAnsi="宋体" w:eastAsia="宋体" w:cs="宋体"/>
                <w:i w:val="0"/>
                <w:iCs w:val="0"/>
                <w:color w:val="000000"/>
                <w:sz w:val="21"/>
                <w:szCs w:val="21"/>
                <w:u w:val="none"/>
              </w:rPr>
            </w:pPr>
          </w:p>
        </w:tc>
        <w:tc>
          <w:tcPr>
            <w:tcW w:w="1186" w:type="dxa"/>
            <w:vMerge w:val="continue"/>
            <w:shd w:val="clear" w:color="auto" w:fill="auto"/>
            <w:vAlign w:val="center"/>
          </w:tcPr>
          <w:p w14:paraId="261DA161">
            <w:pPr>
              <w:keepNext w:val="0"/>
              <w:keepLines w:val="0"/>
              <w:pageBreakBefore w:val="0"/>
              <w:widowControl/>
              <w:kinsoku/>
              <w:wordWrap/>
              <w:overflowPunct/>
              <w:topLinePunct w:val="0"/>
              <w:autoSpaceDE/>
              <w:autoSpaceDN/>
              <w:bidi w:val="0"/>
              <w:snapToGrid w:val="0"/>
              <w:spacing w:line="240" w:lineRule="auto"/>
              <w:ind w:firstLine="0" w:firstLineChars="0"/>
              <w:jc w:val="center"/>
              <w:rPr>
                <w:rFonts w:hint="eastAsia" w:ascii="宋体" w:hAnsi="宋体" w:eastAsia="宋体" w:cs="宋体"/>
                <w:i w:val="0"/>
                <w:iCs w:val="0"/>
                <w:color w:val="000000"/>
                <w:sz w:val="21"/>
                <w:szCs w:val="21"/>
                <w:u w:val="none"/>
              </w:rPr>
            </w:pPr>
          </w:p>
        </w:tc>
        <w:tc>
          <w:tcPr>
            <w:tcW w:w="1000" w:type="dxa"/>
            <w:shd w:val="clear" w:color="auto" w:fill="auto"/>
            <w:vAlign w:val="center"/>
          </w:tcPr>
          <w:p w14:paraId="4FF0870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2024年4月-6月</w:t>
            </w:r>
          </w:p>
        </w:tc>
        <w:tc>
          <w:tcPr>
            <w:tcW w:w="714" w:type="dxa"/>
            <w:shd w:val="clear" w:color="auto" w:fill="auto"/>
            <w:vAlign w:val="center"/>
          </w:tcPr>
          <w:p w14:paraId="75FEDF9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78.83</w:t>
            </w:r>
          </w:p>
        </w:tc>
        <w:tc>
          <w:tcPr>
            <w:tcW w:w="763" w:type="dxa"/>
            <w:shd w:val="clear" w:color="auto" w:fill="auto"/>
            <w:noWrap/>
            <w:vAlign w:val="center"/>
          </w:tcPr>
          <w:p w14:paraId="04FBBA1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宋体" w:hAnsi="宋体" w:eastAsia="宋体" w:cs="宋体"/>
                <w:i w:val="0"/>
                <w:iCs w:val="0"/>
                <w:color w:val="000000"/>
                <w:sz w:val="21"/>
                <w:szCs w:val="22"/>
                <w:u w:val="none"/>
                <w:lang w:val="en-US"/>
              </w:rPr>
            </w:pPr>
            <w:r>
              <w:rPr>
                <w:rFonts w:hint="eastAsia" w:ascii="宋体" w:hAnsi="宋体" w:eastAsia="宋体" w:cs="宋体"/>
                <w:i w:val="0"/>
                <w:iCs w:val="0"/>
                <w:color w:val="000000"/>
                <w:kern w:val="0"/>
                <w:sz w:val="21"/>
                <w:szCs w:val="22"/>
                <w:u w:val="none"/>
                <w:lang w:val="en-US" w:eastAsia="zh-CN" w:bidi="ar"/>
              </w:rPr>
              <w:t>76.00</w:t>
            </w:r>
          </w:p>
        </w:tc>
        <w:tc>
          <w:tcPr>
            <w:tcW w:w="1166" w:type="dxa"/>
            <w:shd w:val="clear" w:color="auto" w:fill="auto"/>
            <w:vAlign w:val="center"/>
          </w:tcPr>
          <w:p w14:paraId="14EBF9C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2024年9月30日、2024年11月19日</w:t>
            </w:r>
          </w:p>
        </w:tc>
        <w:tc>
          <w:tcPr>
            <w:tcW w:w="1113" w:type="dxa"/>
            <w:shd w:val="clear" w:color="auto" w:fill="auto"/>
            <w:vAlign w:val="center"/>
          </w:tcPr>
          <w:p w14:paraId="11127E3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1,175.33</w:t>
            </w:r>
          </w:p>
        </w:tc>
      </w:tr>
      <w:tr w14:paraId="593A27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57" w:type="dxa"/>
            <w:left w:w="40" w:type="dxa"/>
            <w:bottom w:w="57" w:type="dxa"/>
            <w:right w:w="40" w:type="dxa"/>
          </w:tblCellMar>
        </w:tblPrEx>
        <w:trPr>
          <w:trHeight w:val="0" w:hRule="atLeast"/>
          <w:jc w:val="center"/>
        </w:trPr>
        <w:tc>
          <w:tcPr>
            <w:tcW w:w="1102" w:type="dxa"/>
            <w:shd w:val="clear" w:color="auto" w:fill="auto"/>
            <w:vAlign w:val="center"/>
          </w:tcPr>
          <w:p w14:paraId="23BC447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2024年度第三季度</w:t>
            </w:r>
          </w:p>
        </w:tc>
        <w:tc>
          <w:tcPr>
            <w:tcW w:w="2371" w:type="dxa"/>
            <w:vMerge w:val="continue"/>
            <w:shd w:val="clear" w:color="auto" w:fill="auto"/>
            <w:vAlign w:val="center"/>
          </w:tcPr>
          <w:p w14:paraId="47B4BC60">
            <w:pPr>
              <w:keepNext w:val="0"/>
              <w:keepLines w:val="0"/>
              <w:pageBreakBefore w:val="0"/>
              <w:widowControl/>
              <w:kinsoku/>
              <w:wordWrap/>
              <w:overflowPunct/>
              <w:topLinePunct w:val="0"/>
              <w:autoSpaceDE/>
              <w:autoSpaceDN/>
              <w:bidi w:val="0"/>
              <w:snapToGrid w:val="0"/>
              <w:spacing w:line="240" w:lineRule="auto"/>
              <w:ind w:firstLine="0" w:firstLineChars="0"/>
              <w:jc w:val="left"/>
              <w:rPr>
                <w:rFonts w:hint="eastAsia" w:ascii="宋体" w:hAnsi="宋体" w:eastAsia="宋体" w:cs="宋体"/>
                <w:i w:val="0"/>
                <w:iCs w:val="0"/>
                <w:color w:val="000000"/>
                <w:sz w:val="21"/>
                <w:szCs w:val="21"/>
                <w:u w:val="none"/>
              </w:rPr>
            </w:pPr>
          </w:p>
        </w:tc>
        <w:tc>
          <w:tcPr>
            <w:tcW w:w="1186" w:type="dxa"/>
            <w:vMerge w:val="continue"/>
            <w:shd w:val="clear" w:color="auto" w:fill="auto"/>
            <w:vAlign w:val="center"/>
          </w:tcPr>
          <w:p w14:paraId="7C3D7191">
            <w:pPr>
              <w:keepNext w:val="0"/>
              <w:keepLines w:val="0"/>
              <w:pageBreakBefore w:val="0"/>
              <w:widowControl/>
              <w:kinsoku/>
              <w:wordWrap/>
              <w:overflowPunct/>
              <w:topLinePunct w:val="0"/>
              <w:autoSpaceDE/>
              <w:autoSpaceDN/>
              <w:bidi w:val="0"/>
              <w:snapToGrid w:val="0"/>
              <w:spacing w:line="240" w:lineRule="auto"/>
              <w:ind w:firstLine="0" w:firstLineChars="0"/>
              <w:jc w:val="center"/>
              <w:rPr>
                <w:rFonts w:hint="eastAsia" w:ascii="宋体" w:hAnsi="宋体" w:eastAsia="宋体" w:cs="宋体"/>
                <w:i w:val="0"/>
                <w:iCs w:val="0"/>
                <w:color w:val="000000"/>
                <w:sz w:val="21"/>
                <w:szCs w:val="21"/>
                <w:u w:val="none"/>
              </w:rPr>
            </w:pPr>
          </w:p>
        </w:tc>
        <w:tc>
          <w:tcPr>
            <w:tcW w:w="1000" w:type="dxa"/>
            <w:shd w:val="clear" w:color="auto" w:fill="auto"/>
            <w:vAlign w:val="center"/>
          </w:tcPr>
          <w:p w14:paraId="4FD0565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2024年7月-9月</w:t>
            </w:r>
          </w:p>
        </w:tc>
        <w:tc>
          <w:tcPr>
            <w:tcW w:w="714" w:type="dxa"/>
            <w:shd w:val="clear" w:color="auto" w:fill="auto"/>
            <w:noWrap/>
            <w:vAlign w:val="center"/>
          </w:tcPr>
          <w:p w14:paraId="71A9221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eastAsia" w:ascii="宋体" w:hAnsi="宋体" w:eastAsia="宋体" w:cs="宋体"/>
                <w:i w:val="0"/>
                <w:iCs w:val="0"/>
                <w:color w:val="000000"/>
                <w:sz w:val="21"/>
                <w:szCs w:val="22"/>
                <w:u w:val="none"/>
              </w:rPr>
            </w:pPr>
            <w:r>
              <w:rPr>
                <w:rFonts w:hint="eastAsia" w:ascii="宋体" w:hAnsi="宋体" w:eastAsia="宋体" w:cs="宋体"/>
                <w:i w:val="0"/>
                <w:iCs w:val="0"/>
                <w:color w:val="000000"/>
                <w:kern w:val="0"/>
                <w:sz w:val="21"/>
                <w:szCs w:val="22"/>
                <w:u w:val="none"/>
                <w:lang w:val="en-US" w:eastAsia="zh-CN" w:bidi="ar"/>
              </w:rPr>
              <w:t>90.07</w:t>
            </w:r>
          </w:p>
        </w:tc>
        <w:tc>
          <w:tcPr>
            <w:tcW w:w="763" w:type="dxa"/>
            <w:shd w:val="clear" w:color="auto" w:fill="auto"/>
            <w:noWrap/>
            <w:vAlign w:val="center"/>
          </w:tcPr>
          <w:p w14:paraId="701F495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eastAsia" w:ascii="宋体" w:hAnsi="宋体" w:eastAsia="宋体" w:cs="宋体"/>
                <w:i w:val="0"/>
                <w:iCs w:val="0"/>
                <w:color w:val="000000"/>
                <w:sz w:val="21"/>
                <w:szCs w:val="22"/>
                <w:u w:val="none"/>
              </w:rPr>
            </w:pPr>
            <w:r>
              <w:rPr>
                <w:rFonts w:hint="eastAsia" w:ascii="宋体" w:hAnsi="宋体" w:eastAsia="宋体" w:cs="宋体"/>
                <w:i w:val="0"/>
                <w:iCs w:val="0"/>
                <w:color w:val="000000"/>
                <w:kern w:val="0"/>
                <w:sz w:val="21"/>
                <w:szCs w:val="22"/>
                <w:u w:val="none"/>
                <w:lang w:val="en-US" w:eastAsia="zh-CN" w:bidi="ar"/>
              </w:rPr>
              <w:t>85.17</w:t>
            </w:r>
          </w:p>
        </w:tc>
        <w:tc>
          <w:tcPr>
            <w:tcW w:w="1166" w:type="dxa"/>
            <w:shd w:val="clear" w:color="auto" w:fill="auto"/>
            <w:noWrap/>
            <w:vAlign w:val="center"/>
          </w:tcPr>
          <w:p w14:paraId="13F27A2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eastAsia" w:ascii="宋体" w:hAnsi="宋体" w:eastAsia="宋体" w:cs="宋体"/>
                <w:i w:val="0"/>
                <w:iCs w:val="0"/>
                <w:color w:val="000000"/>
                <w:sz w:val="21"/>
                <w:szCs w:val="22"/>
                <w:u w:val="none"/>
              </w:rPr>
            </w:pPr>
            <w:r>
              <w:rPr>
                <w:rFonts w:hint="eastAsia" w:ascii="宋体" w:hAnsi="宋体" w:eastAsia="宋体" w:cs="宋体"/>
                <w:i w:val="0"/>
                <w:iCs w:val="0"/>
                <w:color w:val="000000"/>
                <w:kern w:val="0"/>
                <w:sz w:val="21"/>
                <w:szCs w:val="22"/>
                <w:u w:val="none"/>
                <w:lang w:val="en-US" w:eastAsia="zh-CN" w:bidi="ar"/>
              </w:rPr>
              <w:t>2025年3月12日</w:t>
            </w:r>
          </w:p>
        </w:tc>
        <w:tc>
          <w:tcPr>
            <w:tcW w:w="1113" w:type="dxa"/>
            <w:shd w:val="clear" w:color="auto" w:fill="auto"/>
            <w:noWrap/>
            <w:vAlign w:val="center"/>
          </w:tcPr>
          <w:p w14:paraId="0EF59D2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eastAsia" w:ascii="宋体" w:hAnsi="宋体" w:eastAsia="宋体" w:cs="宋体"/>
                <w:i w:val="0"/>
                <w:iCs w:val="0"/>
                <w:color w:val="000000"/>
                <w:sz w:val="21"/>
                <w:szCs w:val="22"/>
                <w:u w:val="none"/>
              </w:rPr>
            </w:pPr>
            <w:r>
              <w:rPr>
                <w:rFonts w:hint="eastAsia" w:ascii="宋体" w:hAnsi="宋体" w:eastAsia="宋体" w:cs="宋体"/>
                <w:i w:val="0"/>
                <w:iCs w:val="0"/>
                <w:color w:val="000000"/>
                <w:kern w:val="0"/>
                <w:sz w:val="21"/>
                <w:szCs w:val="22"/>
                <w:u w:val="none"/>
                <w:lang w:val="en-US" w:eastAsia="zh-CN" w:bidi="ar"/>
              </w:rPr>
              <w:t>1,081.92</w:t>
            </w:r>
          </w:p>
        </w:tc>
      </w:tr>
      <w:tr w14:paraId="716733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57" w:type="dxa"/>
            <w:left w:w="40" w:type="dxa"/>
            <w:bottom w:w="57" w:type="dxa"/>
            <w:right w:w="40" w:type="dxa"/>
          </w:tblCellMar>
        </w:tblPrEx>
        <w:trPr>
          <w:trHeight w:val="0" w:hRule="atLeast"/>
          <w:jc w:val="center"/>
        </w:trPr>
        <w:tc>
          <w:tcPr>
            <w:tcW w:w="8302" w:type="dxa"/>
            <w:gridSpan w:val="7"/>
            <w:shd w:val="clear" w:color="auto" w:fill="auto"/>
            <w:noWrap/>
            <w:vAlign w:val="center"/>
          </w:tcPr>
          <w:p w14:paraId="42BC26E4">
            <w:pPr>
              <w:keepNext w:val="0"/>
              <w:keepLines w:val="0"/>
              <w:pageBreakBefore w:val="0"/>
              <w:widowControl/>
              <w:kinsoku/>
              <w:wordWrap/>
              <w:overflowPunct/>
              <w:topLinePunct w:val="0"/>
              <w:autoSpaceDE/>
              <w:autoSpaceDN/>
              <w:bidi w:val="0"/>
              <w:snapToGrid w:val="0"/>
              <w:spacing w:line="240" w:lineRule="auto"/>
              <w:ind w:firstLine="0" w:firstLineChars="0"/>
              <w:jc w:val="center"/>
              <w:rPr>
                <w:rFonts w:hint="eastAsia" w:ascii="宋体" w:hAnsi="宋体" w:eastAsia="宋体" w:cs="宋体"/>
                <w:b/>
                <w:i w:val="0"/>
                <w:iCs w:val="0"/>
                <w:color w:val="000000"/>
                <w:sz w:val="21"/>
                <w:szCs w:val="22"/>
                <w:u w:val="none"/>
              </w:rPr>
            </w:pPr>
            <w:r>
              <w:rPr>
                <w:rFonts w:hint="eastAsia" w:ascii="宋体" w:hAnsi="宋体" w:eastAsia="宋体" w:cs="宋体"/>
                <w:b/>
                <w:i w:val="0"/>
                <w:iCs w:val="0"/>
                <w:color w:val="000000"/>
                <w:kern w:val="0"/>
                <w:sz w:val="21"/>
                <w:szCs w:val="22"/>
                <w:u w:val="none"/>
                <w:lang w:val="en-US" w:eastAsia="zh-CN" w:bidi="ar"/>
              </w:rPr>
              <w:t>合计</w:t>
            </w:r>
          </w:p>
        </w:tc>
        <w:tc>
          <w:tcPr>
            <w:tcW w:w="1113" w:type="dxa"/>
            <w:shd w:val="clear" w:color="auto" w:fill="auto"/>
            <w:noWrap/>
            <w:vAlign w:val="center"/>
          </w:tcPr>
          <w:p w14:paraId="18D55A6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eastAsia" w:ascii="宋体" w:hAnsi="宋体" w:eastAsia="宋体" w:cs="宋体"/>
                <w:b/>
                <w:i w:val="0"/>
                <w:iCs w:val="0"/>
                <w:color w:val="000000"/>
                <w:sz w:val="21"/>
                <w:szCs w:val="22"/>
                <w:u w:val="none"/>
              </w:rPr>
            </w:pPr>
            <w:r>
              <w:rPr>
                <w:rFonts w:hint="eastAsia" w:ascii="宋体" w:hAnsi="宋体" w:eastAsia="宋体" w:cs="宋体"/>
                <w:b/>
                <w:i w:val="0"/>
                <w:iCs w:val="0"/>
                <w:color w:val="000000"/>
                <w:kern w:val="0"/>
                <w:sz w:val="21"/>
                <w:szCs w:val="22"/>
                <w:u w:val="none"/>
                <w:lang w:val="en-US" w:eastAsia="zh-CN" w:bidi="ar"/>
              </w:rPr>
              <w:t>4,606.81</w:t>
            </w:r>
          </w:p>
        </w:tc>
      </w:tr>
    </w:tbl>
    <w:p w14:paraId="639B6337">
      <w:pPr>
        <w:keepNext w:val="0"/>
        <w:keepLines w:val="0"/>
        <w:pageBreakBefore w:val="0"/>
        <w:kinsoku/>
        <w:wordWrap/>
        <w:overflowPunct/>
        <w:topLinePunct w:val="0"/>
        <w:autoSpaceDE/>
        <w:autoSpaceDN/>
        <w:bidi w:val="0"/>
        <w:spacing w:before="0" w:after="0" w:line="360" w:lineRule="auto"/>
        <w:ind w:firstLine="420" w:firstLineChars="200"/>
        <w:rPr>
          <w:rFonts w:hint="default" w:ascii="Times New Roman" w:hAnsi="Times New Roman" w:cs="Times New Roman" w:eastAsiaTheme="minorEastAsia"/>
          <w:lang w:val="en-US" w:eastAsia="zh-CN"/>
        </w:rPr>
      </w:pPr>
      <w:r>
        <w:rPr>
          <w:rFonts w:hint="default" w:ascii="Times New Roman" w:hAnsi="Times New Roman" w:cs="Times New Roman"/>
          <w:lang w:val="en-US" w:eastAsia="zh-CN"/>
        </w:rPr>
        <w:t>备注：</w:t>
      </w:r>
      <w:r>
        <w:rPr>
          <w:rFonts w:hint="eastAsia" w:cs="Times New Roman"/>
          <w:color w:val="auto"/>
          <w:lang w:val="en-US" w:eastAsia="zh-CN"/>
        </w:rPr>
        <w:t>2024年度第四季度服务费根据</w:t>
      </w:r>
      <w:r>
        <w:rPr>
          <w:rFonts w:hint="default" w:ascii="Times New Roman" w:hAnsi="Times New Roman" w:cs="Times New Roman"/>
          <w:color w:val="auto"/>
        </w:rPr>
        <w:t>《泓欣物业一次性投入（2024）》</w:t>
      </w:r>
      <w:r>
        <w:rPr>
          <w:rFonts w:hint="default" w:ascii="Times New Roman" w:hAnsi="Times New Roman" w:cs="Times New Roman"/>
          <w:color w:val="auto"/>
          <w:lang w:eastAsia="zh-CN"/>
        </w:rPr>
        <w:t>《吉木萨尔县城市管理服务“三位一体”委托运营项目专项审计报告》（新晟专审字〔2024〕2-008号）</w:t>
      </w:r>
      <w:r>
        <w:rPr>
          <w:rFonts w:hint="eastAsia" w:cs="Times New Roman"/>
          <w:color w:val="auto"/>
          <w:lang w:eastAsia="zh-CN"/>
        </w:rPr>
        <w:t>的</w:t>
      </w:r>
      <w:r>
        <w:rPr>
          <w:rFonts w:hint="eastAsia" w:cs="Times New Roman"/>
          <w:color w:val="auto"/>
          <w:lang w:val="en-US" w:eastAsia="zh-CN"/>
        </w:rPr>
        <w:t>审计结果，实际于</w:t>
      </w:r>
      <w:r>
        <w:rPr>
          <w:rFonts w:hint="default" w:ascii="Times New Roman" w:hAnsi="Times New Roman" w:eastAsia="宋体" w:cs="Times New Roman"/>
          <w:i w:val="0"/>
          <w:iCs w:val="0"/>
          <w:color w:val="000000"/>
          <w:kern w:val="0"/>
          <w:sz w:val="22"/>
          <w:szCs w:val="22"/>
          <w:u w:val="none"/>
          <w:lang w:val="en-US" w:eastAsia="zh-CN" w:bidi="ar"/>
        </w:rPr>
        <w:t>2025年3月12日</w:t>
      </w:r>
      <w:r>
        <w:rPr>
          <w:rFonts w:hint="eastAsia" w:eastAsia="宋体" w:cs="Times New Roman"/>
          <w:i w:val="0"/>
          <w:iCs w:val="0"/>
          <w:color w:val="000000"/>
          <w:kern w:val="0"/>
          <w:sz w:val="22"/>
          <w:szCs w:val="22"/>
          <w:u w:val="none"/>
          <w:lang w:val="en-US" w:eastAsia="zh-CN" w:bidi="ar"/>
        </w:rPr>
        <w:t>支付服务费用</w:t>
      </w:r>
      <w:r>
        <w:rPr>
          <w:rFonts w:hint="default" w:ascii="Times New Roman" w:hAnsi="Times New Roman" w:eastAsia="宋体" w:cs="Times New Roman"/>
          <w:i w:val="0"/>
          <w:iCs w:val="0"/>
          <w:color w:val="000000"/>
          <w:kern w:val="0"/>
          <w:sz w:val="22"/>
          <w:szCs w:val="22"/>
          <w:u w:val="none"/>
          <w:lang w:val="en-US" w:eastAsia="zh-CN" w:bidi="ar"/>
        </w:rPr>
        <w:t>1,172.89</w:t>
      </w:r>
      <w:r>
        <w:rPr>
          <w:rFonts w:hint="eastAsia" w:eastAsia="宋体" w:cs="Times New Roman"/>
          <w:i w:val="0"/>
          <w:iCs w:val="0"/>
          <w:color w:val="000000"/>
          <w:kern w:val="0"/>
          <w:sz w:val="22"/>
          <w:szCs w:val="22"/>
          <w:u w:val="none"/>
          <w:lang w:val="en-US" w:eastAsia="zh-CN" w:bidi="ar"/>
        </w:rPr>
        <w:t>万元。</w:t>
      </w:r>
      <w:r>
        <w:rPr>
          <w:rFonts w:hint="default" w:ascii="Times New Roman" w:hAnsi="Times New Roman" w:cs="Times New Roman"/>
          <w:lang w:val="en-US" w:eastAsia="zh-CN"/>
        </w:rPr>
        <w:t>第四季度</w:t>
      </w:r>
      <w:r>
        <w:rPr>
          <w:rFonts w:hint="eastAsia" w:cs="Times New Roman"/>
          <w:lang w:val="en-US" w:eastAsia="zh-CN"/>
        </w:rPr>
        <w:t>服务费用纳入吉木萨尔县2025年度财政预算安排资金予以解决，</w:t>
      </w:r>
      <w:r>
        <w:rPr>
          <w:rFonts w:hint="default" w:ascii="Times New Roman" w:hAnsi="Times New Roman" w:cs="Times New Roman"/>
          <w:lang w:val="en-US" w:eastAsia="zh-CN"/>
        </w:rPr>
        <w:t>不在本次</w:t>
      </w:r>
      <w:r>
        <w:rPr>
          <w:rFonts w:hint="eastAsia" w:cs="Times New Roman"/>
          <w:lang w:val="en-US" w:eastAsia="zh-CN"/>
        </w:rPr>
        <w:t>绩效</w:t>
      </w:r>
      <w:r>
        <w:rPr>
          <w:rFonts w:hint="default" w:ascii="Times New Roman" w:hAnsi="Times New Roman" w:cs="Times New Roman"/>
          <w:lang w:val="en-US" w:eastAsia="zh-CN"/>
        </w:rPr>
        <w:t>评价范围</w:t>
      </w:r>
      <w:r>
        <w:rPr>
          <w:rFonts w:hint="eastAsia" w:ascii="Times New Roman" w:hAnsi="Times New Roman" w:cs="Times New Roman"/>
          <w:lang w:val="en-US" w:eastAsia="zh-CN"/>
        </w:rPr>
        <w:t>内</w:t>
      </w:r>
      <w:r>
        <w:rPr>
          <w:rFonts w:hint="eastAsia" w:cs="Times New Roman"/>
          <w:lang w:val="en-US" w:eastAsia="zh-CN"/>
        </w:rPr>
        <w:t>。</w:t>
      </w:r>
    </w:p>
    <w:p w14:paraId="4228FEFA">
      <w:pPr>
        <w:pageBreakBefore w:val="0"/>
        <w:numPr>
          <w:ilvl w:val="-1"/>
          <w:numId w:val="0"/>
        </w:numPr>
        <w:kinsoku/>
        <w:wordWrap/>
        <w:overflowPunct/>
        <w:topLinePunct w:val="0"/>
        <w:autoSpaceDE/>
        <w:autoSpaceDN/>
        <w:bidi w:val="0"/>
        <w:snapToGrid w:val="0"/>
        <w:spacing w:before="0" w:after="0" w:line="360" w:lineRule="auto"/>
        <w:ind w:left="0" w:leftChars="0" w:firstLine="420" w:firstLineChars="0"/>
        <w:rPr>
          <w:rFonts w:hint="default" w:ascii="Times New Roman" w:hAnsi="Times New Roman" w:cs="Times New Roman"/>
        </w:rPr>
      </w:pPr>
      <w:r>
        <w:rPr>
          <w:rFonts w:hint="eastAsia" w:cs="Times New Roman"/>
          <w:color w:val="auto"/>
          <w:lang w:val="en-US" w:eastAsia="zh-CN"/>
        </w:rPr>
        <w:t>（5）</w:t>
      </w:r>
      <w:r>
        <w:rPr>
          <w:rFonts w:hint="default" w:ascii="Times New Roman" w:hAnsi="Times New Roman" w:cs="Times New Roman"/>
          <w:color w:val="auto"/>
          <w:lang w:val="en-US" w:eastAsia="zh-CN"/>
        </w:rPr>
        <w:t>审计工作开展情况</w:t>
      </w:r>
    </w:p>
    <w:p w14:paraId="55DCC163">
      <w:pPr>
        <w:pageBreakBefore w:val="0"/>
        <w:numPr>
          <w:ilvl w:val="-1"/>
          <w:numId w:val="0"/>
        </w:numPr>
        <w:kinsoku/>
        <w:wordWrap/>
        <w:overflowPunct/>
        <w:topLinePunct w:val="0"/>
        <w:autoSpaceDE/>
        <w:autoSpaceDN/>
        <w:bidi w:val="0"/>
        <w:snapToGrid w:val="0"/>
        <w:spacing w:before="0" w:after="0" w:line="360" w:lineRule="auto"/>
        <w:ind w:left="0" w:leftChars="0" w:firstLine="420" w:firstLineChars="0"/>
        <w:rPr>
          <w:rFonts w:hint="default" w:ascii="Times New Roman" w:hAnsi="Times New Roman" w:cs="Times New Roman"/>
          <w:color w:val="auto"/>
          <w:lang w:val="en-US" w:eastAsia="zh-CN"/>
        </w:rPr>
      </w:pPr>
      <w:bookmarkStart w:id="34" w:name="_Toc26405"/>
      <w:bookmarkStart w:id="35" w:name="_Toc68364659"/>
      <w:r>
        <w:rPr>
          <w:rFonts w:hint="default" w:ascii="Times New Roman" w:hAnsi="Times New Roman" w:cs="Times New Roman"/>
          <w:color w:val="auto"/>
        </w:rPr>
        <w:t>吉木萨尔县住房和城乡建设局聘请第三方</w:t>
      </w:r>
      <w:r>
        <w:rPr>
          <w:rFonts w:hint="default" w:ascii="Times New Roman" w:hAnsi="Times New Roman" w:cs="Times New Roman"/>
          <w:color w:val="auto"/>
          <w:lang w:val="en-US" w:eastAsia="zh-CN"/>
        </w:rPr>
        <w:t>新疆晟运通会计师事务所（普通合伙）</w:t>
      </w:r>
      <w:r>
        <w:rPr>
          <w:rFonts w:hint="default" w:ascii="Times New Roman" w:hAnsi="Times New Roman" w:cs="Times New Roman"/>
          <w:color w:val="auto"/>
        </w:rPr>
        <w:t>对该项目运营服务费进行了专项审计工作，</w:t>
      </w:r>
      <w:r>
        <w:rPr>
          <w:rFonts w:hint="eastAsia" w:ascii="Times New Roman" w:hAnsi="Times New Roman" w:cs="Times New Roman"/>
          <w:color w:val="auto"/>
          <w:lang w:eastAsia="zh-CN"/>
        </w:rPr>
        <w:t>并于</w:t>
      </w:r>
      <w:r>
        <w:rPr>
          <w:rFonts w:hint="default" w:ascii="Times New Roman" w:hAnsi="Times New Roman" w:cs="Times New Roman"/>
          <w:color w:val="auto"/>
          <w:lang w:val="en-US" w:eastAsia="zh-CN"/>
        </w:rPr>
        <w:t>2025年3月4日出具了</w:t>
      </w:r>
      <w:r>
        <w:rPr>
          <w:rFonts w:hint="default" w:ascii="Times New Roman" w:hAnsi="Times New Roman" w:cs="Times New Roman"/>
          <w:color w:val="auto"/>
        </w:rPr>
        <w:t>《吉木萨尔县城市管理服务“三位一体”委托运营项目专项审计报告》（新晟专审字(2024)2-008号），</w:t>
      </w:r>
      <w:r>
        <w:rPr>
          <w:rFonts w:hint="eastAsia" w:cs="Times New Roman"/>
          <w:color w:val="auto"/>
          <w:lang w:val="en-US" w:eastAsia="zh-CN"/>
        </w:rPr>
        <w:t>审计结果为</w:t>
      </w:r>
      <w:r>
        <w:rPr>
          <w:rFonts w:hint="eastAsia" w:cs="Times New Roman"/>
          <w:color w:val="auto"/>
          <w:lang w:eastAsia="zh-CN"/>
        </w:rPr>
        <w:t>：“</w:t>
      </w:r>
      <w:r>
        <w:rPr>
          <w:rFonts w:hint="default" w:ascii="Times New Roman" w:hAnsi="Times New Roman" w:cs="Times New Roman"/>
          <w:color w:val="auto"/>
          <w:lang w:val="en-US" w:eastAsia="zh-CN"/>
        </w:rPr>
        <w:t>2024年实际应支付服务费</w:t>
      </w:r>
      <w:r>
        <w:rPr>
          <w:rFonts w:hint="default" w:ascii="Times New Roman" w:hAnsi="Times New Roman" w:cs="Times New Roman"/>
          <w:color w:val="auto"/>
        </w:rPr>
        <w:t>支出4,</w:t>
      </w:r>
      <w:r>
        <w:rPr>
          <w:rFonts w:hint="default" w:ascii="Times New Roman" w:hAnsi="Times New Roman" w:cs="Times New Roman"/>
          <w:color w:val="auto"/>
          <w:lang w:val="en-US" w:eastAsia="zh-CN"/>
        </w:rPr>
        <w:t>522.50</w:t>
      </w:r>
      <w:r>
        <w:rPr>
          <w:rFonts w:hint="default" w:ascii="Times New Roman" w:hAnsi="Times New Roman" w:cs="Times New Roman"/>
          <w:color w:val="auto"/>
        </w:rPr>
        <w:t>万元，</w:t>
      </w:r>
      <w:r>
        <w:rPr>
          <w:rFonts w:hint="default" w:ascii="Times New Roman" w:hAnsi="Times New Roman" w:cs="Times New Roman"/>
          <w:color w:val="auto"/>
          <w:lang w:val="en-US" w:eastAsia="zh-CN"/>
        </w:rPr>
        <w:t>年度服务费未超出合同约定服务费。主要是减去扣除未履行或未完成任务涉及公厕费用20.24万元，减去第四季度园林考核结果需扣除费用1.32万元，抵扣依据2025年吉木萨尔县住房和城乡建设局第五次党组会议纪要内容应由住建局承担的维修费用12.07万元（泓欣集团完成了应由住建局负责实施的公厕维修事项，产生维修费用12.07万元）。</w:t>
      </w:r>
      <w:r>
        <w:rPr>
          <w:rFonts w:hint="eastAsia" w:cs="Times New Roman"/>
          <w:color w:val="auto"/>
          <w:lang w:eastAsia="zh-CN"/>
        </w:rPr>
        <w:t>”</w:t>
      </w:r>
    </w:p>
    <w:p w14:paraId="08AB1977">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r>
        <w:rPr>
          <w:rFonts w:hint="default" w:ascii="Times New Roman" w:hAnsi="Times New Roman" w:cs="Times New Roman"/>
          <w:color w:val="auto"/>
        </w:rPr>
        <w:t>（四）项目组织管理</w:t>
      </w:r>
      <w:bookmarkEnd w:id="34"/>
    </w:p>
    <w:p w14:paraId="46BBB5A1">
      <w:pPr>
        <w:pageBreakBefore w:val="0"/>
        <w:numPr>
          <w:ilvl w:val="-1"/>
          <w:numId w:val="0"/>
        </w:numPr>
        <w:kinsoku/>
        <w:wordWrap/>
        <w:overflowPunct/>
        <w:topLinePunct w:val="0"/>
        <w:autoSpaceDE/>
        <w:autoSpaceDN/>
        <w:bidi w:val="0"/>
        <w:snapToGrid w:val="0"/>
        <w:spacing w:before="0" w:after="0" w:line="360" w:lineRule="auto"/>
        <w:ind w:left="0" w:leftChars="0" w:firstLine="420" w:firstLineChars="0"/>
        <w:rPr>
          <w:rFonts w:hint="default" w:ascii="Times New Roman" w:hAnsi="Times New Roman" w:cs="Times New Roman"/>
          <w:color w:val="auto"/>
          <w:lang w:eastAsia="zh-CN"/>
        </w:rPr>
      </w:pPr>
      <w:r>
        <w:rPr>
          <w:rFonts w:hint="default" w:ascii="Times New Roman" w:hAnsi="Times New Roman" w:cs="Times New Roman"/>
          <w:color w:val="auto"/>
        </w:rPr>
        <w:t>项目</w:t>
      </w:r>
      <w:r>
        <w:rPr>
          <w:rFonts w:hint="default" w:ascii="Times New Roman" w:hAnsi="Times New Roman" w:cs="Times New Roman"/>
          <w:color w:val="auto"/>
          <w:lang w:val="en-US" w:eastAsia="zh-CN"/>
        </w:rPr>
        <w:t>购买主体</w:t>
      </w:r>
      <w:r>
        <w:rPr>
          <w:rFonts w:hint="default" w:ascii="Times New Roman" w:hAnsi="Times New Roman" w:cs="Times New Roman"/>
          <w:color w:val="auto"/>
        </w:rPr>
        <w:t>：吉木萨尔县住房和城乡建设局</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对</w:t>
      </w:r>
      <w:r>
        <w:rPr>
          <w:rFonts w:hint="default" w:ascii="Times New Roman" w:hAnsi="Times New Roman" w:cs="Times New Roman"/>
          <w:color w:val="auto"/>
          <w:lang w:eastAsia="zh-CN"/>
        </w:rPr>
        <w:t>委托运营项目进行指导、监督、考核，监督考核的工作内容包括但不限于安全生产</w:t>
      </w:r>
      <w:r>
        <w:rPr>
          <w:rFonts w:hint="default" w:ascii="Times New Roman" w:hAnsi="Times New Roman" w:cs="Times New Roman"/>
          <w:color w:val="auto"/>
          <w:lang w:val="en-US" w:eastAsia="zh-CN"/>
        </w:rPr>
        <w:t>等</w:t>
      </w:r>
      <w:r>
        <w:rPr>
          <w:rFonts w:hint="default" w:ascii="Times New Roman" w:hAnsi="Times New Roman" w:cs="Times New Roman"/>
          <w:color w:val="auto"/>
          <w:lang w:eastAsia="zh-CN"/>
        </w:rPr>
        <w:t>工作。在合同期限内，根据</w:t>
      </w:r>
      <w:r>
        <w:rPr>
          <w:rFonts w:hint="default" w:ascii="Times New Roman" w:hAnsi="Times New Roman" w:cs="Times New Roman"/>
          <w:color w:val="auto"/>
          <w:lang w:val="en-US" w:eastAsia="zh-CN"/>
        </w:rPr>
        <w:t>服务合同约定</w:t>
      </w:r>
      <w:r>
        <w:rPr>
          <w:rFonts w:hint="default" w:ascii="Times New Roman" w:hAnsi="Times New Roman" w:cs="Times New Roman"/>
          <w:color w:val="auto"/>
          <w:lang w:eastAsia="zh-CN"/>
        </w:rPr>
        <w:t>《吉木萨尔县住建局环卫保洁考核实施细则》《吉木萨尔县住建局园林养护考核实施细则》《吉木萨尔县住建局居民区日常管理考核实施细则》</w:t>
      </w:r>
      <w:r>
        <w:rPr>
          <w:rFonts w:hint="default" w:ascii="Times New Roman" w:hAnsi="Times New Roman" w:cs="Times New Roman"/>
          <w:color w:val="auto"/>
          <w:lang w:val="en-US" w:eastAsia="zh-CN"/>
        </w:rPr>
        <w:t>等</w:t>
      </w:r>
      <w:r>
        <w:rPr>
          <w:rFonts w:hint="default" w:ascii="Times New Roman" w:hAnsi="Times New Roman" w:cs="Times New Roman"/>
          <w:color w:val="auto"/>
          <w:lang w:eastAsia="zh-CN"/>
        </w:rPr>
        <w:t>要求</w:t>
      </w:r>
      <w:r>
        <w:rPr>
          <w:rFonts w:hint="default" w:ascii="Times New Roman" w:hAnsi="Times New Roman" w:cs="Times New Roman"/>
          <w:color w:val="auto"/>
          <w:lang w:val="en-US" w:eastAsia="zh-CN"/>
        </w:rPr>
        <w:t>对环境卫生保洁、绿地养护以及居民日常管理</w:t>
      </w:r>
      <w:r>
        <w:rPr>
          <w:rFonts w:hint="default" w:ascii="Times New Roman" w:hAnsi="Times New Roman" w:cs="Times New Roman"/>
          <w:color w:val="auto"/>
          <w:lang w:eastAsia="zh-CN"/>
        </w:rPr>
        <w:t>实施考核。在服务过程中实施行业监管，监管内容包括服务的质量，安全防范措施等。要求</w:t>
      </w:r>
      <w:r>
        <w:rPr>
          <w:rFonts w:hint="default" w:ascii="Times New Roman" w:hAnsi="Times New Roman" w:cs="Times New Roman"/>
          <w:color w:val="auto"/>
          <w:lang w:val="en-US" w:eastAsia="zh-CN"/>
        </w:rPr>
        <w:t>承接主体</w:t>
      </w:r>
      <w:r>
        <w:rPr>
          <w:rFonts w:hint="default" w:ascii="Times New Roman" w:hAnsi="Times New Roman" w:cs="Times New Roman"/>
          <w:color w:val="auto"/>
          <w:lang w:eastAsia="zh-CN"/>
        </w:rPr>
        <w:t>按月度及年度报告项目运营相关信息，包括委托运营项目相关的财务报表、员工待遇福利情况信息及各项考核信息等。根据合同约定支付服务费。</w:t>
      </w:r>
    </w:p>
    <w:p w14:paraId="70D76798">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eastAsiaTheme="minorEastAsia"/>
          <w:color w:val="auto"/>
          <w:lang w:val="en-US" w:eastAsia="zh-CN"/>
        </w:rPr>
      </w:pPr>
      <w:r>
        <w:rPr>
          <w:rFonts w:hint="default" w:ascii="Times New Roman" w:hAnsi="Times New Roman" w:cs="Times New Roman"/>
          <w:color w:val="auto"/>
          <w:lang w:val="en-US" w:eastAsia="zh-CN"/>
        </w:rPr>
        <w:t>承接主体</w:t>
      </w:r>
      <w:r>
        <w:rPr>
          <w:rFonts w:hint="default" w:ascii="Times New Roman" w:hAnsi="Times New Roman" w:cs="Times New Roman"/>
          <w:color w:val="auto"/>
        </w:rPr>
        <w:t>：泓欣环境集团有限公司，位于福建省福州市鼓楼区铜盘路软件大道89号福州软件园C区38号楼5层，20</w:t>
      </w:r>
      <w:r>
        <w:rPr>
          <w:rFonts w:hint="default" w:ascii="Times New Roman" w:hAnsi="Times New Roman" w:cs="Times New Roman"/>
          <w:color w:val="auto"/>
          <w:lang w:val="en-US" w:eastAsia="zh-CN"/>
        </w:rPr>
        <w:t>20</w:t>
      </w:r>
      <w:r>
        <w:rPr>
          <w:rFonts w:hint="default" w:ascii="Times New Roman" w:hAnsi="Times New Roman" w:cs="Times New Roman"/>
          <w:color w:val="auto"/>
        </w:rPr>
        <w:t>年</w:t>
      </w:r>
      <w:r>
        <w:rPr>
          <w:rFonts w:hint="default" w:ascii="Times New Roman" w:hAnsi="Times New Roman" w:cs="Times New Roman"/>
          <w:color w:val="auto"/>
          <w:lang w:val="en-US" w:eastAsia="zh-CN"/>
        </w:rPr>
        <w:t>7</w:t>
      </w:r>
      <w:r>
        <w:rPr>
          <w:rFonts w:hint="default" w:ascii="Times New Roman" w:hAnsi="Times New Roman" w:cs="Times New Roman"/>
          <w:color w:val="auto"/>
        </w:rPr>
        <w:t>月</w:t>
      </w:r>
      <w:r>
        <w:rPr>
          <w:rFonts w:hint="default" w:ascii="Times New Roman" w:hAnsi="Times New Roman" w:cs="Times New Roman"/>
          <w:color w:val="auto"/>
          <w:lang w:val="en-US" w:eastAsia="zh-CN"/>
        </w:rPr>
        <w:t>5</w:t>
      </w:r>
      <w:r>
        <w:rPr>
          <w:rFonts w:hint="default" w:ascii="Times New Roman" w:hAnsi="Times New Roman" w:cs="Times New Roman"/>
          <w:color w:val="auto"/>
        </w:rPr>
        <w:t>日注册成立，营业执照号码：9135010071737363X1。</w:t>
      </w:r>
      <w:r>
        <w:rPr>
          <w:rFonts w:hint="default" w:ascii="Times New Roman" w:hAnsi="Times New Roman" w:cs="Times New Roman"/>
          <w:color w:val="auto"/>
          <w:lang w:val="en-US" w:eastAsia="zh-CN"/>
        </w:rPr>
        <w:t>注册资本5424.02万元，承接主体</w:t>
      </w:r>
      <w:r>
        <w:rPr>
          <w:rFonts w:hint="default" w:ascii="Times New Roman" w:hAnsi="Times New Roman" w:cs="Times New Roman"/>
          <w:color w:val="auto"/>
        </w:rPr>
        <w:t>享有项目合同期内运营管理权</w:t>
      </w:r>
      <w:r>
        <w:rPr>
          <w:rFonts w:hint="default" w:ascii="Times New Roman" w:hAnsi="Times New Roman" w:cs="Times New Roman"/>
          <w:color w:val="auto"/>
          <w:lang w:eastAsia="zh-CN"/>
        </w:rPr>
        <w:t>，</w:t>
      </w:r>
      <w:r>
        <w:rPr>
          <w:rFonts w:hint="default" w:ascii="Times New Roman" w:hAnsi="Times New Roman" w:cs="Times New Roman"/>
          <w:color w:val="auto"/>
        </w:rPr>
        <w:t>服从行业监管部门和下属行政单</w:t>
      </w:r>
      <w:r>
        <w:rPr>
          <w:rFonts w:hint="default" w:ascii="Times New Roman" w:hAnsi="Times New Roman" w:cs="Times New Roman"/>
          <w:color w:val="auto"/>
          <w:lang w:eastAsia="zh-CN"/>
        </w:rPr>
        <w:t>位的</w:t>
      </w:r>
      <w:r>
        <w:rPr>
          <w:rFonts w:hint="default" w:ascii="Times New Roman" w:hAnsi="Times New Roman" w:cs="Times New Roman"/>
          <w:color w:val="auto"/>
        </w:rPr>
        <w:t>监督管理，按照考核细则接受环卫、园林、居民小区服务的管理考核</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配合检查组织检查考评工作，安全运营和维护，依据政策缴纳相应的税费，积极完成各项应急任务。</w:t>
      </w:r>
    </w:p>
    <w:p w14:paraId="3922B0F6">
      <w:pPr>
        <w:pageBreakBefore w:val="0"/>
        <w:kinsoku/>
        <w:wordWrap/>
        <w:overflowPunct/>
        <w:topLinePunct w:val="0"/>
        <w:autoSpaceDE/>
        <w:autoSpaceDN/>
        <w:bidi w:val="0"/>
        <w:snapToGrid w:val="0"/>
        <w:spacing w:before="0" w:after="0" w:line="360" w:lineRule="auto"/>
        <w:ind w:firstLine="0"/>
        <w:rPr>
          <w:rFonts w:hint="default" w:ascii="Times New Roman" w:hAnsi="Times New Roman" w:cs="Times New Roman"/>
          <w:color w:val="auto"/>
          <w:lang w:eastAsia="zh-CN"/>
        </w:rPr>
      </w:pPr>
      <w:r>
        <w:rPr>
          <w:rFonts w:hint="default" w:ascii="Times New Roman" w:hAnsi="Times New Roman" w:cs="Times New Roman"/>
          <w:lang w:val="en-US" w:eastAsia="zh-CN"/>
        </w:rPr>
        <w:t>运营管理公司：</w:t>
      </w:r>
      <w:r>
        <w:rPr>
          <w:rFonts w:hint="default" w:ascii="Times New Roman" w:hAnsi="Times New Roman" w:cs="Times New Roman"/>
          <w:color w:val="auto"/>
          <w:lang w:val="en-US" w:eastAsia="zh-CN"/>
        </w:rPr>
        <w:t>根据《泓欣环境集团有限公司关于同意授予泓欣环境集团有限公司吉木萨尔分公司相关权限的批复》（泓欣环境〔2024〕06号）资料显示，2024年4月1日同意授权</w:t>
      </w:r>
      <w:r>
        <w:rPr>
          <w:rFonts w:hint="default" w:ascii="Times New Roman" w:hAnsi="Times New Roman" w:cs="Times New Roman"/>
          <w:lang w:val="en-US" w:eastAsia="zh-CN"/>
        </w:rPr>
        <w:t>泓欣环境集团有限公司吉木萨尔分公司运营管理</w:t>
      </w:r>
      <w:r>
        <w:rPr>
          <w:rFonts w:hint="default" w:ascii="Times New Roman" w:hAnsi="Times New Roman" w:cs="Times New Roman"/>
          <w:color w:val="auto"/>
          <w:lang w:val="en-US" w:eastAsia="zh-CN"/>
        </w:rPr>
        <w:t>该项目，授权项目范围内以泓欣环境集团有限公司吉木萨尔分公司的名义签订对下各类合同、委托运营项目管理、用章管理、运营结算、委托运营项目款、开具增值税发票及抵扣进项税额、工作联系事宜。</w:t>
      </w:r>
      <w:r>
        <w:rPr>
          <w:rFonts w:hint="default" w:ascii="Times New Roman" w:hAnsi="Times New Roman" w:cs="Times New Roman"/>
          <w:color w:val="auto"/>
        </w:rPr>
        <w:t>泓欣环境集团有限公司</w:t>
      </w:r>
      <w:r>
        <w:rPr>
          <w:rFonts w:hint="default" w:ascii="Times New Roman" w:hAnsi="Times New Roman" w:cs="Times New Roman"/>
          <w:color w:val="auto"/>
          <w:lang w:val="en-US" w:eastAsia="zh-CN"/>
        </w:rPr>
        <w:t>吉木萨尔分公司</w:t>
      </w:r>
      <w:r>
        <w:rPr>
          <w:rFonts w:hint="default" w:ascii="Times New Roman" w:hAnsi="Times New Roman" w:cs="Times New Roman"/>
          <w:color w:val="auto"/>
          <w:lang w:eastAsia="zh-CN"/>
        </w:rPr>
        <w:t>成立</w:t>
      </w:r>
      <w:r>
        <w:rPr>
          <w:rFonts w:hint="eastAsia" w:cs="Times New Roman"/>
          <w:color w:val="auto"/>
          <w:lang w:val="en-US" w:eastAsia="zh-CN"/>
        </w:rPr>
        <w:t>于</w:t>
      </w:r>
      <w:r>
        <w:rPr>
          <w:rFonts w:hint="default" w:ascii="Times New Roman" w:hAnsi="Times New Roman" w:cs="Times New Roman"/>
          <w:color w:val="auto"/>
          <w:lang w:eastAsia="zh-CN"/>
        </w:rPr>
        <w:t>2022年10月31日，</w:t>
      </w:r>
      <w:r>
        <w:rPr>
          <w:rFonts w:hint="default" w:ascii="Times New Roman" w:hAnsi="Times New Roman" w:cs="Times New Roman"/>
          <w:color w:val="auto"/>
          <w:lang w:val="en-US" w:eastAsia="zh-CN"/>
        </w:rPr>
        <w:t>项目法人是寇俊峰，注册资本500.00万元</w:t>
      </w:r>
      <w:r>
        <w:rPr>
          <w:rFonts w:hint="eastAsia" w:cs="Times New Roman"/>
          <w:lang w:eastAsia="zh-CN"/>
        </w:rPr>
        <w:t>，</w:t>
      </w:r>
      <w:r>
        <w:rPr>
          <w:rFonts w:hint="eastAsia" w:cs="Times New Roman"/>
          <w:lang w:val="en-US" w:eastAsia="zh-CN"/>
        </w:rPr>
        <w:t>由</w:t>
      </w:r>
      <w:r>
        <w:rPr>
          <w:rFonts w:hint="default" w:ascii="Times New Roman" w:hAnsi="Times New Roman" w:cs="Times New Roman"/>
          <w:color w:val="auto"/>
        </w:rPr>
        <w:t>泓欣环境集团有限公司</w:t>
      </w:r>
      <w:r>
        <w:rPr>
          <w:rFonts w:hint="eastAsia" w:cs="Times New Roman"/>
          <w:color w:val="auto"/>
          <w:lang w:val="en-US" w:eastAsia="zh-CN"/>
        </w:rPr>
        <w:t>100.00%控股，</w:t>
      </w:r>
      <w:r>
        <w:rPr>
          <w:rFonts w:hint="default" w:ascii="Times New Roman" w:hAnsi="Times New Roman" w:cs="Times New Roman"/>
          <w:color w:val="auto"/>
          <w:lang w:val="en-US" w:eastAsia="zh-CN"/>
        </w:rPr>
        <w:t>地</w:t>
      </w:r>
      <w:r>
        <w:rPr>
          <w:rFonts w:hint="eastAsia" w:ascii="Times New Roman" w:hAnsi="Times New Roman" w:cs="Times New Roman"/>
          <w:color w:val="auto"/>
          <w:lang w:val="en-US" w:eastAsia="zh-CN"/>
        </w:rPr>
        <w:t>址</w:t>
      </w:r>
      <w:r>
        <w:rPr>
          <w:rFonts w:hint="default" w:ascii="Times New Roman" w:hAnsi="Times New Roman" w:cs="Times New Roman"/>
          <w:color w:val="auto"/>
          <w:lang w:val="en-US" w:eastAsia="zh-CN"/>
        </w:rPr>
        <w:t>位于</w:t>
      </w:r>
      <w:r>
        <w:rPr>
          <w:rFonts w:hint="default" w:ascii="Times New Roman" w:hAnsi="Times New Roman" w:cs="Times New Roman"/>
          <w:color w:val="auto"/>
        </w:rPr>
        <w:t>新疆昌吉回族自治州吉木萨尔县</w:t>
      </w:r>
      <w:r>
        <w:rPr>
          <w:rFonts w:hint="default" w:ascii="Times New Roman" w:hAnsi="Times New Roman" w:cs="Times New Roman"/>
          <w:color w:val="auto"/>
          <w:lang w:eastAsia="zh-CN"/>
        </w:rPr>
        <w:t>（</w:t>
      </w:r>
      <w:r>
        <w:rPr>
          <w:rFonts w:hint="default" w:ascii="Times New Roman" w:hAnsi="Times New Roman" w:cs="Times New Roman"/>
          <w:color w:val="auto"/>
        </w:rPr>
        <w:t>环南一区</w:t>
      </w:r>
      <w:r>
        <w:rPr>
          <w:rFonts w:hint="default" w:ascii="Times New Roman" w:hAnsi="Times New Roman" w:cs="Times New Roman"/>
          <w:color w:val="auto"/>
          <w:lang w:eastAsia="zh-CN"/>
        </w:rPr>
        <w:t>）</w:t>
      </w:r>
      <w:r>
        <w:rPr>
          <w:rFonts w:hint="default" w:ascii="Times New Roman" w:hAnsi="Times New Roman" w:cs="Times New Roman"/>
          <w:color w:val="auto"/>
        </w:rPr>
        <w:t>乌奇公路南侧亿隆大厦1幢4-1号</w:t>
      </w:r>
      <w:r>
        <w:rPr>
          <w:rFonts w:hint="default" w:ascii="Times New Roman" w:hAnsi="Times New Roman" w:cs="Times New Roman"/>
          <w:color w:val="auto"/>
          <w:lang w:eastAsia="zh-CN"/>
        </w:rPr>
        <w:t>，统一社会信用代码91652327MACIXHYCOY。</w:t>
      </w:r>
    </w:p>
    <w:p w14:paraId="55A76C89">
      <w:pPr>
        <w:pStyle w:val="2"/>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36" w:name="_Toc22144"/>
      <w:r>
        <w:rPr>
          <w:rFonts w:hint="default" w:ascii="Times New Roman" w:hAnsi="Times New Roman" w:cs="Times New Roman"/>
          <w:color w:val="auto"/>
        </w:rPr>
        <w:t>二、项目绩效目标</w:t>
      </w:r>
      <w:bookmarkEnd w:id="35"/>
      <w:bookmarkEnd w:id="36"/>
    </w:p>
    <w:p w14:paraId="1F7DDB76">
      <w:pPr>
        <w:pStyle w:val="3"/>
        <w:bidi w:val="0"/>
        <w:spacing w:before="0" w:after="0" w:line="360" w:lineRule="auto"/>
        <w:rPr>
          <w:rFonts w:hint="default" w:ascii="Times New Roman" w:hAnsi="Times New Roman" w:cs="Times New Roman"/>
          <w:color w:val="auto"/>
        </w:rPr>
      </w:pPr>
      <w:bookmarkStart w:id="37" w:name="_Toc4806"/>
      <w:r>
        <w:rPr>
          <w:rFonts w:hint="default" w:ascii="Times New Roman" w:hAnsi="Times New Roman" w:cs="Times New Roman"/>
          <w:color w:val="auto"/>
        </w:rPr>
        <w:t>（一）项目绩效总目标</w:t>
      </w:r>
      <w:bookmarkEnd w:id="37"/>
    </w:p>
    <w:p w14:paraId="0447126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lang w:val="en-US" w:eastAsia="zh-CN"/>
        </w:rPr>
        <w:t>吉木萨尔县</w:t>
      </w:r>
      <w:r>
        <w:rPr>
          <w:rFonts w:hint="default" w:ascii="Times New Roman" w:hAnsi="Times New Roman" w:cs="Times New Roman"/>
          <w:color w:val="auto"/>
          <w:lang w:eastAsia="zh-CN"/>
        </w:rPr>
        <w:t>住房和城乡建设局通过政府购买服务</w:t>
      </w:r>
      <w:r>
        <w:rPr>
          <w:rFonts w:hint="default" w:ascii="Times New Roman" w:hAnsi="Times New Roman" w:cs="Times New Roman"/>
          <w:color w:val="auto"/>
          <w:lang w:val="en-US" w:eastAsia="zh-CN"/>
        </w:rPr>
        <w:t>方式</w:t>
      </w:r>
      <w:r>
        <w:rPr>
          <w:rFonts w:hint="default" w:ascii="Times New Roman" w:hAnsi="Times New Roman" w:cs="Times New Roman"/>
          <w:color w:val="auto"/>
          <w:lang w:eastAsia="zh-CN"/>
        </w:rPr>
        <w:t>引进有管理经验和实力的环卫公司，开展</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lang w:eastAsia="zh-CN"/>
        </w:rPr>
        <w:t>县域内道路清扫及公共设施维护等工作，抓好</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lang w:eastAsia="zh-CN"/>
        </w:rPr>
        <w:t>城市环境卫生，改善城市居民环境质量，推动</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lang w:eastAsia="zh-CN"/>
        </w:rPr>
        <w:t>环卫管理事业向“作业专业化、经营企业化、服务社 会化、管理规范化”的发</w:t>
      </w:r>
      <w:r>
        <w:rPr>
          <w:rFonts w:hint="default" w:ascii="Times New Roman" w:hAnsi="Times New Roman" w:cs="Times New Roman"/>
          <w:color w:val="auto"/>
        </w:rPr>
        <w:t>展。</w:t>
      </w:r>
    </w:p>
    <w:p w14:paraId="076B9471">
      <w:pPr>
        <w:pStyle w:val="3"/>
        <w:bidi w:val="0"/>
        <w:spacing w:before="0" w:after="0" w:line="360" w:lineRule="auto"/>
        <w:rPr>
          <w:rFonts w:hint="default" w:ascii="Times New Roman" w:hAnsi="Times New Roman" w:cs="Times New Roman"/>
          <w:color w:val="auto"/>
        </w:rPr>
      </w:pPr>
      <w:bookmarkStart w:id="38" w:name="_Toc31967"/>
      <w:r>
        <w:rPr>
          <w:rFonts w:hint="default" w:ascii="Times New Roman" w:hAnsi="Times New Roman" w:cs="Times New Roman"/>
          <w:color w:val="auto"/>
        </w:rPr>
        <w:t>（二）年度绩效目标</w:t>
      </w:r>
      <w:bookmarkEnd w:id="38"/>
    </w:p>
    <w:p w14:paraId="438B606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eastAsia="zh-CN"/>
        </w:rPr>
      </w:pPr>
      <w:r>
        <w:rPr>
          <w:rFonts w:hint="default" w:ascii="Times New Roman" w:hAnsi="Times New Roman" w:cs="Times New Roman"/>
          <w:color w:val="auto"/>
          <w:lang w:eastAsia="zh-CN"/>
        </w:rPr>
        <w:t>根据《项目支出绩效评价管理办法》（财预〔2020〕10号）的规定，结合项目相关信息，评价小组对原有项目年度目标进行完善后，将年度目标细化分解为个性指标，</w:t>
      </w:r>
      <w:r>
        <w:rPr>
          <w:rFonts w:hint="default" w:ascii="Times New Roman" w:hAnsi="Times New Roman" w:cs="Times New Roman"/>
          <w:color w:val="auto"/>
          <w:lang w:val="en-US" w:eastAsia="zh-CN"/>
        </w:rPr>
        <w:t>根据《吉木萨尔县城市管理服务“三位一体”委托运营项目服务合同》服务内容</w:t>
      </w:r>
      <w:r>
        <w:rPr>
          <w:rFonts w:hint="default" w:ascii="Times New Roman" w:hAnsi="Times New Roman" w:cs="Times New Roman"/>
          <w:color w:val="auto"/>
          <w:lang w:eastAsia="zh-CN"/>
        </w:rPr>
        <w:t>构成该项目三级指标体系，经与项目单位沟通后，最终确定该项目年度绩效目标为：计划2024年内</w:t>
      </w:r>
      <w:r>
        <w:rPr>
          <w:rFonts w:hint="default" w:ascii="Times New Roman" w:hAnsi="Times New Roman" w:cs="Times New Roman"/>
          <w:color w:val="auto"/>
          <w:lang w:val="en-US" w:eastAsia="zh-CN"/>
        </w:rPr>
        <w:t>按照《吉木萨尔县城市管理服务“三位一体”委托运营项目服务合同》一是吉木萨尔县县城环境卫生保洁服务内容，包括</w:t>
      </w:r>
      <w:r>
        <w:rPr>
          <w:rFonts w:hint="default" w:ascii="Times New Roman" w:hAnsi="Times New Roman" w:cs="Times New Roman"/>
          <w:color w:val="auto"/>
          <w:lang w:eastAsia="zh-Hans"/>
        </w:rPr>
        <w:t>318.31</w:t>
      </w:r>
      <w:r>
        <w:rPr>
          <w:rFonts w:hint="default" w:ascii="Times New Roman" w:hAnsi="Times New Roman" w:cs="Times New Roman"/>
          <w:color w:val="auto"/>
          <w:lang w:val="en-US" w:eastAsia="zh-CN"/>
        </w:rPr>
        <w:t>万平方米道路清洁保洁、县城生活垃圾收运，25座公共厕所保洁，辖区201.03万平方米道路清雪工作，1座垃圾填埋场运营管理，智慧环卫平台建设，生活垃圾清运费收缴管理工作；二是绿地养护服务内容，包括日常园林绿化养护面积272.83万平方米，</w:t>
      </w:r>
      <w:r>
        <w:rPr>
          <w:rFonts w:hint="default" w:ascii="Times New Roman" w:hAnsi="Times New Roman" w:cs="Times New Roman"/>
          <w:color w:val="auto"/>
        </w:rPr>
        <w:t>对城市节日氛围打造投入费用</w:t>
      </w:r>
      <w:r>
        <w:rPr>
          <w:rFonts w:hint="default" w:ascii="Times New Roman" w:hAnsi="Times New Roman" w:cs="Times New Roman"/>
          <w:color w:val="auto"/>
          <w:lang w:val="en-US" w:eastAsia="zh-CN"/>
        </w:rPr>
        <w:t>达到</w:t>
      </w:r>
      <w:r>
        <w:rPr>
          <w:rFonts w:hint="eastAsia" w:cs="Times New Roman"/>
          <w:color w:val="auto"/>
          <w:lang w:val="en-US" w:eastAsia="zh-CN"/>
        </w:rPr>
        <w:t>150</w:t>
      </w:r>
      <w:r>
        <w:rPr>
          <w:rFonts w:hint="default" w:ascii="Times New Roman" w:hAnsi="Times New Roman" w:cs="Times New Roman"/>
          <w:color w:val="auto"/>
          <w:lang w:val="en-US" w:eastAsia="zh-CN"/>
        </w:rPr>
        <w:t>.00万元</w:t>
      </w:r>
      <w:r>
        <w:rPr>
          <w:rFonts w:hint="default" w:ascii="Times New Roman" w:hAnsi="Times New Roman" w:eastAsia="宋体" w:cs="Times New Roman"/>
          <w:color w:val="auto"/>
          <w:lang w:eastAsia="zh-CN"/>
        </w:rPr>
        <w:t>；</w:t>
      </w:r>
      <w:r>
        <w:rPr>
          <w:rFonts w:hint="default" w:ascii="Times New Roman" w:hAnsi="Times New Roman" w:cs="Times New Roman"/>
          <w:color w:val="auto"/>
        </w:rPr>
        <w:t>对所接管的小区配套基础设施投入费用</w:t>
      </w:r>
      <w:r>
        <w:rPr>
          <w:rFonts w:hint="default" w:ascii="Times New Roman" w:hAnsi="Times New Roman" w:cs="Times New Roman"/>
          <w:color w:val="auto"/>
          <w:lang w:val="en-US" w:eastAsia="zh-CN"/>
        </w:rPr>
        <w:t>不低于100.00万元</w:t>
      </w:r>
      <w:r>
        <w:rPr>
          <w:rFonts w:hint="default" w:ascii="Times New Roman" w:hAnsi="Times New Roman" w:eastAsia="宋体" w:cs="Times New Roman"/>
          <w:color w:val="auto"/>
        </w:rPr>
        <w:t>。</w:t>
      </w:r>
      <w:r>
        <w:rPr>
          <w:rFonts w:hint="default" w:ascii="Times New Roman" w:hAnsi="Times New Roman" w:cs="Times New Roman"/>
          <w:color w:val="auto"/>
          <w:lang w:eastAsia="zh-CN"/>
        </w:rPr>
        <w:t>抓好</w:t>
      </w:r>
      <w:r>
        <w:rPr>
          <w:rFonts w:hint="default" w:ascii="Times New Roman" w:hAnsi="Times New Roman" w:cs="Times New Roman"/>
          <w:color w:val="auto"/>
          <w:lang w:val="en-US" w:eastAsia="zh-CN"/>
        </w:rPr>
        <w:t>吉木萨尔县</w:t>
      </w:r>
      <w:r>
        <w:rPr>
          <w:rFonts w:hint="default" w:ascii="Times New Roman" w:hAnsi="Times New Roman" w:cs="Times New Roman"/>
          <w:color w:val="auto"/>
          <w:lang w:eastAsia="zh-CN"/>
        </w:rPr>
        <w:t>城市环境卫生，改善城市居民环境质量，</w:t>
      </w:r>
      <w:r>
        <w:rPr>
          <w:rFonts w:hint="default" w:ascii="Times New Roman" w:hAnsi="Times New Roman" w:cs="Times New Roman"/>
          <w:color w:val="auto"/>
          <w:lang w:val="en-US" w:eastAsia="zh-CN"/>
        </w:rPr>
        <w:t>有效</w:t>
      </w:r>
      <w:r>
        <w:rPr>
          <w:rFonts w:hint="default" w:ascii="Times New Roman" w:hAnsi="Times New Roman" w:cs="Times New Roman"/>
          <w:color w:val="auto"/>
          <w:lang w:eastAsia="zh-CN"/>
        </w:rPr>
        <w:t>提升政府公共服务管理水平，提升公共服务供给效率。具体目标如下：</w:t>
      </w:r>
    </w:p>
    <w:p w14:paraId="5F8611D3">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1.项目产出目标</w:t>
      </w:r>
    </w:p>
    <w:p w14:paraId="273D172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（1）数量指标</w:t>
      </w:r>
    </w:p>
    <w:p w14:paraId="7E7B646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“C11道路清洁保洁</w:t>
      </w:r>
      <w:r>
        <w:rPr>
          <w:rFonts w:hint="default" w:ascii="Times New Roman" w:hAnsi="Times New Roman" w:cs="Times New Roman"/>
          <w:color w:val="auto"/>
          <w:lang w:val="en-US" w:eastAsia="zh-CN"/>
        </w:rPr>
        <w:t>服务完成率</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100.00%</w:t>
      </w:r>
      <w:r>
        <w:rPr>
          <w:rFonts w:hint="default" w:ascii="Times New Roman" w:hAnsi="Times New Roman" w:eastAsia="宋体" w:cs="Times New Roman"/>
          <w:color w:val="auto"/>
        </w:rPr>
        <w:t>。</w:t>
      </w:r>
    </w:p>
    <w:p w14:paraId="506418A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“C12清洁公厕</w:t>
      </w:r>
      <w:r>
        <w:rPr>
          <w:rFonts w:hint="default" w:ascii="Times New Roman" w:hAnsi="Times New Roman" w:cs="Times New Roman"/>
          <w:color w:val="auto"/>
          <w:lang w:val="en-US" w:eastAsia="zh-CN"/>
        </w:rPr>
        <w:t>服务完成率</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100.00%</w:t>
      </w:r>
      <w:r>
        <w:rPr>
          <w:rFonts w:hint="default" w:ascii="Times New Roman" w:hAnsi="Times New Roman" w:eastAsia="宋体" w:cs="Times New Roman"/>
          <w:color w:val="auto"/>
        </w:rPr>
        <w:t>。</w:t>
      </w:r>
    </w:p>
    <w:p w14:paraId="0522B86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“C13冬季除雪</w:t>
      </w:r>
      <w:r>
        <w:rPr>
          <w:rFonts w:hint="default" w:ascii="Times New Roman" w:hAnsi="Times New Roman" w:cs="Times New Roman"/>
          <w:color w:val="auto"/>
          <w:lang w:val="en-US" w:eastAsia="zh-CN"/>
        </w:rPr>
        <w:t>服务完成率</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100.00%</w:t>
      </w:r>
      <w:r>
        <w:rPr>
          <w:rFonts w:hint="default" w:ascii="Times New Roman" w:hAnsi="Times New Roman" w:eastAsia="宋体" w:cs="Times New Roman"/>
          <w:color w:val="auto"/>
        </w:rPr>
        <w:t>。</w:t>
      </w:r>
    </w:p>
    <w:p w14:paraId="3A5BAEB1">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“C14建设完成智慧环卫平台建设</w:t>
      </w:r>
      <w:r>
        <w:rPr>
          <w:rFonts w:hint="default" w:ascii="Times New Roman" w:hAnsi="Times New Roman" w:cs="Times New Roman"/>
          <w:color w:val="auto"/>
          <w:lang w:val="en-US" w:eastAsia="zh-CN"/>
        </w:rPr>
        <w:t>服务完成率</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100.00%</w:t>
      </w:r>
      <w:r>
        <w:rPr>
          <w:rFonts w:hint="default" w:ascii="Times New Roman" w:hAnsi="Times New Roman" w:eastAsia="宋体" w:cs="Times New Roman"/>
          <w:color w:val="auto"/>
        </w:rPr>
        <w:t>。</w:t>
      </w:r>
    </w:p>
    <w:p w14:paraId="4F9D4C20">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“C15园林绿化养护</w:t>
      </w:r>
      <w:r>
        <w:rPr>
          <w:rFonts w:hint="default" w:ascii="Times New Roman" w:hAnsi="Times New Roman" w:cs="Times New Roman"/>
          <w:color w:val="auto"/>
          <w:lang w:val="en-US" w:eastAsia="zh-CN"/>
        </w:rPr>
        <w:t>服务完成率</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100.00%</w:t>
      </w:r>
      <w:r>
        <w:rPr>
          <w:rFonts w:hint="default" w:ascii="Times New Roman" w:hAnsi="Times New Roman" w:eastAsia="宋体" w:cs="Times New Roman"/>
          <w:color w:val="auto"/>
        </w:rPr>
        <w:t>。</w:t>
      </w:r>
    </w:p>
    <w:p w14:paraId="20AAE61E">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“C16游园维修</w:t>
      </w:r>
      <w:r>
        <w:rPr>
          <w:rFonts w:hint="default" w:ascii="Times New Roman" w:hAnsi="Times New Roman" w:cs="Times New Roman"/>
          <w:color w:val="auto"/>
          <w:lang w:val="en-US" w:eastAsia="zh-CN"/>
        </w:rPr>
        <w:t>服务完成率</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100.00%</w:t>
      </w:r>
      <w:r>
        <w:rPr>
          <w:rFonts w:hint="default" w:ascii="Times New Roman" w:hAnsi="Times New Roman" w:eastAsia="宋体" w:cs="Times New Roman"/>
          <w:color w:val="auto"/>
        </w:rPr>
        <w:t>。</w:t>
      </w:r>
    </w:p>
    <w:p w14:paraId="3F1C3874">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“C17</w:t>
      </w:r>
      <w:r>
        <w:rPr>
          <w:rFonts w:hint="default" w:ascii="Times New Roman" w:hAnsi="Times New Roman" w:cs="Times New Roman"/>
          <w:color w:val="auto"/>
          <w:lang w:eastAsia="zh-CN"/>
        </w:rPr>
        <w:t>垃圾场管理服务完成率</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100.00%</w:t>
      </w:r>
      <w:r>
        <w:rPr>
          <w:rFonts w:hint="default" w:ascii="Times New Roman" w:hAnsi="Times New Roman" w:eastAsia="宋体" w:cs="Times New Roman"/>
          <w:color w:val="auto"/>
        </w:rPr>
        <w:t>。</w:t>
      </w:r>
    </w:p>
    <w:p w14:paraId="783E787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（2）质量指标</w:t>
      </w:r>
    </w:p>
    <w:p w14:paraId="1C31FC43">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“C21环卫保洁季度考核</w:t>
      </w:r>
      <w:r>
        <w:rPr>
          <w:rFonts w:hint="default" w:ascii="Times New Roman" w:hAnsi="Times New Roman" w:cs="Times New Roman"/>
          <w:color w:val="auto"/>
          <w:lang w:val="en-US" w:eastAsia="zh-CN"/>
        </w:rPr>
        <w:t>结果</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大于等于85分/季度</w:t>
      </w:r>
      <w:r>
        <w:rPr>
          <w:rFonts w:hint="default" w:ascii="Times New Roman" w:hAnsi="Times New Roman" w:cs="Times New Roman"/>
          <w:color w:val="auto"/>
        </w:rPr>
        <w:t>。</w:t>
      </w:r>
    </w:p>
    <w:p w14:paraId="048B862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“C22园林保洁季度考核</w:t>
      </w:r>
      <w:r>
        <w:rPr>
          <w:rFonts w:hint="default" w:ascii="Times New Roman" w:hAnsi="Times New Roman" w:cs="Times New Roman"/>
          <w:color w:val="auto"/>
          <w:lang w:val="en-US" w:eastAsia="zh-CN"/>
        </w:rPr>
        <w:t>结果</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大于等于85分/季度</w:t>
      </w:r>
      <w:r>
        <w:rPr>
          <w:rFonts w:hint="default" w:ascii="Times New Roman" w:hAnsi="Times New Roman" w:cs="Times New Roman"/>
          <w:color w:val="auto"/>
        </w:rPr>
        <w:t>。</w:t>
      </w:r>
    </w:p>
    <w:p w14:paraId="0E037849">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（3）时效指标</w:t>
      </w:r>
    </w:p>
    <w:p w14:paraId="774BFC70">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w:t>
      </w:r>
      <w:r>
        <w:rPr>
          <w:rFonts w:hint="default" w:ascii="Times New Roman" w:hAnsi="Times New Roman" w:cs="Times New Roman"/>
          <w:color w:val="auto"/>
          <w:lang w:val="en-US" w:eastAsia="zh-CN"/>
        </w:rPr>
        <w:t>31</w:t>
      </w:r>
      <w:r>
        <w:rPr>
          <w:rFonts w:hint="eastAsia" w:cs="Times New Roman"/>
          <w:color w:val="auto"/>
          <w:lang w:val="en-US" w:eastAsia="zh-CN"/>
        </w:rPr>
        <w:t>项目服务考核完成及时率</w:t>
      </w:r>
      <w:r>
        <w:rPr>
          <w:rFonts w:hint="default" w:ascii="Times New Roman" w:hAnsi="Times New Roman" w:cs="Times New Roman"/>
          <w:color w:val="auto"/>
        </w:rPr>
        <w:t>”指标，预期指标值为</w:t>
      </w:r>
      <w:r>
        <w:rPr>
          <w:rFonts w:hint="default" w:ascii="Times New Roman" w:hAnsi="Times New Roman" w:cs="Times New Roman"/>
          <w:color w:val="auto"/>
          <w:lang w:val="en-US" w:eastAsia="zh-CN"/>
        </w:rPr>
        <w:t>100.00%</w:t>
      </w:r>
      <w:r>
        <w:rPr>
          <w:rFonts w:hint="default" w:ascii="Times New Roman" w:hAnsi="Times New Roman" w:cs="Times New Roman"/>
          <w:color w:val="auto"/>
        </w:rPr>
        <w:t>。</w:t>
      </w:r>
    </w:p>
    <w:p w14:paraId="00CB8382">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（4）成本指标</w:t>
      </w:r>
    </w:p>
    <w:p w14:paraId="5AE4D662">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“C41年度服务费”指标，预期指标值</w:t>
      </w:r>
      <w:r>
        <w:rPr>
          <w:rFonts w:hint="default" w:ascii="Times New Roman" w:hAnsi="Times New Roman" w:cs="Times New Roman"/>
          <w:color w:val="auto"/>
          <w:lang w:val="en-US" w:eastAsia="zh-CN"/>
        </w:rPr>
        <w:t>为小于等于4,529.51万元</w:t>
      </w:r>
      <w:r>
        <w:rPr>
          <w:rFonts w:hint="default" w:ascii="Times New Roman" w:hAnsi="Times New Roman" w:eastAsia="宋体" w:cs="Times New Roman"/>
          <w:color w:val="auto"/>
        </w:rPr>
        <w:t>。</w:t>
      </w:r>
    </w:p>
    <w:p w14:paraId="549407C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“C4</w:t>
      </w:r>
      <w:r>
        <w:rPr>
          <w:rFonts w:hint="eastAsia" w:cs="Times New Roman"/>
          <w:color w:val="auto"/>
          <w:lang w:val="en-US" w:eastAsia="zh-CN"/>
        </w:rPr>
        <w:t>2</w:t>
      </w:r>
      <w:r>
        <w:rPr>
          <w:rFonts w:hint="default" w:ascii="Times New Roman" w:hAnsi="Times New Roman" w:cs="Times New Roman"/>
          <w:color w:val="auto"/>
        </w:rPr>
        <w:t>承接主体对城市节日氛围打造投入费用”指标，预期指标值为</w:t>
      </w:r>
      <w:r>
        <w:rPr>
          <w:rFonts w:hint="default" w:ascii="Times New Roman" w:hAnsi="Times New Roman" w:cs="Times New Roman"/>
          <w:color w:val="auto"/>
          <w:lang w:val="en-US" w:eastAsia="zh-CN"/>
        </w:rPr>
        <w:t>大于等于</w:t>
      </w:r>
      <w:r>
        <w:rPr>
          <w:rFonts w:hint="eastAsia" w:cs="Times New Roman"/>
          <w:color w:val="auto"/>
          <w:lang w:val="en-US" w:eastAsia="zh-CN"/>
        </w:rPr>
        <w:t>150</w:t>
      </w:r>
      <w:r>
        <w:rPr>
          <w:rFonts w:hint="default" w:ascii="Times New Roman" w:hAnsi="Times New Roman" w:cs="Times New Roman"/>
          <w:color w:val="auto"/>
          <w:lang w:val="en-US" w:eastAsia="zh-CN"/>
        </w:rPr>
        <w:t>.00万元</w:t>
      </w:r>
      <w:r>
        <w:rPr>
          <w:rFonts w:hint="default" w:ascii="Times New Roman" w:hAnsi="Times New Roman" w:eastAsia="宋体" w:cs="Times New Roman"/>
          <w:color w:val="auto"/>
        </w:rPr>
        <w:t>。</w:t>
      </w:r>
    </w:p>
    <w:p w14:paraId="663D6EAA">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color w:val="auto"/>
        </w:rPr>
      </w:pPr>
      <w:r>
        <w:rPr>
          <w:rFonts w:hint="default" w:ascii="Times New Roman" w:hAnsi="Times New Roman" w:cs="Times New Roman"/>
          <w:b/>
          <w:color w:val="auto"/>
        </w:rPr>
        <w:t>2.项目效益目标</w:t>
      </w:r>
    </w:p>
    <w:p w14:paraId="6BCC6F42">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（1）社会效益指标</w:t>
      </w:r>
    </w:p>
    <w:p w14:paraId="1718CF64">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“D11提升政府公共服务管理水平”指标，预期指标值为</w:t>
      </w:r>
      <w:r>
        <w:rPr>
          <w:rFonts w:hint="default" w:ascii="Times New Roman" w:hAnsi="Times New Roman" w:cs="Times New Roman"/>
          <w:color w:val="auto"/>
          <w:lang w:val="en-US" w:eastAsia="zh-CN"/>
        </w:rPr>
        <w:t>有效提升</w:t>
      </w:r>
      <w:r>
        <w:rPr>
          <w:rFonts w:hint="default" w:ascii="Times New Roman" w:hAnsi="Times New Roman" w:eastAsia="宋体" w:cs="Times New Roman"/>
          <w:color w:val="auto"/>
        </w:rPr>
        <w:t>。</w:t>
      </w:r>
    </w:p>
    <w:p w14:paraId="19EEAD0C">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“D12提升公共服务供给效率”指标，预期指标值为</w:t>
      </w:r>
      <w:r>
        <w:rPr>
          <w:rFonts w:hint="default" w:ascii="Times New Roman" w:hAnsi="Times New Roman" w:cs="Times New Roman"/>
          <w:color w:val="auto"/>
          <w:lang w:val="en-US" w:eastAsia="zh-CN"/>
        </w:rPr>
        <w:t>有效提升</w:t>
      </w:r>
      <w:r>
        <w:rPr>
          <w:rFonts w:hint="default" w:ascii="Times New Roman" w:hAnsi="Times New Roman" w:eastAsia="宋体" w:cs="Times New Roman"/>
          <w:color w:val="auto"/>
        </w:rPr>
        <w:t>。</w:t>
      </w:r>
    </w:p>
    <w:p w14:paraId="3D8ABD74">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b/>
          <w:color w:val="auto"/>
        </w:rPr>
        <w:t>3.</w:t>
      </w:r>
      <w:r>
        <w:rPr>
          <w:rFonts w:hint="default" w:ascii="Times New Roman" w:hAnsi="Times New Roman" w:cs="Times New Roman"/>
          <w:b/>
          <w:color w:val="auto"/>
          <w:lang w:eastAsia="zh-Hans"/>
        </w:rPr>
        <w:t>满意度目标</w:t>
      </w:r>
    </w:p>
    <w:p w14:paraId="4D745E8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（1）满意度指标</w:t>
      </w:r>
    </w:p>
    <w:p w14:paraId="34C5F30B">
      <w:pPr>
        <w:pageBreakBefore w:val="0"/>
        <w:kinsoku/>
        <w:wordWrap/>
        <w:overflowPunct/>
        <w:topLinePunct w:val="0"/>
        <w:autoSpaceDE/>
        <w:autoSpaceDN/>
        <w:bidi w:val="0"/>
        <w:snapToGrid w:val="0"/>
        <w:spacing w:before="0" w:after="0" w:line="360" w:lineRule="auto"/>
        <w:ind w:firstLine="420"/>
        <w:rPr>
          <w:rFonts w:hint="default" w:ascii="Times New Roman" w:hAnsi="Times New Roman" w:eastAsia="宋体" w:cs="Times New Roman"/>
          <w:color w:val="auto"/>
        </w:rPr>
      </w:pPr>
      <w:bookmarkStart w:id="39" w:name="_Toc68364660"/>
      <w:r>
        <w:rPr>
          <w:rFonts w:hint="default" w:ascii="Times New Roman" w:hAnsi="Times New Roman" w:cs="Times New Roman"/>
          <w:color w:val="auto"/>
        </w:rPr>
        <w:t>“D21购买主体满意度”指标，预期指标值为</w:t>
      </w:r>
      <w:r>
        <w:rPr>
          <w:rFonts w:hint="default" w:ascii="Times New Roman" w:hAnsi="Times New Roman" w:cs="Times New Roman"/>
          <w:color w:val="auto"/>
          <w:lang w:val="en-US" w:eastAsia="zh-CN"/>
        </w:rPr>
        <w:t>大于等于90.00%</w:t>
      </w:r>
      <w:r>
        <w:rPr>
          <w:rFonts w:hint="default" w:ascii="Times New Roman" w:hAnsi="Times New Roman" w:eastAsia="宋体" w:cs="Times New Roman"/>
          <w:color w:val="auto"/>
        </w:rPr>
        <w:t>。</w:t>
      </w:r>
    </w:p>
    <w:p w14:paraId="19884E44">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“D22</w:t>
      </w:r>
      <w:r>
        <w:rPr>
          <w:rFonts w:hint="default" w:ascii="Times New Roman" w:hAnsi="Times New Roman" w:cs="Times New Roman"/>
          <w:color w:val="auto"/>
          <w:lang w:val="en-US" w:eastAsia="zh-CN"/>
        </w:rPr>
        <w:t>社会公众</w:t>
      </w:r>
      <w:r>
        <w:rPr>
          <w:rFonts w:hint="default" w:ascii="Times New Roman" w:hAnsi="Times New Roman" w:cs="Times New Roman"/>
          <w:color w:val="auto"/>
        </w:rPr>
        <w:t>满意度”指标，预期指标值为</w:t>
      </w:r>
      <w:r>
        <w:rPr>
          <w:rFonts w:hint="default" w:ascii="Times New Roman" w:hAnsi="Times New Roman" w:cs="Times New Roman"/>
          <w:color w:val="auto"/>
          <w:lang w:val="en-US" w:eastAsia="zh-CN"/>
        </w:rPr>
        <w:t>大于等于90.00%</w:t>
      </w:r>
      <w:r>
        <w:rPr>
          <w:rFonts w:hint="default" w:ascii="Times New Roman" w:hAnsi="Times New Roman" w:eastAsia="宋体" w:cs="Times New Roman"/>
          <w:color w:val="auto"/>
        </w:rPr>
        <w:t>。</w:t>
      </w:r>
    </w:p>
    <w:p w14:paraId="57E0B379">
      <w:pPr>
        <w:pStyle w:val="2"/>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40" w:name="_Toc26625"/>
      <w:r>
        <w:rPr>
          <w:rFonts w:hint="default" w:ascii="Times New Roman" w:hAnsi="Times New Roman" w:cs="Times New Roman"/>
          <w:color w:val="auto"/>
        </w:rPr>
        <w:t>三、绩效评价工作开展情况</w:t>
      </w:r>
      <w:bookmarkEnd w:id="39"/>
      <w:bookmarkEnd w:id="40"/>
    </w:p>
    <w:p w14:paraId="4F0B0BB2">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41" w:name="_Toc27940"/>
      <w:bookmarkStart w:id="42" w:name="_Toc22469"/>
      <w:bookmarkStart w:id="43" w:name="_Toc68364661"/>
      <w:r>
        <w:rPr>
          <w:rFonts w:hint="default" w:ascii="Times New Roman" w:hAnsi="Times New Roman" w:cs="Times New Roman"/>
          <w:color w:val="auto"/>
        </w:rPr>
        <w:t>（一）绩效评价依据</w:t>
      </w:r>
      <w:bookmarkEnd w:id="41"/>
      <w:bookmarkEnd w:id="42"/>
    </w:p>
    <w:p w14:paraId="32877765">
      <w:pPr>
        <w:pageBreakBefore w:val="0"/>
        <w:numPr>
          <w:ilvl w:val="0"/>
          <w:numId w:val="1"/>
        </w:numPr>
        <w:kinsoku/>
        <w:wordWrap/>
        <w:overflowPunct/>
        <w:topLinePunct w:val="0"/>
        <w:autoSpaceDE/>
        <w:autoSpaceDN/>
        <w:bidi w:val="0"/>
        <w:snapToGrid w:val="0"/>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《中华人民共和国预算法》；</w:t>
      </w:r>
    </w:p>
    <w:p w14:paraId="14D53D82">
      <w:pPr>
        <w:pageBreakBefore w:val="0"/>
        <w:numPr>
          <w:ilvl w:val="0"/>
          <w:numId w:val="1"/>
        </w:numPr>
        <w:kinsoku/>
        <w:wordWrap/>
        <w:overflowPunct/>
        <w:topLinePunct w:val="0"/>
        <w:autoSpaceDE/>
        <w:autoSpaceDN/>
        <w:bidi w:val="0"/>
        <w:snapToGrid w:val="0"/>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w:t>
      </w:r>
      <w:r>
        <w:rPr>
          <w:rFonts w:hint="default" w:ascii="Times New Roman" w:hAnsi="Times New Roman" w:cs="Times New Roman"/>
          <w:color w:val="auto"/>
          <w:highlight w:val="none"/>
          <w:lang w:eastAsia="zh-CN"/>
        </w:rPr>
        <w:t>中共中央、国务院</w:t>
      </w:r>
      <w:r>
        <w:rPr>
          <w:rFonts w:hint="default" w:ascii="Times New Roman" w:hAnsi="Times New Roman" w:cs="Times New Roman"/>
          <w:color w:val="auto"/>
          <w:highlight w:val="none"/>
        </w:rPr>
        <w:t>关于全面实施预算绩效管理的意见》（中发〔2018〕34号）；</w:t>
      </w:r>
    </w:p>
    <w:p w14:paraId="35D25645">
      <w:pPr>
        <w:pageBreakBefore w:val="0"/>
        <w:numPr>
          <w:ilvl w:val="0"/>
          <w:numId w:val="1"/>
        </w:numPr>
        <w:kinsoku/>
        <w:wordWrap/>
        <w:overflowPunct/>
        <w:topLinePunct w:val="0"/>
        <w:autoSpaceDE/>
        <w:autoSpaceDN/>
        <w:bidi w:val="0"/>
        <w:snapToGrid w:val="0"/>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《项目支出绩效评价管理办法》（财预〔2020〕10号）；</w:t>
      </w:r>
    </w:p>
    <w:p w14:paraId="5AF2F314">
      <w:pPr>
        <w:pageBreakBefore w:val="0"/>
        <w:numPr>
          <w:ilvl w:val="0"/>
          <w:numId w:val="1"/>
        </w:numPr>
        <w:kinsoku/>
        <w:wordWrap/>
        <w:overflowPunct/>
        <w:topLinePunct w:val="0"/>
        <w:autoSpaceDE/>
        <w:autoSpaceDN/>
        <w:bidi w:val="0"/>
        <w:snapToGrid w:val="0"/>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《自治区党委自治区人民政府关于全面实施预算绩效管理的实施意见》（新党发〔2018〕30号）；</w:t>
      </w:r>
    </w:p>
    <w:p w14:paraId="3BB09B41">
      <w:pPr>
        <w:pageBreakBefore w:val="0"/>
        <w:numPr>
          <w:ilvl w:val="0"/>
          <w:numId w:val="1"/>
        </w:numPr>
        <w:kinsoku/>
        <w:wordWrap/>
        <w:overflowPunct/>
        <w:topLinePunct w:val="0"/>
        <w:autoSpaceDE/>
        <w:autoSpaceDN/>
        <w:bidi w:val="0"/>
        <w:snapToGrid w:val="0"/>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《自治区全面实施预算绩效管理的工作方案》（新财预〔2018〕158号）；</w:t>
      </w:r>
    </w:p>
    <w:p w14:paraId="4BBE60F8">
      <w:pPr>
        <w:pageBreakBefore w:val="0"/>
        <w:numPr>
          <w:ilvl w:val="0"/>
          <w:numId w:val="1"/>
        </w:numPr>
        <w:kinsoku/>
        <w:wordWrap/>
        <w:overflowPunct/>
        <w:topLinePunct w:val="0"/>
        <w:autoSpaceDE/>
        <w:autoSpaceDN/>
        <w:bidi w:val="0"/>
        <w:snapToGrid w:val="0"/>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《自治区财政支出绩效评价管理暂行办法》（新财预〔2018〕189号）；</w:t>
      </w:r>
    </w:p>
    <w:p w14:paraId="1391495E">
      <w:pPr>
        <w:pageBreakBefore w:val="0"/>
        <w:numPr>
          <w:ilvl w:val="0"/>
          <w:numId w:val="1"/>
        </w:numPr>
        <w:kinsoku/>
        <w:wordWrap/>
        <w:overflowPunct/>
        <w:topLinePunct w:val="0"/>
        <w:autoSpaceDE/>
        <w:autoSpaceDN/>
        <w:bidi w:val="0"/>
        <w:snapToGrid w:val="0"/>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《关于委托第三方机构参与预算绩效管理的指导意见》（财预〔2021〕6号）；</w:t>
      </w:r>
    </w:p>
    <w:p w14:paraId="1147112E">
      <w:pPr>
        <w:pageBreakBefore w:val="0"/>
        <w:numPr>
          <w:ilvl w:val="0"/>
          <w:numId w:val="1"/>
        </w:numPr>
        <w:kinsoku/>
        <w:wordWrap/>
        <w:overflowPunct/>
        <w:topLinePunct w:val="0"/>
        <w:autoSpaceDE/>
        <w:autoSpaceDN/>
        <w:bidi w:val="0"/>
        <w:snapToGrid w:val="0"/>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《财政部关于印发〈第三方机构预算绩效评价业务监督管理暂行办法〉的通知》（财监〔2021〕4号）；</w:t>
      </w:r>
    </w:p>
    <w:p w14:paraId="28EFD26C">
      <w:pPr>
        <w:pageBreakBefore w:val="0"/>
        <w:numPr>
          <w:ilvl w:val="0"/>
          <w:numId w:val="1"/>
        </w:numPr>
        <w:kinsoku/>
        <w:wordWrap/>
        <w:overflowPunct/>
        <w:topLinePunct w:val="0"/>
        <w:autoSpaceDE/>
        <w:autoSpaceDN/>
        <w:bidi w:val="0"/>
        <w:snapToGrid w:val="0"/>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《关于进一步加强和规范第三方机构参与预算绩效管理的通知》（新财预〔2021〕49号）；</w:t>
      </w:r>
    </w:p>
    <w:p w14:paraId="556013A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eastAsiaTheme="minorEastAsia"/>
          <w:color w:val="auto"/>
          <w:lang w:eastAsia="zh-CN"/>
        </w:rPr>
      </w:pPr>
      <w:r>
        <w:rPr>
          <w:rFonts w:hint="default" w:ascii="Times New Roman" w:hAnsi="Times New Roman" w:cs="Times New Roman"/>
          <w:color w:val="auto"/>
          <w:lang w:val="en-US" w:eastAsia="zh-CN"/>
        </w:rPr>
        <w:t>10.</w:t>
      </w:r>
      <w:r>
        <w:rPr>
          <w:rFonts w:hint="default" w:ascii="Times New Roman" w:hAnsi="Times New Roman" w:cs="Times New Roman"/>
          <w:color w:val="auto"/>
        </w:rPr>
        <w:t>《国务院办公厅关于政府向社会力量购买服务的指导意见》（国办发〔2013〕96号）</w:t>
      </w:r>
      <w:r>
        <w:rPr>
          <w:rFonts w:hint="default" w:ascii="Times New Roman" w:hAnsi="Times New Roman" w:cs="Times New Roman"/>
          <w:color w:val="auto"/>
          <w:lang w:eastAsia="zh-CN"/>
        </w:rPr>
        <w:t>；</w:t>
      </w:r>
    </w:p>
    <w:p w14:paraId="2448DE0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eastAsiaTheme="minorEastAsia"/>
          <w:color w:val="auto"/>
          <w:lang w:eastAsia="zh-CN"/>
        </w:rPr>
      </w:pPr>
      <w:r>
        <w:rPr>
          <w:rFonts w:hint="default" w:ascii="Times New Roman" w:hAnsi="Times New Roman" w:cs="Times New Roman"/>
          <w:color w:val="auto"/>
          <w:lang w:val="en-US" w:eastAsia="zh-CN"/>
        </w:rPr>
        <w:t>11.</w:t>
      </w:r>
      <w:r>
        <w:rPr>
          <w:rFonts w:hint="default" w:ascii="Times New Roman" w:hAnsi="Times New Roman" w:cs="Times New Roman"/>
          <w:color w:val="auto"/>
        </w:rPr>
        <w:t>《关于加强自治区城市精细化管理的通知》（新建督〔2020〕12号）</w:t>
      </w:r>
      <w:r>
        <w:rPr>
          <w:rFonts w:hint="default" w:ascii="Times New Roman" w:hAnsi="Times New Roman" w:cs="Times New Roman"/>
          <w:color w:val="auto"/>
          <w:lang w:eastAsia="zh-CN"/>
        </w:rPr>
        <w:t>；</w:t>
      </w:r>
    </w:p>
    <w:p w14:paraId="5077521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eastAsiaTheme="minorEastAsia"/>
          <w:color w:val="auto"/>
          <w:lang w:eastAsia="zh-CN"/>
        </w:rPr>
      </w:pPr>
      <w:r>
        <w:rPr>
          <w:rFonts w:hint="default" w:ascii="Times New Roman" w:hAnsi="Times New Roman" w:cs="Times New Roman"/>
          <w:color w:val="auto"/>
          <w:lang w:val="en-US" w:eastAsia="zh-CN"/>
        </w:rPr>
        <w:t>12.</w:t>
      </w:r>
      <w:r>
        <w:rPr>
          <w:rFonts w:hint="default" w:ascii="Times New Roman" w:hAnsi="Times New Roman" w:cs="Times New Roman"/>
          <w:color w:val="auto"/>
        </w:rPr>
        <w:t>《政府购买服务管理办法》</w:t>
      </w:r>
      <w:r>
        <w:rPr>
          <w:rFonts w:hint="default" w:ascii="Times New Roman" w:hAnsi="Times New Roman" w:cs="Times New Roman"/>
          <w:color w:val="auto"/>
          <w:lang w:eastAsia="zh-CN"/>
        </w:rPr>
        <w:t>；</w:t>
      </w:r>
    </w:p>
    <w:p w14:paraId="6B91DC24">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eastAsia="zh-CN"/>
        </w:rPr>
      </w:pPr>
      <w:r>
        <w:rPr>
          <w:rFonts w:hint="default" w:ascii="Times New Roman" w:hAnsi="Times New Roman" w:cs="Times New Roman"/>
          <w:color w:val="auto"/>
          <w:lang w:val="en-US" w:eastAsia="zh-CN"/>
        </w:rPr>
        <w:t>13.</w:t>
      </w:r>
      <w:r>
        <w:rPr>
          <w:rFonts w:hint="default" w:ascii="Times New Roman" w:hAnsi="Times New Roman" w:cs="Times New Roman"/>
          <w:color w:val="auto"/>
        </w:rPr>
        <w:t>关于印发《吉木萨尔县人民政府向社会力量购买服务管理办法》的通知</w:t>
      </w:r>
      <w:r>
        <w:rPr>
          <w:rFonts w:hint="default" w:ascii="Times New Roman" w:hAnsi="Times New Roman" w:cs="Times New Roman"/>
          <w:color w:val="auto"/>
          <w:lang w:eastAsia="zh-CN"/>
        </w:rPr>
        <w:t>；</w:t>
      </w:r>
    </w:p>
    <w:p w14:paraId="452A394E">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eastAsiaTheme="minorEastAsia"/>
          <w:color w:val="auto"/>
          <w:lang w:eastAsia="zh-CN"/>
        </w:rPr>
      </w:pPr>
      <w:r>
        <w:rPr>
          <w:rFonts w:hint="default" w:ascii="Times New Roman" w:hAnsi="Times New Roman" w:cs="Times New Roman"/>
          <w:color w:val="auto"/>
          <w:lang w:val="en-US" w:eastAsia="zh-CN"/>
        </w:rPr>
        <w:t>14.</w:t>
      </w:r>
      <w:r>
        <w:rPr>
          <w:rFonts w:hint="default" w:ascii="Times New Roman" w:hAnsi="Times New Roman" w:cs="Times New Roman"/>
          <w:color w:val="auto"/>
        </w:rPr>
        <w:t>《吉木萨尔县城市管理服务</w:t>
      </w:r>
      <w:r>
        <w:rPr>
          <w:rFonts w:hint="default" w:ascii="Times New Roman" w:hAnsi="Times New Roman" w:cs="Times New Roman"/>
          <w:color w:val="auto"/>
          <w:lang w:val="en-US" w:eastAsia="zh-CN"/>
        </w:rPr>
        <w:t>“三位一体”</w:t>
      </w:r>
      <w:r>
        <w:rPr>
          <w:rFonts w:hint="default" w:ascii="Times New Roman" w:hAnsi="Times New Roman" w:cs="Times New Roman"/>
          <w:color w:val="auto"/>
        </w:rPr>
        <w:t>委托运营项目服务合同》</w:t>
      </w:r>
      <w:r>
        <w:rPr>
          <w:rFonts w:hint="default" w:ascii="Times New Roman" w:hAnsi="Times New Roman" w:cs="Times New Roman"/>
          <w:color w:val="auto"/>
          <w:lang w:eastAsia="zh-CN"/>
        </w:rPr>
        <w:t>；</w:t>
      </w:r>
    </w:p>
    <w:p w14:paraId="06095D1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eastAsiaTheme="minorEastAsia"/>
          <w:color w:val="auto"/>
          <w:lang w:eastAsia="zh-CN"/>
        </w:rPr>
      </w:pPr>
      <w:r>
        <w:rPr>
          <w:rFonts w:hint="default" w:ascii="Times New Roman" w:hAnsi="Times New Roman" w:cs="Times New Roman"/>
          <w:color w:val="auto"/>
          <w:lang w:val="en-US" w:eastAsia="zh-CN"/>
        </w:rPr>
        <w:t>15.</w:t>
      </w:r>
      <w:r>
        <w:rPr>
          <w:rFonts w:hint="default" w:ascii="Times New Roman" w:hAnsi="Times New Roman" w:cs="Times New Roman"/>
          <w:color w:val="auto"/>
        </w:rPr>
        <w:t>《项目支出绩效目标表》</w:t>
      </w:r>
      <w:r>
        <w:rPr>
          <w:rFonts w:hint="default" w:ascii="Times New Roman" w:hAnsi="Times New Roman" w:cs="Times New Roman"/>
          <w:color w:val="auto"/>
          <w:lang w:eastAsia="zh-CN"/>
        </w:rPr>
        <w:t>；</w:t>
      </w:r>
    </w:p>
    <w:p w14:paraId="054D6EB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16.《吉木萨尔县城市管理服务“三位一体”委托运营项目专项审计报告》（新晟专审字(2024)2-008号）；</w:t>
      </w:r>
    </w:p>
    <w:p w14:paraId="20790468">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lang w:val="en-US" w:eastAsia="zh-CN"/>
        </w:rPr>
        <w:t>20.资金支付资料、发票</w:t>
      </w:r>
      <w:r>
        <w:rPr>
          <w:rFonts w:hint="default" w:ascii="Times New Roman" w:hAnsi="Times New Roman" w:cs="Times New Roman"/>
          <w:color w:val="auto"/>
          <w:lang w:eastAsia="zh-CN"/>
        </w:rPr>
        <w:t>、</w:t>
      </w:r>
      <w:r>
        <w:rPr>
          <w:rFonts w:hint="default" w:ascii="Times New Roman" w:hAnsi="Times New Roman" w:cs="Times New Roman"/>
          <w:lang w:val="en-US" w:eastAsia="zh-CN"/>
        </w:rPr>
        <w:t>车辆台账记录，垃圾场台账，绩效</w:t>
      </w:r>
      <w:r>
        <w:rPr>
          <w:rFonts w:hint="default" w:ascii="Times New Roman" w:hAnsi="Times New Roman" w:cs="Times New Roman"/>
          <w:color w:val="auto"/>
          <w:lang w:val="en-US" w:eastAsia="zh-CN"/>
        </w:rPr>
        <w:t>考核资料</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会议纪要，内部控制制度等</w:t>
      </w:r>
      <w:r>
        <w:rPr>
          <w:rFonts w:hint="default" w:ascii="Times New Roman" w:hAnsi="Times New Roman" w:cs="Times New Roman"/>
          <w:color w:val="auto"/>
        </w:rPr>
        <w:t>相关资料。</w:t>
      </w:r>
    </w:p>
    <w:p w14:paraId="090080F1">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44" w:name="_Toc11435"/>
      <w:r>
        <w:rPr>
          <w:rFonts w:hint="default" w:ascii="Times New Roman" w:hAnsi="Times New Roman" w:cs="Times New Roman"/>
          <w:color w:val="auto"/>
        </w:rPr>
        <w:t>（二）绩效评价目的、对象和范围</w:t>
      </w:r>
      <w:bookmarkEnd w:id="43"/>
      <w:bookmarkEnd w:id="44"/>
    </w:p>
    <w:p w14:paraId="5DC5DD66">
      <w:pPr>
        <w:spacing w:before="0" w:after="0" w:line="360" w:lineRule="auto"/>
        <w:ind w:firstLine="664"/>
        <w:rPr>
          <w:rFonts w:hint="default" w:ascii="Times New Roman" w:hAnsi="Times New Roman" w:cs="Times New Roman"/>
          <w:color w:val="auto"/>
          <w:highlight w:val="none"/>
        </w:rPr>
      </w:pPr>
      <w:bookmarkStart w:id="45" w:name="_Toc68364662"/>
      <w:r>
        <w:rPr>
          <w:rFonts w:hint="default" w:ascii="Times New Roman" w:hAnsi="Times New Roman" w:cs="Times New Roman"/>
          <w:color w:val="auto"/>
          <w:highlight w:val="none"/>
        </w:rPr>
        <w:t>1.绩效评价目的</w:t>
      </w:r>
    </w:p>
    <w:p w14:paraId="04A51381">
      <w:pPr>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lang w:val="en-US" w:eastAsia="zh-CN"/>
        </w:rPr>
        <w:t>本次</w:t>
      </w:r>
      <w:r>
        <w:rPr>
          <w:rFonts w:hint="default" w:ascii="Times New Roman" w:hAnsi="Times New Roman" w:cs="Times New Roman"/>
          <w:color w:val="auto"/>
          <w:highlight w:val="none"/>
        </w:rPr>
        <w:t>绩效评价的目的是为全面了解该项目预算编</w:t>
      </w:r>
      <w:r>
        <w:rPr>
          <w:rFonts w:hint="default" w:ascii="Times New Roman" w:hAnsi="Times New Roman" w:cs="Times New Roman"/>
          <w:color w:val="auto"/>
          <w:highlight w:val="none"/>
          <w:lang w:eastAsia="zh-CN"/>
        </w:rPr>
        <w:t>制的</w:t>
      </w:r>
      <w:r>
        <w:rPr>
          <w:rFonts w:hint="default" w:ascii="Times New Roman" w:hAnsi="Times New Roman" w:cs="Times New Roman"/>
          <w:color w:val="auto"/>
          <w:highlight w:val="none"/>
        </w:rPr>
        <w:t>合理性、资金使用合规性、项目管理的规范性、项目目标的实现情况、服务对象的满意度等，通过本次项目绩效评价来总结经验和教训，促进项目成果转化和应用，为今后类似项目的长效管理，提供可行性参考建议。</w:t>
      </w:r>
    </w:p>
    <w:p w14:paraId="152FA12B">
      <w:pPr>
        <w:spacing w:before="0" w:after="0" w:line="360" w:lineRule="auto"/>
        <w:ind w:firstLine="664"/>
        <w:rPr>
          <w:rFonts w:hint="default" w:ascii="Times New Roman" w:hAnsi="Times New Roman" w:cs="Times New Roman" w:eastAsiaTheme="minorEastAsia"/>
          <w:color w:val="auto"/>
          <w:highlight w:val="none"/>
          <w:lang w:val="en-US" w:eastAsia="zh-CN"/>
        </w:rPr>
      </w:pPr>
      <w:r>
        <w:rPr>
          <w:rFonts w:hint="default" w:ascii="Times New Roman" w:hAnsi="Times New Roman" w:cs="Times New Roman"/>
          <w:color w:val="auto"/>
          <w:highlight w:val="none"/>
        </w:rPr>
        <w:t>2.绩效评价对象</w:t>
      </w:r>
      <w:r>
        <w:rPr>
          <w:rFonts w:hint="default" w:ascii="Times New Roman" w:hAnsi="Times New Roman" w:cs="Times New Roman"/>
          <w:color w:val="auto"/>
          <w:highlight w:val="none"/>
          <w:lang w:val="en-US" w:eastAsia="zh-CN"/>
        </w:rPr>
        <w:t>及范围</w:t>
      </w:r>
    </w:p>
    <w:p w14:paraId="070C5C44">
      <w:pPr>
        <w:spacing w:before="0" w:after="0" w:line="360" w:lineRule="auto"/>
        <w:ind w:firstLine="420" w:firstLineChars="200"/>
        <w:rPr>
          <w:rFonts w:hint="default" w:ascii="Times New Roman" w:hAnsi="Times New Roman" w:cs="Times New Roman"/>
          <w:color w:val="auto"/>
          <w:highlight w:val="none"/>
        </w:rPr>
      </w:pPr>
      <w:r>
        <w:rPr>
          <w:rFonts w:hint="default" w:ascii="Times New Roman" w:hAnsi="Times New Roman" w:cs="Times New Roman"/>
          <w:color w:val="auto"/>
          <w:highlight w:val="none"/>
        </w:rPr>
        <w:t>本次绩效评价的对象为</w:t>
      </w:r>
      <w:r>
        <w:rPr>
          <w:rFonts w:hint="default" w:ascii="Times New Roman" w:hAnsi="Times New Roman" w:cs="Times New Roman"/>
          <w:color w:val="auto"/>
          <w:highlight w:val="none"/>
          <w:lang w:val="en-US" w:eastAsia="zh-CN"/>
        </w:rPr>
        <w:t>吉木萨尔县城市管理服务“三位一体”委托运营项目</w:t>
      </w:r>
      <w:r>
        <w:rPr>
          <w:rFonts w:hint="default" w:ascii="Times New Roman" w:hAnsi="Times New Roman" w:cs="Times New Roman"/>
          <w:color w:val="auto"/>
          <w:highlight w:val="none"/>
        </w:rPr>
        <w:t>，</w:t>
      </w:r>
      <w:r>
        <w:rPr>
          <w:rFonts w:hint="eastAsia" w:cs="Times New Roman"/>
          <w:color w:val="auto"/>
          <w:highlight w:val="none"/>
          <w:lang w:val="en-US" w:eastAsia="zh-CN"/>
        </w:rPr>
        <w:t>对</w:t>
      </w:r>
      <w:r>
        <w:rPr>
          <w:rFonts w:hint="default" w:ascii="Times New Roman" w:hAnsi="Times New Roman" w:cs="Times New Roman"/>
          <w:color w:val="auto"/>
          <w:highlight w:val="none"/>
        </w:rPr>
        <w:t>吉木萨尔县城环境卫生保洁服务</w:t>
      </w:r>
      <w:r>
        <w:rPr>
          <w:rFonts w:hint="eastAsia" w:cs="Times New Roman"/>
          <w:color w:val="auto"/>
          <w:highlight w:val="none"/>
          <w:lang w:val="en-US" w:eastAsia="zh-CN"/>
        </w:rPr>
        <w:t>和县城</w:t>
      </w:r>
      <w:r>
        <w:rPr>
          <w:rFonts w:hint="default" w:ascii="Times New Roman" w:hAnsi="Times New Roman" w:cs="Times New Roman"/>
          <w:color w:val="auto"/>
          <w:highlight w:val="none"/>
        </w:rPr>
        <w:t>园林绿化日常养护</w:t>
      </w:r>
      <w:r>
        <w:rPr>
          <w:rFonts w:hint="eastAsia" w:cs="Times New Roman"/>
          <w:color w:val="auto"/>
          <w:highlight w:val="none"/>
          <w:lang w:val="en-US" w:eastAsia="zh-CN"/>
        </w:rPr>
        <w:t>服务所需的服务费进行评价</w:t>
      </w:r>
      <w:r>
        <w:rPr>
          <w:rFonts w:hint="default" w:ascii="Times New Roman" w:hAnsi="Times New Roman" w:cs="Times New Roman"/>
          <w:color w:val="auto"/>
          <w:highlight w:val="none"/>
        </w:rPr>
        <w:t>。</w:t>
      </w:r>
      <w:r>
        <w:rPr>
          <w:rFonts w:hint="default" w:ascii="Times New Roman" w:hAnsi="Times New Roman" w:cs="Times New Roman"/>
          <w:color w:val="auto"/>
          <w:highlight w:val="none"/>
          <w:lang w:val="en-US" w:eastAsia="zh-CN"/>
        </w:rPr>
        <w:t>主要对该项目的</w:t>
      </w:r>
      <w:r>
        <w:rPr>
          <w:rFonts w:hint="default" w:ascii="Times New Roman" w:hAnsi="Times New Roman" w:cs="Times New Roman"/>
          <w:color w:val="auto"/>
          <w:highlight w:val="none"/>
        </w:rPr>
        <w:t>决策情况、资金管理</w:t>
      </w:r>
      <w:r>
        <w:rPr>
          <w:rFonts w:hint="default" w:ascii="Times New Roman" w:hAnsi="Times New Roman" w:cs="Times New Roman"/>
          <w:color w:val="auto"/>
          <w:highlight w:val="none"/>
          <w:lang w:eastAsia="zh-CN"/>
        </w:rPr>
        <w:t>、</w:t>
      </w:r>
      <w:r>
        <w:rPr>
          <w:rFonts w:hint="default" w:ascii="Times New Roman" w:hAnsi="Times New Roman" w:cs="Times New Roman"/>
          <w:color w:val="auto"/>
          <w:highlight w:val="none"/>
        </w:rPr>
        <w:t>使用情况</w:t>
      </w:r>
      <w:r>
        <w:rPr>
          <w:rFonts w:hint="default" w:ascii="Times New Roman" w:hAnsi="Times New Roman" w:cs="Times New Roman"/>
          <w:color w:val="auto"/>
          <w:highlight w:val="none"/>
          <w:lang w:eastAsia="zh-CN"/>
        </w:rPr>
        <w:t>、</w:t>
      </w:r>
      <w:r>
        <w:rPr>
          <w:rFonts w:hint="default" w:ascii="Times New Roman" w:hAnsi="Times New Roman" w:cs="Times New Roman"/>
          <w:color w:val="auto"/>
          <w:highlight w:val="none"/>
        </w:rPr>
        <w:t>相关管理制度办法的健全性及执行情况、实现的产出情况、取得的效益情况以及其他相关内容。</w:t>
      </w:r>
    </w:p>
    <w:p w14:paraId="37727D30">
      <w:pPr>
        <w:bidi w:val="0"/>
        <w:spacing w:before="0" w:after="0" w:line="360" w:lineRule="auto"/>
        <w:rPr>
          <w:rFonts w:hint="default" w:ascii="Times New Roman" w:hAnsi="Times New Roman" w:cs="Times New Roman"/>
          <w:color w:val="auto"/>
          <w:lang w:val="en-US" w:eastAsia="zh-CN"/>
        </w:rPr>
      </w:pPr>
      <w:r>
        <w:rPr>
          <w:rFonts w:hint="eastAsia" w:cs="Times New Roman"/>
          <w:color w:val="auto"/>
          <w:lang w:val="en-US" w:eastAsia="zh-CN"/>
        </w:rPr>
        <w:t>根据</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委托运营项目服务合同》中</w:t>
      </w:r>
      <w:r>
        <w:rPr>
          <w:rFonts w:hint="eastAsia" w:cs="Times New Roman"/>
          <w:color w:val="auto"/>
          <w:lang w:val="en-US" w:eastAsia="zh-CN"/>
        </w:rPr>
        <w:t>第四章第二条“</w:t>
      </w:r>
      <w:r>
        <w:rPr>
          <w:rFonts w:hint="default" w:ascii="Times New Roman" w:hAnsi="Times New Roman" w:cs="Times New Roman"/>
          <w:color w:val="auto"/>
        </w:rPr>
        <w:t>居民区日常管理服务此项服务由乙方自主经营，自负盈亏</w:t>
      </w:r>
      <w:r>
        <w:rPr>
          <w:rFonts w:hint="eastAsia" w:cs="Times New Roman"/>
          <w:color w:val="auto"/>
          <w:lang w:val="en-US" w:eastAsia="zh-CN"/>
        </w:rPr>
        <w:t>”，故</w:t>
      </w:r>
      <w:r>
        <w:rPr>
          <w:rFonts w:hint="default" w:ascii="Times New Roman" w:hAnsi="Times New Roman" w:cs="Times New Roman"/>
          <w:lang w:val="en-US" w:eastAsia="zh-CN"/>
        </w:rPr>
        <w:t>吉木萨尔鑫泓欣物业服务有限公司</w:t>
      </w:r>
      <w:r>
        <w:rPr>
          <w:rFonts w:hint="eastAsia" w:cs="Times New Roman"/>
          <w:lang w:val="en-US" w:eastAsia="zh-CN"/>
        </w:rPr>
        <w:t>对25个小区提供</w:t>
      </w:r>
      <w:r>
        <w:rPr>
          <w:rFonts w:hint="eastAsia" w:cs="Times New Roman"/>
          <w:color w:val="auto"/>
          <w:lang w:val="en-US" w:eastAsia="zh-CN"/>
        </w:rPr>
        <w:t>居民区日常管理服务不在本次评价范围内。</w:t>
      </w:r>
    </w:p>
    <w:p w14:paraId="31FAA923">
      <w:pPr>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lang w:val="en-US" w:eastAsia="zh-CN"/>
        </w:rPr>
        <w:t>3.</w:t>
      </w:r>
      <w:r>
        <w:rPr>
          <w:rFonts w:hint="default" w:ascii="Times New Roman" w:hAnsi="Times New Roman" w:cs="Times New Roman"/>
          <w:color w:val="auto"/>
          <w:highlight w:val="none"/>
        </w:rPr>
        <w:t>绩效评价时段</w:t>
      </w:r>
    </w:p>
    <w:p w14:paraId="2B267E61">
      <w:pPr>
        <w:spacing w:before="0" w:after="0" w:line="360" w:lineRule="auto"/>
        <w:ind w:firstLine="664"/>
        <w:rPr>
          <w:rFonts w:hint="default" w:ascii="Times New Roman" w:hAnsi="Times New Roman" w:cs="Times New Roman"/>
          <w:color w:val="auto"/>
          <w:highlight w:val="none"/>
        </w:rPr>
      </w:pPr>
      <w:r>
        <w:rPr>
          <w:rFonts w:hint="default" w:ascii="Times New Roman" w:hAnsi="Times New Roman" w:cs="Times New Roman"/>
          <w:color w:val="auto"/>
          <w:highlight w:val="none"/>
        </w:rPr>
        <w:t>本次绩效评价评价时段为</w:t>
      </w:r>
      <w:r>
        <w:rPr>
          <w:rFonts w:hint="default" w:ascii="Times New Roman" w:hAnsi="Times New Roman" w:cs="Times New Roman"/>
          <w:color w:val="auto"/>
          <w:highlight w:val="none"/>
          <w:lang w:eastAsia="zh-CN"/>
        </w:rPr>
        <w:t>：</w:t>
      </w:r>
      <w:r>
        <w:rPr>
          <w:rFonts w:hint="default" w:ascii="Times New Roman" w:hAnsi="Times New Roman" w:cs="Times New Roman"/>
          <w:color w:val="auto"/>
          <w:highlight w:val="none"/>
          <w:lang w:val="en-US" w:eastAsia="zh-CN"/>
        </w:rPr>
        <w:t>2024</w:t>
      </w:r>
      <w:r>
        <w:rPr>
          <w:rFonts w:hint="default" w:ascii="Times New Roman" w:hAnsi="Times New Roman" w:cs="Times New Roman"/>
          <w:color w:val="auto"/>
          <w:highlight w:val="none"/>
        </w:rPr>
        <w:t>年</w:t>
      </w:r>
      <w:r>
        <w:rPr>
          <w:rFonts w:hint="default" w:ascii="Times New Roman" w:hAnsi="Times New Roman" w:cs="Times New Roman"/>
          <w:color w:val="auto"/>
          <w:highlight w:val="none"/>
          <w:lang w:val="en-US" w:eastAsia="zh-CN"/>
        </w:rPr>
        <w:t>1</w:t>
      </w:r>
      <w:r>
        <w:rPr>
          <w:rFonts w:hint="default" w:ascii="Times New Roman" w:hAnsi="Times New Roman" w:cs="Times New Roman"/>
          <w:color w:val="auto"/>
          <w:highlight w:val="none"/>
        </w:rPr>
        <w:t>月</w:t>
      </w:r>
      <w:r>
        <w:rPr>
          <w:rFonts w:hint="default" w:ascii="Times New Roman" w:hAnsi="Times New Roman" w:cs="Times New Roman"/>
          <w:color w:val="auto"/>
          <w:highlight w:val="none"/>
          <w:lang w:val="en-US" w:eastAsia="zh-CN"/>
        </w:rPr>
        <w:t>-2024</w:t>
      </w:r>
      <w:r>
        <w:rPr>
          <w:rFonts w:hint="default" w:ascii="Times New Roman" w:hAnsi="Times New Roman" w:cs="Times New Roman"/>
          <w:color w:val="auto"/>
          <w:highlight w:val="none"/>
        </w:rPr>
        <w:t>年</w:t>
      </w:r>
      <w:r>
        <w:rPr>
          <w:rFonts w:hint="default" w:ascii="Times New Roman" w:hAnsi="Times New Roman" w:cs="Times New Roman"/>
          <w:color w:val="auto"/>
          <w:highlight w:val="none"/>
          <w:lang w:val="en-US" w:eastAsia="zh-CN"/>
        </w:rPr>
        <w:t>12</w:t>
      </w:r>
      <w:r>
        <w:rPr>
          <w:rFonts w:hint="default" w:ascii="Times New Roman" w:hAnsi="Times New Roman" w:cs="Times New Roman"/>
          <w:color w:val="auto"/>
          <w:highlight w:val="none"/>
        </w:rPr>
        <w:t>月。</w:t>
      </w:r>
    </w:p>
    <w:p w14:paraId="5613D351">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46" w:name="_Toc23126"/>
      <w:r>
        <w:rPr>
          <w:rFonts w:hint="default" w:ascii="Times New Roman" w:hAnsi="Times New Roman" w:cs="Times New Roman"/>
          <w:color w:val="auto"/>
        </w:rPr>
        <w:t>（三）绩效评价原则</w:t>
      </w:r>
      <w:bookmarkEnd w:id="45"/>
      <w:bookmarkEnd w:id="46"/>
    </w:p>
    <w:p w14:paraId="38B143F8">
      <w:pPr>
        <w:spacing w:before="0" w:after="0" w:line="360" w:lineRule="auto"/>
        <w:ind w:firstLine="0"/>
        <w:rPr>
          <w:rFonts w:hint="default" w:ascii="Times New Roman" w:hAnsi="Times New Roman" w:cs="Times New Roman"/>
          <w:color w:val="auto"/>
        </w:rPr>
      </w:pPr>
      <w:r>
        <w:rPr>
          <w:rFonts w:hint="default" w:ascii="Times New Roman" w:hAnsi="Times New Roman" w:cs="Times New Roman"/>
          <w:color w:val="auto"/>
        </w:rPr>
        <w:t>本次绩效评价遵循的原则包括：</w:t>
      </w:r>
    </w:p>
    <w:p w14:paraId="514E6F1C">
      <w:pPr>
        <w:spacing w:before="0" w:after="0" w:line="360" w:lineRule="auto"/>
        <w:ind w:firstLine="0"/>
        <w:rPr>
          <w:rFonts w:hint="default" w:ascii="Times New Roman" w:hAnsi="Times New Roman" w:cs="Times New Roman"/>
          <w:color w:val="auto"/>
        </w:rPr>
      </w:pPr>
      <w:r>
        <w:rPr>
          <w:rFonts w:hint="default" w:ascii="Times New Roman" w:hAnsi="Times New Roman" w:cs="Times New Roman"/>
          <w:color w:val="auto"/>
        </w:rPr>
        <w:t>（1）独立性原则：在评价工作中保持充分的第三方独立性，不受其他第三方不当干预。</w:t>
      </w:r>
    </w:p>
    <w:p w14:paraId="5C80B3AF">
      <w:pPr>
        <w:spacing w:before="0" w:after="0" w:line="360" w:lineRule="auto"/>
        <w:ind w:firstLine="0"/>
        <w:rPr>
          <w:rFonts w:hint="default" w:ascii="Times New Roman" w:hAnsi="Times New Roman" w:cs="Times New Roman"/>
          <w:color w:val="auto"/>
        </w:rPr>
      </w:pPr>
      <w:r>
        <w:rPr>
          <w:rFonts w:hint="default" w:ascii="Times New Roman" w:hAnsi="Times New Roman" w:cs="Times New Roman"/>
          <w:color w:val="auto"/>
        </w:rPr>
        <w:t>（2）客观性原则：第三方机构应当按照协议（合同）约定事项开展绩效评价，以客观事实为依据，实事求是地向委托方提供服务。</w:t>
      </w:r>
    </w:p>
    <w:p w14:paraId="5CA546AE">
      <w:pPr>
        <w:spacing w:before="0" w:after="0" w:line="360" w:lineRule="auto"/>
        <w:ind w:firstLine="0"/>
        <w:rPr>
          <w:rFonts w:hint="default" w:ascii="Times New Roman" w:hAnsi="Times New Roman" w:cs="Times New Roman"/>
          <w:color w:val="auto"/>
        </w:rPr>
      </w:pPr>
      <w:r>
        <w:rPr>
          <w:rFonts w:hint="default" w:ascii="Times New Roman" w:hAnsi="Times New Roman" w:cs="Times New Roman"/>
          <w:color w:val="auto"/>
        </w:rPr>
        <w:t>（3）科学性原则。第三方机构应当履行必要评价程序，对原始资料进行核查验证，选择一种或多种方法进行对比分析，形成结论并出具评价报告。</w:t>
      </w:r>
    </w:p>
    <w:p w14:paraId="5DFA9377">
      <w:pPr>
        <w:spacing w:before="0" w:after="0" w:line="360" w:lineRule="auto"/>
        <w:ind w:firstLine="0"/>
        <w:rPr>
          <w:rFonts w:hint="default" w:ascii="Times New Roman" w:hAnsi="Times New Roman" w:cs="Times New Roman"/>
          <w:color w:val="auto"/>
        </w:rPr>
      </w:pPr>
      <w:r>
        <w:rPr>
          <w:rFonts w:hint="default" w:ascii="Times New Roman" w:hAnsi="Times New Roman" w:cs="Times New Roman"/>
          <w:color w:val="auto"/>
        </w:rPr>
        <w:t>（4）公正性原则：在评价过程中坚持公正、客观地反映实际情况，不隐瞒、弄虚作假。</w:t>
      </w:r>
    </w:p>
    <w:p w14:paraId="16C0A28D">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47" w:name="_Toc16754"/>
      <w:r>
        <w:rPr>
          <w:rFonts w:hint="default" w:ascii="Times New Roman" w:hAnsi="Times New Roman" w:cs="Times New Roman"/>
          <w:color w:val="auto"/>
        </w:rPr>
        <w:t>（四）绩效评价标准</w:t>
      </w:r>
      <w:bookmarkEnd w:id="47"/>
    </w:p>
    <w:p w14:paraId="2C45809B">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绩效评价标准通常包括计划标准、行业标准、历史标准等。本次绩效评价采用</w:t>
      </w:r>
      <w:r>
        <w:rPr>
          <w:rFonts w:hint="default" w:ascii="Times New Roman" w:hAnsi="Times New Roman" w:cs="Times New Roman"/>
          <w:b w:val="0"/>
          <w:bCs w:val="0"/>
          <w:color w:val="auto"/>
        </w:rPr>
        <w:t>计划标准、行业标准</w:t>
      </w:r>
      <w:r>
        <w:rPr>
          <w:rFonts w:hint="default" w:ascii="Times New Roman" w:hAnsi="Times New Roman" w:cs="Times New Roman"/>
          <w:color w:val="auto"/>
        </w:rPr>
        <w:t>，本次绩效评价优先参照国家公布的行业指标数据制定的评价标准，无行业标准的以预先制定的目标、计划、预算、定额等作为评价标准，对比分析项目产出、效益的完成情况。对于定性指标，通过文献查阅、问卷调查及访谈方式，采集相关数据，运用等级描述法，设置分级标准，体现该指标认可程度的差异。对于定量指标，通过公式计算、数据统计等方式予以量化，可以准确衡量，并设定目标值的考核指标。</w:t>
      </w:r>
    </w:p>
    <w:p w14:paraId="51B01BA4">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48" w:name="_Toc7223"/>
      <w:r>
        <w:rPr>
          <w:rFonts w:hint="default" w:ascii="Times New Roman" w:hAnsi="Times New Roman" w:cs="Times New Roman"/>
          <w:color w:val="auto"/>
        </w:rPr>
        <w:t>（五）绩效评价方法</w:t>
      </w:r>
      <w:bookmarkEnd w:id="48"/>
    </w:p>
    <w:p w14:paraId="3BE70A4E">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正确的评价方法是评价工作顺利开展的保障，在结合实际经验的情况下，绩效评价小组根据该项目资金的性质和特点，选</w:t>
      </w:r>
      <w:r>
        <w:rPr>
          <w:rFonts w:hint="default" w:ascii="Times New Roman" w:hAnsi="Times New Roman" w:cs="Times New Roman"/>
          <w:b w:val="0"/>
          <w:bCs w:val="0"/>
          <w:color w:val="auto"/>
        </w:rPr>
        <w:t>用比较法、因素分析法、公众评判法以及文献法</w:t>
      </w:r>
      <w:r>
        <w:rPr>
          <w:rFonts w:hint="default" w:ascii="Times New Roman" w:hAnsi="Times New Roman" w:cs="Times New Roman"/>
          <w:color w:val="auto"/>
        </w:rPr>
        <w:t>对项目进行评价，旨在通过综合分析影响绩效目标实现、实施效果的内外部因素，从而评价该项目绩效。</w:t>
      </w:r>
    </w:p>
    <w:p w14:paraId="40E8C9DB">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（1）项目决策类指标评价方法</w:t>
      </w:r>
    </w:p>
    <w:p w14:paraId="68C133A4">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立项依据合理性：比较法和文献法，查找法律法规政策以及规划，对比实际执行内容和政策支持内容是否匹配，分析立项依据充分性。</w:t>
      </w:r>
    </w:p>
    <w:p w14:paraId="28837751">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立项程序规范性：比较法和文献法，查找相关项目设立的政策和文件要求，对比分析实际执行程序是否按照政策及文件要求执行，分析立项程序的规范性。</w:t>
      </w:r>
    </w:p>
    <w:p w14:paraId="4C30A887">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绩效目标合理性：文献法和因素分析法，对比分析年初编制项目支出绩效目标表与项目内容的相关性、资金的匹配性等。</w:t>
      </w:r>
    </w:p>
    <w:p w14:paraId="3D0C78C9">
      <w:pPr>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color w:val="auto"/>
        </w:rPr>
      </w:pPr>
      <w:r>
        <w:rPr>
          <w:rFonts w:hint="default" w:ascii="Times New Roman" w:hAnsi="Times New Roman" w:cs="Times New Roman"/>
          <w:lang w:val="en-US" w:eastAsia="zh-CN"/>
        </w:rPr>
        <w:t>绩效指标明确性：</w:t>
      </w:r>
      <w:r>
        <w:rPr>
          <w:rFonts w:hint="default" w:ascii="Times New Roman" w:hAnsi="Times New Roman" w:cs="Times New Roman"/>
          <w:color w:val="auto"/>
        </w:rPr>
        <w:t>文献法和因素分析法，分析年初编制项目支出绩效</w:t>
      </w:r>
      <w:r>
        <w:rPr>
          <w:rFonts w:hint="default" w:ascii="Times New Roman" w:hAnsi="Times New Roman" w:cs="Times New Roman"/>
          <w:color w:val="auto"/>
          <w:lang w:val="en-US" w:eastAsia="zh-CN"/>
        </w:rPr>
        <w:t>目标</w:t>
      </w:r>
      <w:r>
        <w:rPr>
          <w:rFonts w:hint="default" w:ascii="Times New Roman" w:hAnsi="Times New Roman" w:cs="Times New Roman"/>
          <w:color w:val="auto"/>
        </w:rPr>
        <w:t>内容</w:t>
      </w:r>
      <w:r>
        <w:rPr>
          <w:rFonts w:hint="default" w:ascii="Times New Roman" w:hAnsi="Times New Roman" w:cs="Times New Roman"/>
          <w:color w:val="auto"/>
          <w:lang w:val="en-US" w:eastAsia="zh-CN"/>
        </w:rPr>
        <w:t>是否</w:t>
      </w:r>
      <w:r>
        <w:rPr>
          <w:rFonts w:hint="default" w:ascii="Times New Roman" w:hAnsi="Times New Roman" w:cs="Times New Roman"/>
          <w:color w:val="auto"/>
        </w:rPr>
        <w:t>指向明确，可通过清晰、可衡量的指标予以体现，指标设置清晰准确，且量化易评等。</w:t>
      </w:r>
    </w:p>
    <w:p w14:paraId="5389278D">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预算编制科学性：比较法和因素分析法，项目预算编制是否经过科学论证、有明确标准，资金额度与年度目标是否相适应，用以反映和考核项目预算编制的科学性、合理性情况。</w:t>
      </w:r>
    </w:p>
    <w:p w14:paraId="04E1BE00">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资金分配合理性：因素分析法，综合分析资金的分配依据是否充分，分配金额是否与项目实施单位需求金额一致。</w:t>
      </w:r>
    </w:p>
    <w:p w14:paraId="6191BD45">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（2）项目过程类指标评价方法</w:t>
      </w:r>
    </w:p>
    <w:p w14:paraId="24AA2E49">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资金到位率：比较法和因素分析法，项目是否完成且资金到位数满足年度预算规模需求；项目尚未完成，分析实际完成值和预期指标值之间的差距和原因。</w:t>
      </w:r>
    </w:p>
    <w:p w14:paraId="23A87ECE">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预算执行率：比较法和因素分析法，项目是否完成且执行数控制在年度预算规模之内的；项目尚未完成，并分析实际完成值和预期指标值之间的差距和原因。</w:t>
      </w:r>
    </w:p>
    <w:p w14:paraId="4B904E35">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资金使用合规性：比较法、文献法和因素分析法等，通过实地调研，检查项目资金使用情况，对比专项资金管理办法要求，分析资金使用合规性。</w:t>
      </w:r>
    </w:p>
    <w:p w14:paraId="5A0A2A0A">
      <w:pPr>
        <w:spacing w:before="0" w:after="0" w:line="360" w:lineRule="auto"/>
        <w:ind w:firstLine="420"/>
        <w:rPr>
          <w:rFonts w:hint="default" w:ascii="Times New Roman" w:hAnsi="Times New Roman" w:cs="Times New Roman" w:eastAsiaTheme="minorEastAsia"/>
          <w:color w:val="auto"/>
          <w:lang w:val="en-US" w:eastAsia="zh-CN"/>
        </w:rPr>
      </w:pPr>
      <w:r>
        <w:rPr>
          <w:rFonts w:hint="default" w:ascii="Times New Roman" w:hAnsi="Times New Roman" w:cs="Times New Roman"/>
          <w:color w:val="auto"/>
        </w:rPr>
        <w:t>管理制度健全性：比较法、文献法和因素分析法等，</w:t>
      </w:r>
      <w:r>
        <w:rPr>
          <w:rFonts w:hint="default" w:ascii="Times New Roman" w:hAnsi="Times New Roman" w:cs="Times New Roman"/>
          <w:color w:val="auto"/>
          <w:highlight w:val="none"/>
          <w:lang w:val="en-US" w:eastAsia="zh-CN"/>
        </w:rPr>
        <w:t>购买主体是否为保障资金的安全、规范运行而采取了必要的监督检查措施，用以反映和考核购买主体对资金运行的监督情况。</w:t>
      </w:r>
    </w:p>
    <w:p w14:paraId="4DD77BC9">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管理制度健全性</w:t>
      </w:r>
      <w:r>
        <w:rPr>
          <w:rFonts w:hint="default" w:ascii="Times New Roman" w:hAnsi="Times New Roman" w:cs="Times New Roman"/>
          <w:color w:val="auto"/>
          <w:lang w:eastAsia="zh-CN"/>
        </w:rPr>
        <w:t>：</w:t>
      </w:r>
      <w:r>
        <w:rPr>
          <w:rFonts w:hint="default" w:ascii="Times New Roman" w:hAnsi="Times New Roman" w:cs="Times New Roman"/>
          <w:color w:val="auto"/>
        </w:rPr>
        <w:t>比较法、文献法和因素分析法等，购买主体和承接主体的财务和业务管理制度是否健全，用以反映和考核财务和业务管理制度对政府购买服务顺利实施的保障情况。</w:t>
      </w:r>
    </w:p>
    <w:p w14:paraId="2EC3F2C0">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项目采购管理规范性</w:t>
      </w:r>
      <w:r>
        <w:rPr>
          <w:rFonts w:hint="default" w:ascii="Times New Roman" w:hAnsi="Times New Roman" w:cs="Times New Roman"/>
          <w:color w:val="auto"/>
          <w:lang w:eastAsia="zh-CN"/>
        </w:rPr>
        <w:t>：</w:t>
      </w:r>
      <w:r>
        <w:rPr>
          <w:rFonts w:hint="default" w:ascii="Times New Roman" w:hAnsi="Times New Roman" w:cs="Times New Roman"/>
          <w:color w:val="auto"/>
        </w:rPr>
        <w:t>比较法、文献法和因素分析法等，考核购买主体是否按照要求公开购买服务信息；是否按照政府采购法等有关规定，通过公平公正择优确认承接主体，用以反映和考核购买主体实施项目采购过程的规范执行情况。</w:t>
      </w:r>
    </w:p>
    <w:p w14:paraId="26B92DEF">
      <w:pPr>
        <w:spacing w:before="0" w:after="0" w:line="360" w:lineRule="auto"/>
        <w:ind w:firstLine="420"/>
        <w:rPr>
          <w:rFonts w:hint="default" w:ascii="Times New Roman" w:hAnsi="Times New Roman" w:cs="Times New Roman" w:eastAsiaTheme="minorEastAsia"/>
          <w:color w:val="auto"/>
          <w:lang w:val="en-US" w:eastAsia="zh-CN"/>
        </w:rPr>
      </w:pPr>
      <w:r>
        <w:rPr>
          <w:rFonts w:hint="default" w:ascii="Times New Roman" w:hAnsi="Times New Roman" w:cs="Times New Roman"/>
          <w:color w:val="auto"/>
          <w:lang w:eastAsia="zh-CN"/>
        </w:rPr>
        <w:t>项目实施管理规范性</w:t>
      </w:r>
      <w:r>
        <w:rPr>
          <w:rFonts w:hint="default" w:ascii="Times New Roman" w:hAnsi="Times New Roman" w:cs="Times New Roman"/>
          <w:color w:val="auto"/>
        </w:rPr>
        <w:t>：比较法、文献法和因素分析法等，</w:t>
      </w:r>
      <w:r>
        <w:rPr>
          <w:rFonts w:hint="default" w:ascii="Times New Roman" w:hAnsi="Times New Roman" w:cs="Times New Roman"/>
          <w:color w:val="auto"/>
          <w:highlight w:val="none"/>
          <w:lang w:val="en-US" w:eastAsia="zh-CN"/>
        </w:rPr>
        <w:t>考核项目实施是否签订书面合同，合同签订内容是否完整，是否写明服务标准、时限，合同签订时限是否超过3年；合同签订内容是否符合政府购买服务政策、履职范围、服务内容、指导性目录等有关规定；政府购买服务合同是否依法予以公告；购买主体是否建立履约管理机制，是否开展绩效执行监控；购买主体是否建立项目考核验收机制；承接主体人员和设施设备等资源配置状况是否满足提供公共服务需求，管理规定，用以反映和考核相关管理制度的有效执行情况。</w:t>
      </w:r>
    </w:p>
    <w:p w14:paraId="1907422E">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（3）项目产出类指标评价方法</w:t>
      </w:r>
    </w:p>
    <w:p w14:paraId="1857A3C1">
      <w:pPr>
        <w:spacing w:before="0" w:after="0" w:line="360" w:lineRule="auto"/>
        <w:ind w:firstLine="420"/>
        <w:rPr>
          <w:rFonts w:hint="default" w:ascii="Times New Roman" w:hAnsi="Times New Roman" w:cs="Times New Roman" w:eastAsiaTheme="minorEastAsia"/>
          <w:color w:val="auto"/>
          <w:lang w:eastAsia="zh-CN"/>
        </w:rPr>
      </w:pPr>
      <w:r>
        <w:rPr>
          <w:rFonts w:hint="default" w:ascii="Times New Roman" w:hAnsi="Times New Roman" w:cs="Times New Roman"/>
          <w:color w:val="auto"/>
        </w:rPr>
        <w:t>项目</w:t>
      </w:r>
      <w:r>
        <w:rPr>
          <w:rFonts w:hint="default" w:ascii="Times New Roman" w:hAnsi="Times New Roman" w:cs="Times New Roman"/>
          <w:color w:val="auto"/>
          <w:lang w:val="en-US" w:eastAsia="zh-CN"/>
        </w:rPr>
        <w:t>产出</w:t>
      </w:r>
      <w:r>
        <w:rPr>
          <w:rFonts w:hint="default" w:ascii="Times New Roman" w:hAnsi="Times New Roman" w:cs="Times New Roman"/>
          <w:color w:val="auto"/>
        </w:rPr>
        <w:t>类指标主要采用比较法和因素分析法，通过对比实际完成值和预期指标值</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综合分析影响绩效目标实现的内外部因素</w:t>
      </w:r>
      <w:r>
        <w:rPr>
          <w:rFonts w:hint="default" w:ascii="Times New Roman" w:hAnsi="Times New Roman" w:cs="Times New Roman"/>
          <w:color w:val="auto"/>
        </w:rPr>
        <w:t>。</w:t>
      </w:r>
    </w:p>
    <w:p w14:paraId="14AA5B91">
      <w:pPr>
        <w:bidi w:val="0"/>
        <w:spacing w:before="0" w:after="0" w:line="360" w:lineRule="auto"/>
        <w:rPr>
          <w:rFonts w:hint="default" w:ascii="Times New Roman" w:hAnsi="Times New Roman" w:cs="Times New Roman" w:eastAsiaTheme="minorEastAsia"/>
          <w:color w:val="auto"/>
          <w:lang w:val="en-US" w:eastAsia="zh-CN"/>
        </w:rPr>
      </w:pPr>
      <w:r>
        <w:rPr>
          <w:rFonts w:hint="default" w:ascii="Times New Roman" w:hAnsi="Times New Roman" w:cs="Times New Roman"/>
          <w:color w:val="auto"/>
          <w:highlight w:val="none"/>
          <w:lang w:val="en-US" w:eastAsia="zh-CN"/>
        </w:rPr>
        <w:t>一般量化统计类等定量指标：通过对比实际完成值和预期指标值和历史值对比分析，达成预期指标值的，记该指标所赋全部分值；对完成值高于指标值较多的，要分析原因，如果是由于年初指标值设定明显偏低造成的，要按照偏离度适度调减分值；未完成指标值的，按照完成值与指标值的比值计算分值。</w:t>
      </w:r>
    </w:p>
    <w:p w14:paraId="30A1097A">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（4）项目效益类指标评价方法</w:t>
      </w:r>
    </w:p>
    <w:p w14:paraId="74137DA2">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项目效益类指标主要采用公众评判法，辅以文献法、比较法和因素分析法，通过问卷及抽样调查等方式评价该项目实施后社会公众对于其实施效果的满意程度。</w:t>
      </w:r>
    </w:p>
    <w:p w14:paraId="282CC968">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①文献研究法：对项目实施内容、预算执行管理要求、活动完成情况及预期效果实现情况等相关资料进行研究、比较、分析，提取重要信息。</w:t>
      </w:r>
    </w:p>
    <w:p w14:paraId="7AC12B5D">
      <w:pPr>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②公众评判法：利益相关方对实施效果的反馈对本次评价工作具有重要意义，评价过程中采用个别访谈或调查问卷等方式开展相关工作。调研结果参照《关于印发&lt;自治区项目支出绩效目标设置指引&gt;的通知</w:t>
      </w:r>
      <w:r>
        <w:rPr>
          <w:rFonts w:hint="default" w:ascii="Times New Roman" w:hAnsi="Times New Roman" w:cs="Times New Roman"/>
          <w:color w:val="auto"/>
          <w:lang w:eastAsia="zh-CN"/>
        </w:rPr>
        <w:t>》</w:t>
      </w:r>
      <w:r>
        <w:rPr>
          <w:rFonts w:hint="default" w:ascii="Times New Roman" w:hAnsi="Times New Roman" w:cs="Times New Roman"/>
          <w:color w:val="auto"/>
        </w:rPr>
        <w:t>（新财预〔2022〕42 号）文件，分为基本达成目标、部分实现目标、实现目标程度较低三档，分别按照该指标对应分值区间 100%-80%（含）、80%-60%（含）、60%-0%合理确定分值。</w:t>
      </w:r>
    </w:p>
    <w:p w14:paraId="1D30010B">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49" w:name="_Toc31310"/>
      <w:r>
        <w:rPr>
          <w:rFonts w:hint="default" w:ascii="Times New Roman" w:hAnsi="Times New Roman" w:cs="Times New Roman"/>
          <w:color w:val="auto"/>
        </w:rPr>
        <w:t>（六）绩效评价指标体系设计</w:t>
      </w:r>
      <w:bookmarkEnd w:id="49"/>
    </w:p>
    <w:p w14:paraId="4DCFA49A">
      <w:pPr>
        <w:spacing w:before="0" w:after="0" w:line="360" w:lineRule="auto"/>
        <w:rPr>
          <w:rFonts w:hint="default" w:ascii="Times New Roman" w:hAnsi="Times New Roman" w:cs="Times New Roman"/>
          <w:color w:val="auto"/>
          <w:lang w:val="en-US" w:eastAsia="zh-CN"/>
        </w:rPr>
      </w:pPr>
      <w:bookmarkStart w:id="50" w:name="_Toc68364663"/>
      <w:r>
        <w:rPr>
          <w:rFonts w:hint="default" w:ascii="Times New Roman" w:hAnsi="Times New Roman" w:cs="Times New Roman"/>
          <w:color w:val="auto"/>
          <w:highlight w:val="none"/>
          <w:lang w:val="en-US" w:eastAsia="zh-CN"/>
        </w:rPr>
        <w:t>本次绩效评价指标体系设置分为共性指标体系部分和个性指标体系部分，其中</w:t>
      </w:r>
      <w:r>
        <w:rPr>
          <w:rFonts w:hint="default" w:ascii="Times New Roman" w:hAnsi="Times New Roman" w:cs="Times New Roman" w:eastAsiaTheme="minorEastAsia"/>
          <w:color w:val="auto"/>
          <w:highlight w:val="none"/>
          <w:lang w:val="en-US" w:eastAsia="zh-CN"/>
        </w:rPr>
        <w:t>共性指标部分</w:t>
      </w:r>
      <w:r>
        <w:rPr>
          <w:rFonts w:hint="default" w:ascii="Times New Roman" w:hAnsi="Times New Roman" w:cs="Times New Roman"/>
          <w:color w:val="auto"/>
          <w:highlight w:val="none"/>
          <w:lang w:val="en-US" w:eastAsia="zh-CN"/>
        </w:rPr>
        <w:t>，</w:t>
      </w:r>
      <w:r>
        <w:rPr>
          <w:rFonts w:hint="default" w:ascii="Times New Roman" w:hAnsi="Times New Roman" w:cs="Times New Roman" w:eastAsiaTheme="minorEastAsia"/>
          <w:color w:val="auto"/>
          <w:highlight w:val="none"/>
          <w:lang w:val="en-US" w:eastAsia="zh-CN"/>
        </w:rPr>
        <w:t>参照</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eastAsiaTheme="minorEastAsia"/>
          <w:color w:val="auto"/>
          <w:highlight w:val="none"/>
          <w:lang w:val="en-US" w:eastAsia="zh-CN"/>
        </w:rPr>
        <w:t>《项目支出绩效评价管理办法》（财预〔2020〕10号）指导绩效评价体系设置</w:t>
      </w:r>
      <w:r>
        <w:rPr>
          <w:rFonts w:hint="default" w:ascii="Times New Roman" w:hAnsi="Times New Roman" w:cs="Times New Roman"/>
          <w:color w:val="auto"/>
          <w:highlight w:val="none"/>
          <w:lang w:val="en-US" w:eastAsia="zh-CN"/>
        </w:rPr>
        <w:t>；</w:t>
      </w:r>
      <w:r>
        <w:rPr>
          <w:rFonts w:hint="default" w:ascii="Times New Roman" w:hAnsi="Times New Roman" w:cs="Times New Roman" w:eastAsiaTheme="minorEastAsia"/>
          <w:color w:val="auto"/>
          <w:highlight w:val="none"/>
          <w:lang w:val="en-US" w:eastAsia="zh-CN"/>
        </w:rPr>
        <w:t>绩效评价小组根据</w:t>
      </w:r>
      <w:r>
        <w:rPr>
          <w:rFonts w:hint="default" w:ascii="Times New Roman" w:hAnsi="Times New Roman" w:cs="Times New Roman"/>
          <w:color w:val="auto"/>
          <w:highlight w:val="none"/>
          <w:lang w:val="en-US" w:eastAsia="zh-CN"/>
        </w:rPr>
        <w:t>项目实施单位提供的</w:t>
      </w:r>
      <w:r>
        <w:rPr>
          <w:rFonts w:hint="default" w:ascii="Times New Roman" w:hAnsi="Times New Roman" w:cs="Times New Roman" w:eastAsiaTheme="minorEastAsia"/>
          <w:color w:val="auto"/>
          <w:highlight w:val="none"/>
          <w:lang w:val="en-US" w:eastAsia="zh-CN"/>
        </w:rPr>
        <w:t>《吉木萨尔县城市管理服务</w:t>
      </w:r>
      <w:r>
        <w:rPr>
          <w:rFonts w:hint="default" w:ascii="Times New Roman" w:hAnsi="Times New Roman" w:cs="Times New Roman"/>
          <w:color w:val="auto"/>
          <w:lang w:val="en-US" w:eastAsia="zh-CN"/>
        </w:rPr>
        <w:t>“三位一体”</w:t>
      </w:r>
      <w:r>
        <w:rPr>
          <w:rFonts w:hint="default" w:ascii="Times New Roman" w:hAnsi="Times New Roman" w:cs="Times New Roman" w:eastAsiaTheme="minorEastAsia"/>
          <w:color w:val="auto"/>
          <w:highlight w:val="none"/>
          <w:lang w:val="en-US" w:eastAsia="zh-CN"/>
        </w:rPr>
        <w:t>委托运营项目服务合同》</w:t>
      </w:r>
      <w:r>
        <w:rPr>
          <w:rFonts w:hint="default" w:ascii="Times New Roman" w:hAnsi="Times New Roman" w:cs="Times New Roman"/>
          <w:color w:val="auto"/>
          <w:highlight w:val="none"/>
          <w:lang w:val="en-US" w:eastAsia="zh-CN"/>
        </w:rPr>
        <w:t>《绩效目标表》优化和完善</w:t>
      </w:r>
      <w:r>
        <w:rPr>
          <w:rFonts w:hint="default" w:ascii="Times New Roman" w:hAnsi="Times New Roman" w:cs="Times New Roman" w:eastAsiaTheme="minorEastAsia"/>
          <w:color w:val="auto"/>
          <w:highlight w:val="none"/>
          <w:lang w:val="en-US" w:eastAsia="zh-CN"/>
        </w:rPr>
        <w:t>绩效评价指标体系，</w:t>
      </w:r>
      <w:r>
        <w:rPr>
          <w:rFonts w:hint="default" w:ascii="Times New Roman" w:hAnsi="Times New Roman" w:cs="Times New Roman"/>
          <w:color w:val="auto"/>
          <w:lang w:val="zh-TW" w:eastAsia="zh-TW"/>
        </w:rPr>
        <w:t>全面反映</w:t>
      </w:r>
      <w:r>
        <w:rPr>
          <w:rFonts w:hint="default" w:ascii="Times New Roman" w:hAnsi="Times New Roman" w:cs="Times New Roman"/>
          <w:color w:val="auto"/>
          <w:lang w:val="en-US" w:eastAsia="zh-CN"/>
        </w:rPr>
        <w:t>政府购买服务</w:t>
      </w:r>
      <w:r>
        <w:rPr>
          <w:rFonts w:hint="default" w:ascii="Times New Roman" w:hAnsi="Times New Roman" w:cs="Times New Roman"/>
          <w:color w:val="auto"/>
          <w:lang w:val="zh-TW" w:eastAsia="zh-TW"/>
        </w:rPr>
        <w:t>类项目立项程序、实施过程、资金管理、实际产出和产生的效益；优先选取最具代表性、最能直接反映产出和效益的核心指标，精简实用；指标名称与指标值明确、具体、可衡量，相关数据及佐证资料可采集、可获得；</w:t>
      </w:r>
      <w:r>
        <w:rPr>
          <w:rFonts w:hint="default" w:ascii="Times New Roman" w:hAnsi="Times New Roman" w:cs="Times New Roman"/>
          <w:color w:val="auto"/>
        </w:rPr>
        <w:t>绩效评价小组结合项目的实际情况，综合考虑相关性、重要性、可衡量性、可操作性和可实现性，按照逻辑分析法设计本次绩效评价指标体系，</w:t>
      </w:r>
      <w:r>
        <w:rPr>
          <w:rFonts w:hint="default" w:ascii="Times New Roman" w:hAnsi="Times New Roman" w:cs="Times New Roman"/>
          <w:color w:val="auto"/>
          <w:lang w:val="en-US" w:eastAsia="zh-CN"/>
        </w:rPr>
        <w:t>共</w:t>
      </w:r>
      <w:r>
        <w:rPr>
          <w:rFonts w:hint="default" w:ascii="Times New Roman" w:hAnsi="Times New Roman" w:cs="Times New Roman"/>
          <w:color w:val="auto"/>
          <w:lang w:val="zh-TW" w:eastAsia="zh-TW"/>
        </w:rPr>
        <w:t>设置一级指标共</w:t>
      </w:r>
      <w:r>
        <w:rPr>
          <w:rFonts w:hint="default" w:ascii="Times New Roman" w:hAnsi="Times New Roman" w:cs="Times New Roman"/>
          <w:color w:val="auto"/>
          <w:lang w:val="en-US" w:eastAsia="zh-CN"/>
        </w:rPr>
        <w:t>4</w:t>
      </w:r>
      <w:r>
        <w:rPr>
          <w:rFonts w:hint="default" w:ascii="Times New Roman" w:hAnsi="Times New Roman" w:cs="Times New Roman"/>
          <w:color w:val="auto"/>
          <w:lang w:val="zh-TW" w:eastAsia="zh-TW"/>
        </w:rPr>
        <w:t>个，包括</w:t>
      </w:r>
      <w:r>
        <w:rPr>
          <w:rFonts w:hint="default" w:ascii="Times New Roman" w:hAnsi="Times New Roman" w:cs="Times New Roman"/>
          <w:color w:val="auto"/>
          <w:lang w:val="zh-TW" w:eastAsia="zh-CN"/>
        </w:rPr>
        <w:t>：</w:t>
      </w:r>
      <w:r>
        <w:rPr>
          <w:rFonts w:hint="default" w:ascii="Times New Roman" w:hAnsi="Times New Roman" w:cs="Times New Roman"/>
          <w:color w:val="auto"/>
          <w:lang w:val="zh-TW" w:eastAsia="zh-TW"/>
        </w:rPr>
        <w:t>决策指标（</w:t>
      </w:r>
      <w:r>
        <w:rPr>
          <w:rFonts w:hint="default" w:ascii="Times New Roman" w:hAnsi="Times New Roman" w:cs="Times New Roman"/>
          <w:color w:val="auto"/>
          <w:lang w:val="en-US"/>
        </w:rPr>
        <w:t>15.00</w:t>
      </w:r>
      <w:r>
        <w:rPr>
          <w:rFonts w:hint="default" w:ascii="Times New Roman" w:hAnsi="Times New Roman" w:cs="Times New Roman"/>
          <w:color w:val="auto"/>
          <w:lang w:val="zh-TW" w:eastAsia="zh-TW"/>
        </w:rPr>
        <w:t>%）、过程指标（</w:t>
      </w:r>
      <w:r>
        <w:rPr>
          <w:rFonts w:hint="default" w:ascii="Times New Roman" w:hAnsi="Times New Roman" w:cs="Times New Roman"/>
          <w:color w:val="auto"/>
        </w:rPr>
        <w:t>25.00</w:t>
      </w:r>
      <w:r>
        <w:rPr>
          <w:rFonts w:hint="default" w:ascii="Times New Roman" w:hAnsi="Times New Roman" w:cs="Times New Roman"/>
          <w:color w:val="auto"/>
          <w:lang w:val="zh-TW" w:eastAsia="zh-TW"/>
        </w:rPr>
        <w:t>%）、产出指标（</w:t>
      </w:r>
      <w:r>
        <w:rPr>
          <w:rFonts w:hint="default" w:ascii="Times New Roman" w:hAnsi="Times New Roman" w:cs="Times New Roman"/>
          <w:color w:val="auto"/>
        </w:rPr>
        <w:t>30.00</w:t>
      </w:r>
      <w:r>
        <w:rPr>
          <w:rFonts w:hint="default" w:ascii="Times New Roman" w:hAnsi="Times New Roman" w:cs="Times New Roman"/>
          <w:color w:val="auto"/>
          <w:lang w:val="zh-TW" w:eastAsia="zh-TW"/>
        </w:rPr>
        <w:t>%）、效益指标（</w:t>
      </w:r>
      <w:r>
        <w:rPr>
          <w:rFonts w:hint="default" w:ascii="Times New Roman" w:hAnsi="Times New Roman" w:cs="Times New Roman"/>
          <w:color w:val="auto"/>
        </w:rPr>
        <w:t>30.00</w:t>
      </w:r>
      <w:r>
        <w:rPr>
          <w:rFonts w:hint="default" w:ascii="Times New Roman" w:hAnsi="Times New Roman" w:cs="Times New Roman"/>
          <w:color w:val="auto"/>
          <w:lang w:val="zh-TW" w:eastAsia="zh-TW"/>
        </w:rPr>
        <w:t>%）四类指标</w:t>
      </w:r>
      <w:r>
        <w:rPr>
          <w:rFonts w:hint="default" w:ascii="Times New Roman" w:hAnsi="Times New Roman" w:cs="Times New Roman"/>
          <w:color w:val="auto"/>
          <w:lang w:val="zh-TW" w:eastAsia="zh-CN"/>
        </w:rPr>
        <w:t>，</w:t>
      </w:r>
      <w:r>
        <w:rPr>
          <w:rFonts w:hint="default" w:ascii="Times New Roman" w:hAnsi="Times New Roman" w:cs="Times New Roman"/>
          <w:color w:val="auto"/>
          <w:lang w:val="en-US" w:eastAsia="zh-CN"/>
        </w:rPr>
        <w:t>具体指标分类如下：</w:t>
      </w:r>
    </w:p>
    <w:p w14:paraId="36D3C3FC">
      <w:pPr>
        <w:spacing w:before="0" w:after="0" w:line="360" w:lineRule="auto"/>
        <w:rPr>
          <w:rFonts w:hint="default" w:ascii="Times New Roman" w:hAnsi="Times New Roman" w:cs="Times New Roman"/>
          <w:color w:val="auto"/>
          <w:lang w:eastAsia="zh-CN"/>
        </w:rPr>
      </w:pPr>
      <w:r>
        <w:rPr>
          <w:rFonts w:hint="default" w:ascii="Times New Roman" w:hAnsi="Times New Roman" w:cs="Times New Roman"/>
          <w:color w:val="auto"/>
          <w:lang w:val="en-US" w:eastAsia="zh-CN"/>
        </w:rPr>
        <w:t>决策指标</w:t>
      </w:r>
      <w:r>
        <w:rPr>
          <w:rFonts w:hint="default" w:ascii="Times New Roman" w:hAnsi="Times New Roman" w:cs="Times New Roman"/>
          <w:color w:val="auto"/>
          <w:lang w:eastAsia="zh-CN"/>
        </w:rPr>
        <w:t>：</w:t>
      </w:r>
      <w:r>
        <w:rPr>
          <w:rFonts w:hint="default" w:ascii="Times New Roman" w:hAnsi="Times New Roman" w:cs="Times New Roman"/>
          <w:color w:val="auto"/>
        </w:rPr>
        <w:t>A11立项依据合理性、A21项目立项规范性、A31绩效目标合理性、A32绩效指标明确性、A41预算编制科学性、A42资金分配合理性</w:t>
      </w:r>
      <w:r>
        <w:rPr>
          <w:rFonts w:hint="default" w:ascii="Times New Roman" w:hAnsi="Times New Roman" w:cs="Times New Roman"/>
          <w:color w:val="auto"/>
          <w:lang w:eastAsia="zh-CN"/>
        </w:rPr>
        <w:t>。</w:t>
      </w:r>
    </w:p>
    <w:p w14:paraId="747260DD">
      <w:pPr>
        <w:spacing w:before="0" w:after="0" w:line="360" w:lineRule="auto"/>
        <w:rPr>
          <w:rFonts w:hint="default" w:ascii="Times New Roman" w:hAnsi="Times New Roman" w:cs="Times New Roman"/>
          <w:color w:val="auto"/>
          <w:lang w:eastAsia="zh-CN"/>
        </w:rPr>
      </w:pPr>
      <w:r>
        <w:rPr>
          <w:rFonts w:hint="default" w:ascii="Times New Roman" w:hAnsi="Times New Roman" w:cs="Times New Roman"/>
          <w:color w:val="auto"/>
          <w:lang w:val="en-US" w:eastAsia="zh-CN"/>
        </w:rPr>
        <w:t>过程指标：</w:t>
      </w:r>
      <w:r>
        <w:rPr>
          <w:rFonts w:hint="default" w:ascii="Times New Roman" w:hAnsi="Times New Roman" w:cs="Times New Roman"/>
          <w:color w:val="auto"/>
        </w:rPr>
        <w:t>B11资金到位率、B12预算执行率、B13资金使用合规性、B14财务监督有效性、B21管理制度健全性、B22项目采购管理规范性、B23</w:t>
      </w:r>
      <w:r>
        <w:rPr>
          <w:rFonts w:hint="default" w:ascii="Times New Roman" w:hAnsi="Times New Roman" w:cs="Times New Roman"/>
          <w:color w:val="auto"/>
          <w:lang w:eastAsia="zh-CN"/>
        </w:rPr>
        <w:t>项目实施管理规范性。</w:t>
      </w:r>
    </w:p>
    <w:p w14:paraId="22BB20F7">
      <w:pPr>
        <w:pageBreakBefore w:val="0"/>
        <w:kinsoku/>
        <w:wordWrap/>
        <w:overflowPunct/>
        <w:topLinePunct w:val="0"/>
        <w:autoSpaceDE/>
        <w:autoSpaceDN/>
        <w:bidi w:val="0"/>
        <w:snapToGrid w:val="0"/>
        <w:spacing w:before="0" w:after="0" w:line="360" w:lineRule="auto"/>
        <w:rPr>
          <w:rFonts w:hint="default" w:ascii="Times New Roman" w:hAnsi="Times New Roman" w:cs="Times New Roman"/>
          <w:color w:val="auto"/>
          <w:lang w:eastAsia="zh-CN"/>
        </w:rPr>
      </w:pPr>
      <w:r>
        <w:rPr>
          <w:rFonts w:hint="default" w:ascii="Times New Roman" w:hAnsi="Times New Roman" w:cs="Times New Roman"/>
          <w:color w:val="auto"/>
        </w:rPr>
        <w:t>产出指标</w:t>
      </w:r>
      <w:r>
        <w:rPr>
          <w:rFonts w:hint="default" w:ascii="Times New Roman" w:hAnsi="Times New Roman" w:cs="Times New Roman"/>
          <w:color w:val="auto"/>
          <w:lang w:eastAsia="zh-CN"/>
        </w:rPr>
        <w:t>：C11道路清洁保洁服务完成率、C12清洁公厕服务完成率、C13冬季除雪服务完成率、C14建设完成智慧环卫平台建设服务完成率、C15园林绿化养护服务完成率、C16游园维修服务完成率、C17垃圾场管理服务完成率、C21环卫保洁季度考核合格率、C22园林保洁季度考核合格率、C31</w:t>
      </w:r>
      <w:r>
        <w:rPr>
          <w:rFonts w:hint="eastAsia" w:cs="Times New Roman"/>
          <w:color w:val="auto"/>
          <w:lang w:eastAsia="zh-CN"/>
        </w:rPr>
        <w:t>项目服务考核完成及时率</w:t>
      </w:r>
      <w:r>
        <w:rPr>
          <w:rFonts w:hint="default" w:ascii="Times New Roman" w:hAnsi="Times New Roman" w:cs="Times New Roman"/>
          <w:color w:val="auto"/>
          <w:lang w:eastAsia="zh-CN"/>
        </w:rPr>
        <w:t>、C41年度服务费、C4</w:t>
      </w:r>
      <w:r>
        <w:rPr>
          <w:rFonts w:hint="eastAsia" w:cs="Times New Roman"/>
          <w:color w:val="auto"/>
          <w:lang w:val="en-US" w:eastAsia="zh-CN"/>
        </w:rPr>
        <w:t>2</w:t>
      </w:r>
      <w:r>
        <w:rPr>
          <w:rFonts w:hint="default" w:ascii="Times New Roman" w:hAnsi="Times New Roman" w:cs="Times New Roman"/>
          <w:color w:val="auto"/>
          <w:lang w:eastAsia="zh-CN"/>
        </w:rPr>
        <w:t>承接主体对城市节日氛围打造投入费用。</w:t>
      </w:r>
    </w:p>
    <w:p w14:paraId="3935082F">
      <w:pPr>
        <w:spacing w:before="0" w:after="0" w:line="360" w:lineRule="auto"/>
        <w:rPr>
          <w:rFonts w:hint="default" w:ascii="Times New Roman" w:hAnsi="Times New Roman" w:cs="Times New Roman" w:eastAsiaTheme="minorEastAsia"/>
          <w:color w:val="auto"/>
          <w:lang w:eastAsia="zh-CN"/>
        </w:rPr>
      </w:pPr>
      <w:r>
        <w:rPr>
          <w:rFonts w:hint="default" w:ascii="Times New Roman" w:hAnsi="Times New Roman" w:cs="Times New Roman"/>
          <w:b w:val="0"/>
          <w:bCs w:val="0"/>
          <w:color w:val="auto"/>
          <w:lang w:val="en-US" w:eastAsia="zh-CN"/>
        </w:rPr>
        <w:t>效益指标：</w:t>
      </w:r>
      <w:r>
        <w:rPr>
          <w:rFonts w:hint="default" w:ascii="Times New Roman" w:hAnsi="Times New Roman" w:cs="Times New Roman"/>
          <w:color w:val="auto"/>
          <w:lang w:eastAsia="zh-CN"/>
        </w:rPr>
        <w:t>D11提升政府公共服务管理水平、D12提升公共服务供给效率、D21购买主体满意度、D22受益对象满意度。</w:t>
      </w:r>
    </w:p>
    <w:p w14:paraId="4325EEB3">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51" w:name="_Toc30912"/>
      <w:r>
        <w:rPr>
          <w:rFonts w:hint="default" w:ascii="Times New Roman" w:hAnsi="Times New Roman" w:cs="Times New Roman"/>
          <w:color w:val="auto"/>
        </w:rPr>
        <w:t>（七）绩效评价工作过程</w:t>
      </w:r>
      <w:bookmarkEnd w:id="50"/>
      <w:bookmarkEnd w:id="51"/>
    </w:p>
    <w:p w14:paraId="0C3BB2B3">
      <w:pPr>
        <w:pageBreakBefore w:val="0"/>
        <w:kinsoku/>
        <w:wordWrap/>
        <w:overflowPunct/>
        <w:topLinePunct w:val="0"/>
        <w:autoSpaceDE/>
        <w:autoSpaceDN/>
        <w:bidi w:val="0"/>
        <w:snapToGrid w:val="0"/>
        <w:spacing w:before="0" w:after="0" w:line="360" w:lineRule="auto"/>
        <w:ind w:firstLine="420" w:firstLineChars="0"/>
        <w:rPr>
          <w:rFonts w:hint="default" w:ascii="Times New Roman" w:hAnsi="Times New Roman" w:cs="Times New Roman"/>
          <w:color w:val="auto"/>
        </w:rPr>
      </w:pPr>
      <w:r>
        <w:rPr>
          <w:rFonts w:hint="default" w:ascii="Times New Roman" w:hAnsi="Times New Roman" w:cs="Times New Roman"/>
          <w:color w:val="auto"/>
        </w:rPr>
        <w:t>我们接受委托，按规定开展了前期准备、制定绩效评价工作方案、组织实施、报告撰写等绩效评价工作程序。绩效评价从</w:t>
      </w:r>
      <w:r>
        <w:rPr>
          <w:rFonts w:hint="default" w:ascii="Times New Roman" w:hAnsi="Times New Roman" w:cs="Times New Roman"/>
          <w:color w:val="auto"/>
          <w:lang w:val="en-US" w:eastAsia="zh-CN"/>
        </w:rPr>
        <w:t>2025</w:t>
      </w:r>
      <w:r>
        <w:rPr>
          <w:rFonts w:hint="default" w:ascii="Times New Roman" w:hAnsi="Times New Roman" w:cs="Times New Roman"/>
          <w:color w:val="auto"/>
        </w:rPr>
        <w:t>年</w:t>
      </w:r>
      <w:r>
        <w:rPr>
          <w:rFonts w:hint="default" w:ascii="Times New Roman" w:hAnsi="Times New Roman" w:cs="Times New Roman"/>
          <w:color w:val="auto"/>
          <w:lang w:val="en-US" w:eastAsia="zh-CN"/>
        </w:rPr>
        <w:t>7</w:t>
      </w:r>
      <w:r>
        <w:rPr>
          <w:rFonts w:hint="default" w:ascii="Times New Roman" w:hAnsi="Times New Roman" w:cs="Times New Roman"/>
          <w:color w:val="auto"/>
        </w:rPr>
        <w:t>月</w:t>
      </w:r>
      <w:r>
        <w:rPr>
          <w:rFonts w:hint="default" w:ascii="Times New Roman" w:hAnsi="Times New Roman" w:cs="Times New Roman"/>
          <w:color w:val="auto"/>
          <w:lang w:val="en-US" w:eastAsia="zh-CN"/>
        </w:rPr>
        <w:t>1</w:t>
      </w:r>
      <w:r>
        <w:rPr>
          <w:rFonts w:hint="default" w:ascii="Times New Roman" w:hAnsi="Times New Roman" w:cs="Times New Roman"/>
          <w:color w:val="auto"/>
        </w:rPr>
        <w:t>日启动，在各方有效配合下，评价工作于</w:t>
      </w:r>
      <w:r>
        <w:rPr>
          <w:rFonts w:hint="default" w:ascii="Times New Roman" w:hAnsi="Times New Roman" w:cs="Times New Roman"/>
          <w:color w:val="auto"/>
          <w:lang w:val="en-US" w:eastAsia="zh-CN"/>
        </w:rPr>
        <w:t>2025</w:t>
      </w:r>
      <w:r>
        <w:rPr>
          <w:rFonts w:hint="default" w:ascii="Times New Roman" w:hAnsi="Times New Roman" w:cs="Times New Roman"/>
          <w:color w:val="auto"/>
        </w:rPr>
        <w:t>年</w:t>
      </w:r>
      <w:r>
        <w:rPr>
          <w:rFonts w:hint="default" w:ascii="Times New Roman" w:hAnsi="Times New Roman" w:cs="Times New Roman"/>
          <w:color w:val="auto"/>
          <w:lang w:val="en-US" w:eastAsia="zh-CN"/>
        </w:rPr>
        <w:t>8</w:t>
      </w:r>
      <w:r>
        <w:rPr>
          <w:rFonts w:hint="default" w:ascii="Times New Roman" w:hAnsi="Times New Roman" w:cs="Times New Roman"/>
          <w:color w:val="auto"/>
        </w:rPr>
        <w:t>月</w:t>
      </w:r>
      <w:r>
        <w:rPr>
          <w:rFonts w:hint="default" w:ascii="Times New Roman" w:hAnsi="Times New Roman" w:cs="Times New Roman"/>
          <w:color w:val="auto"/>
          <w:lang w:val="en-US" w:eastAsia="zh-CN"/>
        </w:rPr>
        <w:t>31</w:t>
      </w:r>
      <w:r>
        <w:rPr>
          <w:rFonts w:hint="default" w:ascii="Times New Roman" w:hAnsi="Times New Roman" w:cs="Times New Roman"/>
          <w:color w:val="auto"/>
        </w:rPr>
        <w:t>日前完成。主要实施过程如下：</w:t>
      </w:r>
    </w:p>
    <w:p w14:paraId="70F667DA">
      <w:pPr>
        <w:pStyle w:val="4"/>
        <w:spacing w:before="0" w:after="0" w:line="360" w:lineRule="auto"/>
        <w:ind w:firstLine="641"/>
        <w:rPr>
          <w:rFonts w:hint="default" w:ascii="Times New Roman" w:hAnsi="Times New Roman" w:eastAsia="宋体" w:cs="Times New Roman"/>
          <w:color w:val="auto"/>
        </w:rPr>
      </w:pPr>
      <w:r>
        <w:rPr>
          <w:rFonts w:hint="default" w:ascii="Times New Roman" w:hAnsi="Times New Roman" w:cs="Times New Roman"/>
          <w:color w:val="auto"/>
        </w:rPr>
        <w:t>1.前期准备</w:t>
      </w:r>
    </w:p>
    <w:p w14:paraId="67F47483">
      <w:pPr>
        <w:spacing w:before="0" w:after="0" w:line="360" w:lineRule="auto"/>
        <w:ind w:firstLine="640"/>
        <w:rPr>
          <w:rFonts w:hint="default" w:ascii="Times New Roman" w:hAnsi="Times New Roman" w:cs="Times New Roman"/>
          <w:b w:val="0"/>
          <w:bCs/>
          <w:color w:val="auto"/>
        </w:rPr>
      </w:pPr>
      <w:r>
        <w:rPr>
          <w:rFonts w:hint="default" w:ascii="Times New Roman" w:hAnsi="Times New Roman" w:cs="Times New Roman"/>
          <w:b w:val="0"/>
          <w:bCs/>
          <w:color w:val="auto"/>
          <w:lang w:eastAsia="zh-CN"/>
        </w:rPr>
        <w:t>（</w:t>
      </w:r>
      <w:r>
        <w:rPr>
          <w:rFonts w:hint="default" w:ascii="Times New Roman" w:hAnsi="Times New Roman" w:cs="Times New Roman"/>
          <w:b w:val="0"/>
          <w:bCs/>
          <w:color w:val="auto"/>
          <w:lang w:val="en-US" w:eastAsia="zh-CN"/>
        </w:rPr>
        <w:t>1</w:t>
      </w:r>
      <w:r>
        <w:rPr>
          <w:rFonts w:hint="default" w:ascii="Times New Roman" w:hAnsi="Times New Roman" w:cs="Times New Roman"/>
          <w:b w:val="0"/>
          <w:bCs/>
          <w:color w:val="auto"/>
          <w:lang w:eastAsia="zh-CN"/>
        </w:rPr>
        <w:t>）</w:t>
      </w:r>
      <w:r>
        <w:rPr>
          <w:rFonts w:hint="default" w:ascii="Times New Roman" w:hAnsi="Times New Roman" w:cs="Times New Roman"/>
          <w:b w:val="0"/>
          <w:bCs/>
          <w:color w:val="auto"/>
        </w:rPr>
        <w:t>根据项目实际情况，确定绩效评价目的、对象和范围、评价期限，拟定评价工作方案，与委托人签订绩效评价服务合同。</w:t>
      </w:r>
    </w:p>
    <w:p w14:paraId="2A98D964">
      <w:pPr>
        <w:spacing w:before="0" w:after="0" w:line="360" w:lineRule="auto"/>
        <w:ind w:firstLine="640"/>
        <w:rPr>
          <w:rFonts w:hint="default" w:ascii="Times New Roman" w:hAnsi="Times New Roman" w:cs="Times New Roman"/>
          <w:color w:val="auto"/>
        </w:rPr>
      </w:pPr>
      <w:r>
        <w:rPr>
          <w:rFonts w:hint="default" w:ascii="Times New Roman" w:hAnsi="Times New Roman" w:cs="Times New Roman"/>
          <w:b w:val="0"/>
          <w:bCs/>
          <w:color w:val="auto"/>
          <w:lang w:eastAsia="zh-CN"/>
        </w:rPr>
        <w:t>（</w:t>
      </w:r>
      <w:r>
        <w:rPr>
          <w:rFonts w:hint="default" w:ascii="Times New Roman" w:hAnsi="Times New Roman" w:cs="Times New Roman"/>
          <w:b w:val="0"/>
          <w:bCs/>
          <w:color w:val="auto"/>
          <w:lang w:val="en-US" w:eastAsia="zh-CN"/>
        </w:rPr>
        <w:t>2</w:t>
      </w:r>
      <w:r>
        <w:rPr>
          <w:rFonts w:hint="default" w:ascii="Times New Roman" w:hAnsi="Times New Roman" w:cs="Times New Roman"/>
          <w:b w:val="0"/>
          <w:bCs/>
          <w:color w:val="auto"/>
          <w:lang w:eastAsia="zh-CN"/>
        </w:rPr>
        <w:t>）</w:t>
      </w:r>
      <w:r>
        <w:rPr>
          <w:rFonts w:hint="default" w:ascii="Times New Roman" w:hAnsi="Times New Roman" w:cs="Times New Roman"/>
          <w:b w:val="0"/>
          <w:bCs/>
          <w:color w:val="auto"/>
        </w:rPr>
        <w:t>成立绩效评价小组。</w:t>
      </w:r>
      <w:r>
        <w:rPr>
          <w:rFonts w:hint="default" w:ascii="Times New Roman" w:hAnsi="Times New Roman" w:cs="Times New Roman"/>
          <w:b w:val="0"/>
          <w:bCs/>
          <w:color w:val="auto"/>
          <w:lang w:val="en-US" w:eastAsia="zh-CN"/>
        </w:rPr>
        <w:t>绩效评价小组</w:t>
      </w:r>
      <w:r>
        <w:rPr>
          <w:rFonts w:hint="default" w:ascii="Times New Roman" w:hAnsi="Times New Roman" w:cs="Times New Roman"/>
          <w:b w:val="0"/>
          <w:bCs/>
          <w:color w:val="auto"/>
        </w:rPr>
        <w:t>实行组长负责制，项目总负责人统筹全盘工作，对</w:t>
      </w:r>
      <w:r>
        <w:rPr>
          <w:rFonts w:hint="default" w:ascii="Times New Roman" w:hAnsi="Times New Roman" w:cs="Times New Roman"/>
          <w:b w:val="0"/>
          <w:bCs/>
          <w:color w:val="auto"/>
          <w:lang w:val="en-US" w:eastAsia="zh-CN"/>
        </w:rPr>
        <w:t>绩效评价</w:t>
      </w:r>
      <w:r>
        <w:rPr>
          <w:rFonts w:hint="default" w:ascii="Times New Roman" w:hAnsi="Times New Roman" w:cs="Times New Roman"/>
          <w:b w:val="0"/>
          <w:bCs/>
          <w:color w:val="auto"/>
        </w:rPr>
        <w:t>工作提供技术指导与支持，</w:t>
      </w:r>
      <w:r>
        <w:rPr>
          <w:rFonts w:hint="default" w:ascii="Times New Roman" w:hAnsi="Times New Roman" w:cs="Times New Roman"/>
          <w:b w:val="0"/>
          <w:bCs/>
          <w:color w:val="auto"/>
          <w:lang w:val="en-US" w:eastAsia="zh-CN"/>
        </w:rPr>
        <w:t>报告稽核负责人</w:t>
      </w:r>
      <w:r>
        <w:rPr>
          <w:rFonts w:hint="default" w:ascii="Times New Roman" w:hAnsi="Times New Roman" w:cs="Times New Roman"/>
          <w:b w:val="0"/>
          <w:bCs/>
          <w:color w:val="auto"/>
        </w:rPr>
        <w:t>对评价工作质量把关，并负责报告数据审核验收、报告撰写指导、报告验收等技术工作；绩效评价组成员计划安排</w:t>
      </w:r>
      <w:r>
        <w:rPr>
          <w:rFonts w:hint="default" w:ascii="Times New Roman" w:hAnsi="Times New Roman" w:cs="Times New Roman"/>
          <w:b w:val="0"/>
          <w:bCs/>
          <w:color w:val="auto"/>
          <w:lang w:val="en-US" w:eastAsia="zh-CN"/>
        </w:rPr>
        <w:t>2</w:t>
      </w:r>
      <w:r>
        <w:rPr>
          <w:rFonts w:hint="default" w:ascii="Times New Roman" w:hAnsi="Times New Roman" w:cs="Times New Roman"/>
          <w:b w:val="0"/>
          <w:bCs/>
          <w:color w:val="auto"/>
        </w:rPr>
        <w:t>人，</w:t>
      </w:r>
      <w:r>
        <w:rPr>
          <w:rFonts w:hint="default" w:ascii="Times New Roman" w:hAnsi="Times New Roman" w:cs="Times New Roman"/>
          <w:color w:val="auto"/>
        </w:rPr>
        <w:t>完成现场调研、资料收集和检查、项目相关人员访谈、问题清单整理、数据整理、撰写报告等工作</w:t>
      </w:r>
      <w:r>
        <w:rPr>
          <w:rFonts w:hint="default" w:ascii="Times New Roman" w:hAnsi="Times New Roman" w:cs="Times New Roman"/>
          <w:color w:val="auto"/>
          <w:lang w:eastAsia="zh-CN"/>
        </w:rPr>
        <w:t>，</w:t>
      </w:r>
      <w:r>
        <w:rPr>
          <w:rFonts w:hint="default" w:ascii="Times New Roman" w:hAnsi="Times New Roman" w:cs="Times New Roman"/>
          <w:color w:val="auto"/>
        </w:rPr>
        <w:t>具体成员及职责分工如下：</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5" w:type="dxa"/>
          <w:left w:w="15" w:type="dxa"/>
          <w:bottom w:w="15" w:type="dxa"/>
          <w:right w:w="15" w:type="dxa"/>
        </w:tblCellMar>
      </w:tblPr>
      <w:tblGrid>
        <w:gridCol w:w="557"/>
        <w:gridCol w:w="881"/>
        <w:gridCol w:w="1356"/>
        <w:gridCol w:w="1616"/>
        <w:gridCol w:w="3926"/>
      </w:tblGrid>
      <w:tr w14:paraId="11630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tblHeader/>
          <w:jc w:val="center"/>
        </w:trPr>
        <w:tc>
          <w:tcPr>
            <w:tcW w:w="334" w:type="pct"/>
            <w:noWrap w:val="0"/>
            <w:vAlign w:val="center"/>
          </w:tcPr>
          <w:p w14:paraId="28A26EA5">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sz w:val="21"/>
                <w:szCs w:val="21"/>
                <w:highlight w:val="none"/>
                <w:lang w:eastAsia="en-US"/>
              </w:rPr>
            </w:pPr>
            <w:r>
              <w:rPr>
                <w:rFonts w:hint="default" w:ascii="Times New Roman" w:hAnsi="Times New Roman" w:eastAsia="宋体" w:cs="Times New Roman"/>
                <w:b/>
                <w:color w:val="auto"/>
                <w:kern w:val="0"/>
                <w:sz w:val="21"/>
                <w:szCs w:val="21"/>
                <w:highlight w:val="none"/>
                <w:lang w:bidi="ar"/>
              </w:rPr>
              <w:t>序号</w:t>
            </w:r>
          </w:p>
        </w:tc>
        <w:tc>
          <w:tcPr>
            <w:tcW w:w="528" w:type="pct"/>
            <w:noWrap w:val="0"/>
            <w:vAlign w:val="center"/>
          </w:tcPr>
          <w:p w14:paraId="7C19045F">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sz w:val="21"/>
                <w:szCs w:val="21"/>
                <w:highlight w:val="none"/>
                <w:lang w:eastAsia="en-US"/>
              </w:rPr>
            </w:pPr>
            <w:r>
              <w:rPr>
                <w:rFonts w:hint="default" w:ascii="Times New Roman" w:hAnsi="Times New Roman" w:eastAsia="宋体" w:cs="Times New Roman"/>
                <w:b/>
                <w:color w:val="auto"/>
                <w:kern w:val="0"/>
                <w:sz w:val="21"/>
                <w:szCs w:val="21"/>
                <w:highlight w:val="none"/>
                <w:lang w:bidi="ar"/>
              </w:rPr>
              <w:t>姓名</w:t>
            </w:r>
          </w:p>
        </w:tc>
        <w:tc>
          <w:tcPr>
            <w:tcW w:w="813" w:type="pct"/>
            <w:noWrap w:val="0"/>
            <w:vAlign w:val="center"/>
          </w:tcPr>
          <w:p w14:paraId="5FD5C018">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sz w:val="21"/>
                <w:szCs w:val="21"/>
                <w:highlight w:val="none"/>
              </w:rPr>
            </w:pPr>
            <w:r>
              <w:rPr>
                <w:rFonts w:hint="default" w:ascii="Times New Roman" w:hAnsi="Times New Roman" w:eastAsia="宋体" w:cs="Times New Roman"/>
                <w:b/>
                <w:color w:val="auto"/>
                <w:sz w:val="21"/>
                <w:szCs w:val="21"/>
                <w:highlight w:val="none"/>
              </w:rPr>
              <w:t>项目角色</w:t>
            </w:r>
          </w:p>
        </w:tc>
        <w:tc>
          <w:tcPr>
            <w:tcW w:w="969" w:type="pct"/>
            <w:noWrap w:val="0"/>
            <w:vAlign w:val="center"/>
          </w:tcPr>
          <w:p w14:paraId="5D684798">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sz w:val="21"/>
                <w:szCs w:val="21"/>
                <w:highlight w:val="none"/>
                <w:lang w:eastAsia="en-US"/>
              </w:rPr>
            </w:pPr>
            <w:r>
              <w:rPr>
                <w:rFonts w:hint="default" w:ascii="Times New Roman" w:hAnsi="Times New Roman" w:eastAsia="宋体" w:cs="Times New Roman"/>
                <w:b/>
                <w:color w:val="auto"/>
                <w:kern w:val="0"/>
                <w:sz w:val="21"/>
                <w:szCs w:val="21"/>
                <w:highlight w:val="none"/>
                <w:lang w:bidi="ar"/>
              </w:rPr>
              <w:t>资质或公司职位</w:t>
            </w:r>
          </w:p>
        </w:tc>
        <w:tc>
          <w:tcPr>
            <w:tcW w:w="2354" w:type="pct"/>
            <w:noWrap w:val="0"/>
            <w:vAlign w:val="center"/>
          </w:tcPr>
          <w:p w14:paraId="689BABDB">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kern w:val="0"/>
                <w:sz w:val="21"/>
                <w:szCs w:val="21"/>
                <w:highlight w:val="none"/>
                <w:lang w:bidi="ar"/>
              </w:rPr>
            </w:pPr>
            <w:r>
              <w:rPr>
                <w:rFonts w:hint="default" w:ascii="Times New Roman" w:hAnsi="Times New Roman" w:eastAsia="宋体" w:cs="Times New Roman"/>
                <w:b/>
                <w:color w:val="auto"/>
                <w:kern w:val="0"/>
                <w:sz w:val="21"/>
                <w:szCs w:val="21"/>
                <w:highlight w:val="none"/>
                <w:lang w:bidi="ar"/>
              </w:rPr>
              <w:t>主要职责</w:t>
            </w:r>
          </w:p>
        </w:tc>
      </w:tr>
      <w:tr w14:paraId="020987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jc w:val="center"/>
        </w:trPr>
        <w:tc>
          <w:tcPr>
            <w:tcW w:w="334" w:type="pct"/>
            <w:noWrap w:val="0"/>
            <w:vAlign w:val="center"/>
          </w:tcPr>
          <w:p w14:paraId="014193E4">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bidi="ar"/>
              </w:rPr>
              <w:t>1</w:t>
            </w:r>
          </w:p>
        </w:tc>
        <w:tc>
          <w:tcPr>
            <w:tcW w:w="528" w:type="pct"/>
            <w:noWrap w:val="0"/>
            <w:vAlign w:val="center"/>
          </w:tcPr>
          <w:p w14:paraId="0CCDD45D">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Cs/>
                <w:color w:val="auto"/>
                <w:kern w:val="0"/>
                <w:sz w:val="21"/>
                <w:szCs w:val="21"/>
                <w:highlight w:val="none"/>
                <w:lang w:bidi="ar"/>
              </w:rPr>
            </w:pPr>
            <w:r>
              <w:rPr>
                <w:rFonts w:hint="default" w:ascii="Times New Roman" w:hAnsi="Times New Roman" w:eastAsia="宋体" w:cs="Times New Roman"/>
                <w:color w:val="auto"/>
                <w:kern w:val="0"/>
                <w:sz w:val="21"/>
                <w:szCs w:val="21"/>
                <w:highlight w:val="none"/>
                <w:lang w:bidi="ar"/>
              </w:rPr>
              <w:t>冯延萍</w:t>
            </w:r>
          </w:p>
        </w:tc>
        <w:tc>
          <w:tcPr>
            <w:tcW w:w="813" w:type="pct"/>
            <w:noWrap w:val="0"/>
            <w:vAlign w:val="center"/>
          </w:tcPr>
          <w:p w14:paraId="028696EC">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主评人</w:t>
            </w:r>
          </w:p>
        </w:tc>
        <w:tc>
          <w:tcPr>
            <w:tcW w:w="969" w:type="pct"/>
            <w:noWrap w:val="0"/>
            <w:vAlign w:val="center"/>
          </w:tcPr>
          <w:p w14:paraId="3CF96436">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注册会计师、中级会计师</w:t>
            </w:r>
          </w:p>
        </w:tc>
        <w:tc>
          <w:tcPr>
            <w:tcW w:w="2354" w:type="pct"/>
            <w:noWrap w:val="0"/>
            <w:vAlign w:val="center"/>
          </w:tcPr>
          <w:p w14:paraId="59BB9251">
            <w:pPr>
              <w:keepNext w:val="0"/>
              <w:keepLines w:val="0"/>
              <w:pageBreakBefore w:val="0"/>
              <w:shd w:val="clear" w:color="auto" w:fill="auto"/>
              <w:kinsoku/>
              <w:wordWrap/>
              <w:overflowPunct/>
              <w:topLinePunct w:val="0"/>
              <w:autoSpaceDE/>
              <w:autoSpaceDN/>
              <w:bidi w:val="0"/>
              <w:adjustRightInd/>
              <w:snapToGrid/>
              <w:spacing w:line="240" w:lineRule="auto"/>
              <w:ind w:firstLine="0" w:firstLineChars="0"/>
              <w:jc w:val="left"/>
              <w:rPr>
                <w:rFonts w:hint="default" w:ascii="Times New Roman" w:hAnsi="Times New Roman" w:eastAsia="宋体" w:cs="Times New Roman"/>
                <w:color w:val="auto"/>
                <w:kern w:val="0"/>
                <w:sz w:val="21"/>
                <w:szCs w:val="21"/>
                <w:highlight w:val="none"/>
                <w:lang w:bidi="ar"/>
              </w:rPr>
            </w:pPr>
            <w:r>
              <w:rPr>
                <w:rFonts w:hint="default" w:ascii="Times New Roman" w:hAnsi="Times New Roman" w:eastAsia="宋体" w:cs="Times New Roman"/>
                <w:bCs/>
                <w:snapToGrid w:val="0"/>
                <w:color w:val="auto"/>
                <w:sz w:val="21"/>
                <w:szCs w:val="21"/>
                <w:highlight w:val="none"/>
              </w:rPr>
              <w:t>负责项目总体计划的审批，项目重大风险的整体把握，对整体检查工作进行全面技术把关和指导，以保证评价工作按时按质完成；对整体项目评价结论进行最终复核。</w:t>
            </w:r>
          </w:p>
        </w:tc>
      </w:tr>
      <w:tr w14:paraId="1089A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jc w:val="center"/>
        </w:trPr>
        <w:tc>
          <w:tcPr>
            <w:tcW w:w="334" w:type="pct"/>
            <w:noWrap w:val="0"/>
            <w:vAlign w:val="center"/>
          </w:tcPr>
          <w:p w14:paraId="0C77464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2</w:t>
            </w:r>
          </w:p>
        </w:tc>
        <w:tc>
          <w:tcPr>
            <w:tcW w:w="528" w:type="pct"/>
            <w:noWrap w:val="0"/>
            <w:vAlign w:val="center"/>
          </w:tcPr>
          <w:p w14:paraId="6761DB01">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lang w:val="en-US" w:eastAsia="zh-CN"/>
              </w:rPr>
              <w:t>腊晓林</w:t>
            </w:r>
          </w:p>
        </w:tc>
        <w:tc>
          <w:tcPr>
            <w:tcW w:w="813" w:type="pct"/>
            <w:noWrap w:val="0"/>
            <w:vAlign w:val="center"/>
          </w:tcPr>
          <w:p w14:paraId="32758242">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报告复核人</w:t>
            </w:r>
          </w:p>
        </w:tc>
        <w:tc>
          <w:tcPr>
            <w:tcW w:w="969" w:type="pct"/>
            <w:noWrap w:val="0"/>
            <w:vAlign w:val="center"/>
          </w:tcPr>
          <w:p w14:paraId="128735A6">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技术总监</w:t>
            </w:r>
          </w:p>
        </w:tc>
        <w:tc>
          <w:tcPr>
            <w:tcW w:w="2354" w:type="pct"/>
            <w:noWrap w:val="0"/>
            <w:vAlign w:val="center"/>
          </w:tcPr>
          <w:p w14:paraId="7DC08579">
            <w:pPr>
              <w:keepNext w:val="0"/>
              <w:keepLines w:val="0"/>
              <w:pageBreakBefore w:val="0"/>
              <w:shd w:val="clear" w:color="auto" w:fill="auto"/>
              <w:kinsoku/>
              <w:wordWrap/>
              <w:overflowPunct/>
              <w:topLinePunct w:val="0"/>
              <w:autoSpaceDE/>
              <w:autoSpaceDN/>
              <w:bidi w:val="0"/>
              <w:adjustRightInd/>
              <w:snapToGrid/>
              <w:spacing w:line="240" w:lineRule="auto"/>
              <w:ind w:firstLine="0" w:firstLineChars="0"/>
              <w:jc w:val="left"/>
              <w:rPr>
                <w:rFonts w:hint="default" w:ascii="Times New Roman" w:hAnsi="Times New Roman" w:eastAsia="宋体" w:cs="Times New Roman"/>
                <w:bCs/>
                <w:snapToGrid w:val="0"/>
                <w:color w:val="auto"/>
                <w:sz w:val="21"/>
                <w:szCs w:val="21"/>
                <w:highlight w:val="none"/>
                <w:lang w:val="en-US" w:eastAsia="zh-CN"/>
              </w:rPr>
            </w:pPr>
            <w:r>
              <w:rPr>
                <w:rFonts w:hint="default" w:ascii="Times New Roman" w:hAnsi="Times New Roman" w:eastAsia="宋体" w:cs="Times New Roman"/>
                <w:bCs/>
                <w:snapToGrid w:val="0"/>
                <w:color w:val="auto"/>
                <w:sz w:val="21"/>
                <w:szCs w:val="21"/>
                <w:highlight w:val="none"/>
                <w:lang w:val="en-US" w:eastAsia="zh-CN"/>
              </w:rPr>
              <w:t>审核实施方案，负责对项目成果进行复核，</w:t>
            </w:r>
            <w:r>
              <w:rPr>
                <w:rFonts w:hint="default" w:ascii="Times New Roman" w:hAnsi="Times New Roman" w:eastAsia="宋体" w:cs="Times New Roman"/>
                <w:color w:val="auto"/>
                <w:sz w:val="21"/>
                <w:szCs w:val="21"/>
                <w:highlight w:val="none"/>
              </w:rPr>
              <w:t>杜绝或减少对外出具的报告中出现不应出错或低级错误的发生，确保工作质量不出现重大纰漏。</w:t>
            </w:r>
          </w:p>
        </w:tc>
      </w:tr>
      <w:tr w14:paraId="1A189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jc w:val="center"/>
        </w:trPr>
        <w:tc>
          <w:tcPr>
            <w:tcW w:w="334" w:type="pct"/>
            <w:noWrap w:val="0"/>
            <w:vAlign w:val="center"/>
          </w:tcPr>
          <w:p w14:paraId="2906130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kern w:val="0"/>
                <w:sz w:val="21"/>
                <w:szCs w:val="21"/>
                <w:highlight w:val="none"/>
                <w:lang w:val="en-US" w:eastAsia="zh-CN" w:bidi="ar"/>
              </w:rPr>
              <w:t>3</w:t>
            </w:r>
          </w:p>
        </w:tc>
        <w:tc>
          <w:tcPr>
            <w:tcW w:w="528" w:type="pct"/>
            <w:noWrap w:val="0"/>
            <w:vAlign w:val="center"/>
          </w:tcPr>
          <w:p w14:paraId="1F79C64D">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lang w:val="en-US" w:eastAsia="zh-CN"/>
              </w:rPr>
              <w:t>郝欢</w:t>
            </w:r>
          </w:p>
        </w:tc>
        <w:tc>
          <w:tcPr>
            <w:tcW w:w="813" w:type="pct"/>
            <w:noWrap w:val="0"/>
            <w:vAlign w:val="center"/>
          </w:tcPr>
          <w:p w14:paraId="4260DB6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eastAsia="en-US"/>
              </w:rPr>
            </w:pPr>
            <w:r>
              <w:rPr>
                <w:rFonts w:hint="default" w:ascii="Times New Roman" w:hAnsi="Times New Roman" w:eastAsia="宋体" w:cs="Times New Roman"/>
                <w:color w:val="auto"/>
                <w:sz w:val="21"/>
                <w:szCs w:val="21"/>
                <w:highlight w:val="none"/>
              </w:rPr>
              <w:t>项目负责人</w:t>
            </w:r>
          </w:p>
        </w:tc>
        <w:tc>
          <w:tcPr>
            <w:tcW w:w="969" w:type="pct"/>
            <w:noWrap w:val="0"/>
            <w:vAlign w:val="center"/>
          </w:tcPr>
          <w:p w14:paraId="42B75D8B">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项目</w:t>
            </w:r>
            <w:r>
              <w:rPr>
                <w:rFonts w:hint="default" w:ascii="Times New Roman" w:hAnsi="Times New Roman" w:eastAsia="宋体" w:cs="Times New Roman"/>
                <w:color w:val="auto"/>
                <w:sz w:val="21"/>
                <w:szCs w:val="21"/>
                <w:highlight w:val="none"/>
                <w:lang w:eastAsia="zh-Hans"/>
              </w:rPr>
              <w:t>经理</w:t>
            </w:r>
          </w:p>
        </w:tc>
        <w:tc>
          <w:tcPr>
            <w:tcW w:w="2354" w:type="pct"/>
            <w:noWrap w:val="0"/>
            <w:vAlign w:val="center"/>
          </w:tcPr>
          <w:p w14:paraId="5424D065">
            <w:pPr>
              <w:keepNext w:val="0"/>
              <w:keepLines w:val="0"/>
              <w:pageBreakBefore w:val="0"/>
              <w:shd w:val="clear" w:color="auto" w:fill="auto"/>
              <w:kinsoku/>
              <w:wordWrap/>
              <w:overflowPunct/>
              <w:topLinePunct w:val="0"/>
              <w:autoSpaceDE/>
              <w:autoSpaceDN/>
              <w:bidi w:val="0"/>
              <w:adjustRightInd/>
              <w:snapToGrid/>
              <w:spacing w:line="240" w:lineRule="auto"/>
              <w:ind w:firstLine="0" w:firstLineChars="0"/>
              <w:jc w:val="left"/>
              <w:rPr>
                <w:rFonts w:hint="default" w:ascii="Times New Roman" w:hAnsi="Times New Roman" w:eastAsia="宋体" w:cs="Times New Roman"/>
                <w:color w:val="auto"/>
                <w:kern w:val="0"/>
                <w:sz w:val="21"/>
                <w:szCs w:val="21"/>
                <w:highlight w:val="none"/>
                <w:lang w:eastAsia="zh-CN" w:bidi="ar"/>
              </w:rPr>
            </w:pPr>
            <w:r>
              <w:rPr>
                <w:rFonts w:hint="default" w:ascii="Times New Roman" w:hAnsi="Times New Roman" w:eastAsia="宋体" w:cs="Times New Roman"/>
                <w:bCs/>
                <w:snapToGrid w:val="0"/>
                <w:color w:val="auto"/>
                <w:sz w:val="21"/>
                <w:szCs w:val="21"/>
                <w:highlight w:val="none"/>
              </w:rPr>
              <w:t>负责制定项目实施计划，并组织开展具体评价工作，把控项目质量、项目进度和方向，推动服务方案执行和落实；讨论阶段性成果，向本单位和委托方关于本项目进展情况定期汇报进展情况；对项目过程中的技术方法提供咨询和辅导，及时完成项目成果</w:t>
            </w:r>
            <w:r>
              <w:rPr>
                <w:rFonts w:hint="default" w:ascii="Times New Roman" w:hAnsi="Times New Roman" w:eastAsia="宋体" w:cs="Times New Roman"/>
                <w:bCs/>
                <w:snapToGrid w:val="0"/>
                <w:color w:val="auto"/>
                <w:sz w:val="21"/>
                <w:szCs w:val="21"/>
                <w:highlight w:val="none"/>
                <w:lang w:eastAsia="zh-CN"/>
              </w:rPr>
              <w:t>。</w:t>
            </w:r>
          </w:p>
        </w:tc>
      </w:tr>
      <w:tr w14:paraId="3C47D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jc w:val="center"/>
        </w:trPr>
        <w:tc>
          <w:tcPr>
            <w:tcW w:w="334" w:type="pct"/>
            <w:noWrap w:val="0"/>
            <w:vAlign w:val="center"/>
          </w:tcPr>
          <w:p w14:paraId="1AB62E66">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kern w:val="0"/>
                <w:sz w:val="21"/>
                <w:szCs w:val="21"/>
                <w:highlight w:val="none"/>
                <w:lang w:eastAsia="zh-CN" w:bidi="ar"/>
              </w:rPr>
            </w:pPr>
            <w:r>
              <w:rPr>
                <w:rFonts w:hint="default" w:ascii="Times New Roman" w:hAnsi="Times New Roman" w:eastAsia="宋体" w:cs="Times New Roman"/>
                <w:color w:val="auto"/>
                <w:kern w:val="0"/>
                <w:sz w:val="21"/>
                <w:szCs w:val="21"/>
                <w:highlight w:val="none"/>
                <w:lang w:val="en-US" w:eastAsia="zh-CN" w:bidi="ar"/>
              </w:rPr>
              <w:t>4</w:t>
            </w:r>
          </w:p>
        </w:tc>
        <w:tc>
          <w:tcPr>
            <w:tcW w:w="528" w:type="pct"/>
            <w:shd w:val="clear" w:color="auto" w:fill="auto"/>
            <w:noWrap w:val="0"/>
            <w:vAlign w:val="center"/>
          </w:tcPr>
          <w:p w14:paraId="187F142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Cs/>
                <w:snapToGrid w:val="0"/>
                <w:color w:val="auto"/>
                <w:spacing w:val="6"/>
                <w:kern w:val="2"/>
                <w:sz w:val="21"/>
                <w:szCs w:val="21"/>
                <w:highlight w:val="none"/>
                <w:lang w:val="en-US" w:eastAsia="zh-CN" w:bidi="ar-SA"/>
              </w:rPr>
            </w:pPr>
            <w:r>
              <w:rPr>
                <w:rFonts w:hint="default" w:ascii="Times New Roman" w:hAnsi="Times New Roman" w:eastAsia="宋体" w:cs="Times New Roman"/>
                <w:color w:val="auto"/>
                <w:sz w:val="21"/>
                <w:szCs w:val="21"/>
                <w:lang w:val="en-US" w:eastAsia="zh-CN"/>
              </w:rPr>
              <w:t>石俊宇</w:t>
            </w:r>
          </w:p>
        </w:tc>
        <w:tc>
          <w:tcPr>
            <w:tcW w:w="813" w:type="pct"/>
            <w:shd w:val="clear" w:color="auto" w:fill="auto"/>
            <w:noWrap w:val="0"/>
            <w:vAlign w:val="center"/>
          </w:tcPr>
          <w:p w14:paraId="655892F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项目绩效评价人员</w:t>
            </w:r>
          </w:p>
        </w:tc>
        <w:tc>
          <w:tcPr>
            <w:tcW w:w="969" w:type="pct"/>
            <w:shd w:val="clear" w:color="auto" w:fill="auto"/>
            <w:noWrap w:val="0"/>
            <w:vAlign w:val="center"/>
          </w:tcPr>
          <w:p w14:paraId="507CF7BD">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项目主审</w:t>
            </w:r>
          </w:p>
        </w:tc>
        <w:tc>
          <w:tcPr>
            <w:tcW w:w="2354" w:type="pct"/>
            <w:noWrap w:val="0"/>
            <w:vAlign w:val="center"/>
          </w:tcPr>
          <w:p w14:paraId="2358F27D">
            <w:pPr>
              <w:keepNext w:val="0"/>
              <w:keepLines w:val="0"/>
              <w:pageBreakBefore w:val="0"/>
              <w:shd w:val="clear" w:color="auto" w:fill="auto"/>
              <w:kinsoku/>
              <w:wordWrap/>
              <w:overflowPunct/>
              <w:topLinePunct w:val="0"/>
              <w:autoSpaceDE/>
              <w:autoSpaceDN/>
              <w:bidi w:val="0"/>
              <w:adjustRightInd/>
              <w:snapToGrid/>
              <w:spacing w:line="240" w:lineRule="auto"/>
              <w:ind w:firstLine="0" w:firstLineChars="0"/>
              <w:jc w:val="left"/>
              <w:rPr>
                <w:rFonts w:hint="default" w:ascii="Times New Roman" w:hAnsi="Times New Roman" w:eastAsia="宋体" w:cs="Times New Roman"/>
                <w:color w:val="auto"/>
                <w:kern w:val="0"/>
                <w:sz w:val="21"/>
                <w:szCs w:val="21"/>
                <w:highlight w:val="none"/>
                <w:lang w:bidi="ar"/>
              </w:rPr>
            </w:pPr>
            <w:r>
              <w:rPr>
                <w:rFonts w:hint="default" w:ascii="Times New Roman" w:hAnsi="Times New Roman" w:eastAsia="宋体" w:cs="Times New Roman"/>
                <w:bCs/>
                <w:snapToGrid w:val="0"/>
                <w:color w:val="auto"/>
                <w:sz w:val="21"/>
                <w:szCs w:val="21"/>
                <w:highlight w:val="none"/>
              </w:rPr>
              <w:t>按照计划和分工</w:t>
            </w:r>
            <w:r>
              <w:rPr>
                <w:rFonts w:hint="default" w:ascii="Times New Roman" w:hAnsi="Times New Roman" w:eastAsia="宋体" w:cs="Times New Roman"/>
                <w:bCs/>
                <w:snapToGrid w:val="0"/>
                <w:color w:val="auto"/>
                <w:sz w:val="21"/>
                <w:szCs w:val="21"/>
                <w:highlight w:val="none"/>
                <w:lang w:eastAsia="zh-CN"/>
              </w:rPr>
              <w:t>完成</w:t>
            </w:r>
            <w:r>
              <w:rPr>
                <w:rFonts w:hint="default" w:ascii="Times New Roman" w:hAnsi="Times New Roman" w:eastAsia="宋体" w:cs="Times New Roman"/>
                <w:bCs/>
                <w:snapToGrid w:val="0"/>
                <w:color w:val="auto"/>
                <w:sz w:val="21"/>
                <w:szCs w:val="21"/>
                <w:highlight w:val="none"/>
              </w:rPr>
              <w:t>现场调研、资料收集和检查、项目相关人员访谈、问题清单整理、数据整理、撰写报告等工作。</w:t>
            </w:r>
          </w:p>
        </w:tc>
      </w:tr>
    </w:tbl>
    <w:p w14:paraId="6CAA1CDB">
      <w:pPr>
        <w:spacing w:before="0" w:after="0" w:line="360" w:lineRule="auto"/>
        <w:rPr>
          <w:rFonts w:hint="default" w:ascii="Times New Roman" w:hAnsi="Times New Roman" w:cs="Times New Roman"/>
        </w:rPr>
      </w:pPr>
    </w:p>
    <w:p w14:paraId="5045BEC6">
      <w:pPr>
        <w:pStyle w:val="4"/>
        <w:spacing w:before="0" w:after="0" w:line="360" w:lineRule="auto"/>
        <w:ind w:firstLine="641"/>
        <w:rPr>
          <w:rFonts w:hint="default" w:ascii="Times New Roman" w:hAnsi="Times New Roman" w:cs="Times New Roman"/>
          <w:color w:val="auto"/>
        </w:rPr>
      </w:pPr>
      <w:r>
        <w:rPr>
          <w:rFonts w:hint="default" w:ascii="Times New Roman" w:hAnsi="Times New Roman" w:cs="Times New Roman"/>
          <w:color w:val="auto"/>
        </w:rPr>
        <w:t>2.确定绩效评价工作方案</w:t>
      </w:r>
    </w:p>
    <w:p w14:paraId="460653B7">
      <w:pPr>
        <w:bidi w:val="0"/>
        <w:spacing w:before="0" w:after="0" w:line="360" w:lineRule="auto"/>
        <w:rPr>
          <w:rFonts w:hint="default" w:ascii="Times New Roman" w:hAnsi="Times New Roman" w:cs="Times New Roman"/>
          <w:color w:val="auto"/>
        </w:rPr>
      </w:pPr>
      <w:r>
        <w:rPr>
          <w:rFonts w:hint="default" w:ascii="Times New Roman" w:hAnsi="Times New Roman" w:cs="Times New Roman"/>
          <w:color w:val="auto"/>
        </w:rPr>
        <w:t>绩效评价小组根据前期初步收集的项目资料，根据项目实施内容及政策文件要求，制定《</w:t>
      </w:r>
      <w:r>
        <w:rPr>
          <w:rFonts w:hint="default" w:ascii="Times New Roman" w:hAnsi="Times New Roman" w:cs="Times New Roman"/>
          <w:color w:val="auto"/>
          <w:lang w:val="en-US" w:eastAsia="zh-CN"/>
        </w:rPr>
        <w:t>吉木萨尔县城市管理服务“三位一体”委托运营项目</w:t>
      </w:r>
      <w:r>
        <w:rPr>
          <w:rFonts w:hint="default" w:ascii="Times New Roman" w:hAnsi="Times New Roman" w:cs="Times New Roman"/>
          <w:color w:val="auto"/>
        </w:rPr>
        <w:t>绩效评价实施方案》。</w:t>
      </w:r>
      <w:r>
        <w:rPr>
          <w:rFonts w:hint="default" w:ascii="Times New Roman" w:hAnsi="Times New Roman" w:cs="Times New Roman"/>
          <w:color w:val="auto"/>
          <w:lang w:val="en-US" w:eastAsia="zh-CN"/>
        </w:rPr>
        <w:t>经项目负责人审核</w:t>
      </w:r>
      <w:r>
        <w:rPr>
          <w:rFonts w:hint="default" w:ascii="Times New Roman" w:hAnsi="Times New Roman" w:cs="Times New Roman"/>
          <w:color w:val="auto"/>
        </w:rPr>
        <w:t>通过后，项目绩效评价工作正式启动。</w:t>
      </w:r>
    </w:p>
    <w:p w14:paraId="72EC2729">
      <w:pPr>
        <w:pStyle w:val="4"/>
        <w:spacing w:before="0" w:after="0" w:line="360" w:lineRule="auto"/>
        <w:ind w:firstLine="641"/>
        <w:rPr>
          <w:rFonts w:hint="default" w:ascii="Times New Roman" w:hAnsi="Times New Roman" w:cs="Times New Roman"/>
          <w:color w:val="auto"/>
        </w:rPr>
      </w:pPr>
      <w:bookmarkStart w:id="52" w:name="_Toc68364664"/>
      <w:r>
        <w:rPr>
          <w:rFonts w:hint="default" w:ascii="Times New Roman" w:hAnsi="Times New Roman" w:cs="Times New Roman"/>
          <w:color w:val="auto"/>
        </w:rPr>
        <w:t>3.组织实施</w:t>
      </w:r>
    </w:p>
    <w:p w14:paraId="0457C609">
      <w:pPr>
        <w:spacing w:before="0" w:after="0" w:line="360" w:lineRule="auto"/>
        <w:ind w:firstLine="640"/>
        <w:rPr>
          <w:rFonts w:hint="default" w:ascii="Times New Roman" w:hAnsi="Times New Roman" w:cs="Times New Roman"/>
          <w:color w:val="auto"/>
        </w:rPr>
      </w:pPr>
      <w:r>
        <w:rPr>
          <w:rFonts w:hint="default" w:ascii="Times New Roman" w:hAnsi="Times New Roman" w:cs="Times New Roman"/>
          <w:color w:val="auto"/>
          <w:lang w:val="en-US" w:eastAsia="zh-CN"/>
        </w:rPr>
        <w:t>2025</w:t>
      </w:r>
      <w:r>
        <w:rPr>
          <w:rFonts w:hint="default" w:ascii="Times New Roman" w:hAnsi="Times New Roman" w:cs="Times New Roman"/>
          <w:color w:val="auto"/>
        </w:rPr>
        <w:t>年</w:t>
      </w:r>
      <w:r>
        <w:rPr>
          <w:rFonts w:hint="default" w:ascii="Times New Roman" w:hAnsi="Times New Roman" w:cs="Times New Roman"/>
          <w:color w:val="auto"/>
          <w:lang w:val="en-US" w:eastAsia="zh-CN"/>
        </w:rPr>
        <w:t>7</w:t>
      </w:r>
      <w:r>
        <w:rPr>
          <w:rFonts w:hint="default" w:ascii="Times New Roman" w:hAnsi="Times New Roman" w:cs="Times New Roman"/>
          <w:color w:val="auto"/>
        </w:rPr>
        <w:t>月</w:t>
      </w:r>
      <w:r>
        <w:rPr>
          <w:rFonts w:hint="default" w:ascii="Times New Roman" w:hAnsi="Times New Roman" w:cs="Times New Roman"/>
          <w:color w:val="auto"/>
          <w:lang w:val="en-US" w:eastAsia="zh-CN"/>
        </w:rPr>
        <w:t>11</w:t>
      </w:r>
      <w:r>
        <w:rPr>
          <w:rFonts w:hint="default" w:ascii="Times New Roman" w:hAnsi="Times New Roman" w:cs="Times New Roman"/>
          <w:color w:val="auto"/>
        </w:rPr>
        <w:t>日</w:t>
      </w:r>
      <w:r>
        <w:rPr>
          <w:rFonts w:hint="default" w:ascii="Times New Roman" w:hAnsi="Times New Roman" w:cs="Times New Roman"/>
          <w:color w:val="auto"/>
          <w:lang w:val="en-US" w:eastAsia="zh-CN"/>
        </w:rPr>
        <w:t>至2025</w:t>
      </w:r>
      <w:r>
        <w:rPr>
          <w:rFonts w:hint="default" w:ascii="Times New Roman" w:hAnsi="Times New Roman" w:cs="Times New Roman"/>
          <w:color w:val="auto"/>
        </w:rPr>
        <w:t>年</w:t>
      </w:r>
      <w:r>
        <w:rPr>
          <w:rFonts w:hint="default" w:ascii="Times New Roman" w:hAnsi="Times New Roman" w:cs="Times New Roman"/>
          <w:color w:val="auto"/>
          <w:lang w:val="en-US" w:eastAsia="zh-CN"/>
        </w:rPr>
        <w:t>7</w:t>
      </w:r>
      <w:r>
        <w:rPr>
          <w:rFonts w:hint="default" w:ascii="Times New Roman" w:hAnsi="Times New Roman" w:cs="Times New Roman"/>
          <w:color w:val="auto"/>
        </w:rPr>
        <w:t>月</w:t>
      </w:r>
      <w:r>
        <w:rPr>
          <w:rFonts w:hint="default" w:ascii="Times New Roman" w:hAnsi="Times New Roman" w:cs="Times New Roman"/>
          <w:color w:val="auto"/>
          <w:lang w:val="en-US" w:eastAsia="zh-CN"/>
        </w:rPr>
        <w:t>25</w:t>
      </w:r>
      <w:r>
        <w:rPr>
          <w:rFonts w:hint="default" w:ascii="Times New Roman" w:hAnsi="Times New Roman" w:cs="Times New Roman"/>
          <w:color w:val="auto"/>
        </w:rPr>
        <w:t>日</w:t>
      </w:r>
      <w:r>
        <w:rPr>
          <w:rFonts w:hint="default" w:ascii="Times New Roman" w:hAnsi="Times New Roman" w:cs="Times New Roman"/>
          <w:color w:val="auto"/>
          <w:lang w:eastAsia="zh-CN"/>
        </w:rPr>
        <w:t>，</w:t>
      </w:r>
      <w:r>
        <w:rPr>
          <w:rFonts w:hint="default" w:ascii="Times New Roman" w:hAnsi="Times New Roman" w:cs="Times New Roman"/>
          <w:color w:val="auto"/>
        </w:rPr>
        <w:t>绩效评价组采取现场和非现场评价相结合的方式开展调研、查阅基础资料、数据采集、问卷调查、访谈、数据分析等绩效评价工作，具体实施情况如下：</w:t>
      </w:r>
    </w:p>
    <w:p w14:paraId="20DDF9B1">
      <w:pPr>
        <w:spacing w:before="0" w:after="0" w:line="360" w:lineRule="auto"/>
        <w:ind w:firstLine="640"/>
        <w:rPr>
          <w:rFonts w:hint="default" w:ascii="Times New Roman" w:hAnsi="Times New Roman" w:cs="Times New Roman"/>
          <w:color w:val="auto"/>
        </w:rPr>
      </w:pPr>
      <w:bookmarkStart w:id="53" w:name="_Toc11994"/>
      <w:r>
        <w:rPr>
          <w:rFonts w:hint="default" w:ascii="Times New Roman" w:hAnsi="Times New Roman" w:cs="Times New Roman"/>
          <w:color w:val="auto"/>
        </w:rPr>
        <w:t>（1）与</w:t>
      </w:r>
      <w:r>
        <w:rPr>
          <w:rFonts w:hint="default" w:ascii="Times New Roman" w:hAnsi="Times New Roman" w:cs="Times New Roman"/>
          <w:color w:val="auto"/>
          <w:lang w:val="en-US" w:eastAsia="zh-CN"/>
        </w:rPr>
        <w:t>吉木萨尔县住房和城乡建设局相关业务处室</w:t>
      </w:r>
      <w:r>
        <w:rPr>
          <w:rFonts w:hint="default" w:ascii="Times New Roman" w:hAnsi="Times New Roman" w:cs="Times New Roman"/>
          <w:color w:val="auto"/>
        </w:rPr>
        <w:t>管理人员</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财务人员，以及泓欣环境集团有限公司主要负责人</w:t>
      </w:r>
      <w:r>
        <w:rPr>
          <w:rFonts w:hint="default" w:ascii="Times New Roman" w:hAnsi="Times New Roman" w:cs="Times New Roman"/>
          <w:color w:val="auto"/>
        </w:rPr>
        <w:t>进行访谈沟通，全面了解项目实施的目的、预算安排、组织管理、实施结果等方面的内容。根据</w:t>
      </w:r>
      <w:r>
        <w:rPr>
          <w:rFonts w:hint="default" w:ascii="Times New Roman" w:hAnsi="Times New Roman" w:cs="Times New Roman"/>
          <w:color w:val="auto"/>
          <w:lang w:val="en-US" w:eastAsia="zh-CN"/>
        </w:rPr>
        <w:t>吉木萨尔县住房和城乡建设局</w:t>
      </w:r>
      <w:r>
        <w:rPr>
          <w:rFonts w:hint="default" w:ascii="Times New Roman" w:hAnsi="Times New Roman" w:cs="Times New Roman"/>
          <w:color w:val="auto"/>
        </w:rPr>
        <w:t>提供的项目立项、实施、资金使用及管理等方面的资料，对资料进行梳理、分析，并对标相关的政策依据、法律法规、单位制度等，完成绩效评价内容所需的印证资料整理汇总。</w:t>
      </w:r>
    </w:p>
    <w:p w14:paraId="71325E84">
      <w:pPr>
        <w:spacing w:before="0" w:after="0" w:line="360" w:lineRule="auto"/>
        <w:ind w:firstLine="0"/>
        <w:rPr>
          <w:rFonts w:hint="default" w:ascii="Times New Roman" w:hAnsi="Times New Roman" w:cs="Times New Roman" w:eastAsiaTheme="minorEastAsia"/>
          <w:color w:val="auto"/>
          <w:lang w:val="en-US" w:eastAsia="zh-CN"/>
        </w:rPr>
      </w:pPr>
      <w:r>
        <w:rPr>
          <w:rFonts w:hint="default" w:ascii="Times New Roman" w:hAnsi="Times New Roman" w:cs="Times New Roman"/>
          <w:color w:val="auto"/>
        </w:rPr>
        <w:t>（</w:t>
      </w:r>
      <w:r>
        <w:rPr>
          <w:rFonts w:hint="default" w:ascii="Times New Roman" w:hAnsi="Times New Roman" w:cs="Times New Roman"/>
          <w:color w:val="auto"/>
          <w:lang w:val="en-US" w:eastAsia="zh-CN"/>
        </w:rPr>
        <w:t>2</w:t>
      </w:r>
      <w:r>
        <w:rPr>
          <w:rFonts w:hint="default" w:ascii="Times New Roman" w:hAnsi="Times New Roman" w:cs="Times New Roman"/>
          <w:color w:val="auto"/>
        </w:rPr>
        <w:t>）</w:t>
      </w:r>
      <w:bookmarkEnd w:id="53"/>
      <w:bookmarkStart w:id="54" w:name="_Toc428278235"/>
      <w:bookmarkStart w:id="55" w:name="_Toc26870"/>
      <w:bookmarkStart w:id="56" w:name="_Toc419984726"/>
      <w:r>
        <w:rPr>
          <w:rFonts w:hint="default" w:ascii="Times New Roman" w:hAnsi="Times New Roman" w:cs="Times New Roman"/>
          <w:color w:val="auto"/>
        </w:rPr>
        <w:t>实地调研和现场勘察</w:t>
      </w:r>
      <w:r>
        <w:rPr>
          <w:rFonts w:hint="default" w:ascii="Times New Roman" w:hAnsi="Times New Roman" w:cs="Times New Roman"/>
          <w:color w:val="auto"/>
          <w:lang w:eastAsia="zh-CN"/>
        </w:rPr>
        <w:t>，项目评价组根据项目实施过程及指标评价需求判断，对</w:t>
      </w:r>
      <w:r>
        <w:rPr>
          <w:rFonts w:hint="default" w:ascii="Times New Roman" w:hAnsi="Times New Roman" w:cs="Times New Roman"/>
          <w:color w:val="auto"/>
          <w:lang w:val="en-US" w:eastAsia="zh-CN"/>
        </w:rPr>
        <w:t>该</w:t>
      </w:r>
      <w:r>
        <w:rPr>
          <w:rFonts w:hint="default" w:ascii="Times New Roman" w:hAnsi="Times New Roman" w:cs="Times New Roman"/>
          <w:color w:val="auto"/>
          <w:lang w:eastAsia="zh-CN"/>
        </w:rPr>
        <w:t>项目</w:t>
      </w:r>
      <w:r>
        <w:rPr>
          <w:rFonts w:hint="default" w:ascii="Times New Roman" w:hAnsi="Times New Roman" w:cs="Times New Roman"/>
          <w:color w:val="auto"/>
          <w:lang w:val="en-US" w:eastAsia="zh-CN"/>
        </w:rPr>
        <w:t>提供服务道路保洁、游园，公厕、垃圾填埋场等</w:t>
      </w:r>
      <w:r>
        <w:rPr>
          <w:rFonts w:hint="default" w:ascii="Times New Roman" w:hAnsi="Times New Roman" w:cs="Times New Roman"/>
          <w:color w:val="auto"/>
          <w:lang w:eastAsia="zh-CN"/>
        </w:rPr>
        <w:t>进行实地调研考察，核实</w:t>
      </w:r>
      <w:r>
        <w:rPr>
          <w:rFonts w:hint="default" w:ascii="Times New Roman" w:hAnsi="Times New Roman" w:cs="Times New Roman"/>
          <w:color w:val="auto"/>
          <w:lang w:val="en-US" w:eastAsia="zh-CN"/>
        </w:rPr>
        <w:t>实际运营管护</w:t>
      </w:r>
      <w:r>
        <w:rPr>
          <w:rFonts w:hint="default" w:ascii="Times New Roman" w:hAnsi="Times New Roman" w:cs="Times New Roman"/>
          <w:color w:val="auto"/>
          <w:lang w:eastAsia="zh-CN"/>
        </w:rPr>
        <w:t>完成情况，并拍照形成图片印证材料。</w:t>
      </w:r>
      <w:r>
        <w:rPr>
          <w:rFonts w:hint="default" w:ascii="Times New Roman" w:hAnsi="Times New Roman" w:cs="Times New Roman"/>
          <w:color w:val="auto"/>
        </w:rPr>
        <w:t>根据</w:t>
      </w:r>
      <w:r>
        <w:rPr>
          <w:rFonts w:hint="default" w:ascii="Times New Roman" w:hAnsi="Times New Roman" w:cs="Times New Roman"/>
          <w:color w:val="auto"/>
          <w:lang w:val="en-US" w:eastAsia="zh-CN"/>
        </w:rPr>
        <w:t>吉木萨尔住房和城乡建设局</w:t>
      </w:r>
      <w:r>
        <w:rPr>
          <w:rFonts w:hint="default" w:ascii="Times New Roman" w:hAnsi="Times New Roman" w:cs="Times New Roman"/>
          <w:color w:val="auto"/>
        </w:rPr>
        <w:t>提供的项目</w:t>
      </w:r>
      <w:r>
        <w:rPr>
          <w:rFonts w:hint="default" w:ascii="Times New Roman" w:hAnsi="Times New Roman" w:cs="Times New Roman"/>
          <w:color w:val="auto"/>
          <w:lang w:val="en-US" w:eastAsia="zh-CN"/>
        </w:rPr>
        <w:t>申请</w:t>
      </w:r>
      <w:r>
        <w:rPr>
          <w:rFonts w:hint="default" w:ascii="Times New Roman" w:hAnsi="Times New Roman" w:cs="Times New Roman"/>
          <w:color w:val="auto"/>
        </w:rPr>
        <w:t>、实施、资金使用及管理等方面的资料，对资料进行梳理、分析，并对标相关的政策依据、法律法规、单位制度等，完成绩效评价内容所需的印证资料整理汇总。</w:t>
      </w:r>
    </w:p>
    <w:p w14:paraId="1D6AF538">
      <w:pPr>
        <w:spacing w:before="0" w:after="0" w:line="360" w:lineRule="auto"/>
        <w:ind w:firstLine="640"/>
        <w:rPr>
          <w:rFonts w:hint="default" w:ascii="Times New Roman" w:hAnsi="Times New Roman" w:cs="Times New Roman"/>
          <w:color w:val="auto"/>
        </w:rPr>
      </w:pP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3</w:t>
      </w:r>
      <w:r>
        <w:rPr>
          <w:rFonts w:hint="default" w:ascii="Times New Roman" w:hAnsi="Times New Roman" w:cs="Times New Roman"/>
          <w:color w:val="auto"/>
          <w:lang w:eastAsia="zh-CN"/>
        </w:rPr>
        <w:t>）</w:t>
      </w:r>
      <w:r>
        <w:rPr>
          <w:rFonts w:hint="default" w:ascii="Times New Roman" w:hAnsi="Times New Roman" w:cs="Times New Roman"/>
          <w:color w:val="auto"/>
        </w:rPr>
        <w:t>经调研了解，</w:t>
      </w:r>
      <w:r>
        <w:rPr>
          <w:rFonts w:hint="default" w:ascii="Times New Roman" w:hAnsi="Times New Roman" w:cs="Times New Roman"/>
          <w:color w:val="auto"/>
          <w:lang w:val="en-US" w:eastAsia="zh-CN"/>
        </w:rPr>
        <w:t>该项目</w:t>
      </w:r>
      <w:r>
        <w:rPr>
          <w:rFonts w:hint="default" w:ascii="Times New Roman" w:hAnsi="Times New Roman" w:cs="Times New Roman"/>
          <w:color w:val="auto"/>
        </w:rPr>
        <w:t>受益对象</w:t>
      </w:r>
      <w:r>
        <w:rPr>
          <w:rFonts w:hint="default" w:ascii="Times New Roman" w:hAnsi="Times New Roman" w:cs="Times New Roman"/>
          <w:color w:val="auto"/>
          <w:lang w:val="en-US" w:eastAsia="zh-CN"/>
        </w:rPr>
        <w:t>包括吉木萨尔县社会公众和购买主体</w:t>
      </w:r>
      <w:r>
        <w:rPr>
          <w:rFonts w:hint="default" w:ascii="Times New Roman" w:hAnsi="Times New Roman" w:cs="Times New Roman"/>
          <w:color w:val="auto"/>
        </w:rPr>
        <w:t>，</w:t>
      </w:r>
      <w:r>
        <w:rPr>
          <w:rFonts w:hint="default" w:ascii="Times New Roman" w:hAnsi="Times New Roman" w:cs="Times New Roman"/>
          <w:color w:val="auto"/>
          <w:lang w:val="en-US" w:eastAsia="zh-CN"/>
        </w:rPr>
        <w:t>绩效评价小组针对不同的受益对象</w:t>
      </w:r>
      <w:r>
        <w:rPr>
          <w:rFonts w:hint="default" w:ascii="Times New Roman" w:hAnsi="Times New Roman" w:cs="Times New Roman"/>
          <w:color w:val="auto"/>
        </w:rPr>
        <w:t>设计满意度调查问卷独立开展第三方调研工作。</w:t>
      </w:r>
      <w:r>
        <w:rPr>
          <w:rFonts w:hint="default" w:ascii="Times New Roman" w:hAnsi="Times New Roman" w:cs="Times New Roman"/>
          <w:color w:val="auto"/>
          <w:lang w:val="en-US" w:eastAsia="zh-CN"/>
        </w:rPr>
        <w:t>本次调查对象涉及公众较多，</w:t>
      </w:r>
      <w:r>
        <w:rPr>
          <w:rFonts w:hint="default" w:ascii="Times New Roman" w:hAnsi="Times New Roman" w:cs="Times New Roman"/>
          <w:color w:val="auto"/>
        </w:rPr>
        <w:t>该项目问卷调查使用</w:t>
      </w:r>
      <w:r>
        <w:rPr>
          <w:rFonts w:hint="default" w:ascii="Times New Roman" w:hAnsi="Times New Roman" w:cs="Times New Roman"/>
          <w:color w:val="auto"/>
          <w:lang w:val="en-US" w:eastAsia="zh-CN"/>
        </w:rPr>
        <w:t>随机</w:t>
      </w:r>
      <w:r>
        <w:rPr>
          <w:rFonts w:hint="default" w:ascii="Times New Roman" w:hAnsi="Times New Roman" w:cs="Times New Roman"/>
          <w:color w:val="auto"/>
        </w:rPr>
        <w:t>抽样的方式对</w:t>
      </w:r>
      <w:r>
        <w:rPr>
          <w:rFonts w:hint="default" w:ascii="Times New Roman" w:hAnsi="Times New Roman" w:cs="Times New Roman"/>
          <w:color w:val="auto"/>
          <w:lang w:val="en-US" w:eastAsia="zh-CN"/>
        </w:rPr>
        <w:t>吉木萨尔县县城的社会公众发放问卷</w:t>
      </w:r>
      <w:r>
        <w:rPr>
          <w:rFonts w:hint="default" w:ascii="Times New Roman" w:hAnsi="Times New Roman" w:cs="Times New Roman"/>
          <w:color w:val="auto"/>
        </w:rPr>
        <w:t>，最终收回</w:t>
      </w:r>
      <w:r>
        <w:rPr>
          <w:rFonts w:hint="default" w:ascii="Times New Roman" w:hAnsi="Times New Roman" w:cs="Times New Roman"/>
          <w:color w:val="auto"/>
          <w:lang w:val="en-US" w:eastAsia="zh-CN"/>
        </w:rPr>
        <w:t>问卷444</w:t>
      </w:r>
      <w:r>
        <w:rPr>
          <w:rFonts w:hint="default" w:ascii="Times New Roman" w:hAnsi="Times New Roman" w:cs="Times New Roman"/>
          <w:color w:val="auto"/>
        </w:rPr>
        <w:t>份，有效问卷</w:t>
      </w:r>
      <w:r>
        <w:rPr>
          <w:rFonts w:hint="default" w:ascii="Times New Roman" w:hAnsi="Times New Roman" w:cs="Times New Roman"/>
          <w:color w:val="auto"/>
          <w:lang w:val="en-US" w:eastAsia="zh-CN"/>
        </w:rPr>
        <w:t>444</w:t>
      </w:r>
      <w:r>
        <w:rPr>
          <w:rFonts w:hint="default" w:ascii="Times New Roman" w:hAnsi="Times New Roman" w:cs="Times New Roman"/>
          <w:color w:val="auto"/>
        </w:rPr>
        <w:t>份</w:t>
      </w:r>
      <w:r>
        <w:rPr>
          <w:rFonts w:hint="default" w:ascii="Times New Roman" w:hAnsi="Times New Roman" w:cs="Times New Roman"/>
          <w:b/>
          <w:bCs/>
          <w:color w:val="auto"/>
          <w:lang w:val="en-US" w:eastAsia="zh-CN"/>
        </w:rPr>
        <w:t>。</w:t>
      </w:r>
      <w:r>
        <w:rPr>
          <w:rFonts w:hint="default" w:ascii="Times New Roman" w:hAnsi="Times New Roman" w:cs="Times New Roman"/>
          <w:b w:val="0"/>
          <w:bCs w:val="0"/>
          <w:color w:val="auto"/>
          <w:lang w:val="en-US" w:eastAsia="zh-CN"/>
        </w:rPr>
        <w:t>针对</w:t>
      </w:r>
      <w:r>
        <w:rPr>
          <w:rFonts w:hint="default" w:ascii="Times New Roman" w:hAnsi="Times New Roman" w:cs="Times New Roman"/>
          <w:color w:val="auto"/>
          <w:lang w:val="en-US" w:eastAsia="zh-CN"/>
        </w:rPr>
        <w:t>购买主体</w:t>
      </w:r>
      <w:r>
        <w:rPr>
          <w:rFonts w:hint="default" w:ascii="Times New Roman" w:hAnsi="Times New Roman" w:cs="Times New Roman"/>
          <w:color w:val="auto"/>
        </w:rPr>
        <w:t>共发放调查问卷</w:t>
      </w:r>
      <w:r>
        <w:rPr>
          <w:rFonts w:hint="default" w:ascii="Times New Roman" w:hAnsi="Times New Roman" w:cs="Times New Roman"/>
          <w:color w:val="auto"/>
          <w:lang w:val="en-US" w:eastAsia="zh-CN"/>
        </w:rPr>
        <w:t>1</w:t>
      </w:r>
      <w:r>
        <w:rPr>
          <w:rFonts w:hint="default" w:ascii="Times New Roman" w:hAnsi="Times New Roman" w:cs="Times New Roman"/>
          <w:color w:val="auto"/>
        </w:rPr>
        <w:t>份</w:t>
      </w:r>
      <w:r>
        <w:rPr>
          <w:rFonts w:hint="default" w:ascii="Times New Roman" w:hAnsi="Times New Roman" w:cs="Times New Roman"/>
          <w:b/>
          <w:bCs/>
          <w:color w:val="auto"/>
          <w:lang w:val="en-US" w:eastAsia="zh-CN"/>
        </w:rPr>
        <w:t>。</w:t>
      </w:r>
    </w:p>
    <w:bookmarkEnd w:id="54"/>
    <w:bookmarkEnd w:id="55"/>
    <w:bookmarkEnd w:id="56"/>
    <w:p w14:paraId="1102A95F">
      <w:pPr>
        <w:spacing w:before="0" w:after="0" w:line="360" w:lineRule="auto"/>
        <w:ind w:firstLine="640"/>
        <w:rPr>
          <w:rFonts w:hint="default" w:ascii="Times New Roman" w:hAnsi="Times New Roman" w:cs="Times New Roman"/>
          <w:color w:val="auto"/>
        </w:rPr>
      </w:pPr>
      <w:r>
        <w:rPr>
          <w:rFonts w:hint="default" w:ascii="Times New Roman" w:hAnsi="Times New Roman" w:cs="Times New Roman"/>
          <w:color w:val="auto"/>
          <w:kern w:val="0"/>
          <w:szCs w:val="24"/>
        </w:rPr>
        <w:t>（4）通过对采集的数据资料进行复核汇总、分类整理和综合分析，按照设立的评价指标、标准、权重、方法实施评价，并形成评价工作底稿</w:t>
      </w:r>
      <w:r>
        <w:rPr>
          <w:rFonts w:hint="default" w:ascii="Times New Roman" w:hAnsi="Times New Roman" w:cs="Times New Roman"/>
          <w:color w:val="auto"/>
        </w:rPr>
        <w:t>。</w:t>
      </w:r>
    </w:p>
    <w:p w14:paraId="3EF024A6">
      <w:pPr>
        <w:pStyle w:val="4"/>
        <w:spacing w:before="0" w:after="0" w:line="360" w:lineRule="auto"/>
        <w:ind w:firstLine="641"/>
        <w:rPr>
          <w:rFonts w:hint="default" w:ascii="Times New Roman" w:hAnsi="Times New Roman" w:cs="Times New Roman"/>
          <w:color w:val="auto"/>
        </w:rPr>
      </w:pPr>
      <w:bookmarkStart w:id="57" w:name="_Toc2618"/>
      <w:r>
        <w:rPr>
          <w:rFonts w:hint="default" w:ascii="Times New Roman" w:hAnsi="Times New Roman" w:cs="Times New Roman"/>
          <w:color w:val="auto"/>
        </w:rPr>
        <w:t>4.撰写评价报告</w:t>
      </w:r>
      <w:bookmarkEnd w:id="57"/>
    </w:p>
    <w:p w14:paraId="2A0DCCC9">
      <w:pPr>
        <w:spacing w:before="0" w:after="0" w:line="360" w:lineRule="auto"/>
        <w:ind w:firstLine="640"/>
        <w:rPr>
          <w:rFonts w:hint="default" w:ascii="Times New Roman" w:hAnsi="Times New Roman" w:cs="Times New Roman"/>
          <w:color w:val="auto"/>
        </w:rPr>
      </w:pPr>
      <w:r>
        <w:rPr>
          <w:rFonts w:hint="default" w:ascii="Times New Roman" w:hAnsi="Times New Roman" w:cs="Times New Roman"/>
          <w:color w:val="auto"/>
          <w:lang w:val="en-US" w:eastAsia="zh-CN"/>
        </w:rPr>
        <w:t>2025</w:t>
      </w:r>
      <w:r>
        <w:rPr>
          <w:rFonts w:hint="default" w:ascii="Times New Roman" w:hAnsi="Times New Roman" w:cs="Times New Roman"/>
          <w:color w:val="auto"/>
        </w:rPr>
        <w:t>年</w:t>
      </w:r>
      <w:r>
        <w:rPr>
          <w:rFonts w:hint="default" w:ascii="Times New Roman" w:hAnsi="Times New Roman" w:cs="Times New Roman"/>
          <w:color w:val="auto"/>
          <w:lang w:val="en-US" w:eastAsia="zh-CN"/>
        </w:rPr>
        <w:t>8</w:t>
      </w:r>
      <w:r>
        <w:rPr>
          <w:rFonts w:hint="default" w:ascii="Times New Roman" w:hAnsi="Times New Roman" w:cs="Times New Roman"/>
          <w:color w:val="auto"/>
        </w:rPr>
        <w:t>月</w:t>
      </w:r>
      <w:r>
        <w:rPr>
          <w:rFonts w:hint="default" w:ascii="Times New Roman" w:hAnsi="Times New Roman" w:cs="Times New Roman"/>
          <w:color w:val="auto"/>
          <w:lang w:val="en-US" w:eastAsia="zh-CN"/>
        </w:rPr>
        <w:t>11</w:t>
      </w:r>
      <w:r>
        <w:rPr>
          <w:rFonts w:hint="default" w:ascii="Times New Roman" w:hAnsi="Times New Roman" w:cs="Times New Roman"/>
          <w:color w:val="auto"/>
        </w:rPr>
        <w:t>日</w:t>
      </w:r>
      <w:r>
        <w:rPr>
          <w:rFonts w:hint="default" w:ascii="Times New Roman" w:hAnsi="Times New Roman" w:cs="Times New Roman"/>
          <w:color w:val="auto"/>
          <w:lang w:val="en-US" w:eastAsia="zh-CN"/>
        </w:rPr>
        <w:t>至2025</w:t>
      </w:r>
      <w:r>
        <w:rPr>
          <w:rFonts w:hint="default" w:ascii="Times New Roman" w:hAnsi="Times New Roman" w:cs="Times New Roman"/>
          <w:color w:val="auto"/>
        </w:rPr>
        <w:t>年</w:t>
      </w:r>
      <w:r>
        <w:rPr>
          <w:rFonts w:hint="default" w:ascii="Times New Roman" w:hAnsi="Times New Roman" w:cs="Times New Roman"/>
          <w:color w:val="auto"/>
          <w:lang w:val="en-US" w:eastAsia="zh-CN"/>
        </w:rPr>
        <w:t>8</w:t>
      </w:r>
      <w:r>
        <w:rPr>
          <w:rFonts w:hint="default" w:ascii="Times New Roman" w:hAnsi="Times New Roman" w:cs="Times New Roman"/>
          <w:color w:val="auto"/>
        </w:rPr>
        <w:t>月</w:t>
      </w:r>
      <w:r>
        <w:rPr>
          <w:rFonts w:hint="default" w:ascii="Times New Roman" w:hAnsi="Times New Roman" w:cs="Times New Roman"/>
          <w:color w:val="auto"/>
          <w:lang w:val="en-US" w:eastAsia="zh-CN"/>
        </w:rPr>
        <w:t>31</w:t>
      </w:r>
      <w:r>
        <w:rPr>
          <w:rFonts w:hint="default" w:ascii="Times New Roman" w:hAnsi="Times New Roman" w:cs="Times New Roman"/>
          <w:color w:val="auto"/>
        </w:rPr>
        <w:t>日</w:t>
      </w:r>
      <w:r>
        <w:rPr>
          <w:rFonts w:hint="default" w:ascii="Times New Roman" w:hAnsi="Times New Roman" w:cs="Times New Roman"/>
          <w:color w:val="auto"/>
          <w:lang w:eastAsia="zh-CN"/>
        </w:rPr>
        <w:t>，</w:t>
      </w:r>
      <w:r>
        <w:rPr>
          <w:rFonts w:hint="default" w:ascii="Times New Roman" w:hAnsi="Times New Roman" w:cs="Times New Roman"/>
          <w:color w:val="auto"/>
        </w:rPr>
        <w:t>归集绩效评价工作底稿，起草项目绩效评价报告，经公司内部质量审核通过后向委托人提交绩效评价报告初稿，并报送项目实施单位以及行业主管部门，进行结果反馈，充分交换意见。</w:t>
      </w:r>
    </w:p>
    <w:p w14:paraId="6848BAA4">
      <w:pPr>
        <w:pStyle w:val="4"/>
        <w:spacing w:before="0" w:after="0" w:line="360" w:lineRule="auto"/>
        <w:ind w:firstLine="641"/>
        <w:rPr>
          <w:rFonts w:hint="default" w:ascii="Times New Roman" w:hAnsi="Times New Roman" w:cs="Times New Roman"/>
          <w:color w:val="auto"/>
        </w:rPr>
      </w:pPr>
      <w:r>
        <w:rPr>
          <w:rFonts w:hint="default" w:ascii="Times New Roman" w:hAnsi="Times New Roman" w:cs="Times New Roman"/>
          <w:color w:val="auto"/>
          <w:lang w:val="en-US" w:eastAsia="zh-CN"/>
        </w:rPr>
        <w:t>5</w:t>
      </w:r>
      <w:r>
        <w:rPr>
          <w:rFonts w:hint="default" w:ascii="Times New Roman" w:hAnsi="Times New Roman" w:cs="Times New Roman"/>
          <w:color w:val="auto"/>
        </w:rPr>
        <w:t>.资料档案</w:t>
      </w:r>
    </w:p>
    <w:p w14:paraId="7EAFC602">
      <w:pPr>
        <w:spacing w:before="0" w:after="0" w:line="360" w:lineRule="auto"/>
        <w:ind w:firstLine="640"/>
        <w:rPr>
          <w:rFonts w:hint="default" w:ascii="Times New Roman" w:hAnsi="Times New Roman" w:cs="Times New Roman"/>
          <w:color w:val="auto"/>
        </w:rPr>
      </w:pPr>
      <w:r>
        <w:rPr>
          <w:rFonts w:hint="default" w:ascii="Times New Roman" w:hAnsi="Times New Roman" w:cs="Times New Roman"/>
          <w:color w:val="auto"/>
        </w:rPr>
        <w:t>第三方机构将绩效评价过程中收集的全部有效资料，主要包括绩效评价工作方案、绩效指标的佐证材料、各单位反馈意见和建议、实地调研记录、调查问卷、绩效评价报告等一并归档，并按照有关档案管理规定妥善管理。</w:t>
      </w:r>
    </w:p>
    <w:p w14:paraId="06859071">
      <w:pPr>
        <w:pStyle w:val="2"/>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58" w:name="_Toc18294"/>
      <w:r>
        <w:rPr>
          <w:rFonts w:hint="default" w:ascii="Times New Roman" w:hAnsi="Times New Roman" w:cs="Times New Roman"/>
          <w:color w:val="auto"/>
        </w:rPr>
        <w:t>四、综合评价情况及评价结论</w:t>
      </w:r>
      <w:bookmarkEnd w:id="52"/>
      <w:bookmarkEnd w:id="58"/>
    </w:p>
    <w:p w14:paraId="791D307A">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lang w:eastAsia="zh-TW"/>
        </w:rPr>
      </w:pPr>
      <w:bookmarkStart w:id="59" w:name="_Toc166"/>
      <w:bookmarkStart w:id="60" w:name="_Toc22544"/>
      <w:bookmarkStart w:id="61" w:name="_Toc535"/>
      <w:r>
        <w:rPr>
          <w:rFonts w:hint="default" w:ascii="Times New Roman" w:hAnsi="Times New Roman" w:cs="Times New Roman"/>
          <w:color w:val="auto"/>
        </w:rPr>
        <w:t>（一）评价得分情况</w:t>
      </w:r>
      <w:bookmarkEnd w:id="59"/>
    </w:p>
    <w:p w14:paraId="59865556">
      <w:pPr>
        <w:spacing w:line="360" w:lineRule="auto"/>
        <w:rPr>
          <w:rFonts w:hint="default" w:ascii="Times New Roman" w:hAnsi="Times New Roman" w:eastAsia="黑体" w:cs="Times New Roman"/>
          <w:color w:val="auto"/>
          <w:lang w:val="zh-TW" w:eastAsia="zh-TW"/>
        </w:rPr>
      </w:pPr>
      <w:r>
        <w:rPr>
          <w:rFonts w:hint="default" w:ascii="Times New Roman" w:hAnsi="Times New Roman" w:cs="Times New Roman"/>
          <w:color w:val="auto"/>
          <w:lang w:val="zh-TW" w:eastAsia="zh-TW"/>
        </w:rPr>
        <w:t>通过调研、数据分析、访谈等方式，根据绩效评价方案确定的指标体系及评分标准，对“</w:t>
      </w:r>
      <w:r>
        <w:rPr>
          <w:rFonts w:hint="default" w:ascii="Times New Roman" w:hAnsi="Times New Roman" w:cs="Times New Roman"/>
          <w:color w:val="auto"/>
          <w:lang w:val="en-US" w:eastAsia="zh-CN"/>
        </w:rPr>
        <w:t>吉木萨尔县城市管理服务“三位一体”委托运营项目</w:t>
      </w:r>
      <w:r>
        <w:rPr>
          <w:rFonts w:hint="default" w:ascii="Times New Roman" w:hAnsi="Times New Roman" w:cs="Times New Roman"/>
          <w:color w:val="auto"/>
          <w:lang w:val="zh-TW" w:eastAsia="zh-TW"/>
        </w:rPr>
        <w:t>”绩效进行客观评价，经评价分析，该项目最终评分结果为</w:t>
      </w:r>
      <w:r>
        <w:rPr>
          <w:rFonts w:hint="eastAsia" w:cs="Times New Roman"/>
          <w:color w:val="auto"/>
          <w:lang w:val="en-US" w:eastAsia="zh-CN"/>
        </w:rPr>
        <w:t>92.50</w:t>
      </w:r>
      <w:r>
        <w:rPr>
          <w:rFonts w:hint="default" w:ascii="Times New Roman" w:hAnsi="Times New Roman" w:cs="Times New Roman"/>
          <w:color w:val="auto"/>
          <w:lang w:val="zh-TW" w:eastAsia="zh-TW"/>
        </w:rPr>
        <w:t>分，绩效评级为“</w:t>
      </w:r>
      <w:r>
        <w:rPr>
          <w:rFonts w:hint="eastAsia" w:cs="Times New Roman"/>
          <w:color w:val="auto"/>
          <w:lang w:val="en-US" w:eastAsia="zh-CN"/>
        </w:rPr>
        <w:t>优</w:t>
      </w:r>
      <w:r>
        <w:rPr>
          <w:rFonts w:hint="default" w:ascii="Times New Roman" w:hAnsi="Times New Roman" w:cs="Times New Roman"/>
          <w:color w:val="auto"/>
          <w:lang w:val="zh-TW" w:eastAsia="zh-TW"/>
        </w:rPr>
        <w:t>”。各部分权重和绩效分值如下表：</w:t>
      </w:r>
    </w:p>
    <w:p w14:paraId="77894C6B">
      <w:pPr>
        <w:rPr>
          <w:rFonts w:hint="default" w:ascii="Times New Roman" w:hAnsi="Times New Roman" w:eastAsia="黑体" w:cs="Times New Roman"/>
          <w:color w:val="auto"/>
          <w:lang w:val="zh-TW" w:eastAsia="zh-TW"/>
        </w:rPr>
      </w:pPr>
      <w:r>
        <w:rPr>
          <w:rFonts w:hint="default" w:ascii="Times New Roman" w:hAnsi="Times New Roman" w:eastAsia="黑体" w:cs="Times New Roman"/>
          <w:color w:val="auto"/>
          <w:lang w:val="zh-TW" w:eastAsia="zh-TW"/>
        </w:rPr>
        <w:br w:type="page"/>
      </w:r>
    </w:p>
    <w:p w14:paraId="78F4CD0A">
      <w:pPr>
        <w:pageBreakBefore w:val="0"/>
        <w:kinsoku/>
        <w:wordWrap/>
        <w:overflowPunct/>
        <w:topLinePunct w:val="0"/>
        <w:autoSpaceDE/>
        <w:autoSpaceDN/>
        <w:bidi w:val="0"/>
        <w:snapToGrid w:val="0"/>
        <w:spacing w:before="0" w:after="0" w:line="360" w:lineRule="auto"/>
        <w:ind w:firstLine="0" w:firstLineChars="0"/>
        <w:jc w:val="center"/>
        <w:rPr>
          <w:rFonts w:hint="default" w:ascii="Times New Roman" w:hAnsi="Times New Roman" w:eastAsia="黑体" w:cs="Times New Roman"/>
          <w:color w:val="auto"/>
        </w:rPr>
      </w:pPr>
      <w:r>
        <w:rPr>
          <w:rFonts w:hint="default" w:ascii="Times New Roman" w:hAnsi="Times New Roman" w:eastAsia="黑体" w:cs="Times New Roman"/>
          <w:color w:val="auto"/>
          <w:lang w:val="zh-TW" w:eastAsia="zh-TW"/>
        </w:rPr>
        <w:t>表</w:t>
      </w:r>
      <w:r>
        <w:rPr>
          <w:rFonts w:hint="default" w:ascii="Times New Roman" w:hAnsi="Times New Roman" w:eastAsia="黑体" w:cs="Times New Roman"/>
          <w:color w:val="auto"/>
          <w:lang w:val="en-US" w:eastAsia="zh-CN"/>
        </w:rPr>
        <w:t>4</w:t>
      </w:r>
      <w:r>
        <w:rPr>
          <w:rFonts w:hint="default" w:ascii="Times New Roman" w:hAnsi="Times New Roman" w:eastAsia="黑体" w:cs="Times New Roman"/>
          <w:color w:val="auto"/>
          <w:lang w:val="zh-TW" w:eastAsia="zh-TW"/>
        </w:rPr>
        <w:t>-1</w:t>
      </w:r>
      <w:r>
        <w:rPr>
          <w:rFonts w:hint="default" w:ascii="Times New Roman" w:hAnsi="Times New Roman" w:eastAsia="黑体" w:cs="Times New Roman"/>
          <w:color w:val="auto"/>
          <w:lang w:val="zh-TW"/>
        </w:rPr>
        <w:t>：</w:t>
      </w:r>
      <w:r>
        <w:rPr>
          <w:rFonts w:hint="default" w:ascii="Times New Roman" w:hAnsi="Times New Roman" w:eastAsia="黑体" w:cs="Times New Roman"/>
          <w:color w:val="auto"/>
          <w:lang w:val="en-US" w:eastAsia="zh-CN"/>
        </w:rPr>
        <w:t>吉木萨尔县城市管理服务“三位一体”委托运营项目</w:t>
      </w:r>
      <w:r>
        <w:rPr>
          <w:rFonts w:hint="default" w:ascii="Times New Roman" w:hAnsi="Times New Roman" w:eastAsia="黑体" w:cs="Times New Roman"/>
          <w:color w:val="auto"/>
          <w:lang w:val="zh-TW"/>
        </w:rPr>
        <w:t>得分表</w:t>
      </w:r>
    </w:p>
    <w:tbl>
      <w:tblPr>
        <w:tblStyle w:val="18"/>
        <w:tblW w:w="4998"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883"/>
        <w:gridCol w:w="1613"/>
        <w:gridCol w:w="1613"/>
        <w:gridCol w:w="1613"/>
        <w:gridCol w:w="1613"/>
        <w:gridCol w:w="1128"/>
      </w:tblGrid>
      <w:tr w14:paraId="1BDC924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521"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369F2A61">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指标</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46A0A00E">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项目决策类</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462A5BF2">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项目</w:t>
            </w:r>
            <w:r>
              <w:rPr>
                <w:rFonts w:hint="default" w:ascii="Times New Roman" w:hAnsi="Times New Roman" w:eastAsia="宋体" w:cs="Times New Roman"/>
                <w:b/>
                <w:bCs/>
                <w:color w:val="auto"/>
                <w:sz w:val="21"/>
                <w:szCs w:val="21"/>
              </w:rPr>
              <w:t>过程</w:t>
            </w:r>
            <w:r>
              <w:rPr>
                <w:rFonts w:hint="default" w:ascii="Times New Roman" w:hAnsi="Times New Roman" w:eastAsia="宋体" w:cs="Times New Roman"/>
                <w:b/>
                <w:bCs/>
                <w:color w:val="auto"/>
                <w:sz w:val="21"/>
                <w:szCs w:val="21"/>
                <w:lang w:val="zh-TW" w:eastAsia="zh-TW"/>
              </w:rPr>
              <w:t>类</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18A7DF92">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项目</w:t>
            </w:r>
            <w:r>
              <w:rPr>
                <w:rFonts w:hint="default" w:ascii="Times New Roman" w:hAnsi="Times New Roman" w:eastAsia="宋体" w:cs="Times New Roman"/>
                <w:b/>
                <w:bCs/>
                <w:color w:val="auto"/>
                <w:sz w:val="21"/>
                <w:szCs w:val="21"/>
              </w:rPr>
              <w:t>产出</w:t>
            </w:r>
            <w:r>
              <w:rPr>
                <w:rFonts w:hint="default" w:ascii="Times New Roman" w:hAnsi="Times New Roman" w:eastAsia="宋体" w:cs="Times New Roman"/>
                <w:b/>
                <w:bCs/>
                <w:color w:val="auto"/>
                <w:sz w:val="21"/>
                <w:szCs w:val="21"/>
                <w:lang w:val="zh-TW" w:eastAsia="zh-TW"/>
              </w:rPr>
              <w:t>类</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6D47CB02">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lang w:val="zh-TW" w:eastAsia="zh-TW"/>
              </w:rPr>
            </w:pPr>
            <w:r>
              <w:rPr>
                <w:rFonts w:hint="default" w:ascii="Times New Roman" w:hAnsi="Times New Roman" w:eastAsia="宋体" w:cs="Times New Roman"/>
                <w:b/>
                <w:bCs/>
                <w:color w:val="auto"/>
                <w:sz w:val="21"/>
                <w:szCs w:val="21"/>
                <w:lang w:val="zh-TW" w:eastAsia="zh-TW"/>
              </w:rPr>
              <w:t>项目</w:t>
            </w:r>
            <w:r>
              <w:rPr>
                <w:rFonts w:hint="default" w:ascii="Times New Roman" w:hAnsi="Times New Roman" w:eastAsia="宋体" w:cs="Times New Roman"/>
                <w:b/>
                <w:bCs/>
                <w:color w:val="auto"/>
                <w:sz w:val="21"/>
                <w:szCs w:val="21"/>
              </w:rPr>
              <w:t>效益</w:t>
            </w:r>
            <w:r>
              <w:rPr>
                <w:rFonts w:hint="default" w:ascii="Times New Roman" w:hAnsi="Times New Roman" w:eastAsia="宋体" w:cs="Times New Roman"/>
                <w:b/>
                <w:bCs/>
                <w:color w:val="auto"/>
                <w:sz w:val="21"/>
                <w:szCs w:val="21"/>
                <w:lang w:val="zh-TW" w:eastAsia="zh-TW"/>
              </w:rPr>
              <w:t>类</w:t>
            </w:r>
          </w:p>
        </w:tc>
        <w:tc>
          <w:tcPr>
            <w:tcW w:w="666"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3A9C9DA8">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合计分值</w:t>
            </w:r>
          </w:p>
        </w:tc>
      </w:tr>
      <w:tr w14:paraId="03B753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521"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3F60D4E4">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权重</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18D9133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color w:val="auto"/>
                <w:sz w:val="21"/>
                <w:szCs w:val="21"/>
                <w:lang w:val="zh-TW" w:eastAsia="zh-TW"/>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15.00 </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11093B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color w:val="auto"/>
                <w:sz w:val="21"/>
                <w:szCs w:val="21"/>
                <w:lang w:val="zh-TW" w:eastAsia="zh-TW"/>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25.00 </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3F82478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color w:val="auto"/>
                <w:sz w:val="21"/>
                <w:szCs w:val="21"/>
                <w:lang w:val="zh-TW" w:eastAsia="zh-TW"/>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30.00 </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56DC053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color w:val="auto"/>
                <w:sz w:val="21"/>
                <w:szCs w:val="21"/>
                <w:lang w:val="zh-TW" w:eastAsia="zh-TW"/>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30.00 </w:t>
            </w:r>
          </w:p>
        </w:tc>
        <w:tc>
          <w:tcPr>
            <w:tcW w:w="1128"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1E7615E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color w:val="auto"/>
                <w:sz w:val="21"/>
                <w:szCs w:val="21"/>
                <w:lang w:val="zh-TW" w:eastAsia="zh-TW"/>
              </w:rPr>
            </w:pPr>
            <w:r>
              <w:rPr>
                <w:rFonts w:hint="default" w:ascii="Times New Roman" w:hAnsi="Times New Roman" w:eastAsia="宋体" w:cs="Times New Roman"/>
                <w:b w:val="0"/>
                <w:bCs w:val="0"/>
                <w:i w:val="0"/>
                <w:iCs w:val="0"/>
                <w:color w:val="auto"/>
                <w:kern w:val="0"/>
                <w:sz w:val="21"/>
                <w:szCs w:val="21"/>
                <w:u w:val="none"/>
                <w:lang w:val="en-US" w:eastAsia="zh-CN" w:bidi="ar"/>
              </w:rPr>
              <w:t xml:space="preserve">100.00 </w:t>
            </w:r>
          </w:p>
        </w:tc>
      </w:tr>
      <w:tr w14:paraId="727330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521"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5C16795A">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得分</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6183843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ascii="Times New Roman" w:hAnsi="Times New Roman" w:eastAsia="宋体" w:cs="Times New Roman"/>
                <w:b w:val="0"/>
                <w:bCs w:val="0"/>
                <w:i w:val="0"/>
                <w:iCs w:val="0"/>
                <w:color w:val="auto"/>
                <w:kern w:val="0"/>
                <w:sz w:val="21"/>
                <w:szCs w:val="21"/>
                <w:u w:val="none"/>
                <w:lang w:val="en-US" w:eastAsia="zh-CN" w:bidi="ar"/>
              </w:rPr>
              <w:t xml:space="preserve">15.00 </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7CED703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ascii="Times New Roman" w:hAnsi="Times New Roman" w:eastAsia="宋体" w:cs="Times New Roman"/>
                <w:b w:val="0"/>
                <w:bCs w:val="0"/>
                <w:i w:val="0"/>
                <w:iCs w:val="0"/>
                <w:color w:val="auto"/>
                <w:kern w:val="0"/>
                <w:sz w:val="21"/>
                <w:szCs w:val="21"/>
                <w:u w:val="none"/>
                <w:lang w:val="en-US" w:eastAsia="zh-CN" w:bidi="ar"/>
              </w:rPr>
              <w:t xml:space="preserve">20.00 </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28F0AB5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ascii="Times New Roman" w:hAnsi="Times New Roman" w:eastAsia="宋体" w:cs="Times New Roman"/>
                <w:b w:val="0"/>
                <w:bCs w:val="0"/>
                <w:i w:val="0"/>
                <w:iCs w:val="0"/>
                <w:color w:val="auto"/>
                <w:kern w:val="0"/>
                <w:sz w:val="21"/>
                <w:szCs w:val="21"/>
                <w:u w:val="none"/>
                <w:lang w:val="en-US" w:eastAsia="zh-CN" w:bidi="ar"/>
              </w:rPr>
              <w:t>2</w:t>
            </w:r>
            <w:r>
              <w:rPr>
                <w:rFonts w:hint="eastAsia" w:eastAsia="宋体" w:cs="Times New Roman"/>
                <w:b w:val="0"/>
                <w:bCs w:val="0"/>
                <w:i w:val="0"/>
                <w:iCs w:val="0"/>
                <w:color w:val="auto"/>
                <w:kern w:val="0"/>
                <w:sz w:val="21"/>
                <w:szCs w:val="21"/>
                <w:u w:val="none"/>
                <w:lang w:val="en-US" w:eastAsia="zh-CN" w:bidi="ar"/>
              </w:rPr>
              <w:t>7</w:t>
            </w:r>
            <w:r>
              <w:rPr>
                <w:rFonts w:hint="eastAsia" w:ascii="Times New Roman" w:hAnsi="Times New Roman" w:eastAsia="宋体" w:cs="Times New Roman"/>
                <w:b w:val="0"/>
                <w:bCs w:val="0"/>
                <w:i w:val="0"/>
                <w:iCs w:val="0"/>
                <w:color w:val="auto"/>
                <w:kern w:val="0"/>
                <w:sz w:val="21"/>
                <w:szCs w:val="21"/>
                <w:u w:val="none"/>
                <w:lang w:val="en-US" w:eastAsia="zh-CN" w:bidi="ar"/>
              </w:rPr>
              <w:t xml:space="preserve">.50 </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25BF150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ascii="Times New Roman" w:hAnsi="Times New Roman" w:eastAsia="宋体" w:cs="Times New Roman"/>
                <w:b w:val="0"/>
                <w:bCs w:val="0"/>
                <w:i w:val="0"/>
                <w:iCs w:val="0"/>
                <w:color w:val="auto"/>
                <w:kern w:val="0"/>
                <w:sz w:val="21"/>
                <w:szCs w:val="21"/>
                <w:u w:val="none"/>
                <w:lang w:val="en-US" w:eastAsia="zh-CN" w:bidi="ar"/>
              </w:rPr>
              <w:t xml:space="preserve">30.00 </w:t>
            </w:r>
          </w:p>
        </w:tc>
        <w:tc>
          <w:tcPr>
            <w:tcW w:w="1128"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4328C55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ascii="Times New Roman" w:hAnsi="Times New Roman" w:eastAsia="宋体" w:cs="Times New Roman"/>
                <w:b w:val="0"/>
                <w:bCs w:val="0"/>
                <w:i w:val="0"/>
                <w:iCs w:val="0"/>
                <w:color w:val="auto"/>
                <w:kern w:val="0"/>
                <w:sz w:val="21"/>
                <w:szCs w:val="21"/>
                <w:u w:val="none"/>
                <w:lang w:val="en-US" w:eastAsia="zh-CN" w:bidi="ar"/>
              </w:rPr>
              <w:t>9</w:t>
            </w:r>
            <w:r>
              <w:rPr>
                <w:rFonts w:hint="eastAsia" w:eastAsia="宋体" w:cs="Times New Roman"/>
                <w:b w:val="0"/>
                <w:bCs w:val="0"/>
                <w:i w:val="0"/>
                <w:iCs w:val="0"/>
                <w:color w:val="auto"/>
                <w:kern w:val="0"/>
                <w:sz w:val="21"/>
                <w:szCs w:val="21"/>
                <w:u w:val="none"/>
                <w:lang w:val="en-US" w:eastAsia="zh-CN" w:bidi="ar"/>
              </w:rPr>
              <w:t>2.</w:t>
            </w:r>
            <w:r>
              <w:rPr>
                <w:rFonts w:hint="eastAsia" w:ascii="Times New Roman" w:hAnsi="Times New Roman" w:eastAsia="宋体" w:cs="Times New Roman"/>
                <w:b w:val="0"/>
                <w:bCs w:val="0"/>
                <w:i w:val="0"/>
                <w:iCs w:val="0"/>
                <w:color w:val="auto"/>
                <w:kern w:val="0"/>
                <w:sz w:val="21"/>
                <w:szCs w:val="21"/>
                <w:u w:val="none"/>
                <w:lang w:val="en-US" w:eastAsia="zh-CN" w:bidi="ar"/>
              </w:rPr>
              <w:t xml:space="preserve">50 </w:t>
            </w:r>
          </w:p>
        </w:tc>
      </w:tr>
      <w:tr w14:paraId="64C758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521"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4282E7B2">
            <w:pPr>
              <w:pStyle w:val="29"/>
              <w:pageBreakBefore w:val="0"/>
              <w:kinsoku/>
              <w:wordWrap/>
              <w:overflowPunct/>
              <w:topLinePunct w:val="0"/>
              <w:autoSpaceDE/>
              <w:autoSpaceDN/>
              <w:bidi w:val="0"/>
              <w:snapToGrid w:val="0"/>
              <w:spacing w:before="0" w:after="0"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zh-TW" w:eastAsia="zh-TW"/>
              </w:rPr>
              <w:t>得分率</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5A1DE9E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ascii="Times New Roman" w:hAnsi="Times New Roman" w:eastAsia="宋体" w:cs="Times New Roman"/>
                <w:b w:val="0"/>
                <w:bCs w:val="0"/>
                <w:i w:val="0"/>
                <w:iCs w:val="0"/>
                <w:color w:val="auto"/>
                <w:kern w:val="0"/>
                <w:sz w:val="21"/>
                <w:szCs w:val="21"/>
                <w:u w:val="none"/>
                <w:lang w:val="en-US" w:eastAsia="zh-CN" w:bidi="ar"/>
              </w:rPr>
              <w:t>100.00%</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536594B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ascii="Times New Roman" w:hAnsi="Times New Roman" w:eastAsia="宋体" w:cs="Times New Roman"/>
                <w:b w:val="0"/>
                <w:bCs w:val="0"/>
                <w:i w:val="0"/>
                <w:iCs w:val="0"/>
                <w:color w:val="auto"/>
                <w:kern w:val="0"/>
                <w:sz w:val="21"/>
                <w:szCs w:val="21"/>
                <w:u w:val="none"/>
                <w:lang w:val="en-US" w:eastAsia="zh-CN" w:bidi="ar"/>
              </w:rPr>
              <w:t>80.00%</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64592DD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eastAsia="宋体" w:cs="Times New Roman"/>
                <w:b w:val="0"/>
                <w:bCs w:val="0"/>
                <w:i w:val="0"/>
                <w:iCs w:val="0"/>
                <w:color w:val="auto"/>
                <w:kern w:val="0"/>
                <w:sz w:val="21"/>
                <w:szCs w:val="21"/>
                <w:u w:val="none"/>
                <w:lang w:val="en-US" w:eastAsia="zh-CN" w:bidi="ar"/>
              </w:rPr>
              <w:t>91.67</w:t>
            </w:r>
            <w:r>
              <w:rPr>
                <w:rFonts w:hint="eastAsia" w:ascii="Times New Roman" w:hAnsi="Times New Roman" w:eastAsia="宋体" w:cs="Times New Roman"/>
                <w:b w:val="0"/>
                <w:bCs w:val="0"/>
                <w:i w:val="0"/>
                <w:iCs w:val="0"/>
                <w:color w:val="auto"/>
                <w:kern w:val="0"/>
                <w:sz w:val="21"/>
                <w:szCs w:val="21"/>
                <w:u w:val="none"/>
                <w:lang w:val="en-US" w:eastAsia="zh-CN" w:bidi="ar"/>
              </w:rPr>
              <w:t>%</w:t>
            </w:r>
          </w:p>
        </w:tc>
        <w:tc>
          <w:tcPr>
            <w:tcW w:w="1613"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00FEB32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ascii="Times New Roman" w:hAnsi="Times New Roman" w:eastAsia="宋体" w:cs="Times New Roman"/>
                <w:b w:val="0"/>
                <w:bCs w:val="0"/>
                <w:i w:val="0"/>
                <w:iCs w:val="0"/>
                <w:color w:val="auto"/>
                <w:kern w:val="0"/>
                <w:sz w:val="21"/>
                <w:szCs w:val="21"/>
                <w:u w:val="none"/>
                <w:lang w:val="en-US" w:eastAsia="zh-CN" w:bidi="ar"/>
              </w:rPr>
              <w:t>100.00%</w:t>
            </w:r>
          </w:p>
        </w:tc>
        <w:tc>
          <w:tcPr>
            <w:tcW w:w="1128"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60DFE4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auto"/>
                <w:kern w:val="0"/>
                <w:sz w:val="21"/>
                <w:szCs w:val="21"/>
                <w:u w:val="none"/>
                <w:lang w:val="zh-TW" w:eastAsia="zh-TW" w:bidi="ar"/>
              </w:rPr>
            </w:pPr>
            <w:r>
              <w:rPr>
                <w:rFonts w:hint="eastAsia" w:ascii="Times New Roman" w:hAnsi="Times New Roman" w:eastAsia="宋体" w:cs="Times New Roman"/>
                <w:b w:val="0"/>
                <w:bCs w:val="0"/>
                <w:i w:val="0"/>
                <w:iCs w:val="0"/>
                <w:color w:val="auto"/>
                <w:kern w:val="0"/>
                <w:sz w:val="21"/>
                <w:szCs w:val="21"/>
                <w:u w:val="none"/>
                <w:lang w:val="en-US" w:eastAsia="zh-CN" w:bidi="ar"/>
              </w:rPr>
              <w:t>9</w:t>
            </w:r>
            <w:r>
              <w:rPr>
                <w:rFonts w:hint="eastAsia" w:eastAsia="宋体" w:cs="Times New Roman"/>
                <w:b w:val="0"/>
                <w:bCs w:val="0"/>
                <w:i w:val="0"/>
                <w:iCs w:val="0"/>
                <w:color w:val="auto"/>
                <w:kern w:val="0"/>
                <w:sz w:val="21"/>
                <w:szCs w:val="21"/>
                <w:u w:val="none"/>
                <w:lang w:val="en-US" w:eastAsia="zh-CN" w:bidi="ar"/>
              </w:rPr>
              <w:t>2</w:t>
            </w:r>
            <w:r>
              <w:rPr>
                <w:rFonts w:hint="eastAsia" w:ascii="Times New Roman" w:hAnsi="Times New Roman" w:eastAsia="宋体" w:cs="Times New Roman"/>
                <w:b w:val="0"/>
                <w:bCs w:val="0"/>
                <w:i w:val="0"/>
                <w:iCs w:val="0"/>
                <w:color w:val="auto"/>
                <w:kern w:val="0"/>
                <w:sz w:val="21"/>
                <w:szCs w:val="21"/>
                <w:u w:val="none"/>
                <w:lang w:val="en-US" w:eastAsia="zh-CN" w:bidi="ar"/>
              </w:rPr>
              <w:t>.50%</w:t>
            </w:r>
          </w:p>
        </w:tc>
      </w:tr>
    </w:tbl>
    <w:p w14:paraId="7CCE3E3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p>
    <w:p w14:paraId="00A9C009">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62" w:name="_Toc19845"/>
      <w:bookmarkStart w:id="63" w:name="_Toc6865"/>
      <w:r>
        <w:rPr>
          <w:rFonts w:hint="default" w:ascii="Times New Roman" w:hAnsi="Times New Roman" w:cs="Times New Roman"/>
          <w:color w:val="auto"/>
        </w:rPr>
        <w:t>（二）综合评价结论</w:t>
      </w:r>
      <w:bookmarkEnd w:id="62"/>
      <w:bookmarkEnd w:id="63"/>
    </w:p>
    <w:p w14:paraId="3016FCE9">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lang w:val="en-US" w:eastAsia="zh-CN"/>
        </w:rPr>
        <w:t>吉木萨尔县城市管理服务“三位一体”委托运营项目</w:t>
      </w:r>
      <w:r>
        <w:rPr>
          <w:rFonts w:hint="default" w:ascii="Times New Roman" w:hAnsi="Times New Roman" w:cs="Times New Roman"/>
          <w:color w:val="auto"/>
        </w:rPr>
        <w:t>总体实施情况较好，</w:t>
      </w:r>
      <w:r>
        <w:rPr>
          <w:rFonts w:hint="default" w:ascii="Times New Roman" w:hAnsi="Times New Roman" w:cs="Times New Roman"/>
          <w:color w:val="auto"/>
          <w:lang w:val="en-US" w:eastAsia="zh-CN"/>
        </w:rPr>
        <w:t>政府购买服务的各项服务工作完成均通过项目实施单位的日常考核管理，满足服务要求，一是在县城环境卫生保洁服务方面，完成县城道路清洁保洁、县城生活垃圾收运及1座垃圾填埋场运营管理，公共厕所保洁，以及冬季清雪工作，并完成搭建智慧环卫平台建设；二是在绿地养护服务方面，完成县城园林绿化日常养护，游园（含县政府大院）日常维护，以及在重大节庆期间完成街景设置。但在实施过程中也存在</w:t>
      </w:r>
      <w:r>
        <w:rPr>
          <w:rFonts w:hint="eastAsia" w:cs="Times New Roman"/>
          <w:b w:val="0"/>
          <w:bCs w:val="0"/>
          <w:color w:val="auto"/>
          <w:lang w:val="en-US" w:eastAsia="zh-CN"/>
        </w:rPr>
        <w:t>已签订的</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w:t>
      </w:r>
      <w:r>
        <w:rPr>
          <w:rFonts w:hint="eastAsia" w:cs="Times New Roman"/>
          <w:b w:val="0"/>
          <w:bCs w:val="0"/>
          <w:color w:val="auto"/>
          <w:lang w:val="en-US" w:eastAsia="zh-CN"/>
        </w:rPr>
        <w:t>关于</w:t>
      </w:r>
      <w:r>
        <w:rPr>
          <w:rFonts w:hint="default" w:ascii="Times New Roman" w:hAnsi="Times New Roman" w:cs="Times New Roman"/>
          <w:color w:val="auto"/>
        </w:rPr>
        <w:t>居民区日常管理服务</w:t>
      </w:r>
      <w:r>
        <w:rPr>
          <w:rFonts w:hint="eastAsia" w:cs="Times New Roman"/>
          <w:b w:val="0"/>
          <w:bCs w:val="0"/>
          <w:color w:val="auto"/>
          <w:lang w:val="en-US" w:eastAsia="zh-CN"/>
        </w:rPr>
        <w:t>范围、承接主体履约要求、行业管理、服务费用支付时限等内容约定不够清晰明确，导致项目实际实施过程存在无法严格按照合同约定条款执行相关工作要求</w:t>
      </w:r>
      <w:r>
        <w:rPr>
          <w:rFonts w:hint="default" w:ascii="Times New Roman" w:hAnsi="Times New Roman" w:cs="Times New Roman"/>
          <w:color w:val="auto"/>
          <w:lang w:val="en-US" w:eastAsia="zh-CN"/>
        </w:rPr>
        <w:t>等问题。</w:t>
      </w:r>
    </w:p>
    <w:p w14:paraId="109041BC">
      <w:pPr>
        <w:pStyle w:val="2"/>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64" w:name="_Toc6670"/>
      <w:r>
        <w:rPr>
          <w:rFonts w:hint="default" w:ascii="Times New Roman" w:hAnsi="Times New Roman" w:cs="Times New Roman"/>
          <w:color w:val="auto"/>
        </w:rPr>
        <w:t>五、绩效评价指标分析</w:t>
      </w:r>
      <w:bookmarkEnd w:id="60"/>
      <w:bookmarkEnd w:id="61"/>
      <w:bookmarkEnd w:id="64"/>
    </w:p>
    <w:p w14:paraId="447DBD16">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65" w:name="_Toc18078"/>
      <w:bookmarkStart w:id="66" w:name="_Toc22260"/>
      <w:bookmarkStart w:id="67" w:name="_Toc5706"/>
      <w:r>
        <w:rPr>
          <w:rFonts w:hint="default" w:ascii="Times New Roman" w:hAnsi="Times New Roman" w:cs="Times New Roman"/>
          <w:color w:val="auto"/>
        </w:rPr>
        <w:t>（一）项目决策情况</w:t>
      </w:r>
      <w:bookmarkEnd w:id="65"/>
      <w:bookmarkEnd w:id="66"/>
      <w:bookmarkEnd w:id="67"/>
    </w:p>
    <w:p w14:paraId="7B890BA1">
      <w:pPr>
        <w:pageBreakBefore w:val="0"/>
        <w:kinsoku/>
        <w:wordWrap/>
        <w:overflowPunct/>
        <w:topLinePunct w:val="0"/>
        <w:autoSpaceDE/>
        <w:autoSpaceDN/>
        <w:bidi w:val="0"/>
        <w:adjustRightInd/>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项目决策类指标由4个二级指标和6个三级指标构成，权重分15.00分，实际得分1</w:t>
      </w:r>
      <w:r>
        <w:rPr>
          <w:rFonts w:hint="default" w:ascii="Times New Roman" w:hAnsi="Times New Roman" w:cs="Times New Roman"/>
          <w:color w:val="auto"/>
          <w:lang w:val="en-US" w:eastAsia="zh-CN"/>
        </w:rPr>
        <w:t>5.00</w:t>
      </w:r>
      <w:r>
        <w:rPr>
          <w:rFonts w:hint="default" w:ascii="Times New Roman" w:hAnsi="Times New Roman" w:cs="Times New Roman"/>
          <w:color w:val="auto"/>
        </w:rPr>
        <w:t>分，得分率为</w:t>
      </w:r>
      <w:r>
        <w:rPr>
          <w:rFonts w:hint="default" w:ascii="Times New Roman" w:hAnsi="Times New Roman" w:cs="Times New Roman"/>
          <w:color w:val="auto"/>
          <w:lang w:val="en-US" w:eastAsia="zh-CN"/>
        </w:rPr>
        <w:t>100.00</w:t>
      </w:r>
      <w:r>
        <w:rPr>
          <w:rFonts w:hint="default" w:ascii="Times New Roman" w:hAnsi="Times New Roman" w:cs="Times New Roman"/>
          <w:color w:val="auto"/>
        </w:rPr>
        <w:t>%。各指标业绩值和绩效分值如下表所示：</w:t>
      </w:r>
    </w:p>
    <w:p w14:paraId="3E5091D6">
      <w:pPr>
        <w:pageBreakBefore w:val="0"/>
        <w:kinsoku/>
        <w:wordWrap/>
        <w:overflowPunct/>
        <w:topLinePunct w:val="0"/>
        <w:autoSpaceDE/>
        <w:autoSpaceDN/>
        <w:bidi w:val="0"/>
        <w:snapToGrid w:val="0"/>
        <w:spacing w:before="0" w:after="0" w:line="360" w:lineRule="auto"/>
        <w:ind w:firstLine="0" w:firstLineChars="0"/>
        <w:jc w:val="center"/>
        <w:rPr>
          <w:rFonts w:hint="default" w:ascii="Times New Roman" w:hAnsi="Times New Roman" w:eastAsia="黑体" w:cs="Times New Roman"/>
          <w:b w:val="0"/>
          <w:bCs w:val="0"/>
          <w:color w:val="auto"/>
          <w:szCs w:val="16"/>
        </w:rPr>
      </w:pPr>
      <w:r>
        <w:rPr>
          <w:rFonts w:hint="default" w:ascii="Times New Roman" w:hAnsi="Times New Roman" w:eastAsia="黑体" w:cs="Times New Roman"/>
          <w:b w:val="0"/>
          <w:bCs w:val="0"/>
          <w:color w:val="auto"/>
          <w:szCs w:val="16"/>
        </w:rPr>
        <w:t>表</w:t>
      </w:r>
      <w:r>
        <w:rPr>
          <w:rFonts w:hint="default" w:ascii="Times New Roman" w:hAnsi="Times New Roman" w:eastAsia="黑体" w:cs="Times New Roman"/>
          <w:b w:val="0"/>
          <w:bCs w:val="0"/>
          <w:color w:val="auto"/>
          <w:szCs w:val="16"/>
          <w:lang w:val="en-US" w:eastAsia="zh-CN"/>
        </w:rPr>
        <w:t>5</w:t>
      </w:r>
      <w:r>
        <w:rPr>
          <w:rFonts w:hint="default" w:ascii="Times New Roman" w:hAnsi="Times New Roman" w:eastAsia="黑体" w:cs="Times New Roman"/>
          <w:b w:val="0"/>
          <w:bCs w:val="0"/>
          <w:color w:val="auto"/>
          <w:szCs w:val="16"/>
        </w:rPr>
        <w:t>-1：项目决策类指标及分值</w:t>
      </w:r>
    </w:p>
    <w:tbl>
      <w:tblPr>
        <w:tblStyle w:val="18"/>
        <w:tblW w:w="4998" w:type="pct"/>
        <w:tblInd w:w="0" w:type="dxa"/>
        <w:tblLayout w:type="autofit"/>
        <w:tblCellMar>
          <w:top w:w="0" w:type="dxa"/>
          <w:left w:w="0" w:type="dxa"/>
          <w:bottom w:w="0" w:type="dxa"/>
          <w:right w:w="0" w:type="dxa"/>
        </w:tblCellMar>
      </w:tblPr>
      <w:tblGrid>
        <w:gridCol w:w="1081"/>
        <w:gridCol w:w="1068"/>
        <w:gridCol w:w="1848"/>
        <w:gridCol w:w="968"/>
        <w:gridCol w:w="1028"/>
        <w:gridCol w:w="763"/>
        <w:gridCol w:w="785"/>
        <w:gridCol w:w="786"/>
      </w:tblGrid>
      <w:tr w14:paraId="78AC6FC4">
        <w:tblPrEx>
          <w:tblCellMar>
            <w:top w:w="0" w:type="dxa"/>
            <w:left w:w="0" w:type="dxa"/>
            <w:bottom w:w="0" w:type="dxa"/>
            <w:right w:w="0" w:type="dxa"/>
          </w:tblCellMar>
        </w:tblPrEx>
        <w:trPr>
          <w:trHeight w:val="397" w:hRule="atLeast"/>
          <w:tblHeader/>
        </w:trPr>
        <w:tc>
          <w:tcPr>
            <w:tcW w:w="649"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B5D4832">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一级指标</w:t>
            </w:r>
          </w:p>
        </w:tc>
        <w:tc>
          <w:tcPr>
            <w:tcW w:w="641"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116501FC">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二级指标</w:t>
            </w:r>
          </w:p>
        </w:tc>
        <w:tc>
          <w:tcPr>
            <w:tcW w:w="1109"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40AB7A92">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三级指标</w:t>
            </w:r>
          </w:p>
        </w:tc>
        <w:tc>
          <w:tcPr>
            <w:tcW w:w="581"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145F86A0">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目标值</w:t>
            </w:r>
          </w:p>
        </w:tc>
        <w:tc>
          <w:tcPr>
            <w:tcW w:w="617" w:type="pct"/>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6A73284">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eastAsia="宋体" w:cs="Times New Roman"/>
                <w:b/>
                <w:color w:val="auto"/>
                <w:kern w:val="0"/>
                <w:sz w:val="20"/>
                <w:szCs w:val="20"/>
                <w:lang w:bidi="ar"/>
              </w:rPr>
            </w:pPr>
            <w:r>
              <w:rPr>
                <w:rFonts w:hint="default" w:ascii="Times New Roman" w:hAnsi="Times New Roman" w:eastAsia="宋体" w:cs="Times New Roman"/>
                <w:b/>
                <w:color w:val="auto"/>
                <w:kern w:val="0"/>
                <w:sz w:val="20"/>
                <w:szCs w:val="20"/>
                <w:lang w:bidi="ar"/>
              </w:rPr>
              <w:t>实际完成值</w:t>
            </w:r>
          </w:p>
        </w:tc>
        <w:tc>
          <w:tcPr>
            <w:tcW w:w="458" w:type="pct"/>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0212A8B6">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权重</w:t>
            </w:r>
          </w:p>
        </w:tc>
        <w:tc>
          <w:tcPr>
            <w:tcW w:w="471" w:type="pct"/>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76C2F2B">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得分</w:t>
            </w:r>
          </w:p>
        </w:tc>
        <w:tc>
          <w:tcPr>
            <w:tcW w:w="471" w:type="pct"/>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8D8C6FA">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eastAsia="宋体" w:cs="Times New Roman"/>
                <w:b/>
                <w:color w:val="auto"/>
                <w:kern w:val="0"/>
                <w:sz w:val="20"/>
                <w:szCs w:val="20"/>
                <w:lang w:bidi="ar"/>
              </w:rPr>
            </w:pPr>
            <w:r>
              <w:rPr>
                <w:rFonts w:hint="default" w:ascii="Times New Roman" w:hAnsi="Times New Roman" w:eastAsia="宋体" w:cs="Times New Roman"/>
                <w:b/>
                <w:color w:val="auto"/>
                <w:kern w:val="0"/>
                <w:sz w:val="20"/>
                <w:szCs w:val="20"/>
                <w:lang w:bidi="ar"/>
              </w:rPr>
              <w:t>得分率</w:t>
            </w:r>
          </w:p>
        </w:tc>
      </w:tr>
      <w:tr w14:paraId="2AB6F208">
        <w:tblPrEx>
          <w:tblCellMar>
            <w:top w:w="0" w:type="dxa"/>
            <w:left w:w="0" w:type="dxa"/>
            <w:bottom w:w="0" w:type="dxa"/>
            <w:right w:w="0" w:type="dxa"/>
          </w:tblCellMar>
        </w:tblPrEx>
        <w:trPr>
          <w:trHeight w:val="397" w:hRule="atLeast"/>
        </w:trPr>
        <w:tc>
          <w:tcPr>
            <w:tcW w:w="649" w:type="pct"/>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5A7FCB2">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A项目决策（15.00分）</w:t>
            </w:r>
          </w:p>
        </w:tc>
        <w:tc>
          <w:tcPr>
            <w:tcW w:w="641"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3699DC61">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A1是否合规（5.00分）</w:t>
            </w:r>
          </w:p>
        </w:tc>
        <w:tc>
          <w:tcPr>
            <w:tcW w:w="1109"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072A2459">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A11立项依据合理性</w:t>
            </w:r>
          </w:p>
        </w:tc>
        <w:tc>
          <w:tcPr>
            <w:tcW w:w="96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6253459E">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合规</w:t>
            </w:r>
          </w:p>
        </w:tc>
        <w:tc>
          <w:tcPr>
            <w:tcW w:w="1028"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896E721">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default" w:ascii="Times New Roman" w:hAnsi="Times New Roman" w:cs="Times New Roman"/>
                <w:color w:val="auto"/>
                <w:kern w:val="0"/>
                <w:sz w:val="20"/>
                <w:szCs w:val="20"/>
                <w:lang w:val="en-US" w:eastAsia="zh-CN" w:bidi="ar"/>
              </w:rPr>
              <w:t>合规</w:t>
            </w:r>
          </w:p>
        </w:tc>
        <w:tc>
          <w:tcPr>
            <w:tcW w:w="763"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9E57B43">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5.00</w:t>
            </w:r>
          </w:p>
        </w:tc>
        <w:tc>
          <w:tcPr>
            <w:tcW w:w="78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9A68CA9">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5.00</w:t>
            </w:r>
          </w:p>
        </w:tc>
        <w:tc>
          <w:tcPr>
            <w:tcW w:w="786"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6C9C3EA">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100.00%</w:t>
            </w:r>
          </w:p>
        </w:tc>
      </w:tr>
      <w:tr w14:paraId="26AD0C2E">
        <w:tblPrEx>
          <w:tblCellMar>
            <w:top w:w="0" w:type="dxa"/>
            <w:left w:w="0" w:type="dxa"/>
            <w:bottom w:w="0" w:type="dxa"/>
            <w:right w:w="0" w:type="dxa"/>
          </w:tblCellMar>
        </w:tblPrEx>
        <w:trPr>
          <w:trHeight w:val="397" w:hRule="atLeast"/>
        </w:trPr>
        <w:tc>
          <w:tcPr>
            <w:tcW w:w="649" w:type="pct"/>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7C5C4583">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p>
        </w:tc>
        <w:tc>
          <w:tcPr>
            <w:tcW w:w="641"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1B981CC5">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A2项目立项（2.00分）</w:t>
            </w:r>
          </w:p>
        </w:tc>
        <w:tc>
          <w:tcPr>
            <w:tcW w:w="1109"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37A80EB">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A21项目立项规范性</w:t>
            </w:r>
          </w:p>
        </w:tc>
        <w:tc>
          <w:tcPr>
            <w:tcW w:w="96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10F51CF">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规范</w:t>
            </w:r>
          </w:p>
        </w:tc>
        <w:tc>
          <w:tcPr>
            <w:tcW w:w="1028"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79D7AA31">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default" w:ascii="Times New Roman" w:hAnsi="Times New Roman" w:cs="Times New Roman"/>
                <w:color w:val="auto"/>
                <w:kern w:val="0"/>
                <w:sz w:val="20"/>
                <w:szCs w:val="20"/>
                <w:lang w:val="en-US" w:eastAsia="zh-CN" w:bidi="ar"/>
              </w:rPr>
              <w:t>规范</w:t>
            </w:r>
          </w:p>
        </w:tc>
        <w:tc>
          <w:tcPr>
            <w:tcW w:w="763"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4F86FCB4">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BFBC0CC">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6"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D7937B6">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100.00%</w:t>
            </w:r>
          </w:p>
        </w:tc>
      </w:tr>
      <w:tr w14:paraId="238450CF">
        <w:tblPrEx>
          <w:tblCellMar>
            <w:top w:w="0" w:type="dxa"/>
            <w:left w:w="0" w:type="dxa"/>
            <w:bottom w:w="0" w:type="dxa"/>
            <w:right w:w="0" w:type="dxa"/>
          </w:tblCellMar>
        </w:tblPrEx>
        <w:trPr>
          <w:trHeight w:val="397" w:hRule="atLeast"/>
        </w:trPr>
        <w:tc>
          <w:tcPr>
            <w:tcW w:w="649" w:type="pct"/>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714ACDD3">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p>
        </w:tc>
        <w:tc>
          <w:tcPr>
            <w:tcW w:w="641" w:type="pct"/>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E46D1CF">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A3项目目标（4.00分）</w:t>
            </w:r>
          </w:p>
        </w:tc>
        <w:tc>
          <w:tcPr>
            <w:tcW w:w="1109"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6CBB8A43">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A31绩效目标合理性</w:t>
            </w:r>
          </w:p>
        </w:tc>
        <w:tc>
          <w:tcPr>
            <w:tcW w:w="96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1A9E678">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合理</w:t>
            </w:r>
          </w:p>
        </w:tc>
        <w:tc>
          <w:tcPr>
            <w:tcW w:w="1028"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AA736C1">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default" w:ascii="Times New Roman" w:hAnsi="Times New Roman" w:cs="Times New Roman"/>
                <w:color w:val="auto"/>
                <w:kern w:val="0"/>
                <w:sz w:val="20"/>
                <w:szCs w:val="20"/>
                <w:lang w:val="en-US" w:eastAsia="zh-CN" w:bidi="ar"/>
              </w:rPr>
              <w:t>合理</w:t>
            </w:r>
          </w:p>
        </w:tc>
        <w:tc>
          <w:tcPr>
            <w:tcW w:w="763"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E7E91B1">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067A2A71">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6"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4D22469F">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100.00%</w:t>
            </w:r>
          </w:p>
        </w:tc>
      </w:tr>
      <w:tr w14:paraId="4C8C50E5">
        <w:tblPrEx>
          <w:tblCellMar>
            <w:top w:w="0" w:type="dxa"/>
            <w:left w:w="0" w:type="dxa"/>
            <w:bottom w:w="0" w:type="dxa"/>
            <w:right w:w="0" w:type="dxa"/>
          </w:tblCellMar>
        </w:tblPrEx>
        <w:trPr>
          <w:trHeight w:val="397" w:hRule="atLeast"/>
        </w:trPr>
        <w:tc>
          <w:tcPr>
            <w:tcW w:w="649" w:type="pct"/>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18D14B35">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p>
        </w:tc>
        <w:tc>
          <w:tcPr>
            <w:tcW w:w="641" w:type="pct"/>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46B864E3">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p>
        </w:tc>
        <w:tc>
          <w:tcPr>
            <w:tcW w:w="1109"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3380455F">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A32绩效指标明确性</w:t>
            </w:r>
          </w:p>
        </w:tc>
        <w:tc>
          <w:tcPr>
            <w:tcW w:w="96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198FA158">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明确</w:t>
            </w:r>
          </w:p>
        </w:tc>
        <w:tc>
          <w:tcPr>
            <w:tcW w:w="1028"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4F5B123D">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default" w:ascii="Times New Roman" w:hAnsi="Times New Roman" w:cs="Times New Roman"/>
                <w:color w:val="auto"/>
                <w:kern w:val="0"/>
                <w:sz w:val="20"/>
                <w:szCs w:val="20"/>
                <w:lang w:val="en-US" w:eastAsia="zh-CN" w:bidi="ar"/>
              </w:rPr>
              <w:t>明确</w:t>
            </w:r>
          </w:p>
        </w:tc>
        <w:tc>
          <w:tcPr>
            <w:tcW w:w="763"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2651B2C">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181EA03">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6"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08566DC5">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100.00%</w:t>
            </w:r>
          </w:p>
        </w:tc>
      </w:tr>
      <w:tr w14:paraId="5CFBC66F">
        <w:tblPrEx>
          <w:tblCellMar>
            <w:top w:w="0" w:type="dxa"/>
            <w:left w:w="0" w:type="dxa"/>
            <w:bottom w:w="0" w:type="dxa"/>
            <w:right w:w="0" w:type="dxa"/>
          </w:tblCellMar>
        </w:tblPrEx>
        <w:trPr>
          <w:trHeight w:val="397" w:hRule="atLeast"/>
        </w:trPr>
        <w:tc>
          <w:tcPr>
            <w:tcW w:w="649" w:type="pct"/>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67EC17EF">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p>
        </w:tc>
        <w:tc>
          <w:tcPr>
            <w:tcW w:w="641" w:type="pct"/>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4D31982E">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A4资金投入（3.00分）</w:t>
            </w:r>
          </w:p>
        </w:tc>
        <w:tc>
          <w:tcPr>
            <w:tcW w:w="1109"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07D6D1A">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A41预算编制科学性</w:t>
            </w:r>
          </w:p>
        </w:tc>
        <w:tc>
          <w:tcPr>
            <w:tcW w:w="96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0BD05EAD">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科学</w:t>
            </w:r>
          </w:p>
        </w:tc>
        <w:tc>
          <w:tcPr>
            <w:tcW w:w="1028"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71160FD0">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default" w:ascii="Times New Roman" w:hAnsi="Times New Roman" w:cs="Times New Roman"/>
                <w:color w:val="auto"/>
                <w:kern w:val="0"/>
                <w:sz w:val="20"/>
                <w:szCs w:val="20"/>
                <w:lang w:val="en-US" w:eastAsia="zh-CN" w:bidi="ar"/>
              </w:rPr>
              <w:t>科学</w:t>
            </w:r>
          </w:p>
        </w:tc>
        <w:tc>
          <w:tcPr>
            <w:tcW w:w="763"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AF49E4E">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8FED4BC">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6"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23BC2BC">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100.00%</w:t>
            </w:r>
          </w:p>
        </w:tc>
      </w:tr>
      <w:tr w14:paraId="0FFE31E1">
        <w:tblPrEx>
          <w:tblCellMar>
            <w:top w:w="0" w:type="dxa"/>
            <w:left w:w="0" w:type="dxa"/>
            <w:bottom w:w="0" w:type="dxa"/>
            <w:right w:w="0" w:type="dxa"/>
          </w:tblCellMar>
        </w:tblPrEx>
        <w:trPr>
          <w:trHeight w:val="397" w:hRule="atLeast"/>
        </w:trPr>
        <w:tc>
          <w:tcPr>
            <w:tcW w:w="649" w:type="pct"/>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39A59FE">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p>
        </w:tc>
        <w:tc>
          <w:tcPr>
            <w:tcW w:w="641" w:type="pct"/>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7C431909">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p>
        </w:tc>
        <w:tc>
          <w:tcPr>
            <w:tcW w:w="1109" w:type="pc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BAE0AF1">
            <w:pPr>
              <w:pageBreakBefore w:val="0"/>
              <w:widowControl/>
              <w:kinsoku/>
              <w:wordWrap/>
              <w:overflowPunct/>
              <w:topLinePunct w:val="0"/>
              <w:autoSpaceDE/>
              <w:autoSpaceDN/>
              <w:bidi w:val="0"/>
              <w:adjustRightInd/>
              <w:snapToGrid w:val="0"/>
              <w:spacing w:before="0" w:after="0" w:line="240" w:lineRule="auto"/>
              <w:ind w:firstLine="0" w:firstLineChars="0"/>
              <w:jc w:val="left"/>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A42资金分配合理性</w:t>
            </w:r>
          </w:p>
        </w:tc>
        <w:tc>
          <w:tcPr>
            <w:tcW w:w="96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0009B471">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合理</w:t>
            </w:r>
          </w:p>
        </w:tc>
        <w:tc>
          <w:tcPr>
            <w:tcW w:w="1028"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40EBB36">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default" w:ascii="Times New Roman" w:hAnsi="Times New Roman" w:cs="Times New Roman"/>
                <w:color w:val="auto"/>
                <w:kern w:val="0"/>
                <w:sz w:val="20"/>
                <w:szCs w:val="20"/>
                <w:lang w:val="en-US" w:eastAsia="zh-CN" w:bidi="ar"/>
              </w:rPr>
              <w:t>合理</w:t>
            </w:r>
          </w:p>
        </w:tc>
        <w:tc>
          <w:tcPr>
            <w:tcW w:w="763"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3488FB30">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018E8C7">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2.00</w:t>
            </w:r>
          </w:p>
        </w:tc>
        <w:tc>
          <w:tcPr>
            <w:tcW w:w="786"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CDCCAD3">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100.00%</w:t>
            </w:r>
          </w:p>
        </w:tc>
      </w:tr>
      <w:tr w14:paraId="662A8E70">
        <w:tblPrEx>
          <w:tblCellMar>
            <w:top w:w="0" w:type="dxa"/>
            <w:left w:w="0" w:type="dxa"/>
            <w:bottom w:w="0" w:type="dxa"/>
            <w:right w:w="0" w:type="dxa"/>
          </w:tblCellMar>
        </w:tblPrEx>
        <w:trPr>
          <w:trHeight w:val="397" w:hRule="atLeast"/>
        </w:trPr>
        <w:tc>
          <w:tcPr>
            <w:tcW w:w="649" w:type="pct"/>
            <w:gridSpan w:val="3"/>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B83521B">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eastAsia="宋体" w:cs="Times New Roman"/>
                <w:color w:val="auto"/>
                <w:kern w:val="0"/>
                <w:sz w:val="20"/>
                <w:szCs w:val="20"/>
                <w:lang w:bidi="ar"/>
              </w:rPr>
            </w:pPr>
            <w:r>
              <w:rPr>
                <w:rFonts w:hint="default" w:ascii="Times New Roman" w:hAnsi="Times New Roman" w:cs="Times New Roman"/>
                <w:color w:val="auto"/>
                <w:kern w:val="0"/>
                <w:sz w:val="20"/>
                <w:szCs w:val="20"/>
                <w:lang w:bidi="ar"/>
              </w:rPr>
              <w:t>合计</w:t>
            </w:r>
          </w:p>
        </w:tc>
        <w:tc>
          <w:tcPr>
            <w:tcW w:w="96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C4B13A6">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p>
        </w:tc>
        <w:tc>
          <w:tcPr>
            <w:tcW w:w="1028"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7806CF83">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p>
        </w:tc>
        <w:tc>
          <w:tcPr>
            <w:tcW w:w="763"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2F47DEF">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15.00</w:t>
            </w:r>
          </w:p>
        </w:tc>
        <w:tc>
          <w:tcPr>
            <w:tcW w:w="78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051C06B">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15.00</w:t>
            </w:r>
          </w:p>
        </w:tc>
        <w:tc>
          <w:tcPr>
            <w:tcW w:w="786"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5996BF5">
            <w:pPr>
              <w:pageBreakBefore w:val="0"/>
              <w:widowControl/>
              <w:kinsoku/>
              <w:wordWrap/>
              <w:overflowPunct/>
              <w:topLinePunct w:val="0"/>
              <w:autoSpaceDE/>
              <w:autoSpaceDN/>
              <w:bidi w:val="0"/>
              <w:adjustRightInd/>
              <w:snapToGrid w:val="0"/>
              <w:spacing w:before="0" w:after="0"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default" w:ascii="Times New Roman" w:hAnsi="Times New Roman" w:cs="Times New Roman"/>
                <w:color w:val="auto"/>
                <w:kern w:val="0"/>
                <w:sz w:val="20"/>
                <w:szCs w:val="20"/>
                <w:lang w:val="en-US" w:eastAsia="zh-CN" w:bidi="ar"/>
              </w:rPr>
              <w:t>100.00%</w:t>
            </w:r>
          </w:p>
        </w:tc>
      </w:tr>
    </w:tbl>
    <w:p w14:paraId="62D76AD1">
      <w:pPr>
        <w:pageBreakBefore w:val="0"/>
        <w:kinsoku/>
        <w:wordWrap/>
        <w:overflowPunct/>
        <w:topLinePunct w:val="0"/>
        <w:autoSpaceDE/>
        <w:autoSpaceDN/>
        <w:bidi w:val="0"/>
        <w:snapToGrid w:val="0"/>
        <w:spacing w:before="0" w:after="0" w:line="240" w:lineRule="auto"/>
        <w:ind w:firstLine="422"/>
        <w:rPr>
          <w:rFonts w:hint="default" w:ascii="Times New Roman" w:hAnsi="Times New Roman" w:eastAsia="宋体" w:cs="Times New Roman"/>
          <w:b/>
          <w:bCs/>
          <w:color w:val="auto"/>
        </w:rPr>
      </w:pPr>
    </w:p>
    <w:p w14:paraId="362E689E">
      <w:pPr>
        <w:pageBreakBefore w:val="0"/>
        <w:kinsoku/>
        <w:wordWrap/>
        <w:overflowPunct/>
        <w:topLinePunct w:val="0"/>
        <w:autoSpaceDE/>
        <w:autoSpaceDN/>
        <w:bidi w:val="0"/>
        <w:snapToGrid w:val="0"/>
        <w:spacing w:before="0" w:after="0" w:line="240" w:lineRule="auto"/>
        <w:ind w:firstLine="422"/>
        <w:rPr>
          <w:rFonts w:hint="default" w:ascii="Times New Roman" w:hAnsi="Times New Roman" w:cs="Times New Roman"/>
          <w:b/>
          <w:bCs/>
          <w:color w:val="auto"/>
        </w:rPr>
      </w:pPr>
      <w:r>
        <w:rPr>
          <w:rFonts w:hint="default" w:ascii="Times New Roman" w:hAnsi="Times New Roman" w:eastAsia="宋体" w:cs="Times New Roman"/>
          <w:b/>
          <w:bCs/>
          <w:color w:val="auto"/>
        </w:rPr>
        <w:t>指标得分分析</w:t>
      </w:r>
      <w:r>
        <w:rPr>
          <w:rFonts w:hint="default" w:ascii="Times New Roman" w:hAnsi="Times New Roman" w:cs="Times New Roman"/>
          <w:b/>
          <w:bCs/>
          <w:color w:val="auto"/>
        </w:rPr>
        <w:t>：</w:t>
      </w:r>
    </w:p>
    <w:p w14:paraId="708FBC01">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（1）A11立项依据合理性指标：</w:t>
      </w:r>
    </w:p>
    <w:p w14:paraId="050EFD23">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①该项目立项符合《国务院办公厅关于政府向社会力量购买服务的指导意见》（国办发〔2013〕96号）规定“政府向社会力量购买服务就是通过发挥市场机制作用，把政府直接向社会公众提供的一部分公共服务事项，按照一定的方式和程序，交由具备条件的社会力量承担，并由政府根据服务数量和质量向其支付费用。”符合新疆维吾尔自治区住房和城乡建设厅印发《关于加强自治区城市精细化管理的通知》（新建督〔2020〕12号）“围绕法治建设、信息化建设、市容市貌管理、环境卫生、园林绿化管理、市政公共设施管理、住宅小区物业管理、城市应急管理、公众参与、营造舆论氛围10个方面</w:t>
      </w:r>
      <w:r>
        <w:rPr>
          <w:rFonts w:hint="default" w:ascii="Times New Roman" w:hAnsi="Times New Roman" w:cs="Times New Roman"/>
          <w:color w:val="auto"/>
          <w:lang w:eastAsia="zh-CN"/>
        </w:rPr>
        <w:t>，坚</w:t>
      </w:r>
      <w:r>
        <w:rPr>
          <w:rFonts w:hint="default" w:ascii="Times New Roman" w:hAnsi="Times New Roman" w:cs="Times New Roman"/>
          <w:color w:val="auto"/>
        </w:rPr>
        <w:t>持绣花精神精细做好百姓身边事，通过城市精细化管理提升群众获得感和幸福感”</w:t>
      </w:r>
      <w:r>
        <w:rPr>
          <w:rFonts w:hint="default" w:ascii="Times New Roman" w:hAnsi="Times New Roman" w:cs="Times New Roman"/>
          <w:color w:val="auto"/>
          <w:lang w:val="en-US" w:eastAsia="zh-CN"/>
        </w:rPr>
        <w:t>等有关政府购买服务的政策要求</w:t>
      </w:r>
      <w:r>
        <w:rPr>
          <w:rFonts w:hint="default" w:ascii="Times New Roman" w:hAnsi="Times New Roman" w:cs="Times New Roman"/>
          <w:color w:val="auto"/>
        </w:rPr>
        <w:t>。</w:t>
      </w:r>
    </w:p>
    <w:p w14:paraId="4357AF12">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rPr>
        <w:t>②该项目立项</w:t>
      </w:r>
      <w:r>
        <w:rPr>
          <w:rFonts w:hint="default" w:ascii="Times New Roman" w:hAnsi="Times New Roman" w:cs="Times New Roman"/>
          <w:color w:val="auto"/>
          <w:lang w:val="en-US" w:eastAsia="zh-CN"/>
        </w:rPr>
        <w:t>与吉木萨尔县住建局的职责</w:t>
      </w:r>
      <w:r>
        <w:rPr>
          <w:rFonts w:hint="default" w:ascii="Times New Roman" w:hAnsi="Times New Roman" w:cs="Times New Roman"/>
          <w:color w:val="auto"/>
        </w:rPr>
        <w:t>“贯彻落实执行国家、自治区方针政策和法律法规，研究拟定全县城市建设发展的战略和中长期规划，并组织实施；对全县的建设工程开工许可证的审核发放，对全县房地产业开发进行监督检查，对县城的环境卫生进行打扫保洁，对全县工程质量、安全进行检查；对居民供热、供气进行行业监督管理</w:t>
      </w:r>
      <w:r>
        <w:rPr>
          <w:rFonts w:hint="default" w:ascii="Times New Roman" w:hAnsi="Times New Roman" w:cs="Times New Roman"/>
          <w:color w:val="auto"/>
          <w:lang w:eastAsia="zh-CN"/>
        </w:rPr>
        <w:t>；</w:t>
      </w:r>
      <w:r>
        <w:rPr>
          <w:rFonts w:hint="default" w:ascii="Times New Roman" w:hAnsi="Times New Roman" w:cs="Times New Roman"/>
          <w:color w:val="auto"/>
        </w:rPr>
        <w:t>对全县的城市公共设施进行管理。”等部门职责和任务的相符，符合部门优先发展重点。</w:t>
      </w:r>
    </w:p>
    <w:p w14:paraId="7054199B">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rPr>
        <w:t>③该项目属于城乡维护中的环卫保洁服务，已纳入政府购买服务指导性目录。</w:t>
      </w:r>
    </w:p>
    <w:p w14:paraId="55AD766E">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rPr>
        <w:t>④该项目针对现行环卫作业效果不高，人员密度不够、考核标准不严、队伍活力不足等突出问题，申请开展，通过项目实施，进一步抓好巴楚县城市环境卫生，改善城市居民环境质量，推动巴楚县环卫管理事业向“作业专业化、经营企业化、服务社会化、管理规范化”的发展，购买服务需求合理充分。</w:t>
      </w:r>
    </w:p>
    <w:p w14:paraId="1BDF28BC">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rPr>
        <w:t>⑤吉木萨尔县住房和城乡建设局</w:t>
      </w:r>
      <w:r>
        <w:rPr>
          <w:rFonts w:hint="default" w:ascii="Times New Roman" w:hAnsi="Times New Roman" w:cs="Times New Roman"/>
          <w:color w:val="auto"/>
          <w:lang w:val="en-US" w:eastAsia="zh-CN"/>
        </w:rPr>
        <w:t>作</w:t>
      </w:r>
      <w:r>
        <w:rPr>
          <w:rFonts w:hint="default" w:ascii="Times New Roman" w:hAnsi="Times New Roman" w:cs="Times New Roman"/>
          <w:color w:val="auto"/>
        </w:rPr>
        <w:t>为购买主体，采购环卫市场化服务，促进转变政府职能，改善公共服务供给，符合《政府购买服务管理办法》</w:t>
      </w:r>
      <w:r>
        <w:rPr>
          <w:rFonts w:hint="default" w:ascii="Times New Roman" w:hAnsi="Times New Roman" w:cs="Times New Roman"/>
          <w:color w:val="auto"/>
          <w:lang w:eastAsia="zh-CN"/>
        </w:rPr>
        <w:t>的</w:t>
      </w:r>
      <w:r>
        <w:rPr>
          <w:rFonts w:hint="default" w:ascii="Times New Roman" w:hAnsi="Times New Roman" w:cs="Times New Roman"/>
          <w:color w:val="auto"/>
          <w:lang w:val="en-US" w:eastAsia="zh-CN"/>
        </w:rPr>
        <w:t>相关要求</w:t>
      </w:r>
      <w:r>
        <w:rPr>
          <w:rFonts w:hint="default" w:ascii="Times New Roman" w:hAnsi="Times New Roman" w:cs="Times New Roman"/>
          <w:color w:val="auto"/>
        </w:rPr>
        <w:t>。</w:t>
      </w:r>
    </w:p>
    <w:p w14:paraId="05C296E0">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该指标满分为5.00分，根据评分标准得</w:t>
      </w:r>
      <w:r>
        <w:rPr>
          <w:rFonts w:hint="default" w:ascii="Times New Roman" w:hAnsi="Times New Roman" w:cs="Times New Roman"/>
          <w:color w:val="auto"/>
          <w:sz w:val="21"/>
          <w:szCs w:val="21"/>
          <w:lang w:eastAsia="zh-CN"/>
        </w:rPr>
        <w:t>5.00</w:t>
      </w:r>
      <w:r>
        <w:rPr>
          <w:rFonts w:hint="default" w:ascii="Times New Roman" w:hAnsi="Times New Roman" w:cs="Times New Roman"/>
          <w:color w:val="auto"/>
        </w:rPr>
        <w:t>分。</w:t>
      </w:r>
    </w:p>
    <w:p w14:paraId="279A70BB">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（2）A21项目立项规范性指标：</w:t>
      </w:r>
    </w:p>
    <w:p w14:paraId="162DDC14">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该项目为</w:t>
      </w:r>
      <w:r>
        <w:rPr>
          <w:rFonts w:hint="default" w:ascii="Times New Roman" w:hAnsi="Times New Roman" w:cs="Times New Roman"/>
          <w:color w:val="auto"/>
          <w:lang w:val="en-US" w:eastAsia="zh-CN"/>
        </w:rPr>
        <w:t>政府购买服务项目，实际与2023年实施</w:t>
      </w:r>
      <w:r>
        <w:rPr>
          <w:rFonts w:hint="default" w:ascii="Times New Roman" w:hAnsi="Times New Roman" w:cs="Times New Roman"/>
          <w:color w:val="auto"/>
        </w:rPr>
        <w:t>，吉木萨尔县住房和城乡建设局于2022年10月12日通过公开招标政府购买服务方式确定由泓欣环境集团有限公司获得吉木萨尔县城环卫服务、园林绿化养护、居民区日常管理资格。2022年12月28日，与其签订了《吉木萨尔县城市管理服务</w:t>
      </w:r>
      <w:r>
        <w:rPr>
          <w:rFonts w:hint="default" w:ascii="Times New Roman" w:hAnsi="Times New Roman" w:cs="Times New Roman"/>
          <w:color w:val="auto"/>
          <w:lang w:val="en-US" w:eastAsia="zh-CN"/>
        </w:rPr>
        <w:t>“三位一体”</w:t>
      </w:r>
      <w:r>
        <w:rPr>
          <w:rFonts w:hint="default" w:ascii="Times New Roman" w:hAnsi="Times New Roman" w:cs="Times New Roman"/>
          <w:color w:val="auto"/>
        </w:rPr>
        <w:t>委托运营项目服务合同》，中标合同金额4,329.51万元/年，服务期限为8年，自2023年1月1日-2030年12月31日止。故该项目根据合同履约开展2024年度吉木萨尔县城市管理服务“三位一体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w:t>
      </w:r>
      <w:r>
        <w:rPr>
          <w:rFonts w:hint="default" w:ascii="Times New Roman" w:hAnsi="Times New Roman" w:cs="Times New Roman"/>
          <w:color w:val="auto"/>
          <w:lang w:val="en-US" w:eastAsia="zh-CN"/>
        </w:rPr>
        <w:t>该项目实际</w:t>
      </w:r>
      <w:r>
        <w:rPr>
          <w:rFonts w:hint="default" w:ascii="Times New Roman" w:hAnsi="Times New Roman" w:cs="Times New Roman"/>
          <w:color w:val="auto"/>
        </w:rPr>
        <w:t>已纳入吉木萨尔县政府预算</w:t>
      </w:r>
      <w:r>
        <w:rPr>
          <w:rFonts w:hint="eastAsia" w:cs="Times New Roman"/>
          <w:color w:val="auto"/>
          <w:lang w:eastAsia="zh-CN"/>
        </w:rPr>
        <w:t>—</w:t>
      </w:r>
      <w:r>
        <w:rPr>
          <w:rFonts w:hint="default" w:ascii="Times New Roman" w:hAnsi="Times New Roman" w:cs="Times New Roman"/>
          <w:color w:val="auto"/>
        </w:rPr>
        <w:t>212城乡社区</w:t>
      </w:r>
      <w:r>
        <w:rPr>
          <w:rFonts w:hint="default" w:ascii="Times New Roman" w:hAnsi="Times New Roman" w:cs="Times New Roman"/>
          <w:color w:val="auto"/>
          <w:lang w:val="en-US" w:eastAsia="zh-CN"/>
        </w:rPr>
        <w:t>支出</w:t>
      </w:r>
      <w:r>
        <w:rPr>
          <w:rFonts w:hint="eastAsia" w:cs="Times New Roman"/>
          <w:color w:val="auto"/>
          <w:lang w:val="en-US" w:eastAsia="zh-CN"/>
        </w:rPr>
        <w:t>安排年度预算总额</w:t>
      </w:r>
      <w:r>
        <w:rPr>
          <w:rFonts w:hint="default" w:ascii="Times New Roman" w:hAnsi="Times New Roman" w:cs="Times New Roman"/>
          <w:color w:val="auto"/>
          <w:lang w:val="en-US" w:eastAsia="zh-CN"/>
        </w:rPr>
        <w:t>8,414.00万元，</w:t>
      </w:r>
      <w:r>
        <w:rPr>
          <w:rFonts w:hint="default" w:ascii="Times New Roman" w:hAnsi="Times New Roman" w:cs="Times New Roman"/>
          <w:lang w:val="en-US" w:eastAsia="zh-CN"/>
        </w:rPr>
        <w:t>项目</w:t>
      </w:r>
      <w:r>
        <w:rPr>
          <w:rFonts w:hint="default" w:ascii="Times New Roman" w:hAnsi="Times New Roman" w:cs="Times New Roman"/>
          <w:color w:val="auto"/>
        </w:rPr>
        <w:t>立项程序规范。</w:t>
      </w:r>
    </w:p>
    <w:p w14:paraId="08F132E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该指标满分为2.00分，根据评分标准得</w:t>
      </w:r>
      <w:r>
        <w:rPr>
          <w:rFonts w:hint="default" w:ascii="Times New Roman" w:hAnsi="Times New Roman" w:cs="Times New Roman"/>
          <w:color w:val="auto"/>
          <w:sz w:val="21"/>
          <w:szCs w:val="21"/>
          <w:lang w:val="en-US" w:eastAsia="zh-CN"/>
        </w:rPr>
        <w:t>2.00</w:t>
      </w:r>
      <w:r>
        <w:rPr>
          <w:rFonts w:hint="default" w:ascii="Times New Roman" w:hAnsi="Times New Roman" w:cs="Times New Roman"/>
          <w:color w:val="auto"/>
        </w:rPr>
        <w:t>分。</w:t>
      </w:r>
    </w:p>
    <w:p w14:paraId="1B2EF2D8">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（3）A31绩效目标合理性指标：</w:t>
      </w:r>
    </w:p>
    <w:p w14:paraId="7B901620">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经查证，该项目单位提供的《项目支出绩效目标表》，得出结论如下：</w:t>
      </w:r>
    </w:p>
    <w:p w14:paraId="7EABEB27">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rPr>
        <w:t>①该项目已设置绩效目标，设置内容如下：“为进一步提升吉木萨尔县公共服务效能及能源利用效率，建立精细、节能、科学的城市管理服务模式，提升民生保障水平，最终确认泓欣环境集团有限公司为中标方提供服务，绩效考核合格后按照季度及时支付季度养护费1,082.38万元。争取受益居民满意度不低于95%。”</w:t>
      </w:r>
    </w:p>
    <w:p w14:paraId="4EA23E46">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rPr>
        <w:t>②经查看项目资料，实际工作内容为由泓欣环境集团有限公司按照《服务合同》约定的服务范围，通过第三方建立精细、节能、科学的城市管理服务模式，提升民生保障水平等，与项目绩效目标内容相符。</w:t>
      </w:r>
    </w:p>
    <w:p w14:paraId="42824F9E">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rPr>
        <w:t>③该项目按季度支付服务费，保障泓欣环境集团有限公司正常运营，从而提高公司内环卫工人工作积极性，提升吉木萨尔县环境卫生质量提升，项目预期产出效益和效果根据项目的实际用途设置，符合正常的业绩水平。</w:t>
      </w:r>
    </w:p>
    <w:p w14:paraId="27BD82BF">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rPr>
        <w:t>④项目绩效目标表存在调整，</w:t>
      </w:r>
      <w:r>
        <w:rPr>
          <w:rFonts w:hint="default" w:ascii="Times New Roman" w:hAnsi="Times New Roman" w:cs="Times New Roman"/>
          <w:color w:val="auto"/>
          <w:lang w:val="en-US" w:eastAsia="zh-CN"/>
        </w:rPr>
        <w:t>年初绩效目标表</w:t>
      </w:r>
      <w:r>
        <w:rPr>
          <w:rFonts w:hint="default" w:ascii="Times New Roman" w:hAnsi="Times New Roman" w:cs="Times New Roman"/>
          <w:color w:val="auto"/>
        </w:rPr>
        <w:t>预算金额为1,082.38万元，调整后预算金额为4,664.79万元，</w:t>
      </w:r>
      <w:r>
        <w:rPr>
          <w:rFonts w:hint="default" w:ascii="Times New Roman" w:hAnsi="Times New Roman" w:cs="Times New Roman"/>
          <w:color w:val="auto"/>
          <w:lang w:val="en-US" w:eastAsia="zh-CN"/>
        </w:rPr>
        <w:t>其中包含该项目年中追加预算</w:t>
      </w:r>
      <w:r>
        <w:rPr>
          <w:rFonts w:hint="default" w:ascii="Times New Roman" w:hAnsi="Times New Roman" w:eastAsia="宋体" w:cs="Times New Roman"/>
          <w:i w:val="0"/>
          <w:iCs w:val="0"/>
          <w:color w:val="000000"/>
          <w:kern w:val="0"/>
          <w:sz w:val="20"/>
          <w:szCs w:val="20"/>
          <w:u w:val="none"/>
          <w:lang w:val="en-US" w:eastAsia="zh-CN" w:bidi="ar"/>
        </w:rPr>
        <w:t>4,606.81</w:t>
      </w:r>
      <w:r>
        <w:rPr>
          <w:rFonts w:hint="default" w:ascii="Times New Roman" w:hAnsi="Times New Roman" w:eastAsia="宋体" w:cs="Times New Roman"/>
          <w:color w:val="auto"/>
          <w:lang w:val="en-US" w:eastAsia="zh-CN"/>
        </w:rPr>
        <w:t>万元</w:t>
      </w:r>
      <w:r>
        <w:rPr>
          <w:rFonts w:hint="default" w:ascii="Times New Roman" w:hAnsi="Times New Roman" w:cs="Times New Roman"/>
          <w:color w:val="auto"/>
        </w:rPr>
        <w:t>，</w:t>
      </w:r>
      <w:r>
        <w:rPr>
          <w:rFonts w:hint="default" w:ascii="Times New Roman" w:hAnsi="Times New Roman" w:cs="Times New Roman"/>
          <w:color w:val="auto"/>
          <w:lang w:val="en-US" w:eastAsia="zh-CN"/>
        </w:rPr>
        <w:t>项目全年安排预算资金已纳入绩效目标管理</w:t>
      </w:r>
      <w:r>
        <w:rPr>
          <w:rFonts w:hint="default" w:ascii="Times New Roman" w:hAnsi="Times New Roman" w:cs="Times New Roman"/>
          <w:color w:val="auto"/>
        </w:rPr>
        <w:t>。</w:t>
      </w:r>
    </w:p>
    <w:p w14:paraId="7F8CA6D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该指标满分为2.00分，根据评分标准得</w:t>
      </w:r>
      <w:r>
        <w:rPr>
          <w:rFonts w:hint="default" w:ascii="Times New Roman" w:hAnsi="Times New Roman" w:cs="Times New Roman"/>
          <w:color w:val="auto"/>
          <w:sz w:val="21"/>
          <w:szCs w:val="21"/>
          <w:lang w:val="en-US" w:eastAsia="zh-CN"/>
        </w:rPr>
        <w:t>2.00</w:t>
      </w:r>
      <w:r>
        <w:rPr>
          <w:rFonts w:hint="default" w:ascii="Times New Roman" w:hAnsi="Times New Roman" w:cs="Times New Roman"/>
          <w:color w:val="auto"/>
        </w:rPr>
        <w:t>分。</w:t>
      </w:r>
    </w:p>
    <w:p w14:paraId="04F8F662">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（4）A32绩效指标明确性指标：</w:t>
      </w:r>
    </w:p>
    <w:p w14:paraId="39C62E6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看，该项目单位提供的《项目支出绩效目标表》，得出结论如下：该项目绩效目标已细化分解为具体绩效指标，其中：一级指标3个，二级指标6个，三级指标13个，其中：定量指标11个，定性指标2个，指标量化率为84.62%，量化率在70%以上。项目绩效目标已设置的三级指标具有明确性、可衡量性、可实现性。</w:t>
      </w:r>
    </w:p>
    <w:p w14:paraId="089DEFA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该指标满分为2.00分，根据评分标准得</w:t>
      </w:r>
      <w:r>
        <w:rPr>
          <w:rFonts w:hint="default" w:ascii="Times New Roman" w:hAnsi="Times New Roman" w:cs="Times New Roman"/>
          <w:color w:val="auto"/>
          <w:sz w:val="21"/>
          <w:szCs w:val="21"/>
          <w:lang w:eastAsia="zh-CN"/>
        </w:rPr>
        <w:t>2.00</w:t>
      </w:r>
      <w:r>
        <w:rPr>
          <w:rFonts w:hint="default" w:ascii="Times New Roman" w:hAnsi="Times New Roman" w:cs="Times New Roman"/>
          <w:color w:val="auto"/>
        </w:rPr>
        <w:t>分。</w:t>
      </w:r>
    </w:p>
    <w:p w14:paraId="21C26B63">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（5）A41预算编制科学性指标：</w:t>
      </w:r>
    </w:p>
    <w:p w14:paraId="30BF0912">
      <w:pPr>
        <w:bidi w:val="0"/>
        <w:spacing w:before="0" w:after="0" w:line="360" w:lineRule="auto"/>
        <w:ind w:firstLine="420"/>
        <w:rPr>
          <w:rFonts w:hint="default" w:ascii="Times New Roman" w:hAnsi="Times New Roman" w:cs="Times New Roman"/>
          <w:color w:val="auto"/>
          <w:lang w:val="en-US" w:eastAsia="zh-CN"/>
        </w:rPr>
      </w:pPr>
      <w:r>
        <w:rPr>
          <w:rFonts w:hint="eastAsia" w:cs="Times New Roman"/>
          <w:highlight w:val="none"/>
          <w:lang w:val="en-US" w:eastAsia="zh-CN"/>
        </w:rPr>
        <w:t>①</w:t>
      </w:r>
      <w:r>
        <w:rPr>
          <w:rFonts w:hint="default" w:ascii="Times New Roman" w:hAnsi="Times New Roman" w:cs="Times New Roman"/>
          <w:highlight w:val="none"/>
        </w:rPr>
        <w:t>该项目属于</w:t>
      </w:r>
      <w:r>
        <w:rPr>
          <w:rFonts w:hint="default" w:ascii="Times New Roman" w:hAnsi="Times New Roman" w:cs="Times New Roman"/>
          <w:highlight w:val="none"/>
          <w:lang w:val="en-US" w:eastAsia="zh-CN"/>
        </w:rPr>
        <w:t>政府购买服务</w:t>
      </w:r>
      <w:r>
        <w:rPr>
          <w:rFonts w:hint="default" w:ascii="Times New Roman" w:hAnsi="Times New Roman" w:cs="Times New Roman"/>
          <w:highlight w:val="none"/>
        </w:rPr>
        <w:t>类项目，</w:t>
      </w:r>
      <w:r>
        <w:rPr>
          <w:rFonts w:hint="default" w:ascii="Times New Roman" w:hAnsi="Times New Roman" w:cs="Times New Roman"/>
          <w:color w:val="auto"/>
          <w:highlight w:val="none"/>
          <w:lang w:val="en-US" w:eastAsia="zh-CN"/>
        </w:rPr>
        <w:t>根据</w:t>
      </w:r>
      <w:r>
        <w:rPr>
          <w:rFonts w:hint="default" w:ascii="Times New Roman" w:hAnsi="Times New Roman" w:cs="Times New Roman"/>
          <w:color w:val="auto"/>
          <w:highlight w:val="none"/>
          <w:lang w:eastAsia="zh-CN"/>
        </w:rPr>
        <w:t>《吉木萨尔县城市管理服务“三位一体”委托运营</w:t>
      </w:r>
      <w:r>
        <w:rPr>
          <w:rFonts w:hint="default" w:ascii="Times New Roman" w:hAnsi="Times New Roman" w:eastAsia="宋体" w:cs="Times New Roman"/>
          <w:szCs w:val="28"/>
          <w:highlight w:val="none"/>
          <w:lang w:eastAsia="zh-CN"/>
        </w:rPr>
        <w:t>项目实</w:t>
      </w:r>
      <w:r>
        <w:rPr>
          <w:rFonts w:hint="default" w:ascii="Times New Roman" w:hAnsi="Times New Roman" w:cs="Times New Roman"/>
          <w:color w:val="auto"/>
          <w:highlight w:val="none"/>
          <w:lang w:val="en-US" w:eastAsia="zh-CN"/>
        </w:rPr>
        <w:t>施方案》显示，吉木萨尔县住房和城乡建设局</w:t>
      </w:r>
      <w:r>
        <w:rPr>
          <w:rFonts w:hint="eastAsia" w:cs="Times New Roman"/>
          <w:color w:val="auto"/>
          <w:highlight w:val="none"/>
          <w:lang w:val="en-US" w:eastAsia="zh-CN"/>
        </w:rPr>
        <w:t>编制项目</w:t>
      </w:r>
      <w:r>
        <w:rPr>
          <w:rFonts w:hint="default" w:ascii="Times New Roman" w:hAnsi="Times New Roman" w:cs="Times New Roman"/>
          <w:color w:val="auto"/>
          <w:highlight w:val="none"/>
          <w:lang w:val="en-US" w:eastAsia="zh-CN"/>
        </w:rPr>
        <w:t>预算费用</w:t>
      </w:r>
      <w:r>
        <w:rPr>
          <w:rFonts w:hint="eastAsia" w:cs="Times New Roman"/>
          <w:color w:val="auto"/>
          <w:highlight w:val="none"/>
          <w:lang w:val="en-US" w:eastAsia="zh-CN"/>
        </w:rPr>
        <w:t>为</w:t>
      </w:r>
      <w:r>
        <w:rPr>
          <w:rFonts w:hint="default" w:ascii="Times New Roman" w:hAnsi="Times New Roman" w:cs="Times New Roman"/>
          <w:color w:val="auto"/>
          <w:highlight w:val="none"/>
          <w:lang w:val="en-US" w:eastAsia="zh-CN"/>
        </w:rPr>
        <w:t>4,345.74万元/年</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其中：环卫保洁费用2,413.00万元/年，绿化养护费用1,437.04万元/年，管理费192.50万元/年，税金303.2万元/年</w:t>
      </w:r>
      <w:r>
        <w:rPr>
          <w:rFonts w:hint="eastAsia" w:cs="Times New Roman"/>
          <w:color w:val="auto"/>
          <w:highlight w:val="none"/>
          <w:lang w:val="en-US" w:eastAsia="zh-CN"/>
        </w:rPr>
        <w:t>，项目预算编制总额和该项目政府购买服务合同</w:t>
      </w:r>
      <w:r>
        <w:rPr>
          <w:rFonts w:hint="default" w:ascii="Times New Roman" w:hAnsi="Times New Roman" w:cs="Times New Roman"/>
          <w:color w:val="auto"/>
          <w:highlight w:val="none"/>
        </w:rPr>
        <w:t>《吉木萨尔县城市管理服务</w:t>
      </w:r>
      <w:r>
        <w:rPr>
          <w:rFonts w:hint="default" w:ascii="Times New Roman" w:hAnsi="Times New Roman" w:cs="Times New Roman"/>
          <w:color w:val="auto"/>
          <w:highlight w:val="none"/>
          <w:lang w:val="en-US" w:eastAsia="zh-CN"/>
        </w:rPr>
        <w:t>“三位一体”</w:t>
      </w:r>
      <w:r>
        <w:rPr>
          <w:rFonts w:hint="default" w:ascii="Times New Roman" w:hAnsi="Times New Roman" w:cs="Times New Roman"/>
          <w:color w:val="auto"/>
          <w:highlight w:val="none"/>
        </w:rPr>
        <w:t>委托运营项目服务合同》</w:t>
      </w:r>
      <w:r>
        <w:rPr>
          <w:rFonts w:hint="eastAsia" w:cs="Times New Roman"/>
          <w:color w:val="auto"/>
          <w:highlight w:val="none"/>
          <w:lang w:val="en-US" w:eastAsia="zh-CN"/>
        </w:rPr>
        <w:t>约定的服务费用相一致，项目预算编制依据充分，预算额度准确。</w:t>
      </w:r>
      <w:r>
        <w:rPr>
          <w:rFonts w:hint="eastAsia" w:cs="Times New Roman"/>
          <w:color w:val="auto"/>
          <w:lang w:val="en-US" w:eastAsia="zh-CN"/>
        </w:rPr>
        <w:t>根据《2024年地方财政预算表》可知，</w:t>
      </w:r>
      <w:r>
        <w:rPr>
          <w:rFonts w:hint="default" w:ascii="Times New Roman" w:hAnsi="Times New Roman" w:cs="Times New Roman"/>
          <w:color w:val="auto"/>
          <w:lang w:val="en-US" w:eastAsia="zh-CN"/>
        </w:rPr>
        <w:t>该项目实际</w:t>
      </w:r>
      <w:r>
        <w:rPr>
          <w:rFonts w:hint="default" w:ascii="Times New Roman" w:hAnsi="Times New Roman" w:cs="Times New Roman"/>
          <w:color w:val="auto"/>
        </w:rPr>
        <w:t>已纳入吉木萨尔县政府预算</w:t>
      </w:r>
      <w:r>
        <w:rPr>
          <w:rFonts w:hint="eastAsia" w:cs="Times New Roman"/>
          <w:color w:val="auto"/>
          <w:lang w:eastAsia="zh-CN"/>
        </w:rPr>
        <w:t>—</w:t>
      </w:r>
      <w:r>
        <w:rPr>
          <w:rFonts w:hint="default" w:ascii="Times New Roman" w:hAnsi="Times New Roman" w:cs="Times New Roman"/>
          <w:color w:val="auto"/>
        </w:rPr>
        <w:t>212城乡社区</w:t>
      </w:r>
      <w:r>
        <w:rPr>
          <w:rFonts w:hint="default" w:ascii="Times New Roman" w:hAnsi="Times New Roman" w:cs="Times New Roman"/>
          <w:color w:val="auto"/>
          <w:lang w:val="en-US" w:eastAsia="zh-CN"/>
        </w:rPr>
        <w:t>支出</w:t>
      </w:r>
      <w:r>
        <w:rPr>
          <w:rFonts w:hint="eastAsia" w:cs="Times New Roman"/>
          <w:color w:val="auto"/>
          <w:lang w:val="en-US" w:eastAsia="zh-CN"/>
        </w:rPr>
        <w:t>，共安排年度预算总额</w:t>
      </w:r>
      <w:r>
        <w:rPr>
          <w:rFonts w:hint="default" w:ascii="Times New Roman" w:hAnsi="Times New Roman" w:cs="Times New Roman"/>
          <w:color w:val="auto"/>
          <w:lang w:val="en-US" w:eastAsia="zh-CN"/>
        </w:rPr>
        <w:t>8,414.00万元，</w:t>
      </w:r>
      <w:r>
        <w:rPr>
          <w:rFonts w:hint="eastAsia" w:cs="Times New Roman"/>
          <w:color w:val="auto"/>
          <w:lang w:val="en-US" w:eastAsia="zh-CN"/>
        </w:rPr>
        <w:t>由项目实施单位年中按照资金使用进度和资金需要申请拨付，项目安排的预算总额满足项目预算实际资金需求。</w:t>
      </w:r>
    </w:p>
    <w:p w14:paraId="4BBDC963">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该指标满分为2.00分，根据评分标准得</w:t>
      </w:r>
      <w:r>
        <w:rPr>
          <w:rFonts w:hint="default" w:ascii="Times New Roman" w:hAnsi="Times New Roman" w:cs="Times New Roman"/>
          <w:color w:val="auto"/>
          <w:sz w:val="21"/>
          <w:szCs w:val="21"/>
          <w:lang w:val="en-US" w:eastAsia="zh-CN"/>
        </w:rPr>
        <w:t>2</w:t>
      </w:r>
      <w:r>
        <w:rPr>
          <w:rFonts w:hint="default" w:ascii="Times New Roman" w:hAnsi="Times New Roman" w:cs="Times New Roman"/>
          <w:color w:val="auto"/>
          <w:sz w:val="21"/>
          <w:szCs w:val="21"/>
          <w:lang w:eastAsia="zh-CN"/>
        </w:rPr>
        <w:t>.00</w:t>
      </w:r>
      <w:r>
        <w:rPr>
          <w:rFonts w:hint="default" w:ascii="Times New Roman" w:hAnsi="Times New Roman" w:cs="Times New Roman"/>
          <w:color w:val="auto"/>
        </w:rPr>
        <w:t>分。</w:t>
      </w:r>
    </w:p>
    <w:p w14:paraId="41E5BD1C">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（6）A42资金分配合理性指标：</w:t>
      </w:r>
    </w:p>
    <w:p w14:paraId="27FB256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根据</w:t>
      </w:r>
      <w:r>
        <w:rPr>
          <w:rFonts w:hint="default" w:ascii="Times New Roman" w:hAnsi="Times New Roman" w:cs="Times New Roman"/>
          <w:color w:val="auto"/>
          <w:lang w:val="en-US" w:eastAsia="zh-CN"/>
        </w:rPr>
        <w:t>项目实施单位提供的</w:t>
      </w:r>
      <w:r>
        <w:rPr>
          <w:rFonts w:hint="default" w:ascii="Times New Roman" w:hAnsi="Times New Roman" w:cs="Times New Roman"/>
          <w:color w:val="auto"/>
        </w:rPr>
        <w:t>2.0预算大平台指标表</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《单位填报用款计划审批表》</w:t>
      </w:r>
      <w:r>
        <w:rPr>
          <w:rFonts w:hint="default" w:ascii="Times New Roman" w:hAnsi="Times New Roman" w:cs="Times New Roman"/>
          <w:color w:val="auto"/>
        </w:rPr>
        <w:t>以及《吉木萨尔县城市管理服务</w:t>
      </w:r>
      <w:r>
        <w:rPr>
          <w:rFonts w:hint="default" w:ascii="Times New Roman" w:hAnsi="Times New Roman" w:cs="Times New Roman"/>
          <w:color w:val="auto"/>
          <w:lang w:val="en-US" w:eastAsia="zh-CN"/>
        </w:rPr>
        <w:t>“三位一体”</w:t>
      </w:r>
      <w:r>
        <w:rPr>
          <w:rFonts w:hint="default" w:ascii="Times New Roman" w:hAnsi="Times New Roman" w:cs="Times New Roman"/>
          <w:color w:val="auto"/>
        </w:rPr>
        <w:t>委托运营项目服务合同》</w:t>
      </w:r>
      <w:r>
        <w:rPr>
          <w:rFonts w:hint="default" w:ascii="Times New Roman" w:hAnsi="Times New Roman" w:cs="Times New Roman"/>
          <w:color w:val="auto"/>
          <w:lang w:val="en-US" w:eastAsia="zh-CN"/>
        </w:rPr>
        <w:t>《吉木萨尔县城市管理服务“三位一体”项目新增清扫保洁及冬季除雪补充协议书》</w:t>
      </w:r>
      <w:r>
        <w:rPr>
          <w:rFonts w:hint="eastAsia" w:cs="Times New Roman"/>
          <w:color w:val="auto"/>
          <w:lang w:val="en-US" w:eastAsia="zh-CN"/>
        </w:rPr>
        <w:t>可知</w:t>
      </w:r>
      <w:r>
        <w:rPr>
          <w:rFonts w:hint="default" w:ascii="Times New Roman" w:hAnsi="Times New Roman" w:cs="Times New Roman"/>
          <w:color w:val="auto"/>
          <w:lang w:val="en-US" w:eastAsia="zh-CN"/>
        </w:rPr>
        <w:t>，该项目</w:t>
      </w:r>
      <w:r>
        <w:rPr>
          <w:rFonts w:hint="eastAsia" w:cs="Times New Roman"/>
          <w:color w:val="auto"/>
          <w:lang w:val="en-US" w:eastAsia="zh-CN"/>
        </w:rPr>
        <w:t>年初安排</w:t>
      </w:r>
      <w:r>
        <w:rPr>
          <w:rFonts w:hint="default" w:ascii="Times New Roman" w:hAnsi="Times New Roman" w:cs="Times New Roman"/>
          <w:color w:val="auto"/>
          <w:lang w:val="en-US" w:eastAsia="zh-CN"/>
        </w:rPr>
        <w:t>预算</w:t>
      </w:r>
      <w:r>
        <w:rPr>
          <w:rFonts w:hint="default" w:ascii="Times New Roman" w:hAnsi="Times New Roman" w:cs="Times New Roman"/>
          <w:color w:val="auto"/>
          <w:highlight w:val="none"/>
          <w:lang w:val="en-US" w:eastAsia="zh-CN"/>
        </w:rPr>
        <w:t>4,345.74万元</w:t>
      </w:r>
      <w:r>
        <w:rPr>
          <w:rFonts w:hint="eastAsia" w:cs="Times New Roman"/>
          <w:color w:val="auto"/>
          <w:highlight w:val="none"/>
          <w:lang w:val="en-US" w:eastAsia="zh-CN"/>
        </w:rPr>
        <w:t>，年中</w:t>
      </w:r>
      <w:r>
        <w:rPr>
          <w:rFonts w:hint="default" w:ascii="Times New Roman" w:hAnsi="Times New Roman" w:cs="Times New Roman"/>
          <w:color w:val="auto"/>
          <w:lang w:val="en-US" w:eastAsia="zh-CN"/>
        </w:rPr>
        <w:t>补签《吉木萨尔县城市管理服务“三位一体”项目新增清扫保洁及冬季除雪补充协议书》</w:t>
      </w:r>
      <w:r>
        <w:rPr>
          <w:rFonts w:hint="eastAsia" w:cs="Times New Roman"/>
          <w:color w:val="auto"/>
          <w:lang w:val="en-US" w:eastAsia="zh-CN"/>
        </w:rPr>
        <w:t>追加服务费用</w:t>
      </w:r>
      <w:r>
        <w:rPr>
          <w:rFonts w:hint="default" w:ascii="Times New Roman" w:hAnsi="Times New Roman" w:cs="Times New Roman"/>
          <w:color w:val="auto"/>
          <w:lang w:val="en-US" w:eastAsia="zh-CN"/>
        </w:rPr>
        <w:t>200.00万元</w:t>
      </w:r>
      <w:r>
        <w:rPr>
          <w:rFonts w:hint="eastAsia" w:cs="Times New Roman"/>
          <w:color w:val="auto"/>
          <w:lang w:val="en-US" w:eastAsia="zh-CN"/>
        </w:rPr>
        <w:t>，项目实施单位年中按照资金使用进度和绩效考核结果确认资金需求，累计申请项目</w:t>
      </w:r>
      <w:r>
        <w:rPr>
          <w:rFonts w:hint="default" w:ascii="Times New Roman" w:hAnsi="Times New Roman" w:cs="Times New Roman"/>
          <w:color w:val="auto"/>
          <w:lang w:val="en-US" w:eastAsia="zh-CN"/>
        </w:rPr>
        <w:t>预算</w:t>
      </w:r>
      <w:r>
        <w:rPr>
          <w:rFonts w:hint="eastAsia" w:cs="Times New Roman"/>
          <w:color w:val="auto"/>
          <w:lang w:val="en-US" w:eastAsia="zh-CN"/>
        </w:rPr>
        <w:t>总额</w:t>
      </w:r>
      <w:r>
        <w:rPr>
          <w:rFonts w:hint="default" w:ascii="Times New Roman" w:hAnsi="Times New Roman" w:cs="Times New Roman"/>
          <w:color w:val="auto"/>
        </w:rPr>
        <w:t>4,606.81万元，其中</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2024年7月</w:t>
      </w:r>
      <w:r>
        <w:rPr>
          <w:rFonts w:hint="eastAsia" w:cs="Times New Roman"/>
          <w:color w:val="auto"/>
          <w:lang w:val="en-US" w:eastAsia="zh-CN"/>
        </w:rPr>
        <w:t>申请</w:t>
      </w:r>
      <w:r>
        <w:rPr>
          <w:rFonts w:hint="default" w:ascii="Times New Roman" w:hAnsi="Times New Roman" w:cs="Times New Roman"/>
          <w:color w:val="auto"/>
        </w:rPr>
        <w:t>2023年第四季度服务费</w:t>
      </w:r>
      <w:r>
        <w:rPr>
          <w:rFonts w:hint="eastAsia" w:cs="Times New Roman"/>
          <w:color w:val="auto"/>
          <w:lang w:val="en-US" w:eastAsia="zh-CN"/>
        </w:rPr>
        <w:t>预算</w:t>
      </w:r>
      <w:r>
        <w:rPr>
          <w:rFonts w:hint="default" w:ascii="Times New Roman" w:hAnsi="Times New Roman" w:cs="Times New Roman"/>
          <w:color w:val="auto"/>
        </w:rPr>
        <w:t>1,267.18万元，</w:t>
      </w:r>
      <w:r>
        <w:rPr>
          <w:rFonts w:hint="default" w:ascii="Times New Roman" w:hAnsi="Times New Roman" w:cs="Times New Roman"/>
          <w:color w:val="auto"/>
          <w:lang w:val="en-US" w:eastAsia="zh-CN"/>
        </w:rPr>
        <w:t>2024年4月</w:t>
      </w:r>
      <w:r>
        <w:rPr>
          <w:rFonts w:hint="eastAsia" w:cs="Times New Roman"/>
          <w:color w:val="auto"/>
          <w:lang w:val="en-US" w:eastAsia="zh-CN"/>
        </w:rPr>
        <w:t>申请</w:t>
      </w:r>
      <w:r>
        <w:rPr>
          <w:rFonts w:hint="default" w:ascii="Times New Roman" w:hAnsi="Times New Roman" w:cs="Times New Roman"/>
          <w:color w:val="auto"/>
        </w:rPr>
        <w:t>2024年第一季度服务费</w:t>
      </w:r>
      <w:r>
        <w:rPr>
          <w:rFonts w:hint="eastAsia" w:cs="Times New Roman"/>
          <w:color w:val="auto"/>
          <w:lang w:val="en-US" w:eastAsia="zh-CN"/>
        </w:rPr>
        <w:t>预算</w:t>
      </w:r>
      <w:r>
        <w:rPr>
          <w:rFonts w:hint="default" w:ascii="Times New Roman" w:hAnsi="Times New Roman" w:cs="Times New Roman"/>
          <w:color w:val="auto"/>
          <w:lang w:val="en-US" w:eastAsia="zh-CN"/>
        </w:rPr>
        <w:t>1,082.38万元，2024年8月</w:t>
      </w:r>
      <w:r>
        <w:rPr>
          <w:rFonts w:hint="eastAsia" w:cs="Times New Roman"/>
          <w:color w:val="auto"/>
          <w:lang w:val="en-US" w:eastAsia="zh-CN"/>
        </w:rPr>
        <w:t>申请</w:t>
      </w:r>
      <w:r>
        <w:rPr>
          <w:rFonts w:hint="default" w:ascii="Times New Roman" w:hAnsi="Times New Roman" w:cs="Times New Roman"/>
          <w:color w:val="auto"/>
        </w:rPr>
        <w:t>第二</w:t>
      </w:r>
      <w:r>
        <w:rPr>
          <w:rFonts w:hint="eastAsia" w:cs="Times New Roman"/>
          <w:color w:val="auto"/>
          <w:lang w:val="en-US" w:eastAsia="zh-CN"/>
        </w:rPr>
        <w:t>季度</w:t>
      </w:r>
      <w:r>
        <w:rPr>
          <w:rFonts w:hint="default" w:ascii="Times New Roman" w:hAnsi="Times New Roman" w:cs="Times New Roman"/>
          <w:color w:val="auto"/>
        </w:rPr>
        <w:t>服务费</w:t>
      </w:r>
      <w:r>
        <w:rPr>
          <w:rFonts w:hint="default" w:ascii="Times New Roman" w:hAnsi="Times New Roman" w:cs="Times New Roman"/>
          <w:color w:val="auto"/>
          <w:lang w:val="en-US" w:eastAsia="zh-CN"/>
        </w:rPr>
        <w:t>以及补充协议费用</w:t>
      </w:r>
      <w:r>
        <w:rPr>
          <w:rFonts w:hint="eastAsia" w:cs="Times New Roman"/>
          <w:color w:val="auto"/>
          <w:lang w:val="en-US" w:eastAsia="zh-CN"/>
        </w:rPr>
        <w:t>预算</w:t>
      </w:r>
      <w:r>
        <w:rPr>
          <w:rFonts w:hint="default" w:ascii="Times New Roman" w:hAnsi="Times New Roman" w:cs="Times New Roman"/>
          <w:color w:val="auto"/>
          <w:lang w:val="en-US" w:eastAsia="zh-CN"/>
        </w:rPr>
        <w:t>1,175.32万元</w:t>
      </w:r>
      <w:r>
        <w:rPr>
          <w:rFonts w:hint="eastAsia" w:cs="Times New Roman"/>
          <w:color w:val="auto"/>
          <w:lang w:val="en-US" w:eastAsia="zh-CN"/>
        </w:rPr>
        <w:t>，</w:t>
      </w:r>
      <w:r>
        <w:rPr>
          <w:rFonts w:hint="default" w:ascii="Times New Roman" w:hAnsi="Times New Roman" w:cs="Times New Roman"/>
          <w:color w:val="auto"/>
          <w:lang w:val="en-US" w:eastAsia="zh-CN"/>
        </w:rPr>
        <w:t>2024年9月</w:t>
      </w:r>
      <w:r>
        <w:rPr>
          <w:rFonts w:hint="eastAsia" w:cs="Times New Roman"/>
          <w:color w:val="auto"/>
          <w:lang w:val="en-US" w:eastAsia="zh-CN"/>
        </w:rPr>
        <w:t>申请</w:t>
      </w:r>
      <w:r>
        <w:rPr>
          <w:rFonts w:hint="default" w:ascii="Times New Roman" w:hAnsi="Times New Roman" w:cs="Times New Roman"/>
          <w:color w:val="auto"/>
        </w:rPr>
        <w:t>第三季度服务费</w:t>
      </w:r>
      <w:r>
        <w:rPr>
          <w:rFonts w:hint="default" w:ascii="Times New Roman" w:hAnsi="Times New Roman" w:cs="Times New Roman"/>
          <w:color w:val="auto"/>
          <w:lang w:val="en-US" w:eastAsia="zh-CN"/>
        </w:rPr>
        <w:t>用</w:t>
      </w:r>
      <w:r>
        <w:rPr>
          <w:rFonts w:hint="eastAsia" w:cs="Times New Roman"/>
          <w:color w:val="auto"/>
          <w:lang w:val="en-US" w:eastAsia="zh-CN"/>
        </w:rPr>
        <w:t>预算</w:t>
      </w:r>
      <w:r>
        <w:rPr>
          <w:rFonts w:hint="default" w:ascii="Times New Roman" w:hAnsi="Times New Roman" w:cs="Times New Roman"/>
          <w:color w:val="auto"/>
          <w:lang w:val="en-US" w:eastAsia="zh-CN"/>
        </w:rPr>
        <w:t>1,081.93</w:t>
      </w:r>
      <w:r>
        <w:rPr>
          <w:rFonts w:hint="default" w:ascii="Times New Roman" w:hAnsi="Times New Roman" w:cs="Times New Roman"/>
          <w:color w:val="auto"/>
        </w:rPr>
        <w:t>万元。</w:t>
      </w:r>
      <w:r>
        <w:rPr>
          <w:rFonts w:hint="eastAsia" w:cs="Times New Roman"/>
          <w:color w:val="auto"/>
          <w:lang w:val="en-US" w:eastAsia="zh-CN"/>
        </w:rPr>
        <w:t>项目</w:t>
      </w:r>
      <w:r>
        <w:rPr>
          <w:rFonts w:hint="default" w:ascii="Times New Roman" w:hAnsi="Times New Roman" w:cs="Times New Roman"/>
          <w:color w:val="auto"/>
        </w:rPr>
        <w:t>分配依据充分、额度合理，和项目单位相适应。</w:t>
      </w:r>
    </w:p>
    <w:p w14:paraId="478B114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该指标满分为2.00分，根据评分标准得</w:t>
      </w:r>
      <w:r>
        <w:rPr>
          <w:rFonts w:hint="default" w:ascii="Times New Roman" w:hAnsi="Times New Roman" w:cs="Times New Roman"/>
          <w:color w:val="auto"/>
          <w:sz w:val="21"/>
          <w:szCs w:val="21"/>
          <w:lang w:eastAsia="zh-CN"/>
        </w:rPr>
        <w:t>2.00</w:t>
      </w:r>
      <w:r>
        <w:rPr>
          <w:rFonts w:hint="default" w:ascii="Times New Roman" w:hAnsi="Times New Roman" w:cs="Times New Roman"/>
          <w:color w:val="auto"/>
        </w:rPr>
        <w:t>分。</w:t>
      </w:r>
    </w:p>
    <w:p w14:paraId="04E92C6B">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68" w:name="_Toc18988"/>
      <w:r>
        <w:rPr>
          <w:rFonts w:hint="default" w:ascii="Times New Roman" w:hAnsi="Times New Roman" w:cs="Times New Roman"/>
          <w:color w:val="auto"/>
        </w:rPr>
        <w:t>（二）项目过程情况</w:t>
      </w:r>
      <w:bookmarkEnd w:id="68"/>
    </w:p>
    <w:p w14:paraId="4B168B27">
      <w:pPr>
        <w:pageBreakBefore w:val="0"/>
        <w:kinsoku/>
        <w:wordWrap/>
        <w:overflowPunct/>
        <w:topLinePunct w:val="0"/>
        <w:autoSpaceDE/>
        <w:autoSpaceDN/>
        <w:bidi w:val="0"/>
        <w:snapToGrid w:val="0"/>
        <w:spacing w:before="0" w:after="0" w:line="360" w:lineRule="auto"/>
        <w:ind w:firstLine="420"/>
        <w:rPr>
          <w:rFonts w:hint="default" w:ascii="Times New Roman" w:hAnsi="Times New Roman" w:eastAsia="黑体" w:cs="Times New Roman"/>
          <w:b w:val="0"/>
          <w:bCs w:val="0"/>
          <w:color w:val="auto"/>
          <w:szCs w:val="16"/>
        </w:rPr>
      </w:pPr>
      <w:r>
        <w:rPr>
          <w:rFonts w:hint="default" w:ascii="Times New Roman" w:hAnsi="Times New Roman" w:cs="Times New Roman"/>
          <w:color w:val="auto"/>
        </w:rPr>
        <w:t>项目过程类指标由</w:t>
      </w:r>
      <w:r>
        <w:rPr>
          <w:rFonts w:hint="default" w:ascii="Times New Roman" w:hAnsi="Times New Roman" w:cs="Times New Roman"/>
          <w:color w:val="auto"/>
          <w:sz w:val="21"/>
          <w:szCs w:val="21"/>
          <w:lang w:eastAsia="zh-CN"/>
        </w:rPr>
        <w:t>2</w:t>
      </w:r>
      <w:r>
        <w:rPr>
          <w:rFonts w:hint="default" w:ascii="Times New Roman" w:hAnsi="Times New Roman" w:cs="Times New Roman"/>
          <w:color w:val="auto"/>
        </w:rPr>
        <w:t>个二级指标和</w:t>
      </w:r>
      <w:r>
        <w:rPr>
          <w:rFonts w:hint="default" w:ascii="Times New Roman" w:hAnsi="Times New Roman" w:cs="Times New Roman"/>
          <w:color w:val="auto"/>
          <w:sz w:val="21"/>
          <w:szCs w:val="21"/>
          <w:lang w:eastAsia="zh-CN"/>
        </w:rPr>
        <w:t>7</w:t>
      </w:r>
      <w:r>
        <w:rPr>
          <w:rFonts w:hint="default" w:ascii="Times New Roman" w:hAnsi="Times New Roman" w:cs="Times New Roman"/>
          <w:color w:val="auto"/>
        </w:rPr>
        <w:t>个三级指标构成，权重分</w:t>
      </w:r>
      <w:r>
        <w:rPr>
          <w:rFonts w:hint="default" w:ascii="Times New Roman" w:hAnsi="Times New Roman" w:cs="Times New Roman"/>
          <w:color w:val="auto"/>
          <w:sz w:val="21"/>
          <w:szCs w:val="21"/>
          <w:lang w:eastAsia="zh-CN"/>
        </w:rPr>
        <w:t>25.00</w:t>
      </w:r>
      <w:r>
        <w:rPr>
          <w:rFonts w:hint="default" w:ascii="Times New Roman" w:hAnsi="Times New Roman" w:cs="Times New Roman"/>
          <w:color w:val="auto"/>
        </w:rPr>
        <w:t>分，实际得分</w:t>
      </w:r>
      <w:r>
        <w:rPr>
          <w:rFonts w:hint="eastAsia" w:cs="Times New Roman"/>
          <w:color w:val="auto"/>
          <w:sz w:val="21"/>
          <w:szCs w:val="21"/>
          <w:lang w:val="en-US" w:eastAsia="zh-CN"/>
        </w:rPr>
        <w:t>20</w:t>
      </w:r>
      <w:r>
        <w:rPr>
          <w:rFonts w:hint="default" w:ascii="Times New Roman" w:hAnsi="Times New Roman" w:cs="Times New Roman"/>
          <w:color w:val="auto"/>
          <w:sz w:val="21"/>
          <w:szCs w:val="21"/>
          <w:lang w:val="en-US" w:eastAsia="zh-CN"/>
        </w:rPr>
        <w:t>.</w:t>
      </w:r>
      <w:r>
        <w:rPr>
          <w:rFonts w:hint="eastAsia" w:cs="Times New Roman"/>
          <w:color w:val="auto"/>
          <w:sz w:val="21"/>
          <w:szCs w:val="21"/>
          <w:lang w:val="en-US" w:eastAsia="zh-CN"/>
        </w:rPr>
        <w:t>0</w:t>
      </w:r>
      <w:r>
        <w:rPr>
          <w:rFonts w:hint="default" w:ascii="Times New Roman" w:hAnsi="Times New Roman" w:cs="Times New Roman"/>
          <w:color w:val="auto"/>
          <w:sz w:val="21"/>
          <w:szCs w:val="21"/>
          <w:lang w:val="en-US" w:eastAsia="zh-CN"/>
        </w:rPr>
        <w:t>0</w:t>
      </w:r>
      <w:r>
        <w:rPr>
          <w:rFonts w:hint="default" w:ascii="Times New Roman" w:hAnsi="Times New Roman" w:cs="Times New Roman"/>
          <w:color w:val="auto"/>
        </w:rPr>
        <w:t>分，得分率为</w:t>
      </w:r>
      <w:r>
        <w:rPr>
          <w:rFonts w:hint="eastAsia" w:cs="Times New Roman"/>
          <w:color w:val="auto"/>
          <w:sz w:val="21"/>
          <w:szCs w:val="21"/>
          <w:lang w:val="en-US" w:eastAsia="zh-CN"/>
        </w:rPr>
        <w:t>80.00</w:t>
      </w:r>
      <w:r>
        <w:rPr>
          <w:rFonts w:hint="default" w:ascii="Times New Roman" w:hAnsi="Times New Roman" w:cs="Times New Roman"/>
          <w:color w:val="auto"/>
          <w:sz w:val="21"/>
          <w:szCs w:val="21"/>
          <w:lang w:eastAsia="zh-CN"/>
        </w:rPr>
        <w:t>%</w:t>
      </w:r>
      <w:r>
        <w:rPr>
          <w:rFonts w:hint="default" w:ascii="Times New Roman" w:hAnsi="Times New Roman" w:cs="Times New Roman"/>
          <w:color w:val="auto"/>
        </w:rPr>
        <w:t>。各指标业绩值和绩效分值如下表所示：</w:t>
      </w:r>
    </w:p>
    <w:p w14:paraId="13E21FCA">
      <w:pPr>
        <w:pageBreakBefore w:val="0"/>
        <w:kinsoku/>
        <w:wordWrap/>
        <w:overflowPunct/>
        <w:topLinePunct w:val="0"/>
        <w:autoSpaceDE/>
        <w:autoSpaceDN/>
        <w:bidi w:val="0"/>
        <w:snapToGrid w:val="0"/>
        <w:spacing w:before="0" w:after="0" w:line="360" w:lineRule="auto"/>
        <w:ind w:firstLine="0" w:firstLineChars="0"/>
        <w:jc w:val="center"/>
        <w:rPr>
          <w:rFonts w:hint="default" w:ascii="Times New Roman" w:hAnsi="Times New Roman" w:eastAsia="黑体" w:cs="Times New Roman"/>
          <w:b w:val="0"/>
          <w:bCs w:val="0"/>
          <w:color w:val="auto"/>
        </w:rPr>
      </w:pPr>
      <w:r>
        <w:rPr>
          <w:rFonts w:hint="default" w:ascii="Times New Roman" w:hAnsi="Times New Roman" w:eastAsia="黑体" w:cs="Times New Roman"/>
          <w:b w:val="0"/>
          <w:bCs w:val="0"/>
          <w:color w:val="auto"/>
          <w:szCs w:val="16"/>
        </w:rPr>
        <w:t>表</w:t>
      </w:r>
      <w:r>
        <w:rPr>
          <w:rFonts w:hint="default" w:ascii="Times New Roman" w:hAnsi="Times New Roman" w:eastAsia="黑体" w:cs="Times New Roman"/>
          <w:b w:val="0"/>
          <w:bCs w:val="0"/>
          <w:color w:val="auto"/>
          <w:szCs w:val="16"/>
          <w:lang w:val="en-US" w:eastAsia="zh-CN"/>
        </w:rPr>
        <w:t>5</w:t>
      </w:r>
      <w:r>
        <w:rPr>
          <w:rFonts w:hint="default" w:ascii="Times New Roman" w:hAnsi="Times New Roman" w:eastAsia="黑体" w:cs="Times New Roman"/>
          <w:b w:val="0"/>
          <w:bCs w:val="0"/>
          <w:color w:val="auto"/>
          <w:szCs w:val="16"/>
        </w:rPr>
        <w:t>-2：项目过程类指标及分值</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1" w:type="dxa"/>
          <w:bottom w:w="0" w:type="dxa"/>
          <w:right w:w="51" w:type="dxa"/>
        </w:tblCellMar>
      </w:tblPr>
      <w:tblGrid>
        <w:gridCol w:w="1038"/>
        <w:gridCol w:w="1112"/>
        <w:gridCol w:w="2020"/>
        <w:gridCol w:w="841"/>
        <w:gridCol w:w="1110"/>
        <w:gridCol w:w="759"/>
        <w:gridCol w:w="690"/>
        <w:gridCol w:w="838"/>
      </w:tblGrid>
      <w:tr w14:paraId="06CF5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tblHeader/>
          <w:jc w:val="center"/>
        </w:trPr>
        <w:tc>
          <w:tcPr>
            <w:tcW w:w="617" w:type="pct"/>
            <w:vAlign w:val="center"/>
          </w:tcPr>
          <w:p w14:paraId="64634150">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一级指标</w:t>
            </w:r>
          </w:p>
        </w:tc>
        <w:tc>
          <w:tcPr>
            <w:tcW w:w="661" w:type="pct"/>
            <w:vAlign w:val="center"/>
          </w:tcPr>
          <w:p w14:paraId="78C48BBD">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二级指标</w:t>
            </w:r>
          </w:p>
        </w:tc>
        <w:tc>
          <w:tcPr>
            <w:tcW w:w="1201" w:type="pct"/>
            <w:vAlign w:val="center"/>
          </w:tcPr>
          <w:p w14:paraId="568C6766">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三级指标</w:t>
            </w:r>
          </w:p>
        </w:tc>
        <w:tc>
          <w:tcPr>
            <w:tcW w:w="500" w:type="pct"/>
            <w:vAlign w:val="center"/>
          </w:tcPr>
          <w:p w14:paraId="7AC7B548">
            <w:pPr>
              <w:pageBreakBefore w:val="0"/>
              <w:widowControl/>
              <w:kinsoku/>
              <w:wordWrap/>
              <w:overflowPunct/>
              <w:topLinePunct w:val="0"/>
              <w:autoSpaceDE/>
              <w:autoSpaceDN/>
              <w:bidi w:val="0"/>
              <w:snapToGrid w:val="0"/>
              <w:spacing w:before="0" w:after="0" w:line="240" w:lineRule="auto"/>
              <w:ind w:firstLine="0" w:firstLineChars="0"/>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目标值</w:t>
            </w:r>
          </w:p>
        </w:tc>
        <w:tc>
          <w:tcPr>
            <w:tcW w:w="660" w:type="pct"/>
            <w:vAlign w:val="center"/>
          </w:tcPr>
          <w:p w14:paraId="6618D707">
            <w:pPr>
              <w:pageBreakBefore w:val="0"/>
              <w:widowControl/>
              <w:kinsoku/>
              <w:wordWrap/>
              <w:overflowPunct/>
              <w:topLinePunct w:val="0"/>
              <w:autoSpaceDE/>
              <w:autoSpaceDN/>
              <w:bidi w:val="0"/>
              <w:snapToGrid w:val="0"/>
              <w:spacing w:before="0" w:after="0" w:line="240" w:lineRule="auto"/>
              <w:ind w:firstLine="0" w:firstLineChars="0"/>
              <w:textAlignment w:val="center"/>
              <w:rPr>
                <w:rFonts w:hint="default" w:ascii="Times New Roman" w:hAnsi="Times New Roman" w:eastAsia="宋体" w:cs="Times New Roman"/>
                <w:b/>
                <w:color w:val="auto"/>
                <w:kern w:val="0"/>
                <w:sz w:val="20"/>
                <w:szCs w:val="20"/>
                <w:lang w:bidi="ar"/>
              </w:rPr>
            </w:pPr>
            <w:r>
              <w:rPr>
                <w:rFonts w:hint="default" w:ascii="Times New Roman" w:hAnsi="Times New Roman" w:eastAsia="宋体" w:cs="Times New Roman"/>
                <w:b/>
                <w:color w:val="auto"/>
                <w:kern w:val="0"/>
                <w:sz w:val="20"/>
                <w:szCs w:val="20"/>
                <w:lang w:bidi="ar"/>
              </w:rPr>
              <w:t>实际完成值</w:t>
            </w:r>
          </w:p>
        </w:tc>
        <w:tc>
          <w:tcPr>
            <w:tcW w:w="451" w:type="pct"/>
            <w:vAlign w:val="center"/>
          </w:tcPr>
          <w:p w14:paraId="46F6F65E">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权重</w:t>
            </w:r>
          </w:p>
        </w:tc>
        <w:tc>
          <w:tcPr>
            <w:tcW w:w="410" w:type="pct"/>
            <w:vAlign w:val="center"/>
          </w:tcPr>
          <w:p w14:paraId="2AB59A3C">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得分</w:t>
            </w:r>
          </w:p>
        </w:tc>
        <w:tc>
          <w:tcPr>
            <w:tcW w:w="498" w:type="pct"/>
            <w:vAlign w:val="center"/>
          </w:tcPr>
          <w:p w14:paraId="6FA431F9">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kern w:val="0"/>
                <w:sz w:val="20"/>
                <w:szCs w:val="20"/>
                <w:lang w:bidi="ar"/>
              </w:rPr>
            </w:pPr>
            <w:r>
              <w:rPr>
                <w:rFonts w:hint="default" w:ascii="Times New Roman" w:hAnsi="Times New Roman" w:eastAsia="宋体" w:cs="Times New Roman"/>
                <w:b/>
                <w:color w:val="auto"/>
                <w:kern w:val="0"/>
                <w:sz w:val="20"/>
                <w:szCs w:val="20"/>
                <w:lang w:bidi="ar"/>
              </w:rPr>
              <w:t>得分率</w:t>
            </w:r>
          </w:p>
        </w:tc>
      </w:tr>
      <w:tr w14:paraId="33633C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restart"/>
            <w:vAlign w:val="center"/>
          </w:tcPr>
          <w:p w14:paraId="40440A3D">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r>
              <w:rPr>
                <w:rFonts w:hint="default" w:ascii="Times New Roman" w:hAnsi="Times New Roman" w:cs="Times New Roman"/>
                <w:color w:val="auto"/>
                <w:sz w:val="20"/>
                <w:szCs w:val="20"/>
              </w:rPr>
              <w:t>B过程（35.00分）</w:t>
            </w:r>
          </w:p>
        </w:tc>
        <w:tc>
          <w:tcPr>
            <w:tcW w:w="661" w:type="pct"/>
            <w:vMerge w:val="restart"/>
            <w:vAlign w:val="center"/>
          </w:tcPr>
          <w:p w14:paraId="57F8097C">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B1资金管理（12.00分）</w:t>
            </w:r>
          </w:p>
        </w:tc>
        <w:tc>
          <w:tcPr>
            <w:tcW w:w="1201" w:type="pct"/>
            <w:vAlign w:val="center"/>
          </w:tcPr>
          <w:p w14:paraId="1A854382">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B11资金到位率</w:t>
            </w:r>
          </w:p>
        </w:tc>
        <w:tc>
          <w:tcPr>
            <w:tcW w:w="841" w:type="dxa"/>
            <w:vAlign w:val="center"/>
          </w:tcPr>
          <w:p w14:paraId="34AE893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100%</w:t>
            </w:r>
          </w:p>
        </w:tc>
        <w:tc>
          <w:tcPr>
            <w:tcW w:w="1110" w:type="dxa"/>
            <w:vAlign w:val="center"/>
          </w:tcPr>
          <w:p w14:paraId="7FB1920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100%</w:t>
            </w:r>
          </w:p>
        </w:tc>
        <w:tc>
          <w:tcPr>
            <w:tcW w:w="759" w:type="dxa"/>
            <w:vAlign w:val="center"/>
          </w:tcPr>
          <w:p w14:paraId="088D110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3.00 </w:t>
            </w:r>
          </w:p>
        </w:tc>
        <w:tc>
          <w:tcPr>
            <w:tcW w:w="690" w:type="dxa"/>
            <w:vAlign w:val="center"/>
          </w:tcPr>
          <w:p w14:paraId="5633195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3.00 </w:t>
            </w:r>
          </w:p>
        </w:tc>
        <w:tc>
          <w:tcPr>
            <w:tcW w:w="838" w:type="dxa"/>
            <w:vAlign w:val="center"/>
          </w:tcPr>
          <w:p w14:paraId="38088EF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100.00%</w:t>
            </w:r>
          </w:p>
        </w:tc>
      </w:tr>
      <w:tr w14:paraId="6B983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continue"/>
            <w:vAlign w:val="center"/>
          </w:tcPr>
          <w:p w14:paraId="0EA0E640">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61" w:type="pct"/>
            <w:vMerge w:val="continue"/>
            <w:vAlign w:val="center"/>
          </w:tcPr>
          <w:p w14:paraId="0F6F305A">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1201" w:type="pct"/>
            <w:vAlign w:val="center"/>
          </w:tcPr>
          <w:p w14:paraId="369C8043">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B12预算执行率</w:t>
            </w:r>
          </w:p>
        </w:tc>
        <w:tc>
          <w:tcPr>
            <w:tcW w:w="841" w:type="dxa"/>
            <w:vAlign w:val="center"/>
          </w:tcPr>
          <w:p w14:paraId="1F76C29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100%</w:t>
            </w:r>
          </w:p>
        </w:tc>
        <w:tc>
          <w:tcPr>
            <w:tcW w:w="1110" w:type="dxa"/>
            <w:vAlign w:val="center"/>
          </w:tcPr>
          <w:p w14:paraId="35C11EE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100%</w:t>
            </w:r>
          </w:p>
        </w:tc>
        <w:tc>
          <w:tcPr>
            <w:tcW w:w="759" w:type="dxa"/>
            <w:vAlign w:val="center"/>
          </w:tcPr>
          <w:p w14:paraId="335E8B2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3.00 </w:t>
            </w:r>
          </w:p>
        </w:tc>
        <w:tc>
          <w:tcPr>
            <w:tcW w:w="690" w:type="dxa"/>
            <w:vAlign w:val="center"/>
          </w:tcPr>
          <w:p w14:paraId="753CDDD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3.00 </w:t>
            </w:r>
          </w:p>
        </w:tc>
        <w:tc>
          <w:tcPr>
            <w:tcW w:w="838" w:type="dxa"/>
            <w:vAlign w:val="center"/>
          </w:tcPr>
          <w:p w14:paraId="732205B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100.00%</w:t>
            </w:r>
          </w:p>
        </w:tc>
      </w:tr>
      <w:tr w14:paraId="320B3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continue"/>
            <w:vAlign w:val="center"/>
          </w:tcPr>
          <w:p w14:paraId="3413E13F">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61" w:type="pct"/>
            <w:vMerge w:val="continue"/>
            <w:vAlign w:val="center"/>
          </w:tcPr>
          <w:p w14:paraId="276EE925">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1201" w:type="pct"/>
            <w:vAlign w:val="center"/>
          </w:tcPr>
          <w:p w14:paraId="2AACABCB">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B13资金使用合规性</w:t>
            </w:r>
          </w:p>
        </w:tc>
        <w:tc>
          <w:tcPr>
            <w:tcW w:w="841" w:type="dxa"/>
            <w:vAlign w:val="center"/>
          </w:tcPr>
          <w:p w14:paraId="5DFBCA4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合规</w:t>
            </w:r>
          </w:p>
        </w:tc>
        <w:tc>
          <w:tcPr>
            <w:tcW w:w="1110" w:type="dxa"/>
            <w:vAlign w:val="center"/>
          </w:tcPr>
          <w:p w14:paraId="4A56EB9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合规</w:t>
            </w:r>
          </w:p>
        </w:tc>
        <w:tc>
          <w:tcPr>
            <w:tcW w:w="759" w:type="dxa"/>
            <w:vAlign w:val="center"/>
          </w:tcPr>
          <w:p w14:paraId="01E2BFD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4.00 </w:t>
            </w:r>
          </w:p>
        </w:tc>
        <w:tc>
          <w:tcPr>
            <w:tcW w:w="690" w:type="dxa"/>
            <w:vAlign w:val="center"/>
          </w:tcPr>
          <w:p w14:paraId="1FF9200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4.00 </w:t>
            </w:r>
          </w:p>
        </w:tc>
        <w:tc>
          <w:tcPr>
            <w:tcW w:w="838" w:type="dxa"/>
            <w:vAlign w:val="center"/>
          </w:tcPr>
          <w:p w14:paraId="658E407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100.00%</w:t>
            </w:r>
          </w:p>
        </w:tc>
      </w:tr>
      <w:tr w14:paraId="522DC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continue"/>
            <w:vAlign w:val="center"/>
          </w:tcPr>
          <w:p w14:paraId="1E9AA003">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61" w:type="pct"/>
            <w:vMerge w:val="continue"/>
            <w:vAlign w:val="center"/>
          </w:tcPr>
          <w:p w14:paraId="1DC85FB8">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1201" w:type="pct"/>
            <w:vAlign w:val="center"/>
          </w:tcPr>
          <w:p w14:paraId="70167D6A">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B14财务监督有效性</w:t>
            </w:r>
          </w:p>
        </w:tc>
        <w:tc>
          <w:tcPr>
            <w:tcW w:w="841" w:type="dxa"/>
            <w:vAlign w:val="center"/>
          </w:tcPr>
          <w:p w14:paraId="0C2A18B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有效</w:t>
            </w:r>
          </w:p>
        </w:tc>
        <w:tc>
          <w:tcPr>
            <w:tcW w:w="1110" w:type="dxa"/>
            <w:vAlign w:val="center"/>
          </w:tcPr>
          <w:p w14:paraId="36655EE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有效</w:t>
            </w:r>
          </w:p>
        </w:tc>
        <w:tc>
          <w:tcPr>
            <w:tcW w:w="759" w:type="dxa"/>
            <w:vAlign w:val="center"/>
          </w:tcPr>
          <w:p w14:paraId="65B40FC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2.00 </w:t>
            </w:r>
          </w:p>
        </w:tc>
        <w:tc>
          <w:tcPr>
            <w:tcW w:w="690" w:type="dxa"/>
            <w:vAlign w:val="center"/>
          </w:tcPr>
          <w:p w14:paraId="234D284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2.00 </w:t>
            </w:r>
          </w:p>
        </w:tc>
        <w:tc>
          <w:tcPr>
            <w:tcW w:w="838" w:type="dxa"/>
            <w:vAlign w:val="center"/>
          </w:tcPr>
          <w:p w14:paraId="3EEDD1F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100.00%</w:t>
            </w:r>
          </w:p>
        </w:tc>
      </w:tr>
      <w:tr w14:paraId="66927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continue"/>
            <w:vAlign w:val="center"/>
          </w:tcPr>
          <w:p w14:paraId="6C1F6A9E">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61" w:type="pct"/>
            <w:vMerge w:val="restart"/>
            <w:vAlign w:val="center"/>
          </w:tcPr>
          <w:p w14:paraId="31E82E47">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B2组织实施（13.00分）</w:t>
            </w:r>
          </w:p>
        </w:tc>
        <w:tc>
          <w:tcPr>
            <w:tcW w:w="1201" w:type="pct"/>
            <w:vAlign w:val="center"/>
          </w:tcPr>
          <w:p w14:paraId="63F487E1">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B21管理制度健全性</w:t>
            </w:r>
          </w:p>
        </w:tc>
        <w:tc>
          <w:tcPr>
            <w:tcW w:w="841" w:type="dxa"/>
            <w:vAlign w:val="center"/>
          </w:tcPr>
          <w:p w14:paraId="4B027DD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健全</w:t>
            </w:r>
          </w:p>
        </w:tc>
        <w:tc>
          <w:tcPr>
            <w:tcW w:w="1110" w:type="dxa"/>
            <w:vAlign w:val="center"/>
          </w:tcPr>
          <w:p w14:paraId="7BC5326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健全</w:t>
            </w:r>
          </w:p>
        </w:tc>
        <w:tc>
          <w:tcPr>
            <w:tcW w:w="759" w:type="dxa"/>
            <w:vAlign w:val="center"/>
          </w:tcPr>
          <w:p w14:paraId="22AA2A8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3.00 </w:t>
            </w:r>
          </w:p>
        </w:tc>
        <w:tc>
          <w:tcPr>
            <w:tcW w:w="690" w:type="dxa"/>
            <w:vAlign w:val="center"/>
          </w:tcPr>
          <w:p w14:paraId="3A7E8B8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3.00 </w:t>
            </w:r>
          </w:p>
        </w:tc>
        <w:tc>
          <w:tcPr>
            <w:tcW w:w="838" w:type="dxa"/>
            <w:vAlign w:val="center"/>
          </w:tcPr>
          <w:p w14:paraId="6E0FF13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100.00%</w:t>
            </w:r>
          </w:p>
        </w:tc>
      </w:tr>
      <w:tr w14:paraId="3ABE0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continue"/>
            <w:vAlign w:val="center"/>
          </w:tcPr>
          <w:p w14:paraId="4525ED5B">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61" w:type="pct"/>
            <w:vMerge w:val="continue"/>
            <w:vAlign w:val="center"/>
          </w:tcPr>
          <w:p w14:paraId="67074C9E">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1201" w:type="pct"/>
            <w:vAlign w:val="center"/>
          </w:tcPr>
          <w:p w14:paraId="3D606886">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B22项目采购管理规范性</w:t>
            </w:r>
          </w:p>
        </w:tc>
        <w:tc>
          <w:tcPr>
            <w:tcW w:w="841" w:type="dxa"/>
            <w:vAlign w:val="center"/>
          </w:tcPr>
          <w:p w14:paraId="7023B1D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规范</w:t>
            </w:r>
          </w:p>
        </w:tc>
        <w:tc>
          <w:tcPr>
            <w:tcW w:w="1110" w:type="dxa"/>
            <w:vAlign w:val="center"/>
          </w:tcPr>
          <w:p w14:paraId="674C8C3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规范</w:t>
            </w:r>
          </w:p>
        </w:tc>
        <w:tc>
          <w:tcPr>
            <w:tcW w:w="759" w:type="dxa"/>
            <w:vAlign w:val="center"/>
          </w:tcPr>
          <w:p w14:paraId="0E86479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3.00 </w:t>
            </w:r>
          </w:p>
        </w:tc>
        <w:tc>
          <w:tcPr>
            <w:tcW w:w="690" w:type="dxa"/>
            <w:vAlign w:val="center"/>
          </w:tcPr>
          <w:p w14:paraId="670FB97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3.00 </w:t>
            </w:r>
          </w:p>
        </w:tc>
        <w:tc>
          <w:tcPr>
            <w:tcW w:w="838" w:type="dxa"/>
            <w:vAlign w:val="center"/>
          </w:tcPr>
          <w:p w14:paraId="391B299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100.00%</w:t>
            </w:r>
          </w:p>
        </w:tc>
      </w:tr>
      <w:tr w14:paraId="3DA4B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continue"/>
            <w:vAlign w:val="center"/>
          </w:tcPr>
          <w:p w14:paraId="46D6797B">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61" w:type="pct"/>
            <w:vMerge w:val="continue"/>
            <w:vAlign w:val="center"/>
          </w:tcPr>
          <w:p w14:paraId="36043697">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1201" w:type="pct"/>
            <w:vAlign w:val="center"/>
          </w:tcPr>
          <w:p w14:paraId="6F82097A">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cs="Times New Roman" w:eastAsiaTheme="minorEastAsia"/>
                <w:color w:val="auto"/>
                <w:sz w:val="20"/>
                <w:szCs w:val="20"/>
                <w:lang w:eastAsia="zh-CN"/>
              </w:rPr>
            </w:pPr>
            <w:r>
              <w:rPr>
                <w:rFonts w:hint="default" w:ascii="Times New Roman" w:hAnsi="Times New Roman" w:cs="Times New Roman"/>
                <w:color w:val="auto"/>
                <w:kern w:val="0"/>
                <w:sz w:val="20"/>
                <w:szCs w:val="20"/>
                <w:lang w:bidi="ar"/>
              </w:rPr>
              <w:t>B23</w:t>
            </w:r>
            <w:r>
              <w:rPr>
                <w:rFonts w:hint="default" w:ascii="Times New Roman" w:hAnsi="Times New Roman" w:cs="Times New Roman"/>
                <w:color w:val="auto"/>
                <w:kern w:val="0"/>
                <w:sz w:val="20"/>
                <w:szCs w:val="20"/>
                <w:lang w:eastAsia="zh-CN" w:bidi="ar"/>
              </w:rPr>
              <w:t>项目实施管理规范性</w:t>
            </w:r>
          </w:p>
        </w:tc>
        <w:tc>
          <w:tcPr>
            <w:tcW w:w="841" w:type="dxa"/>
            <w:vAlign w:val="center"/>
          </w:tcPr>
          <w:p w14:paraId="3F02CB4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有效</w:t>
            </w:r>
          </w:p>
        </w:tc>
        <w:tc>
          <w:tcPr>
            <w:tcW w:w="1110" w:type="dxa"/>
            <w:vAlign w:val="center"/>
          </w:tcPr>
          <w:p w14:paraId="161E6DD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lang w:val="en-US" w:eastAsia="zh-CN"/>
              </w:rPr>
            </w:pPr>
            <w:r>
              <w:rPr>
                <w:rFonts w:hint="eastAsia" w:eastAsia="宋体" w:cs="Times New Roman"/>
                <w:color w:val="auto"/>
                <w:sz w:val="20"/>
                <w:szCs w:val="20"/>
                <w:lang w:val="en-US" w:eastAsia="zh-CN"/>
              </w:rPr>
              <w:t>较不有效</w:t>
            </w:r>
          </w:p>
        </w:tc>
        <w:tc>
          <w:tcPr>
            <w:tcW w:w="759" w:type="dxa"/>
            <w:vAlign w:val="center"/>
          </w:tcPr>
          <w:p w14:paraId="647C233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 xml:space="preserve">7.00 </w:t>
            </w:r>
          </w:p>
        </w:tc>
        <w:tc>
          <w:tcPr>
            <w:tcW w:w="690" w:type="dxa"/>
            <w:vAlign w:val="center"/>
          </w:tcPr>
          <w:p w14:paraId="234A378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eastAsia="宋体" w:cs="Times New Roman"/>
                <w:i w:val="0"/>
                <w:iCs w:val="0"/>
                <w:color w:val="000000"/>
                <w:kern w:val="0"/>
                <w:sz w:val="20"/>
                <w:szCs w:val="20"/>
                <w:u w:val="none"/>
                <w:lang w:val="en-US" w:eastAsia="zh-CN" w:bidi="ar"/>
              </w:rPr>
              <w:t>2.</w:t>
            </w:r>
            <w:r>
              <w:rPr>
                <w:rFonts w:hint="eastAsia" w:ascii="Times New Roman" w:hAnsi="Times New Roman" w:eastAsia="宋体" w:cs="Times New Roman"/>
                <w:i w:val="0"/>
                <w:iCs w:val="0"/>
                <w:color w:val="000000"/>
                <w:kern w:val="0"/>
                <w:sz w:val="20"/>
                <w:szCs w:val="20"/>
                <w:u w:val="none"/>
                <w:lang w:val="en-US" w:eastAsia="zh-CN" w:bidi="ar"/>
              </w:rPr>
              <w:t xml:space="preserve">00 </w:t>
            </w:r>
          </w:p>
        </w:tc>
        <w:tc>
          <w:tcPr>
            <w:tcW w:w="838" w:type="dxa"/>
            <w:vAlign w:val="center"/>
          </w:tcPr>
          <w:p w14:paraId="461B593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eastAsia="宋体" w:cs="Times New Roman"/>
                <w:i w:val="0"/>
                <w:iCs w:val="0"/>
                <w:color w:val="000000"/>
                <w:kern w:val="0"/>
                <w:sz w:val="20"/>
                <w:szCs w:val="20"/>
                <w:u w:val="none"/>
                <w:lang w:val="en-US" w:eastAsia="zh-CN" w:bidi="ar"/>
              </w:rPr>
              <w:t>28.57</w:t>
            </w:r>
            <w:r>
              <w:rPr>
                <w:rFonts w:hint="eastAsia" w:ascii="Times New Roman" w:hAnsi="Times New Roman" w:eastAsia="宋体" w:cs="Times New Roman"/>
                <w:i w:val="0"/>
                <w:iCs w:val="0"/>
                <w:color w:val="000000"/>
                <w:kern w:val="0"/>
                <w:sz w:val="20"/>
                <w:szCs w:val="20"/>
                <w:u w:val="none"/>
                <w:lang w:val="en-US" w:eastAsia="zh-CN" w:bidi="ar"/>
              </w:rPr>
              <w:t>%</w:t>
            </w:r>
          </w:p>
        </w:tc>
      </w:tr>
      <w:tr w14:paraId="465AB9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gridSpan w:val="3"/>
            <w:vAlign w:val="center"/>
          </w:tcPr>
          <w:p w14:paraId="65D13BE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color w:val="auto"/>
                <w:sz w:val="20"/>
                <w:szCs w:val="20"/>
              </w:rPr>
            </w:pPr>
            <w:r>
              <w:rPr>
                <w:rFonts w:hint="default" w:ascii="Times New Roman" w:hAnsi="Times New Roman" w:eastAsia="宋体" w:cs="Times New Roman"/>
                <w:b/>
                <w:bCs/>
                <w:i w:val="0"/>
                <w:iCs w:val="0"/>
                <w:color w:val="000000"/>
                <w:kern w:val="0"/>
                <w:sz w:val="20"/>
                <w:szCs w:val="20"/>
                <w:u w:val="none"/>
                <w:lang w:val="en-US" w:eastAsia="zh-CN" w:bidi="ar"/>
              </w:rPr>
              <w:t>合计</w:t>
            </w:r>
          </w:p>
        </w:tc>
        <w:tc>
          <w:tcPr>
            <w:tcW w:w="841" w:type="dxa"/>
            <w:vAlign w:val="center"/>
          </w:tcPr>
          <w:p w14:paraId="0589FACF">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b/>
                <w:bCs/>
                <w:color w:val="auto"/>
                <w:sz w:val="20"/>
                <w:szCs w:val="20"/>
              </w:rPr>
            </w:pPr>
          </w:p>
        </w:tc>
        <w:tc>
          <w:tcPr>
            <w:tcW w:w="1110" w:type="dxa"/>
            <w:vAlign w:val="center"/>
          </w:tcPr>
          <w:p w14:paraId="120840D9">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b/>
                <w:bCs/>
                <w:color w:val="auto"/>
                <w:sz w:val="20"/>
                <w:szCs w:val="20"/>
                <w:lang w:val="en-US" w:eastAsia="zh-CN"/>
              </w:rPr>
            </w:pPr>
          </w:p>
        </w:tc>
        <w:tc>
          <w:tcPr>
            <w:tcW w:w="759" w:type="dxa"/>
            <w:vAlign w:val="center"/>
          </w:tcPr>
          <w:p w14:paraId="1C5D70E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color w:val="auto"/>
                <w:sz w:val="20"/>
                <w:szCs w:val="20"/>
              </w:rPr>
            </w:pPr>
            <w:r>
              <w:rPr>
                <w:rFonts w:hint="eastAsia" w:ascii="Times New Roman" w:hAnsi="Times New Roman" w:eastAsia="宋体" w:cs="Times New Roman"/>
                <w:b/>
                <w:bCs/>
                <w:color w:val="auto"/>
                <w:sz w:val="20"/>
                <w:szCs w:val="20"/>
                <w:lang w:val="en-US" w:eastAsia="zh-CN"/>
              </w:rPr>
              <w:t xml:space="preserve">25.00 </w:t>
            </w:r>
          </w:p>
        </w:tc>
        <w:tc>
          <w:tcPr>
            <w:tcW w:w="690" w:type="dxa"/>
            <w:vAlign w:val="center"/>
          </w:tcPr>
          <w:p w14:paraId="17A6E06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color w:val="auto"/>
                <w:sz w:val="20"/>
                <w:szCs w:val="20"/>
              </w:rPr>
            </w:pPr>
            <w:r>
              <w:rPr>
                <w:rFonts w:hint="eastAsia" w:eastAsia="宋体" w:cs="Times New Roman"/>
                <w:b/>
                <w:bCs/>
                <w:color w:val="auto"/>
                <w:sz w:val="20"/>
                <w:szCs w:val="20"/>
                <w:lang w:val="en-US" w:eastAsia="zh-CN"/>
              </w:rPr>
              <w:t>20</w:t>
            </w:r>
            <w:r>
              <w:rPr>
                <w:rFonts w:hint="eastAsia" w:ascii="Times New Roman" w:hAnsi="Times New Roman" w:eastAsia="宋体" w:cs="Times New Roman"/>
                <w:b/>
                <w:bCs/>
                <w:color w:val="auto"/>
                <w:sz w:val="20"/>
                <w:szCs w:val="20"/>
                <w:lang w:val="en-US" w:eastAsia="zh-CN"/>
              </w:rPr>
              <w:t xml:space="preserve">.00 </w:t>
            </w:r>
          </w:p>
        </w:tc>
        <w:tc>
          <w:tcPr>
            <w:tcW w:w="838" w:type="dxa"/>
            <w:vAlign w:val="center"/>
          </w:tcPr>
          <w:p w14:paraId="0C2BF40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color w:val="auto"/>
                <w:sz w:val="20"/>
                <w:szCs w:val="20"/>
              </w:rPr>
            </w:pPr>
            <w:r>
              <w:rPr>
                <w:rFonts w:hint="eastAsia" w:eastAsia="宋体" w:cs="Times New Roman"/>
                <w:b/>
                <w:bCs/>
                <w:color w:val="auto"/>
                <w:sz w:val="20"/>
                <w:szCs w:val="20"/>
                <w:lang w:val="en-US" w:eastAsia="zh-CN"/>
              </w:rPr>
              <w:t>80</w:t>
            </w:r>
            <w:r>
              <w:rPr>
                <w:rFonts w:hint="eastAsia" w:ascii="Times New Roman" w:hAnsi="Times New Roman" w:eastAsia="宋体" w:cs="Times New Roman"/>
                <w:b/>
                <w:bCs/>
                <w:color w:val="auto"/>
                <w:sz w:val="20"/>
                <w:szCs w:val="20"/>
                <w:lang w:val="en-US" w:eastAsia="zh-CN"/>
              </w:rPr>
              <w:t>.00%</w:t>
            </w:r>
          </w:p>
        </w:tc>
      </w:tr>
    </w:tbl>
    <w:p w14:paraId="00635064">
      <w:pPr>
        <w:pageBreakBefore w:val="0"/>
        <w:kinsoku/>
        <w:wordWrap/>
        <w:overflowPunct/>
        <w:topLinePunct w:val="0"/>
        <w:autoSpaceDE/>
        <w:autoSpaceDN/>
        <w:bidi w:val="0"/>
        <w:snapToGrid w:val="0"/>
        <w:spacing w:before="0" w:after="0" w:line="360" w:lineRule="auto"/>
        <w:ind w:firstLine="422"/>
        <w:rPr>
          <w:rFonts w:hint="default" w:ascii="Times New Roman" w:hAnsi="Times New Roman" w:eastAsia="宋体" w:cs="Times New Roman"/>
          <w:b/>
          <w:bCs/>
          <w:color w:val="auto"/>
        </w:rPr>
      </w:pPr>
    </w:p>
    <w:p w14:paraId="5802BB16">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color w:val="auto"/>
        </w:rPr>
      </w:pPr>
      <w:r>
        <w:rPr>
          <w:rFonts w:hint="default" w:ascii="Times New Roman" w:hAnsi="Times New Roman" w:eastAsia="宋体" w:cs="Times New Roman"/>
          <w:b/>
          <w:bCs/>
          <w:color w:val="auto"/>
        </w:rPr>
        <w:t>指标得分分析</w:t>
      </w:r>
      <w:r>
        <w:rPr>
          <w:rFonts w:hint="default" w:ascii="Times New Roman" w:hAnsi="Times New Roman" w:cs="Times New Roman"/>
          <w:b/>
          <w:bCs/>
          <w:color w:val="auto"/>
        </w:rPr>
        <w:t>：</w:t>
      </w:r>
    </w:p>
    <w:p w14:paraId="418DEB31">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（1）B11资金到位率指标：</w:t>
      </w:r>
    </w:p>
    <w:p w14:paraId="19C6D73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经查阅吉木萨尔县住房和城乡建设局2.0预算大平台及项目资金拨付文件资料，项目年中追加项目预算4,606.81万元，实际到位资金4,606.81万元。资金到位率100.00%。根据评价标准，得满分。</w:t>
      </w:r>
    </w:p>
    <w:p w14:paraId="61F9B6C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该指标满分为3.00分，根据评分标准得</w:t>
      </w:r>
      <w:r>
        <w:rPr>
          <w:rFonts w:hint="default" w:ascii="Times New Roman" w:hAnsi="Times New Roman" w:cs="Times New Roman"/>
          <w:color w:val="auto"/>
          <w:sz w:val="21"/>
          <w:szCs w:val="21"/>
          <w:lang w:eastAsia="zh-CN"/>
        </w:rPr>
        <w:t>3.00</w:t>
      </w:r>
      <w:r>
        <w:rPr>
          <w:rFonts w:hint="default" w:ascii="Times New Roman" w:hAnsi="Times New Roman" w:cs="Times New Roman"/>
          <w:color w:val="auto"/>
        </w:rPr>
        <w:t>分。</w:t>
      </w:r>
    </w:p>
    <w:p w14:paraId="5ECCCE3F">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（2）B12预算执行率指标：</w:t>
      </w:r>
    </w:p>
    <w:p w14:paraId="4D5EE992">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经查阅项目资金拨付文件以及国库集中支付资料，项目实际支出4,606.81万元，其中</w:t>
      </w:r>
      <w:r>
        <w:rPr>
          <w:rFonts w:hint="default" w:ascii="Times New Roman" w:hAnsi="Times New Roman" w:cs="Times New Roman"/>
          <w:color w:val="auto"/>
          <w:lang w:eastAsia="zh-CN"/>
        </w:rPr>
        <w:t>：</w:t>
      </w:r>
      <w:r>
        <w:rPr>
          <w:rFonts w:hint="default" w:ascii="Times New Roman" w:hAnsi="Times New Roman" w:cs="Times New Roman"/>
          <w:color w:val="auto"/>
        </w:rPr>
        <w:t>支付2023年第四季度服务费支出1,267.18万元，2024年第一、第二、第三季度服务费</w:t>
      </w:r>
      <w:r>
        <w:rPr>
          <w:rFonts w:hint="default" w:ascii="Times New Roman" w:hAnsi="Times New Roman" w:cs="Times New Roman"/>
          <w:color w:val="auto"/>
          <w:lang w:val="en-US" w:eastAsia="zh-CN"/>
        </w:rPr>
        <w:t>以及补充协议费用共支出</w:t>
      </w:r>
      <w:r>
        <w:rPr>
          <w:rFonts w:hint="default" w:ascii="Times New Roman" w:hAnsi="Times New Roman" w:cs="Times New Roman"/>
          <w:color w:val="auto"/>
        </w:rPr>
        <w:t>3,339.63万元，预算执行率100.00%。根据评价标准，得满分。</w:t>
      </w:r>
    </w:p>
    <w:p w14:paraId="4317E34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该指标满分为3.00分，根据评分标准得</w:t>
      </w:r>
      <w:r>
        <w:rPr>
          <w:rFonts w:hint="default" w:ascii="Times New Roman" w:hAnsi="Times New Roman" w:cs="Times New Roman"/>
          <w:color w:val="auto"/>
          <w:sz w:val="21"/>
          <w:szCs w:val="21"/>
          <w:lang w:eastAsia="zh-CN"/>
        </w:rPr>
        <w:t>3.00</w:t>
      </w:r>
      <w:r>
        <w:rPr>
          <w:rFonts w:hint="default" w:ascii="Times New Roman" w:hAnsi="Times New Roman" w:cs="Times New Roman"/>
          <w:color w:val="auto"/>
        </w:rPr>
        <w:t>分。</w:t>
      </w:r>
    </w:p>
    <w:p w14:paraId="193A82A6">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（3）B13资金使用合规性指标：</w:t>
      </w:r>
    </w:p>
    <w:p w14:paraId="240A448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经查阅项目</w:t>
      </w:r>
      <w:r>
        <w:rPr>
          <w:rFonts w:hint="default" w:ascii="Times New Roman" w:hAnsi="Times New Roman" w:cs="Times New Roman"/>
          <w:color w:val="auto"/>
          <w:lang w:val="en-US" w:eastAsia="zh-CN"/>
        </w:rPr>
        <w:t>财务支出凭证</w:t>
      </w:r>
      <w:r>
        <w:rPr>
          <w:rFonts w:hint="default" w:ascii="Times New Roman" w:hAnsi="Times New Roman" w:cs="Times New Roman"/>
          <w:color w:val="auto"/>
        </w:rPr>
        <w:t>资料，项目实施单位</w:t>
      </w:r>
      <w:r>
        <w:rPr>
          <w:rFonts w:hint="default" w:ascii="Times New Roman" w:hAnsi="Times New Roman" w:cs="Times New Roman"/>
          <w:color w:val="auto"/>
          <w:lang w:val="en-US" w:eastAsia="zh-CN"/>
        </w:rPr>
        <w:t>依据</w:t>
      </w:r>
      <w:r>
        <w:rPr>
          <w:rFonts w:hint="default" w:ascii="Times New Roman" w:hAnsi="Times New Roman" w:cs="Times New Roman"/>
          <w:color w:val="auto"/>
        </w:rPr>
        <w:t>《吉木萨尔县住建局环卫保洁考核实施细则》《吉木萨尔县住建局园林绿化养护考核实施细则》</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对泓欣环境集团有限公司吉木萨尔分公司进行月度考核，根据月度考核结果确定每季度考核结果最终确定季度服务费，泓欣环境集团有限公司吉木萨尔分公司根据绩效考核结果确定的服务费开具发票，</w:t>
      </w:r>
      <w:r>
        <w:rPr>
          <w:rFonts w:hint="default" w:ascii="Times New Roman" w:hAnsi="Times New Roman" w:cs="Times New Roman"/>
          <w:color w:val="auto"/>
        </w:rPr>
        <w:t>项目实施单位</w:t>
      </w:r>
      <w:r>
        <w:rPr>
          <w:rFonts w:hint="default" w:ascii="Times New Roman" w:hAnsi="Times New Roman" w:cs="Times New Roman"/>
          <w:color w:val="auto"/>
          <w:lang w:val="en-US" w:eastAsia="zh-CN"/>
        </w:rPr>
        <w:t>依据绩效考核结果</w:t>
      </w:r>
      <w:r>
        <w:rPr>
          <w:rFonts w:hint="default" w:ascii="Times New Roman" w:hAnsi="Times New Roman" w:cs="Times New Roman"/>
          <w:color w:val="auto"/>
        </w:rPr>
        <w:t>编制</w:t>
      </w:r>
      <w:r>
        <w:rPr>
          <w:rFonts w:hint="default" w:ascii="Times New Roman" w:hAnsi="Times New Roman" w:cs="Times New Roman"/>
          <w:color w:val="auto"/>
          <w:lang w:val="en-US" w:eastAsia="zh-CN"/>
        </w:rPr>
        <w:t>每个季度服务费</w:t>
      </w:r>
      <w:r>
        <w:rPr>
          <w:rFonts w:hint="default" w:ascii="Times New Roman" w:hAnsi="Times New Roman" w:cs="Times New Roman"/>
          <w:color w:val="auto"/>
        </w:rPr>
        <w:t>资金支付申请，经党组会议通过后，向吉木萨尔县财政局提交资金支付申请报告，经国库支付中心审核审批后办理支付</w:t>
      </w:r>
      <w:r>
        <w:rPr>
          <w:rFonts w:hint="default" w:ascii="Times New Roman" w:hAnsi="Times New Roman" w:cs="Times New Roman"/>
          <w:color w:val="auto"/>
          <w:lang w:val="en-US" w:eastAsia="zh-CN"/>
        </w:rPr>
        <w:t>手续</w:t>
      </w:r>
      <w:r>
        <w:rPr>
          <w:rFonts w:hint="default" w:ascii="Times New Roman" w:hAnsi="Times New Roman" w:cs="Times New Roman"/>
          <w:color w:val="auto"/>
        </w:rPr>
        <w:t>，</w:t>
      </w:r>
      <w:r>
        <w:rPr>
          <w:rFonts w:hint="eastAsia" w:cs="Times New Roman"/>
          <w:color w:val="auto"/>
          <w:lang w:val="en-US" w:eastAsia="zh-CN"/>
        </w:rPr>
        <w:t>资金支付程序和手续完整</w:t>
      </w:r>
      <w:r>
        <w:rPr>
          <w:rFonts w:hint="default" w:ascii="Times New Roman" w:hAnsi="Times New Roman" w:cs="Times New Roman"/>
          <w:color w:val="auto"/>
        </w:rPr>
        <w:t>，项目资金使用符合项目预算和合同规定的用途。</w:t>
      </w:r>
    </w:p>
    <w:p w14:paraId="5EDDDEC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该指标满分为4.00分，根据评分标准得</w:t>
      </w:r>
      <w:r>
        <w:rPr>
          <w:rFonts w:hint="eastAsia" w:cs="Times New Roman"/>
          <w:color w:val="auto"/>
          <w:sz w:val="21"/>
          <w:szCs w:val="21"/>
          <w:lang w:val="en-US" w:eastAsia="zh-CN"/>
        </w:rPr>
        <w:t>4</w:t>
      </w:r>
      <w:r>
        <w:rPr>
          <w:rFonts w:hint="default" w:ascii="Times New Roman" w:hAnsi="Times New Roman" w:cs="Times New Roman"/>
          <w:color w:val="auto"/>
          <w:sz w:val="21"/>
          <w:szCs w:val="21"/>
          <w:lang w:eastAsia="zh-CN"/>
        </w:rPr>
        <w:t>.00</w:t>
      </w:r>
      <w:r>
        <w:rPr>
          <w:rFonts w:hint="default" w:ascii="Times New Roman" w:hAnsi="Times New Roman" w:cs="Times New Roman"/>
          <w:color w:val="auto"/>
        </w:rPr>
        <w:t>分。</w:t>
      </w:r>
    </w:p>
    <w:p w14:paraId="249CDA39">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（4）B14财务监督有效性指标：</w:t>
      </w:r>
    </w:p>
    <w:p w14:paraId="26B7BDF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项目实施单位聘请第三方</w:t>
      </w:r>
      <w:r>
        <w:rPr>
          <w:rFonts w:hint="default" w:ascii="Times New Roman" w:hAnsi="Times New Roman" w:cs="Times New Roman"/>
          <w:color w:val="auto"/>
          <w:lang w:val="en-US" w:eastAsia="zh-CN"/>
        </w:rPr>
        <w:t>新疆晟运通会计师事务所（普通合伙）</w:t>
      </w:r>
      <w:r>
        <w:rPr>
          <w:rFonts w:hint="default" w:ascii="Times New Roman" w:hAnsi="Times New Roman" w:cs="Times New Roman"/>
          <w:color w:val="auto"/>
        </w:rPr>
        <w:t>对该项目运营服务费进行了专项审计工作，</w:t>
      </w:r>
      <w:r>
        <w:rPr>
          <w:rFonts w:hint="default" w:ascii="Times New Roman" w:hAnsi="Times New Roman" w:cs="Times New Roman"/>
          <w:color w:val="auto"/>
          <w:lang w:val="en-US" w:eastAsia="zh-CN"/>
        </w:rPr>
        <w:t>并出具了</w:t>
      </w:r>
      <w:r>
        <w:rPr>
          <w:rFonts w:hint="default" w:ascii="Times New Roman" w:hAnsi="Times New Roman" w:cs="Times New Roman"/>
          <w:color w:val="auto"/>
        </w:rPr>
        <w:t>《吉木萨尔县城市管理服务“三位一体”委托运营项目专项审计报告》（新晟专审字(2024)2-008号），</w:t>
      </w:r>
      <w:r>
        <w:rPr>
          <w:rFonts w:hint="default" w:ascii="Times New Roman" w:hAnsi="Times New Roman" w:cs="Times New Roman"/>
          <w:color w:val="auto"/>
          <w:lang w:val="en-US" w:eastAsia="zh-CN"/>
        </w:rPr>
        <w:t>项目实施单位</w:t>
      </w:r>
      <w:r>
        <w:rPr>
          <w:rFonts w:hint="default" w:ascii="Times New Roman" w:hAnsi="Times New Roman" w:cs="Times New Roman"/>
          <w:color w:val="auto"/>
        </w:rPr>
        <w:t>实行了有效的监督检查措施。</w:t>
      </w:r>
    </w:p>
    <w:p w14:paraId="2B096B3E">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该指标满分为2.00分，根据评分标准得</w:t>
      </w:r>
      <w:r>
        <w:rPr>
          <w:rFonts w:hint="default" w:ascii="Times New Roman" w:hAnsi="Times New Roman" w:cs="Times New Roman"/>
          <w:color w:val="auto"/>
          <w:sz w:val="21"/>
          <w:szCs w:val="21"/>
          <w:lang w:eastAsia="zh-CN"/>
        </w:rPr>
        <w:t>2.00</w:t>
      </w:r>
      <w:r>
        <w:rPr>
          <w:rFonts w:hint="default" w:ascii="Times New Roman" w:hAnsi="Times New Roman" w:cs="Times New Roman"/>
          <w:color w:val="auto"/>
        </w:rPr>
        <w:t>分。</w:t>
      </w:r>
    </w:p>
    <w:p w14:paraId="127F4BBF">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（5）B21管理制度健全性指标：</w:t>
      </w:r>
    </w:p>
    <w:p w14:paraId="75A06C34">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经查阅项目实施单位</w:t>
      </w:r>
      <w:r>
        <w:rPr>
          <w:rFonts w:hint="default" w:ascii="Times New Roman" w:hAnsi="Times New Roman" w:cs="Times New Roman"/>
          <w:color w:val="auto"/>
          <w:lang w:val="en-US" w:eastAsia="zh-CN"/>
        </w:rPr>
        <w:t>提供的《关于印发&lt;吉木萨尔县人民政府向社会力量购买服务管理办法&gt;的通知》</w:t>
      </w:r>
      <w:r>
        <w:rPr>
          <w:rFonts w:hint="default" w:ascii="Times New Roman" w:hAnsi="Times New Roman" w:cs="Times New Roman"/>
          <w:color w:val="auto"/>
        </w:rPr>
        <w:t>《吉木萨尔县住房和城乡建设局“三重一大”决策制度》《吉木萨尔县住房和城乡建设局财务管理制度》</w:t>
      </w:r>
      <w:r>
        <w:rPr>
          <w:rFonts w:hint="default" w:ascii="Times New Roman" w:hAnsi="Times New Roman" w:cs="Times New Roman"/>
          <w:color w:val="auto"/>
          <w:lang w:eastAsia="zh-CN"/>
        </w:rPr>
        <w:t>《住建局合同管理制度》《资产管理制度》《住建局政府采购管理制度》</w:t>
      </w:r>
      <w:r>
        <w:rPr>
          <w:rFonts w:hint="default" w:ascii="Times New Roman" w:hAnsi="Times New Roman" w:eastAsia="宋体" w:cs="Times New Roman"/>
        </w:rPr>
        <w:t>《项目工程资料管理制度》《房屋市政基础设施基本建设项目管理制度》</w:t>
      </w:r>
      <w:r>
        <w:rPr>
          <w:rFonts w:hint="default" w:ascii="Times New Roman" w:hAnsi="Times New Roman" w:cs="Times New Roman"/>
          <w:color w:val="auto"/>
        </w:rPr>
        <w:t>《吉木萨尔县住建局环卫保洁考核实施细则》《吉木萨尔县住建局园林绿化养护考核实施细则》《物业服务质量考核评分表》等制度资料，项目实施单位已建立了</w:t>
      </w:r>
      <w:r>
        <w:rPr>
          <w:rFonts w:hint="default" w:ascii="Times New Roman" w:hAnsi="Times New Roman" w:cs="Times New Roman"/>
          <w:color w:val="auto"/>
          <w:lang w:val="en-US" w:eastAsia="zh-CN"/>
        </w:rPr>
        <w:t>财务管理、合同管理、资产管理等</w:t>
      </w:r>
      <w:r>
        <w:rPr>
          <w:rFonts w:hint="default" w:ascii="Times New Roman" w:hAnsi="Times New Roman" w:cs="Times New Roman"/>
          <w:color w:val="auto"/>
        </w:rPr>
        <w:t>管理制度。已提供的财务和业务管理制度内容完整。</w:t>
      </w:r>
    </w:p>
    <w:p w14:paraId="450AFE52">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w:t>
      </w:r>
      <w:r>
        <w:rPr>
          <w:rFonts w:hint="default" w:ascii="Times New Roman" w:hAnsi="Times New Roman" w:cs="Times New Roman"/>
          <w:color w:val="auto"/>
          <w:lang w:val="en-US" w:eastAsia="zh-CN"/>
        </w:rPr>
        <w:t>由泓欣环境集团有限公司提供的《采购、物资申领及日常维修管理制度》《泓欣环境集团西部大区合同管理制度》《财务政策和程序》《项目部办公管理制度》《环境卫生清扫保洁人员岗位职责》《填埋场值班值守管理制度》《填埋场人员考核办法》《劳动合同管理办法》</w:t>
      </w:r>
      <w:r>
        <w:rPr>
          <w:rFonts w:hint="default" w:ascii="Times New Roman" w:hAnsi="Times New Roman" w:cs="Times New Roman"/>
          <w:color w:val="auto"/>
        </w:rPr>
        <w:t>等制度资料，项目</w:t>
      </w:r>
      <w:r>
        <w:rPr>
          <w:rFonts w:hint="default" w:ascii="Times New Roman" w:hAnsi="Times New Roman" w:cs="Times New Roman"/>
          <w:color w:val="auto"/>
          <w:lang w:val="en-US" w:eastAsia="zh-CN"/>
        </w:rPr>
        <w:t>承接主体单位</w:t>
      </w:r>
      <w:r>
        <w:rPr>
          <w:rFonts w:hint="default" w:ascii="Times New Roman" w:hAnsi="Times New Roman" w:cs="Times New Roman"/>
          <w:color w:val="auto"/>
        </w:rPr>
        <w:t>已建立了相应的财务和业务管理制度。已提供的财务和业务管理制度内容完整。</w:t>
      </w:r>
    </w:p>
    <w:p w14:paraId="2AC97B7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该指标满分为3.00分，根据评分标准得</w:t>
      </w:r>
      <w:r>
        <w:rPr>
          <w:rFonts w:hint="default" w:ascii="Times New Roman" w:hAnsi="Times New Roman" w:cs="Times New Roman"/>
          <w:color w:val="auto"/>
          <w:sz w:val="21"/>
          <w:szCs w:val="21"/>
          <w:lang w:eastAsia="zh-CN"/>
        </w:rPr>
        <w:t>3.00</w:t>
      </w:r>
      <w:r>
        <w:rPr>
          <w:rFonts w:hint="default" w:ascii="Times New Roman" w:hAnsi="Times New Roman" w:cs="Times New Roman"/>
          <w:color w:val="auto"/>
        </w:rPr>
        <w:t>分。</w:t>
      </w:r>
    </w:p>
    <w:p w14:paraId="32D7EA30">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（6）B22项目采购管理规范性指标：</w:t>
      </w:r>
    </w:p>
    <w:p w14:paraId="0CC721F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w:t>
      </w:r>
      <w:r>
        <w:rPr>
          <w:rFonts w:hint="default" w:ascii="Times New Roman" w:hAnsi="Times New Roman" w:cs="Times New Roman"/>
          <w:color w:val="auto"/>
          <w:lang w:val="en-US" w:eastAsia="zh-CN"/>
        </w:rPr>
        <w:t>新疆政府采购网</w:t>
      </w:r>
      <w:r>
        <w:rPr>
          <w:rFonts w:hint="default" w:ascii="Times New Roman" w:hAnsi="Times New Roman" w:cs="Times New Roman"/>
          <w:color w:val="auto"/>
        </w:rPr>
        <w:t>，吉木萨尔县住房和城乡建设局在2022年4月19日发布了《吉木萨尔县住房和城乡建设局2022年4月至5月政府采购意向》，采购预算金额为4</w:t>
      </w:r>
      <w:r>
        <w:rPr>
          <w:rFonts w:hint="default" w:ascii="Times New Roman" w:hAnsi="Times New Roman" w:cs="Times New Roman"/>
          <w:color w:val="auto"/>
          <w:lang w:val="en-US" w:eastAsia="zh-CN"/>
        </w:rPr>
        <w:t>,</w:t>
      </w:r>
      <w:r>
        <w:rPr>
          <w:rFonts w:hint="default" w:ascii="Times New Roman" w:hAnsi="Times New Roman" w:cs="Times New Roman"/>
          <w:color w:val="auto"/>
        </w:rPr>
        <w:t>345.74万元；2022年8月1日</w:t>
      </w:r>
      <w:r>
        <w:rPr>
          <w:rFonts w:hint="default" w:ascii="Times New Roman" w:hAnsi="Times New Roman" w:cs="Times New Roman"/>
          <w:color w:val="auto"/>
          <w:lang w:val="en-US" w:eastAsia="zh-CN"/>
        </w:rPr>
        <w:t>完成申报</w:t>
      </w:r>
      <w:r>
        <w:rPr>
          <w:rFonts w:hint="default" w:ascii="Times New Roman" w:hAnsi="Times New Roman" w:cs="Times New Roman"/>
          <w:color w:val="auto"/>
        </w:rPr>
        <w:t>《吉木萨尔县政府采购计划书》，2022年8月4日正式发布《关于吉木萨尔县城市管理服务“三位一体”委托运营项目的公开招标公告》</w:t>
      </w:r>
      <w:r>
        <w:rPr>
          <w:rFonts w:hint="default" w:ascii="Times New Roman" w:hAnsi="Times New Roman" w:cs="Times New Roman"/>
          <w:color w:val="auto"/>
          <w:lang w:eastAsia="zh-CN"/>
        </w:rPr>
        <w:t>；</w:t>
      </w:r>
      <w:r>
        <w:rPr>
          <w:rFonts w:hint="default" w:ascii="Times New Roman" w:hAnsi="Times New Roman" w:cs="Times New Roman"/>
          <w:color w:val="auto"/>
        </w:rPr>
        <w:t>2022年10月14日</w:t>
      </w:r>
      <w:r>
        <w:rPr>
          <w:rFonts w:hint="default" w:ascii="Times New Roman" w:hAnsi="Times New Roman" w:cs="Times New Roman"/>
          <w:color w:val="auto"/>
          <w:lang w:eastAsia="zh-CN"/>
        </w:rPr>
        <w:t>，</w:t>
      </w:r>
      <w:r>
        <w:rPr>
          <w:rFonts w:hint="default" w:ascii="Times New Roman" w:hAnsi="Times New Roman" w:cs="Times New Roman"/>
          <w:color w:val="auto"/>
        </w:rPr>
        <w:t>通过公开招标方式确定中标单位为泓欣环境集团有限公司，中标金额为4</w:t>
      </w:r>
      <w:r>
        <w:rPr>
          <w:rFonts w:hint="default" w:ascii="Times New Roman" w:hAnsi="Times New Roman" w:cs="Times New Roman"/>
          <w:color w:val="auto"/>
          <w:lang w:val="en-US" w:eastAsia="zh-CN"/>
        </w:rPr>
        <w:t>,</w:t>
      </w:r>
      <w:r>
        <w:rPr>
          <w:rFonts w:hint="default" w:ascii="Times New Roman" w:hAnsi="Times New Roman" w:cs="Times New Roman"/>
          <w:color w:val="auto"/>
        </w:rPr>
        <w:t>329.51万元/年。项目以吉木萨尔县住房和城乡建设局为购买主体，采购环卫市场化服务，符合项目单位部门职责以及《政府购买服务管理办法》等相关规定</w:t>
      </w:r>
      <w:r>
        <w:rPr>
          <w:rFonts w:hint="default" w:ascii="Times New Roman" w:hAnsi="Times New Roman" w:cs="Times New Roman"/>
          <w:color w:val="auto"/>
          <w:lang w:eastAsia="zh-CN"/>
        </w:rPr>
        <w:t>，</w:t>
      </w:r>
      <w:r>
        <w:rPr>
          <w:rFonts w:hint="default" w:ascii="Times New Roman" w:hAnsi="Times New Roman" w:cs="Times New Roman"/>
          <w:color w:val="auto"/>
        </w:rPr>
        <w:t>按照要求公开购买服务信息。</w:t>
      </w:r>
      <w:r>
        <w:rPr>
          <w:rFonts w:hint="default" w:ascii="Times New Roman" w:hAnsi="Times New Roman" w:cs="Times New Roman"/>
          <w:color w:val="auto"/>
          <w:lang w:val="en-US" w:eastAsia="zh-CN"/>
        </w:rPr>
        <w:t>项目采购</w:t>
      </w:r>
      <w:r>
        <w:rPr>
          <w:rFonts w:hint="default" w:ascii="Times New Roman" w:hAnsi="Times New Roman" w:cs="Times New Roman"/>
          <w:color w:val="auto"/>
        </w:rPr>
        <w:t>的程序符合政府采购法的规定。</w:t>
      </w:r>
    </w:p>
    <w:p w14:paraId="4FC9985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该指标满分为3.00分，根据评分标准得</w:t>
      </w:r>
      <w:r>
        <w:rPr>
          <w:rFonts w:hint="default" w:ascii="Times New Roman" w:hAnsi="Times New Roman" w:cs="Times New Roman"/>
          <w:color w:val="auto"/>
          <w:sz w:val="21"/>
          <w:szCs w:val="21"/>
          <w:lang w:eastAsia="zh-CN"/>
        </w:rPr>
        <w:t>3.00</w:t>
      </w:r>
      <w:r>
        <w:rPr>
          <w:rFonts w:hint="default" w:ascii="Times New Roman" w:hAnsi="Times New Roman" w:cs="Times New Roman"/>
          <w:color w:val="auto"/>
        </w:rPr>
        <w:t>分。</w:t>
      </w:r>
    </w:p>
    <w:p w14:paraId="5754A25C">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（7）B23</w:t>
      </w:r>
      <w:r>
        <w:rPr>
          <w:rFonts w:hint="default" w:ascii="Times New Roman" w:hAnsi="Times New Roman" w:cs="Times New Roman"/>
          <w:b/>
          <w:bCs/>
          <w:color w:val="auto"/>
          <w:lang w:eastAsia="zh-CN"/>
        </w:rPr>
        <w:t>项目实施管理规范性</w:t>
      </w:r>
      <w:r>
        <w:rPr>
          <w:rFonts w:hint="default" w:ascii="Times New Roman" w:hAnsi="Times New Roman" w:cs="Times New Roman"/>
          <w:b/>
          <w:bCs/>
          <w:color w:val="auto"/>
        </w:rPr>
        <w:t>指标：</w:t>
      </w:r>
    </w:p>
    <w:p w14:paraId="0A0FC75D">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吉木萨尔县住房和城乡建设局与泓欣环境集团有限公司签订的《吉木萨尔县城市管理服务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委托运营项目服务合同》，明确了服务标准</w:t>
      </w:r>
      <w:r>
        <w:rPr>
          <w:rFonts w:hint="eastAsia" w:cs="Times New Roman"/>
          <w:color w:val="auto"/>
          <w:lang w:eastAsia="zh-CN"/>
        </w:rPr>
        <w:t>、</w:t>
      </w:r>
      <w:r>
        <w:rPr>
          <w:rFonts w:hint="eastAsia" w:cs="Times New Roman"/>
          <w:color w:val="auto"/>
          <w:lang w:val="en-US" w:eastAsia="zh-CN"/>
        </w:rPr>
        <w:t>服务内容、合同支付条款、服务考核标准及考核细则、违约责任及管理要求等核心内容</w:t>
      </w:r>
      <w:r>
        <w:rPr>
          <w:rFonts w:hint="default" w:ascii="Times New Roman" w:hAnsi="Times New Roman" w:cs="Times New Roman"/>
          <w:color w:val="auto"/>
        </w:rPr>
        <w:t>，合同</w:t>
      </w:r>
      <w:r>
        <w:rPr>
          <w:rFonts w:hint="eastAsia" w:cs="Times New Roman"/>
          <w:color w:val="auto"/>
          <w:lang w:val="en-US" w:eastAsia="zh-CN"/>
        </w:rPr>
        <w:t>期限2</w:t>
      </w:r>
      <w:r>
        <w:rPr>
          <w:rFonts w:hint="default" w:ascii="Times New Roman" w:hAnsi="Times New Roman" w:cs="Times New Roman"/>
          <w:color w:val="auto"/>
        </w:rPr>
        <w:t>年。</w:t>
      </w:r>
      <w:r>
        <w:rPr>
          <w:rFonts w:hint="default" w:ascii="Times New Roman" w:hAnsi="Times New Roman" w:cs="Times New Roman"/>
          <w:color w:val="auto"/>
          <w:lang w:val="en-US" w:eastAsia="zh-CN"/>
        </w:rPr>
        <w:t>2024年7月31日经双方协商签订了《吉木萨尔县城市管理服务“三位一体”项目新增清扫保洁及冬季除雪补充协议书》，</w:t>
      </w:r>
      <w:r>
        <w:rPr>
          <w:rFonts w:hint="eastAsia" w:cs="Times New Roman"/>
          <w:color w:val="auto"/>
          <w:lang w:val="en-US" w:eastAsia="zh-CN"/>
        </w:rPr>
        <w:t>追加</w:t>
      </w:r>
      <w:r>
        <w:rPr>
          <w:rFonts w:hint="default" w:ascii="Times New Roman" w:hAnsi="Times New Roman" w:cs="Times New Roman"/>
          <w:color w:val="auto"/>
          <w:lang w:val="en-US" w:eastAsia="zh-CN"/>
        </w:rPr>
        <w:t>服务费200.00万元/年</w:t>
      </w:r>
      <w:r>
        <w:rPr>
          <w:rFonts w:hint="eastAsia" w:cs="Times New Roman"/>
          <w:color w:val="auto"/>
          <w:lang w:val="en-US" w:eastAsia="zh-CN"/>
        </w:rPr>
        <w:t>，</w:t>
      </w:r>
      <w:r>
        <w:rPr>
          <w:rFonts w:hint="default" w:ascii="Times New Roman" w:hAnsi="Times New Roman" w:cs="Times New Roman"/>
          <w:color w:val="auto"/>
          <w:lang w:val="en-US" w:eastAsia="zh-CN"/>
        </w:rPr>
        <w:t>补充协议签订符合《吉木萨尔县城市管理服务“三位一体”委托运营项目服务合同》第十一章第2条规定“甲方在本合同外新增加环卫或绿化服务面积，应按乙方投标报价单价与乙方签订补充协议。”</w:t>
      </w:r>
      <w:r>
        <w:rPr>
          <w:rFonts w:hint="eastAsia" w:cs="Times New Roman"/>
          <w:color w:val="auto"/>
          <w:lang w:val="en-US" w:eastAsia="zh-CN"/>
        </w:rPr>
        <w:t>按照</w:t>
      </w:r>
      <w:r>
        <w:rPr>
          <w:rFonts w:hint="default" w:ascii="Times New Roman" w:hAnsi="Times New Roman" w:cs="Times New Roman"/>
          <w:color w:val="auto"/>
        </w:rPr>
        <w:t>合同</w:t>
      </w:r>
      <w:r>
        <w:rPr>
          <w:rFonts w:hint="eastAsia" w:cs="Times New Roman"/>
          <w:color w:val="auto"/>
          <w:lang w:val="en-US" w:eastAsia="zh-CN"/>
        </w:rPr>
        <w:t>约定</w:t>
      </w:r>
      <w:r>
        <w:rPr>
          <w:rFonts w:hint="default" w:ascii="Times New Roman" w:hAnsi="Times New Roman" w:cs="Times New Roman"/>
          <w:color w:val="auto"/>
        </w:rPr>
        <w:t>，吉木萨尔县住房和城乡建设局专门成立项目领导小组，负责项目实施、管理及监督，</w:t>
      </w:r>
      <w:r>
        <w:rPr>
          <w:rFonts w:hint="default" w:ascii="Times New Roman" w:hAnsi="Times New Roman" w:cs="Times New Roman"/>
          <w:color w:val="auto"/>
          <w:lang w:val="en-US" w:eastAsia="zh-CN"/>
        </w:rPr>
        <w:t>每个月每天派专人</w:t>
      </w:r>
      <w:r>
        <w:rPr>
          <w:rFonts w:hint="default" w:ascii="Times New Roman" w:hAnsi="Times New Roman" w:cs="Times New Roman"/>
          <w:color w:val="auto"/>
        </w:rPr>
        <w:t>抽查环卫公司作业区域开展作业质量考核，现场审核打分，并依据考核结果</w:t>
      </w:r>
      <w:r>
        <w:rPr>
          <w:rFonts w:hint="eastAsia" w:cs="Times New Roman"/>
          <w:color w:val="auto"/>
          <w:lang w:val="en-US" w:eastAsia="zh-CN"/>
        </w:rPr>
        <w:t>核算季度</w:t>
      </w:r>
      <w:r>
        <w:rPr>
          <w:rFonts w:hint="default" w:ascii="Times New Roman" w:hAnsi="Times New Roman" w:cs="Times New Roman"/>
          <w:color w:val="auto"/>
        </w:rPr>
        <w:t>服务费</w:t>
      </w:r>
      <w:r>
        <w:rPr>
          <w:rFonts w:hint="eastAsia" w:cs="Times New Roman"/>
          <w:color w:val="auto"/>
          <w:lang w:val="en-US" w:eastAsia="zh-CN"/>
        </w:rPr>
        <w:t>用</w:t>
      </w:r>
      <w:r>
        <w:rPr>
          <w:rFonts w:hint="default" w:ascii="Times New Roman" w:hAnsi="Times New Roman" w:cs="Times New Roman"/>
          <w:color w:val="auto"/>
        </w:rPr>
        <w:t>。</w:t>
      </w:r>
    </w:p>
    <w:p w14:paraId="1A8252E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泓欣环境集团有限公司</w:t>
      </w:r>
      <w:r>
        <w:rPr>
          <w:rFonts w:hint="eastAsia" w:cs="Times New Roman"/>
          <w:color w:val="auto"/>
          <w:lang w:val="en-US" w:eastAsia="zh-CN"/>
        </w:rPr>
        <w:t>于</w:t>
      </w:r>
      <w:r>
        <w:rPr>
          <w:rFonts w:hint="default" w:ascii="Times New Roman" w:hAnsi="Times New Roman" w:cs="Times New Roman"/>
          <w:color w:val="auto"/>
          <w:lang w:val="en-US" w:eastAsia="zh-CN"/>
        </w:rPr>
        <w:t>2022年10月31日</w:t>
      </w:r>
      <w:r>
        <w:rPr>
          <w:rFonts w:hint="eastAsia" w:cs="Times New Roman"/>
          <w:color w:val="auto"/>
          <w:lang w:val="en-US" w:eastAsia="zh-CN"/>
        </w:rPr>
        <w:t>在吉木萨尔县设立</w:t>
      </w:r>
      <w:r>
        <w:rPr>
          <w:rFonts w:hint="default" w:ascii="Times New Roman" w:hAnsi="Times New Roman" w:cs="Times New Roman"/>
          <w:color w:val="auto"/>
        </w:rPr>
        <w:t>泓欣环境集团有限公司</w:t>
      </w:r>
      <w:r>
        <w:rPr>
          <w:rFonts w:hint="default" w:ascii="Times New Roman" w:hAnsi="Times New Roman" w:cs="Times New Roman"/>
          <w:color w:val="auto"/>
          <w:lang w:val="en-US" w:eastAsia="zh-CN"/>
        </w:rPr>
        <w:t>吉木萨尔分公司负责实施</w:t>
      </w:r>
      <w:r>
        <w:rPr>
          <w:rFonts w:hint="default" w:ascii="Times New Roman" w:hAnsi="Times New Roman" w:cs="Times New Roman"/>
          <w:color w:val="auto"/>
          <w:lang w:eastAsia="zh-Hans"/>
        </w:rPr>
        <w:t>环境卫生保洁服务</w:t>
      </w:r>
      <w:r>
        <w:rPr>
          <w:rFonts w:hint="default" w:ascii="Times New Roman" w:hAnsi="Times New Roman" w:cs="Times New Roman"/>
          <w:color w:val="auto"/>
          <w:lang w:val="en-US" w:eastAsia="zh-CN"/>
        </w:rPr>
        <w:t>和</w:t>
      </w:r>
      <w:r>
        <w:rPr>
          <w:rFonts w:hint="default" w:ascii="Times New Roman" w:hAnsi="Times New Roman" w:cs="Times New Roman"/>
          <w:color w:val="auto"/>
          <w:lang w:eastAsia="zh-Hans"/>
        </w:rPr>
        <w:t>绿地养护服务</w:t>
      </w:r>
      <w:r>
        <w:rPr>
          <w:rFonts w:hint="default" w:ascii="Times New Roman" w:hAnsi="Times New Roman" w:cs="Times New Roman"/>
          <w:color w:val="auto"/>
          <w:lang w:val="en-US" w:eastAsia="zh-CN"/>
        </w:rPr>
        <w:t>，</w:t>
      </w:r>
      <w:r>
        <w:rPr>
          <w:rFonts w:hint="eastAsia" w:cs="Times New Roman"/>
          <w:color w:val="auto"/>
          <w:lang w:val="en-US" w:eastAsia="zh-CN"/>
        </w:rPr>
        <w:t>于</w:t>
      </w:r>
      <w:r>
        <w:rPr>
          <w:rFonts w:hint="default" w:ascii="Times New Roman" w:hAnsi="Times New Roman" w:cs="Times New Roman"/>
          <w:color w:val="auto"/>
          <w:lang w:val="en-US" w:eastAsia="zh-CN"/>
        </w:rPr>
        <w:t>2023年1月19日</w:t>
      </w:r>
      <w:r>
        <w:rPr>
          <w:rFonts w:hint="eastAsia" w:cs="Times New Roman"/>
          <w:color w:val="auto"/>
          <w:lang w:val="en-US" w:eastAsia="zh-CN"/>
        </w:rPr>
        <w:t>在吉木萨尔县设立</w:t>
      </w:r>
      <w:r>
        <w:rPr>
          <w:rFonts w:hint="default" w:ascii="Times New Roman" w:hAnsi="Times New Roman" w:cs="Times New Roman"/>
          <w:color w:val="auto"/>
          <w:lang w:val="en-US" w:eastAsia="zh-CN"/>
        </w:rPr>
        <w:t>吉木萨尔鑫泓欣物业服务有限公司</w:t>
      </w:r>
      <w:r>
        <w:rPr>
          <w:rFonts w:hint="eastAsia" w:cs="Times New Roman"/>
          <w:color w:val="auto"/>
          <w:lang w:val="en-US" w:eastAsia="zh-CN"/>
        </w:rPr>
        <w:t>负责实施</w:t>
      </w:r>
      <w:r>
        <w:rPr>
          <w:rFonts w:hint="default" w:ascii="Times New Roman" w:hAnsi="Times New Roman" w:cs="Times New Roman"/>
          <w:color w:val="auto"/>
          <w:lang w:eastAsia="zh-Hans"/>
        </w:rPr>
        <w:t>居民区日常管理服务</w:t>
      </w:r>
      <w:r>
        <w:rPr>
          <w:rFonts w:hint="eastAsia" w:cs="Times New Roman"/>
          <w:color w:val="auto"/>
          <w:lang w:val="en-US" w:eastAsia="zh-CN"/>
        </w:rPr>
        <w:t>。实际</w:t>
      </w:r>
      <w:r>
        <w:rPr>
          <w:rFonts w:hint="default" w:ascii="Times New Roman" w:hAnsi="Times New Roman" w:cs="Times New Roman"/>
          <w:color w:val="auto"/>
          <w:lang w:val="en-US" w:eastAsia="zh-CN"/>
        </w:rPr>
        <w:t>由</w:t>
      </w:r>
      <w:r>
        <w:rPr>
          <w:rFonts w:hint="default" w:ascii="Times New Roman" w:hAnsi="Times New Roman" w:cs="Times New Roman"/>
          <w:color w:val="auto"/>
        </w:rPr>
        <w:t>泓欣环境集团有限公司</w:t>
      </w:r>
      <w:r>
        <w:rPr>
          <w:rFonts w:hint="eastAsia" w:cs="Times New Roman"/>
          <w:color w:val="auto"/>
          <w:lang w:val="en-US" w:eastAsia="zh-CN"/>
        </w:rPr>
        <w:t>于</w:t>
      </w:r>
      <w:r>
        <w:rPr>
          <w:rFonts w:hint="default" w:ascii="Times New Roman" w:hAnsi="Times New Roman" w:cs="Times New Roman"/>
          <w:color w:val="auto"/>
          <w:lang w:val="en-US" w:eastAsia="zh-CN"/>
        </w:rPr>
        <w:t>2024年4月1日同意授权项目范围内以</w:t>
      </w:r>
      <w:r>
        <w:rPr>
          <w:rFonts w:hint="eastAsia" w:cs="Times New Roman"/>
          <w:color w:val="auto"/>
          <w:lang w:val="en-US" w:eastAsia="zh-CN"/>
        </w:rPr>
        <w:t>子公司</w:t>
      </w:r>
      <w:r>
        <w:rPr>
          <w:rFonts w:hint="default" w:ascii="Times New Roman" w:hAnsi="Times New Roman" w:cs="Times New Roman"/>
          <w:color w:val="auto"/>
          <w:lang w:val="en-US" w:eastAsia="zh-CN"/>
        </w:rPr>
        <w:t>名义签订对下各类合同、委托运营项目管理、用章管理、运营结算、委托运营项目款、开具增值税发票及抵扣进项税额、工作联系事宜。</w:t>
      </w:r>
    </w:p>
    <w:p w14:paraId="543BDC57">
      <w:pPr>
        <w:spacing w:line="360" w:lineRule="auto"/>
        <w:ind w:firstLine="420"/>
        <w:rPr>
          <w:rFonts w:hint="default" w:ascii="Times New Roman" w:hAnsi="Times New Roman" w:cs="Times New Roman"/>
          <w:color w:val="auto"/>
          <w:lang w:eastAsia="zh-CN"/>
        </w:rPr>
      </w:pPr>
      <w:r>
        <w:rPr>
          <w:rFonts w:hint="default" w:ascii="Times New Roman" w:hAnsi="Times New Roman" w:cs="Times New Roman"/>
          <w:color w:val="auto"/>
        </w:rPr>
        <w:t>根据《泓欣物业一次性投入（2024）》</w:t>
      </w:r>
      <w:r>
        <w:rPr>
          <w:rFonts w:hint="default" w:ascii="Times New Roman" w:hAnsi="Times New Roman" w:cs="Times New Roman"/>
          <w:color w:val="auto"/>
          <w:lang w:eastAsia="zh-CN"/>
        </w:rPr>
        <w:t>《吉木萨尔县城市管理服务“三位一体”委托运营项目专项审计报告》（新晟专审字〔2024〕2-008号）</w:t>
      </w:r>
      <w:r>
        <w:rPr>
          <w:rFonts w:hint="default" w:ascii="Times New Roman" w:hAnsi="Times New Roman" w:cs="Times New Roman"/>
          <w:color w:val="auto"/>
        </w:rPr>
        <w:t>的资料显示，</w:t>
      </w:r>
      <w:r>
        <w:rPr>
          <w:rFonts w:hint="default" w:ascii="Times New Roman" w:hAnsi="Times New Roman" w:cs="Times New Roman"/>
          <w:color w:val="auto"/>
          <w:lang w:val="en-US" w:eastAsia="zh-CN"/>
        </w:rPr>
        <w:t>依据服务合同约定“应当在合同签订的期限内陆续对所有小区配套基础设施建设投入运营800万元。主要包括但不限于健身器材、集中充电装置、包裹存放处、宣传栏、停车位、门禁系统、自行车停放处、电动车充电棚等改善修复基础设施。”计划应每年需要达到100万元，泓欣环境集团有限公司吉木萨尔分公司实际</w:t>
      </w:r>
      <w:r>
        <w:rPr>
          <w:rFonts w:hint="default" w:ascii="Times New Roman" w:hAnsi="Times New Roman" w:cs="Times New Roman"/>
          <w:color w:val="auto"/>
        </w:rPr>
        <w:t>2024年对所接管的小区配套基础设施投入费用共计151.12万元</w:t>
      </w:r>
      <w:r>
        <w:rPr>
          <w:rFonts w:hint="default" w:ascii="Times New Roman" w:hAnsi="Times New Roman" w:cs="Times New Roman"/>
          <w:color w:val="auto"/>
          <w:lang w:eastAsia="zh-CN"/>
        </w:rPr>
        <w:t>。</w:t>
      </w:r>
    </w:p>
    <w:p w14:paraId="074847F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在本次绩效过</w:t>
      </w:r>
      <w:r>
        <w:rPr>
          <w:rFonts w:hint="eastAsia" w:cs="Times New Roman"/>
          <w:highlight w:val="none"/>
          <w:lang w:val="en-US" w:eastAsia="zh-CN"/>
        </w:rPr>
        <w:t>程中</w:t>
      </w:r>
      <w:r>
        <w:rPr>
          <w:rFonts w:hint="default" w:ascii="Times New Roman" w:hAnsi="Times New Roman" w:cs="Times New Roman"/>
          <w:highlight w:val="none"/>
          <w:lang w:val="en-US" w:eastAsia="zh-CN"/>
        </w:rPr>
        <w:t>，我们发现已签订的《吉木萨尔县城市管理服务“三位一体”委托运营项目服务合同》关于居民区日常管理服务范围、承接主体履约要求、行业管理、服务费用支付时限等内容约定不够清晰明确，导致项目实际实施过程存在无法严格按照合同约定条款执行相关工作要求，主要存在偏差情况如下：</w:t>
      </w:r>
    </w:p>
    <w:p w14:paraId="172C4F88">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highlight w:val="none"/>
          <w:lang w:val="en-US" w:eastAsia="zh-CN"/>
        </w:rPr>
      </w:pPr>
      <w:r>
        <w:rPr>
          <w:rFonts w:hint="eastAsia" w:cs="Times New Roman"/>
          <w:highlight w:val="none"/>
          <w:lang w:val="en-US" w:eastAsia="zh-CN"/>
        </w:rPr>
        <w:t>①</w:t>
      </w:r>
      <w:r>
        <w:rPr>
          <w:rFonts w:hint="default" w:ascii="Times New Roman" w:hAnsi="Times New Roman" w:cs="Times New Roman"/>
          <w:highlight w:val="none"/>
          <w:lang w:val="en-US" w:eastAsia="zh-CN"/>
        </w:rPr>
        <w:t>根据《吉木萨尔县城市管理服务“三位一体”委托运营项目服务合同》中第四章第二条“居民区日常管理服务 此项服务由乙方自主经营，自负盈亏”，但合同中第五章第一条第3款同时约定了“居民区日常管理执行《吉木萨尔县住建局居民区日常管理考核实施细则》”。项目实施单位实际并不对第三方运营管理公司自主经营的居民区日常管理服务进行绩效考核。</w:t>
      </w:r>
      <w:r>
        <w:rPr>
          <w:rFonts w:hint="eastAsia" w:cs="Times New Roman"/>
          <w:highlight w:val="none"/>
          <w:lang w:val="en-US" w:eastAsia="zh-CN"/>
        </w:rPr>
        <w:t>根据评分标准，扣1.00分。</w:t>
      </w:r>
    </w:p>
    <w:p w14:paraId="5138424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highlight w:val="none"/>
          <w:lang w:val="en-US" w:eastAsia="zh-CN"/>
        </w:rPr>
      </w:pPr>
      <w:r>
        <w:rPr>
          <w:rFonts w:hint="eastAsia" w:cs="Times New Roman"/>
          <w:highlight w:val="none"/>
          <w:lang w:val="en-US" w:eastAsia="zh-CN"/>
        </w:rPr>
        <w:t>②</w:t>
      </w:r>
      <w:r>
        <w:rPr>
          <w:rFonts w:hint="default" w:ascii="Times New Roman" w:hAnsi="Times New Roman" w:cs="Times New Roman"/>
          <w:highlight w:val="none"/>
          <w:lang w:val="en-US" w:eastAsia="zh-CN"/>
        </w:rPr>
        <w:t>根据《吉木萨尔县城市管理服务“三位一体”委托运营项目服务合同》中第六章第四条“1、乙方在本合同期内陆续对车辆的配置投资不少于2,000.00万元</w:t>
      </w:r>
      <w:r>
        <w:rPr>
          <w:rFonts w:hint="eastAsia" w:cs="Times New Roman"/>
          <w:highlight w:val="none"/>
          <w:lang w:val="en-US" w:eastAsia="zh-CN"/>
        </w:rPr>
        <w:t>（</w:t>
      </w:r>
      <w:r>
        <w:rPr>
          <w:rFonts w:hint="default" w:ascii="Times New Roman" w:hAnsi="Times New Roman" w:cs="Times New Roman"/>
          <w:highlight w:val="none"/>
          <w:lang w:val="en-US" w:eastAsia="zh-CN"/>
        </w:rPr>
        <w:t>具体投入以乙方拟定的投入计划经甲方审核同意后为准</w:t>
      </w:r>
      <w:r>
        <w:rPr>
          <w:rFonts w:hint="eastAsia" w:cs="Times New Roman"/>
          <w:highlight w:val="none"/>
          <w:lang w:val="en-US" w:eastAsia="zh-CN"/>
        </w:rPr>
        <w:t>）</w:t>
      </w:r>
      <w:r>
        <w:rPr>
          <w:rFonts w:hint="default" w:ascii="Times New Roman" w:hAnsi="Times New Roman" w:cs="Times New Roman"/>
          <w:highlight w:val="none"/>
          <w:lang w:val="en-US" w:eastAsia="zh-CN"/>
        </w:rPr>
        <w:t>”要求，但合同服务内容中没有对道路清洁服务所需配备车辆类型，数量，是否满足道路清洁服务需求等车辆配置投资要求做明确约定。根据《吉木萨尔县城市管理服务“三位一体”委托运营项目专项审计报告》（新晟专审字〔2024〕2-008号）的资料显示，截至2024年12月31日，泓欣集团共对车辆配置投资1,862.40万元，其中2023年车辆投资1,185.37万元，2024年车辆投资677.03万元。项目运营管理公司已完成的车辆配置投资完成度评价依据不足。</w:t>
      </w:r>
      <w:r>
        <w:rPr>
          <w:rFonts w:hint="eastAsia" w:cs="Times New Roman"/>
          <w:highlight w:val="none"/>
          <w:lang w:val="en-US" w:eastAsia="zh-CN"/>
        </w:rPr>
        <w:t>根据评分标准，扣1.00分。</w:t>
      </w:r>
    </w:p>
    <w:p w14:paraId="01BE013E">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highlight w:val="none"/>
          <w:lang w:val="en-US" w:eastAsia="zh-CN"/>
        </w:rPr>
      </w:pPr>
      <w:r>
        <w:rPr>
          <w:rFonts w:hint="eastAsia" w:cs="Times New Roman"/>
          <w:highlight w:val="none"/>
          <w:lang w:val="en-US" w:eastAsia="zh-CN"/>
        </w:rPr>
        <w:t>③</w:t>
      </w:r>
      <w:r>
        <w:rPr>
          <w:rFonts w:hint="default" w:ascii="Times New Roman" w:hAnsi="Times New Roman" w:cs="Times New Roman"/>
          <w:highlight w:val="none"/>
          <w:lang w:val="en-US" w:eastAsia="zh-CN"/>
        </w:rPr>
        <w:t>根据《吉木萨尔县城市管理服务“三位一体”委托运营项目服务合同》第七章第一条“4.甲方对乙方在服务过程中实施行业监管，监管内容包括服务的质量，安全防范措施等”。但项目实施单位未提供对项目承接主体开展的相关行业监管资料。</w:t>
      </w:r>
      <w:r>
        <w:rPr>
          <w:rFonts w:hint="eastAsia" w:cs="Times New Roman"/>
          <w:highlight w:val="none"/>
          <w:lang w:val="en-US" w:eastAsia="zh-CN"/>
        </w:rPr>
        <w:t>根据评分标准，扣1.00分。</w:t>
      </w:r>
    </w:p>
    <w:p w14:paraId="210B1782">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highlight w:val="none"/>
          <w:lang w:val="en-US" w:eastAsia="zh-CN"/>
        </w:rPr>
      </w:pPr>
      <w:r>
        <w:rPr>
          <w:rFonts w:hint="eastAsia" w:cs="Times New Roman"/>
          <w:highlight w:val="none"/>
          <w:lang w:val="en-US" w:eastAsia="zh-CN"/>
        </w:rPr>
        <w:t>④</w:t>
      </w:r>
      <w:r>
        <w:rPr>
          <w:rFonts w:hint="default" w:ascii="Times New Roman" w:hAnsi="Times New Roman" w:cs="Times New Roman"/>
          <w:highlight w:val="none"/>
          <w:lang w:val="en-US" w:eastAsia="zh-CN"/>
        </w:rPr>
        <w:t>根据《吉木萨尔县城市管理服务“三位一体”委托运营项目服务合同》第四条：“按季度依据考核结果支付服务费”，但未对服务费支付时限和支付比例等付款要求进行明确。项目实施单位在实际支付服务费用的支付时效存在较大差异，具体如下：截至2024年12月31日，项目实际于2024年4月25日支付服务费用1,267.18万元；于2024年7月19日支付2024年第一季度服务费用1,082.38万元；2024年8月31日支付2024年第一、第二季度服务费用100.00万元；2024年8月31日支付2024年第二季度服务费用1,075.33万元；2024年9月30日、2024年11月19日分2次支付2024年第三季度服务费用1,081.92万元。</w:t>
      </w:r>
      <w:r>
        <w:rPr>
          <w:rFonts w:hint="eastAsia" w:cs="Times New Roman"/>
          <w:highlight w:val="none"/>
          <w:lang w:val="en-US" w:eastAsia="zh-CN"/>
        </w:rPr>
        <w:t>根据评分标准，扣1.00分。</w:t>
      </w:r>
    </w:p>
    <w:p w14:paraId="51B301BC">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highlight w:val="none"/>
          <w:lang w:val="en-US" w:eastAsia="zh-CN"/>
        </w:rPr>
      </w:pPr>
      <w:r>
        <w:rPr>
          <w:rFonts w:hint="eastAsia" w:cs="Times New Roman"/>
          <w:highlight w:val="none"/>
          <w:lang w:val="en-US" w:eastAsia="zh-CN"/>
        </w:rPr>
        <w:t>⑤</w:t>
      </w:r>
      <w:r>
        <w:rPr>
          <w:rFonts w:hint="default" w:ascii="Times New Roman" w:hAnsi="Times New Roman" w:cs="Times New Roman"/>
          <w:highlight w:val="none"/>
          <w:lang w:val="en-US" w:eastAsia="zh-CN"/>
        </w:rPr>
        <w:t>未见吉木萨尔县住建局对该项目在运营期开展有效的绩效执行监控，与《政府购买服务管理办法》中“第二十条购买主体实施政府购买服务项目绩效管理，应当开展事前绩效评估，定期对所购服务实施情况开展绩效评价，具备条件的项目可以运用第三方评价评估”规定不相符。</w:t>
      </w:r>
      <w:r>
        <w:rPr>
          <w:rFonts w:hint="eastAsia" w:cs="Times New Roman"/>
          <w:highlight w:val="none"/>
          <w:lang w:val="en-US" w:eastAsia="zh-CN"/>
        </w:rPr>
        <w:t>根据评分标准，扣1.00分。</w:t>
      </w:r>
    </w:p>
    <w:p w14:paraId="1D4D4DFE">
      <w:pPr>
        <w:pageBreakBefore w:val="0"/>
        <w:kinsoku/>
        <w:wordWrap/>
        <w:overflowPunct/>
        <w:topLinePunct w:val="0"/>
        <w:autoSpaceDE/>
        <w:autoSpaceDN/>
        <w:bidi w:val="0"/>
        <w:snapToGrid w:val="0"/>
        <w:spacing w:before="0" w:after="0" w:line="360" w:lineRule="auto"/>
        <w:ind w:firstLine="420"/>
        <w:rPr>
          <w:rFonts w:hint="eastAsia" w:ascii="Times New Roman" w:hAnsi="Times New Roman" w:cs="Times New Roman" w:eastAsiaTheme="minorEastAsia"/>
          <w:color w:val="auto"/>
          <w:lang w:val="en-US" w:eastAsia="zh-CN"/>
        </w:rPr>
      </w:pPr>
      <w:r>
        <w:rPr>
          <w:rFonts w:hint="default" w:ascii="Times New Roman" w:hAnsi="Times New Roman" w:cs="Times New Roman"/>
          <w:color w:val="auto"/>
        </w:rPr>
        <w:t>该指标满分为7.00分，根据评分标准得</w:t>
      </w:r>
      <w:r>
        <w:rPr>
          <w:rFonts w:hint="eastAsia" w:cs="Times New Roman"/>
          <w:color w:val="auto"/>
          <w:sz w:val="21"/>
          <w:szCs w:val="21"/>
          <w:lang w:val="en-US" w:eastAsia="zh-CN"/>
        </w:rPr>
        <w:t>2.00</w:t>
      </w:r>
      <w:r>
        <w:rPr>
          <w:rFonts w:hint="default" w:ascii="Times New Roman" w:hAnsi="Times New Roman" w:cs="Times New Roman"/>
          <w:color w:val="auto"/>
        </w:rPr>
        <w:t>分。</w:t>
      </w:r>
    </w:p>
    <w:p w14:paraId="6D714145">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69" w:name="_Toc12656"/>
      <w:r>
        <w:rPr>
          <w:rFonts w:hint="default" w:ascii="Times New Roman" w:hAnsi="Times New Roman" w:cs="Times New Roman"/>
          <w:color w:val="auto"/>
        </w:rPr>
        <w:t>（三）项目产出情况</w:t>
      </w:r>
      <w:bookmarkEnd w:id="69"/>
    </w:p>
    <w:p w14:paraId="0994991B">
      <w:pPr>
        <w:pageBreakBefore w:val="0"/>
        <w:kinsoku/>
        <w:wordWrap/>
        <w:overflowPunct/>
        <w:topLinePunct w:val="0"/>
        <w:autoSpaceDE/>
        <w:autoSpaceDN/>
        <w:bidi w:val="0"/>
        <w:snapToGrid w:val="0"/>
        <w:spacing w:before="0" w:after="0" w:line="360" w:lineRule="auto"/>
        <w:ind w:firstLine="420"/>
        <w:jc w:val="left"/>
        <w:rPr>
          <w:rFonts w:hint="default" w:ascii="Times New Roman" w:hAnsi="Times New Roman" w:cs="Times New Roman"/>
          <w:color w:val="auto"/>
        </w:rPr>
      </w:pPr>
      <w:r>
        <w:rPr>
          <w:rFonts w:hint="default" w:ascii="Times New Roman" w:hAnsi="Times New Roman" w:cs="Times New Roman"/>
          <w:color w:val="auto"/>
        </w:rPr>
        <w:t>项目产出指标由4个二级和1</w:t>
      </w:r>
      <w:r>
        <w:rPr>
          <w:rFonts w:hint="eastAsia" w:cs="Times New Roman"/>
          <w:color w:val="auto"/>
          <w:lang w:val="en-US" w:eastAsia="zh-CN"/>
        </w:rPr>
        <w:t>2</w:t>
      </w:r>
      <w:r>
        <w:rPr>
          <w:rFonts w:hint="default" w:ascii="Times New Roman" w:hAnsi="Times New Roman" w:cs="Times New Roman"/>
          <w:color w:val="auto"/>
        </w:rPr>
        <w:t>个三级指标构成，权重分30.00分，实际得分2</w:t>
      </w:r>
      <w:r>
        <w:rPr>
          <w:rFonts w:hint="eastAsia" w:cs="Times New Roman"/>
          <w:color w:val="auto"/>
          <w:lang w:val="en-US" w:eastAsia="zh-CN"/>
        </w:rPr>
        <w:t>7.50</w:t>
      </w:r>
      <w:r>
        <w:rPr>
          <w:rFonts w:hint="default" w:ascii="Times New Roman" w:hAnsi="Times New Roman" w:cs="Times New Roman"/>
          <w:color w:val="auto"/>
        </w:rPr>
        <w:t>分，得分率为</w:t>
      </w:r>
      <w:r>
        <w:rPr>
          <w:rFonts w:hint="eastAsia" w:cs="Times New Roman"/>
          <w:color w:val="auto"/>
          <w:lang w:val="en-US" w:eastAsia="zh-CN"/>
        </w:rPr>
        <w:t>91.67</w:t>
      </w:r>
      <w:r>
        <w:rPr>
          <w:rFonts w:hint="default" w:ascii="Times New Roman" w:hAnsi="Times New Roman" w:cs="Times New Roman"/>
          <w:color w:val="auto"/>
        </w:rPr>
        <w:t>%。各指标业绩值和绩效分值如下表所示：</w:t>
      </w:r>
    </w:p>
    <w:p w14:paraId="5A38F3EA">
      <w:pPr>
        <w:rPr>
          <w:rFonts w:hint="default" w:ascii="Times New Roman" w:hAnsi="Times New Roman" w:eastAsia="黑体" w:cs="Times New Roman"/>
          <w:b w:val="0"/>
          <w:bCs w:val="0"/>
          <w:color w:val="auto"/>
          <w:szCs w:val="16"/>
        </w:rPr>
      </w:pPr>
      <w:r>
        <w:rPr>
          <w:rFonts w:hint="default" w:ascii="Times New Roman" w:hAnsi="Times New Roman" w:eastAsia="黑体" w:cs="Times New Roman"/>
          <w:b w:val="0"/>
          <w:bCs w:val="0"/>
          <w:color w:val="auto"/>
          <w:szCs w:val="16"/>
        </w:rPr>
        <w:br w:type="page"/>
      </w:r>
    </w:p>
    <w:p w14:paraId="49BCE1EF">
      <w:pPr>
        <w:pageBreakBefore w:val="0"/>
        <w:kinsoku/>
        <w:wordWrap/>
        <w:overflowPunct/>
        <w:topLinePunct w:val="0"/>
        <w:autoSpaceDE/>
        <w:autoSpaceDN/>
        <w:bidi w:val="0"/>
        <w:snapToGrid w:val="0"/>
        <w:spacing w:before="0" w:after="0" w:line="360" w:lineRule="auto"/>
        <w:ind w:firstLine="0" w:firstLineChars="0"/>
        <w:jc w:val="center"/>
        <w:rPr>
          <w:rFonts w:hint="default" w:ascii="Times New Roman" w:hAnsi="Times New Roman" w:eastAsia="黑体" w:cs="Times New Roman"/>
          <w:b w:val="0"/>
          <w:bCs w:val="0"/>
          <w:color w:val="auto"/>
          <w:szCs w:val="16"/>
        </w:rPr>
      </w:pPr>
      <w:r>
        <w:rPr>
          <w:rFonts w:hint="default" w:ascii="Times New Roman" w:hAnsi="Times New Roman" w:eastAsia="黑体" w:cs="Times New Roman"/>
          <w:b w:val="0"/>
          <w:bCs w:val="0"/>
          <w:color w:val="auto"/>
          <w:szCs w:val="16"/>
        </w:rPr>
        <w:t>表</w:t>
      </w:r>
      <w:r>
        <w:rPr>
          <w:rFonts w:hint="default" w:ascii="Times New Roman" w:hAnsi="Times New Roman" w:eastAsia="黑体" w:cs="Times New Roman"/>
          <w:b w:val="0"/>
          <w:bCs w:val="0"/>
          <w:color w:val="auto"/>
          <w:szCs w:val="16"/>
          <w:lang w:val="en-US" w:eastAsia="zh-CN"/>
        </w:rPr>
        <w:t>5</w:t>
      </w:r>
      <w:r>
        <w:rPr>
          <w:rFonts w:hint="default" w:ascii="Times New Roman" w:hAnsi="Times New Roman" w:eastAsia="黑体" w:cs="Times New Roman"/>
          <w:b w:val="0"/>
          <w:bCs w:val="0"/>
          <w:color w:val="auto"/>
          <w:szCs w:val="16"/>
        </w:rPr>
        <w:t>-3：项目产出指标及分值</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80"/>
        <w:gridCol w:w="1033"/>
        <w:gridCol w:w="2478"/>
        <w:gridCol w:w="1124"/>
        <w:gridCol w:w="1189"/>
        <w:gridCol w:w="600"/>
        <w:gridCol w:w="589"/>
        <w:gridCol w:w="759"/>
      </w:tblGrid>
      <w:tr w14:paraId="5BB29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tblHeader/>
          <w:jc w:val="center"/>
        </w:trPr>
        <w:tc>
          <w:tcPr>
            <w:tcW w:w="347" w:type="pct"/>
            <w:vAlign w:val="center"/>
          </w:tcPr>
          <w:p w14:paraId="14A7A076">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一级指标</w:t>
            </w:r>
          </w:p>
        </w:tc>
        <w:tc>
          <w:tcPr>
            <w:tcW w:w="618" w:type="pct"/>
            <w:vAlign w:val="center"/>
          </w:tcPr>
          <w:p w14:paraId="7E33C702">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二级指标</w:t>
            </w:r>
          </w:p>
        </w:tc>
        <w:tc>
          <w:tcPr>
            <w:tcW w:w="1483" w:type="pct"/>
            <w:vAlign w:val="center"/>
          </w:tcPr>
          <w:p w14:paraId="6B70DC18">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三级指标</w:t>
            </w:r>
          </w:p>
        </w:tc>
        <w:tc>
          <w:tcPr>
            <w:tcW w:w="672" w:type="pct"/>
            <w:vAlign w:val="center"/>
          </w:tcPr>
          <w:p w14:paraId="57C23BA0">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目标值</w:t>
            </w:r>
          </w:p>
        </w:tc>
        <w:tc>
          <w:tcPr>
            <w:tcW w:w="711" w:type="pct"/>
            <w:vAlign w:val="center"/>
          </w:tcPr>
          <w:p w14:paraId="759C94E5">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kern w:val="0"/>
                <w:sz w:val="20"/>
                <w:szCs w:val="20"/>
                <w:lang w:bidi="ar"/>
              </w:rPr>
            </w:pPr>
            <w:r>
              <w:rPr>
                <w:rFonts w:hint="default" w:ascii="Times New Roman" w:hAnsi="Times New Roman" w:eastAsia="宋体" w:cs="Times New Roman"/>
                <w:b/>
                <w:color w:val="auto"/>
                <w:kern w:val="0"/>
                <w:sz w:val="20"/>
                <w:szCs w:val="20"/>
                <w:lang w:bidi="ar"/>
              </w:rPr>
              <w:t>实际完成值</w:t>
            </w:r>
          </w:p>
        </w:tc>
        <w:tc>
          <w:tcPr>
            <w:tcW w:w="359" w:type="pct"/>
            <w:vAlign w:val="center"/>
          </w:tcPr>
          <w:p w14:paraId="14A7525B">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权重</w:t>
            </w:r>
          </w:p>
        </w:tc>
        <w:tc>
          <w:tcPr>
            <w:tcW w:w="352" w:type="pct"/>
            <w:vAlign w:val="center"/>
          </w:tcPr>
          <w:p w14:paraId="4586451B">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得分</w:t>
            </w:r>
          </w:p>
        </w:tc>
        <w:tc>
          <w:tcPr>
            <w:tcW w:w="454" w:type="pct"/>
            <w:vAlign w:val="center"/>
          </w:tcPr>
          <w:p w14:paraId="19F330D8">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kern w:val="0"/>
                <w:sz w:val="20"/>
                <w:szCs w:val="20"/>
                <w:lang w:bidi="ar"/>
              </w:rPr>
            </w:pPr>
            <w:r>
              <w:rPr>
                <w:rFonts w:hint="default" w:ascii="Times New Roman" w:hAnsi="Times New Roman" w:eastAsia="宋体" w:cs="Times New Roman"/>
                <w:b/>
                <w:color w:val="auto"/>
                <w:kern w:val="0"/>
                <w:sz w:val="20"/>
                <w:szCs w:val="20"/>
                <w:lang w:bidi="ar"/>
              </w:rPr>
              <w:t>得分率</w:t>
            </w:r>
          </w:p>
        </w:tc>
      </w:tr>
      <w:tr w14:paraId="43525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restart"/>
            <w:vAlign w:val="center"/>
          </w:tcPr>
          <w:p w14:paraId="11BD94F1">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r>
              <w:rPr>
                <w:rFonts w:hint="default" w:ascii="Times New Roman" w:hAnsi="Times New Roman" w:cs="Times New Roman"/>
                <w:color w:val="auto"/>
                <w:sz w:val="20"/>
                <w:szCs w:val="20"/>
              </w:rPr>
              <w:t>C产出（30.00分）</w:t>
            </w:r>
          </w:p>
        </w:tc>
        <w:tc>
          <w:tcPr>
            <w:tcW w:w="618" w:type="pct"/>
            <w:vMerge w:val="restart"/>
            <w:vAlign w:val="center"/>
          </w:tcPr>
          <w:p w14:paraId="43895DE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C1产出数量（1</w:t>
            </w:r>
            <w:r>
              <w:rPr>
                <w:rFonts w:hint="eastAsia" w:eastAsia="宋体" w:cs="Times New Roman"/>
                <w:i w:val="0"/>
                <w:iCs w:val="0"/>
                <w:color w:val="000000"/>
                <w:kern w:val="0"/>
                <w:sz w:val="20"/>
                <w:szCs w:val="20"/>
                <w:u w:val="none"/>
                <w:lang w:val="en-US" w:eastAsia="zh-CN" w:bidi="ar"/>
              </w:rPr>
              <w:t>3</w:t>
            </w:r>
            <w:r>
              <w:rPr>
                <w:rFonts w:hint="default" w:ascii="Times New Roman" w:hAnsi="Times New Roman" w:eastAsia="宋体" w:cs="Times New Roman"/>
                <w:i w:val="0"/>
                <w:iCs w:val="0"/>
                <w:color w:val="000000"/>
                <w:kern w:val="0"/>
                <w:sz w:val="20"/>
                <w:szCs w:val="20"/>
                <w:u w:val="none"/>
                <w:lang w:val="en-US" w:eastAsia="zh-CN" w:bidi="ar"/>
              </w:rPr>
              <w:t>.00分）</w:t>
            </w:r>
          </w:p>
        </w:tc>
        <w:tc>
          <w:tcPr>
            <w:tcW w:w="1483" w:type="pct"/>
            <w:vAlign w:val="center"/>
          </w:tcPr>
          <w:p w14:paraId="5D3DB1D1">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C11道路清洁保洁服务完成率</w:t>
            </w:r>
          </w:p>
        </w:tc>
        <w:tc>
          <w:tcPr>
            <w:tcW w:w="672" w:type="pct"/>
            <w:vAlign w:val="center"/>
          </w:tcPr>
          <w:p w14:paraId="3CD010C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c>
          <w:tcPr>
            <w:tcW w:w="711" w:type="pct"/>
            <w:vAlign w:val="center"/>
          </w:tcPr>
          <w:p w14:paraId="6452580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eastAsia" w:ascii="宋体" w:hAnsi="宋体" w:eastAsia="宋体" w:cs="宋体"/>
                <w:i w:val="0"/>
                <w:iCs w:val="0"/>
                <w:color w:val="000000"/>
                <w:kern w:val="0"/>
                <w:sz w:val="20"/>
                <w:szCs w:val="20"/>
                <w:u w:val="none"/>
                <w:lang w:val="en-US" w:eastAsia="zh-CN" w:bidi="ar"/>
              </w:rPr>
              <w:t>100.00%</w:t>
            </w:r>
          </w:p>
        </w:tc>
        <w:tc>
          <w:tcPr>
            <w:tcW w:w="359" w:type="pct"/>
            <w:vAlign w:val="center"/>
          </w:tcPr>
          <w:p w14:paraId="3B265A3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3.00 </w:t>
            </w:r>
          </w:p>
        </w:tc>
        <w:tc>
          <w:tcPr>
            <w:tcW w:w="352" w:type="pct"/>
            <w:vAlign w:val="center"/>
          </w:tcPr>
          <w:p w14:paraId="3C426B4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eastAsia" w:ascii="宋体" w:hAnsi="宋体" w:eastAsia="宋体" w:cs="宋体"/>
                <w:i w:val="0"/>
                <w:iCs w:val="0"/>
                <w:color w:val="000000"/>
                <w:kern w:val="0"/>
                <w:sz w:val="20"/>
                <w:szCs w:val="20"/>
                <w:u w:val="none"/>
                <w:lang w:val="en-US" w:eastAsia="zh-CN" w:bidi="ar"/>
              </w:rPr>
              <w:t xml:space="preserve">3.00 </w:t>
            </w:r>
          </w:p>
        </w:tc>
        <w:tc>
          <w:tcPr>
            <w:tcW w:w="454" w:type="pct"/>
            <w:vAlign w:val="center"/>
          </w:tcPr>
          <w:p w14:paraId="1160947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0C726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7C7D0CCE">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continue"/>
            <w:vAlign w:val="center"/>
          </w:tcPr>
          <w:p w14:paraId="20512656">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color w:val="auto"/>
                <w:sz w:val="20"/>
                <w:szCs w:val="20"/>
              </w:rPr>
            </w:pPr>
          </w:p>
        </w:tc>
        <w:tc>
          <w:tcPr>
            <w:tcW w:w="1483" w:type="pct"/>
            <w:vAlign w:val="center"/>
          </w:tcPr>
          <w:p w14:paraId="20C81613">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C12清洁公厕服务完成率</w:t>
            </w:r>
          </w:p>
        </w:tc>
        <w:tc>
          <w:tcPr>
            <w:tcW w:w="672" w:type="pct"/>
            <w:vAlign w:val="center"/>
          </w:tcPr>
          <w:p w14:paraId="7428F35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c>
          <w:tcPr>
            <w:tcW w:w="711" w:type="pct"/>
            <w:vAlign w:val="center"/>
          </w:tcPr>
          <w:p w14:paraId="17CC05C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eastAsia" w:ascii="宋体" w:hAnsi="宋体" w:eastAsia="宋体" w:cs="宋体"/>
                <w:i w:val="0"/>
                <w:iCs w:val="0"/>
                <w:color w:val="000000"/>
                <w:kern w:val="0"/>
                <w:sz w:val="20"/>
                <w:szCs w:val="20"/>
                <w:u w:val="none"/>
                <w:lang w:val="en-US" w:eastAsia="zh-CN" w:bidi="ar"/>
              </w:rPr>
              <w:t>100.00%</w:t>
            </w:r>
          </w:p>
        </w:tc>
        <w:tc>
          <w:tcPr>
            <w:tcW w:w="359" w:type="pct"/>
            <w:vAlign w:val="center"/>
          </w:tcPr>
          <w:p w14:paraId="3BD9D48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352" w:type="pct"/>
            <w:vAlign w:val="center"/>
          </w:tcPr>
          <w:p w14:paraId="7F31CBE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454" w:type="pct"/>
            <w:vAlign w:val="center"/>
          </w:tcPr>
          <w:p w14:paraId="178340F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58C8D3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3EB2DB30">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continue"/>
            <w:vAlign w:val="center"/>
          </w:tcPr>
          <w:p w14:paraId="72174D69">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color w:val="auto"/>
                <w:sz w:val="20"/>
                <w:szCs w:val="20"/>
              </w:rPr>
            </w:pPr>
          </w:p>
        </w:tc>
        <w:tc>
          <w:tcPr>
            <w:tcW w:w="1483" w:type="pct"/>
            <w:vAlign w:val="center"/>
          </w:tcPr>
          <w:p w14:paraId="5D56FB58">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C13冬季除雪服务完成率</w:t>
            </w:r>
          </w:p>
        </w:tc>
        <w:tc>
          <w:tcPr>
            <w:tcW w:w="672" w:type="pct"/>
            <w:vAlign w:val="center"/>
          </w:tcPr>
          <w:p w14:paraId="515A76A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c>
          <w:tcPr>
            <w:tcW w:w="711" w:type="pct"/>
            <w:vAlign w:val="center"/>
          </w:tcPr>
          <w:p w14:paraId="07D1A2D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eastAsia" w:ascii="宋体" w:hAnsi="宋体" w:eastAsia="宋体" w:cs="宋体"/>
                <w:i w:val="0"/>
                <w:iCs w:val="0"/>
                <w:color w:val="000000"/>
                <w:kern w:val="0"/>
                <w:sz w:val="20"/>
                <w:szCs w:val="20"/>
                <w:u w:val="none"/>
                <w:lang w:val="en-US" w:eastAsia="zh-CN" w:bidi="ar"/>
              </w:rPr>
              <w:t>100.00%</w:t>
            </w:r>
          </w:p>
        </w:tc>
        <w:tc>
          <w:tcPr>
            <w:tcW w:w="359" w:type="pct"/>
            <w:vAlign w:val="center"/>
          </w:tcPr>
          <w:p w14:paraId="395C12B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3.00 </w:t>
            </w:r>
          </w:p>
        </w:tc>
        <w:tc>
          <w:tcPr>
            <w:tcW w:w="352" w:type="pct"/>
            <w:vAlign w:val="center"/>
          </w:tcPr>
          <w:p w14:paraId="1CD3A2F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eastAsia" w:ascii="宋体" w:hAnsi="宋体" w:eastAsia="宋体" w:cs="宋体"/>
                <w:i w:val="0"/>
                <w:iCs w:val="0"/>
                <w:color w:val="000000"/>
                <w:kern w:val="0"/>
                <w:sz w:val="20"/>
                <w:szCs w:val="20"/>
                <w:u w:val="none"/>
                <w:lang w:val="en-US" w:eastAsia="zh-CN" w:bidi="ar"/>
              </w:rPr>
              <w:t xml:space="preserve">3.00 </w:t>
            </w:r>
          </w:p>
        </w:tc>
        <w:tc>
          <w:tcPr>
            <w:tcW w:w="454" w:type="pct"/>
            <w:vAlign w:val="center"/>
          </w:tcPr>
          <w:p w14:paraId="6360953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36BC5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107EA614">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continue"/>
            <w:vAlign w:val="center"/>
          </w:tcPr>
          <w:p w14:paraId="4C2D32E9">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color w:val="auto"/>
                <w:sz w:val="20"/>
                <w:szCs w:val="20"/>
              </w:rPr>
            </w:pPr>
          </w:p>
        </w:tc>
        <w:tc>
          <w:tcPr>
            <w:tcW w:w="1483" w:type="pct"/>
            <w:vAlign w:val="center"/>
          </w:tcPr>
          <w:p w14:paraId="279EF39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C14建设完成智慧环卫平台建设服务完成率</w:t>
            </w:r>
          </w:p>
        </w:tc>
        <w:tc>
          <w:tcPr>
            <w:tcW w:w="672" w:type="pct"/>
            <w:vAlign w:val="center"/>
          </w:tcPr>
          <w:p w14:paraId="3B7581A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c>
          <w:tcPr>
            <w:tcW w:w="711" w:type="pct"/>
            <w:vAlign w:val="center"/>
          </w:tcPr>
          <w:p w14:paraId="6BA7716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eastAsia" w:ascii="宋体" w:hAnsi="宋体" w:eastAsia="宋体" w:cs="宋体"/>
                <w:i w:val="0"/>
                <w:iCs w:val="0"/>
                <w:color w:val="000000"/>
                <w:kern w:val="0"/>
                <w:sz w:val="20"/>
                <w:szCs w:val="20"/>
                <w:u w:val="none"/>
                <w:lang w:val="en-US" w:eastAsia="zh-CN" w:bidi="ar"/>
              </w:rPr>
              <w:t>100.00%</w:t>
            </w:r>
          </w:p>
        </w:tc>
        <w:tc>
          <w:tcPr>
            <w:tcW w:w="359" w:type="pct"/>
            <w:vAlign w:val="center"/>
          </w:tcPr>
          <w:p w14:paraId="67AC83D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352" w:type="pct"/>
            <w:vAlign w:val="center"/>
          </w:tcPr>
          <w:p w14:paraId="6A742CD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454" w:type="pct"/>
            <w:vAlign w:val="center"/>
          </w:tcPr>
          <w:p w14:paraId="111F60D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41C1C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342B1AF8">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continue"/>
            <w:vAlign w:val="center"/>
          </w:tcPr>
          <w:p w14:paraId="33FD3367">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color w:val="auto"/>
                <w:sz w:val="20"/>
                <w:szCs w:val="20"/>
              </w:rPr>
            </w:pPr>
          </w:p>
        </w:tc>
        <w:tc>
          <w:tcPr>
            <w:tcW w:w="1483" w:type="pct"/>
            <w:vAlign w:val="center"/>
          </w:tcPr>
          <w:p w14:paraId="3A6CA59D">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C15园林绿化养护服务完成率</w:t>
            </w:r>
          </w:p>
        </w:tc>
        <w:tc>
          <w:tcPr>
            <w:tcW w:w="672" w:type="pct"/>
            <w:vAlign w:val="center"/>
          </w:tcPr>
          <w:p w14:paraId="2224B23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c>
          <w:tcPr>
            <w:tcW w:w="711" w:type="pct"/>
            <w:vAlign w:val="center"/>
          </w:tcPr>
          <w:p w14:paraId="69301EF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eastAsia" w:ascii="宋体" w:hAnsi="宋体" w:eastAsia="宋体" w:cs="宋体"/>
                <w:i w:val="0"/>
                <w:iCs w:val="0"/>
                <w:color w:val="000000"/>
                <w:kern w:val="0"/>
                <w:sz w:val="20"/>
                <w:szCs w:val="20"/>
                <w:u w:val="none"/>
                <w:lang w:val="en-US" w:eastAsia="zh-CN" w:bidi="ar"/>
              </w:rPr>
              <w:t>100.00%</w:t>
            </w:r>
          </w:p>
        </w:tc>
        <w:tc>
          <w:tcPr>
            <w:tcW w:w="359" w:type="pct"/>
            <w:vAlign w:val="center"/>
          </w:tcPr>
          <w:p w14:paraId="0D34DBE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3.00 </w:t>
            </w:r>
          </w:p>
        </w:tc>
        <w:tc>
          <w:tcPr>
            <w:tcW w:w="352" w:type="pct"/>
            <w:vAlign w:val="center"/>
          </w:tcPr>
          <w:p w14:paraId="3CA8EBC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3.00 </w:t>
            </w:r>
          </w:p>
        </w:tc>
        <w:tc>
          <w:tcPr>
            <w:tcW w:w="454" w:type="pct"/>
            <w:vAlign w:val="center"/>
          </w:tcPr>
          <w:p w14:paraId="5F9D281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69DB3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32A1FBA7">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continue"/>
            <w:vAlign w:val="center"/>
          </w:tcPr>
          <w:p w14:paraId="24C7575D">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color w:val="auto"/>
                <w:sz w:val="20"/>
                <w:szCs w:val="20"/>
              </w:rPr>
            </w:pPr>
          </w:p>
        </w:tc>
        <w:tc>
          <w:tcPr>
            <w:tcW w:w="1483" w:type="pct"/>
            <w:vAlign w:val="center"/>
          </w:tcPr>
          <w:p w14:paraId="1408458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C16游园维修服务完成率</w:t>
            </w:r>
          </w:p>
        </w:tc>
        <w:tc>
          <w:tcPr>
            <w:tcW w:w="672" w:type="pct"/>
            <w:vAlign w:val="center"/>
          </w:tcPr>
          <w:p w14:paraId="64B7C8D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c>
          <w:tcPr>
            <w:tcW w:w="711" w:type="pct"/>
            <w:vAlign w:val="center"/>
          </w:tcPr>
          <w:p w14:paraId="66B219A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val="en-US" w:eastAsia="zh-CN" w:bidi="ar"/>
              </w:rPr>
            </w:pPr>
            <w:r>
              <w:rPr>
                <w:rFonts w:hint="eastAsia" w:ascii="宋体" w:hAnsi="宋体" w:eastAsia="宋体" w:cs="宋体"/>
                <w:i w:val="0"/>
                <w:iCs w:val="0"/>
                <w:color w:val="000000"/>
                <w:kern w:val="0"/>
                <w:sz w:val="20"/>
                <w:szCs w:val="20"/>
                <w:u w:val="none"/>
                <w:lang w:val="en-US" w:eastAsia="zh-CN" w:bidi="ar"/>
              </w:rPr>
              <w:t>100.00%</w:t>
            </w:r>
          </w:p>
        </w:tc>
        <w:tc>
          <w:tcPr>
            <w:tcW w:w="359" w:type="pct"/>
            <w:vAlign w:val="center"/>
          </w:tcPr>
          <w:p w14:paraId="3E4EE2D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352" w:type="pct"/>
            <w:vAlign w:val="center"/>
          </w:tcPr>
          <w:p w14:paraId="53D68CF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454" w:type="pct"/>
            <w:vAlign w:val="center"/>
          </w:tcPr>
          <w:p w14:paraId="4D40954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2B27C4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602EFA54">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continue"/>
            <w:vAlign w:val="center"/>
          </w:tcPr>
          <w:p w14:paraId="46191C6D">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color w:val="auto"/>
                <w:sz w:val="20"/>
                <w:szCs w:val="20"/>
              </w:rPr>
            </w:pPr>
          </w:p>
        </w:tc>
        <w:tc>
          <w:tcPr>
            <w:tcW w:w="1483" w:type="pct"/>
            <w:vAlign w:val="center"/>
          </w:tcPr>
          <w:p w14:paraId="6A11F0A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C17填埋场管理服务完成率</w:t>
            </w:r>
          </w:p>
        </w:tc>
        <w:tc>
          <w:tcPr>
            <w:tcW w:w="672" w:type="pct"/>
            <w:vAlign w:val="center"/>
          </w:tcPr>
          <w:p w14:paraId="0A6AF70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100.00%</w:t>
            </w:r>
          </w:p>
        </w:tc>
        <w:tc>
          <w:tcPr>
            <w:tcW w:w="711" w:type="pct"/>
            <w:vAlign w:val="center"/>
          </w:tcPr>
          <w:p w14:paraId="0C0F4E5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100.00%</w:t>
            </w:r>
          </w:p>
        </w:tc>
        <w:tc>
          <w:tcPr>
            <w:tcW w:w="359" w:type="pct"/>
            <w:vAlign w:val="center"/>
          </w:tcPr>
          <w:p w14:paraId="406982A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352" w:type="pct"/>
            <w:vAlign w:val="center"/>
          </w:tcPr>
          <w:p w14:paraId="6D5A588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454" w:type="pct"/>
            <w:vAlign w:val="center"/>
          </w:tcPr>
          <w:p w14:paraId="126FDB3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30258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6CA1FB15">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restart"/>
            <w:vAlign w:val="center"/>
          </w:tcPr>
          <w:p w14:paraId="5830613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C2产出质量（</w:t>
            </w:r>
            <w:r>
              <w:rPr>
                <w:rFonts w:hint="eastAsia" w:eastAsia="宋体" w:cs="Times New Roman"/>
                <w:i w:val="0"/>
                <w:iCs w:val="0"/>
                <w:color w:val="000000"/>
                <w:kern w:val="0"/>
                <w:sz w:val="20"/>
                <w:szCs w:val="20"/>
                <w:u w:val="none"/>
                <w:lang w:val="en-US" w:eastAsia="zh-CN" w:bidi="ar"/>
              </w:rPr>
              <w:t>10</w:t>
            </w:r>
            <w:r>
              <w:rPr>
                <w:rFonts w:hint="default" w:ascii="Times New Roman" w:hAnsi="Times New Roman" w:eastAsia="宋体" w:cs="Times New Roman"/>
                <w:i w:val="0"/>
                <w:iCs w:val="0"/>
                <w:color w:val="000000"/>
                <w:kern w:val="0"/>
                <w:sz w:val="20"/>
                <w:szCs w:val="20"/>
                <w:u w:val="none"/>
                <w:lang w:val="en-US" w:eastAsia="zh-CN" w:bidi="ar"/>
              </w:rPr>
              <w:t>.00分）</w:t>
            </w:r>
          </w:p>
        </w:tc>
        <w:tc>
          <w:tcPr>
            <w:tcW w:w="1483" w:type="pct"/>
            <w:vAlign w:val="center"/>
          </w:tcPr>
          <w:p w14:paraId="0F16AC5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C21环卫保洁季度考核合格率</w:t>
            </w:r>
          </w:p>
        </w:tc>
        <w:tc>
          <w:tcPr>
            <w:tcW w:w="672" w:type="pct"/>
            <w:vAlign w:val="center"/>
          </w:tcPr>
          <w:p w14:paraId="646C564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≥85分/季度</w:t>
            </w:r>
          </w:p>
        </w:tc>
        <w:tc>
          <w:tcPr>
            <w:tcW w:w="711" w:type="pct"/>
            <w:vAlign w:val="center"/>
          </w:tcPr>
          <w:p w14:paraId="6E3716A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平均86.78分</w:t>
            </w:r>
          </w:p>
        </w:tc>
        <w:tc>
          <w:tcPr>
            <w:tcW w:w="359" w:type="pct"/>
            <w:vAlign w:val="center"/>
          </w:tcPr>
          <w:p w14:paraId="04B9055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5.00 </w:t>
            </w:r>
          </w:p>
        </w:tc>
        <w:tc>
          <w:tcPr>
            <w:tcW w:w="352" w:type="pct"/>
            <w:vAlign w:val="center"/>
          </w:tcPr>
          <w:p w14:paraId="5C6260B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3.75 </w:t>
            </w:r>
          </w:p>
        </w:tc>
        <w:tc>
          <w:tcPr>
            <w:tcW w:w="454" w:type="pct"/>
            <w:vAlign w:val="center"/>
          </w:tcPr>
          <w:p w14:paraId="4BEFAEB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75.00%</w:t>
            </w:r>
          </w:p>
        </w:tc>
      </w:tr>
      <w:tr w14:paraId="4636F0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1FBD8F30">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continue"/>
            <w:vAlign w:val="center"/>
          </w:tcPr>
          <w:p w14:paraId="164B1587">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color w:val="auto"/>
                <w:sz w:val="20"/>
                <w:szCs w:val="20"/>
              </w:rPr>
            </w:pPr>
          </w:p>
        </w:tc>
        <w:tc>
          <w:tcPr>
            <w:tcW w:w="1483" w:type="pct"/>
            <w:vAlign w:val="center"/>
          </w:tcPr>
          <w:p w14:paraId="5C4D933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C22园林保洁季度考核合格率</w:t>
            </w:r>
          </w:p>
        </w:tc>
        <w:tc>
          <w:tcPr>
            <w:tcW w:w="672" w:type="pct"/>
            <w:vAlign w:val="center"/>
          </w:tcPr>
          <w:p w14:paraId="73E9B47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≥85分/季度</w:t>
            </w:r>
          </w:p>
        </w:tc>
        <w:tc>
          <w:tcPr>
            <w:tcW w:w="711" w:type="pct"/>
            <w:vAlign w:val="center"/>
          </w:tcPr>
          <w:p w14:paraId="0F74896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平均84.75分</w:t>
            </w:r>
          </w:p>
        </w:tc>
        <w:tc>
          <w:tcPr>
            <w:tcW w:w="359" w:type="pct"/>
            <w:vAlign w:val="center"/>
          </w:tcPr>
          <w:p w14:paraId="5FB85F2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5.00 </w:t>
            </w:r>
          </w:p>
        </w:tc>
        <w:tc>
          <w:tcPr>
            <w:tcW w:w="352" w:type="pct"/>
            <w:vAlign w:val="center"/>
          </w:tcPr>
          <w:p w14:paraId="5D5E502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3.75 </w:t>
            </w:r>
          </w:p>
        </w:tc>
        <w:tc>
          <w:tcPr>
            <w:tcW w:w="454" w:type="pct"/>
            <w:vAlign w:val="center"/>
          </w:tcPr>
          <w:p w14:paraId="3E0F795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75.00%</w:t>
            </w:r>
          </w:p>
        </w:tc>
      </w:tr>
      <w:tr w14:paraId="46F2E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1FC6F241">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Align w:val="center"/>
          </w:tcPr>
          <w:p w14:paraId="75F80DE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C3时效指标（</w:t>
            </w:r>
            <w:r>
              <w:rPr>
                <w:rFonts w:hint="eastAsia" w:eastAsia="宋体" w:cs="Times New Roman"/>
                <w:i w:val="0"/>
                <w:iCs w:val="0"/>
                <w:color w:val="000000"/>
                <w:kern w:val="0"/>
                <w:sz w:val="20"/>
                <w:szCs w:val="20"/>
                <w:u w:val="none"/>
                <w:lang w:val="en-US" w:eastAsia="zh-CN" w:bidi="ar"/>
              </w:rPr>
              <w:t>2</w:t>
            </w:r>
            <w:r>
              <w:rPr>
                <w:rFonts w:hint="default" w:ascii="Times New Roman" w:hAnsi="Times New Roman" w:eastAsia="宋体" w:cs="Times New Roman"/>
                <w:i w:val="0"/>
                <w:iCs w:val="0"/>
                <w:color w:val="000000"/>
                <w:kern w:val="0"/>
                <w:sz w:val="20"/>
                <w:szCs w:val="20"/>
                <w:u w:val="none"/>
                <w:lang w:val="en-US" w:eastAsia="zh-CN" w:bidi="ar"/>
              </w:rPr>
              <w:t>.00）</w:t>
            </w:r>
          </w:p>
        </w:tc>
        <w:tc>
          <w:tcPr>
            <w:tcW w:w="1483" w:type="pct"/>
            <w:vAlign w:val="center"/>
          </w:tcPr>
          <w:p w14:paraId="439C70DD">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C31</w:t>
            </w:r>
            <w:r>
              <w:rPr>
                <w:rFonts w:hint="eastAsia" w:eastAsia="宋体" w:cs="Times New Roman"/>
                <w:i w:val="0"/>
                <w:iCs w:val="0"/>
                <w:color w:val="000000"/>
                <w:kern w:val="0"/>
                <w:sz w:val="20"/>
                <w:szCs w:val="20"/>
                <w:u w:val="none"/>
                <w:lang w:val="en-US" w:eastAsia="zh-CN" w:bidi="ar"/>
              </w:rPr>
              <w:t>项目服务考核完成及时率</w:t>
            </w:r>
          </w:p>
        </w:tc>
        <w:tc>
          <w:tcPr>
            <w:tcW w:w="672" w:type="pct"/>
            <w:vAlign w:val="center"/>
          </w:tcPr>
          <w:p w14:paraId="33B34AE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100.00%</w:t>
            </w:r>
          </w:p>
        </w:tc>
        <w:tc>
          <w:tcPr>
            <w:tcW w:w="711" w:type="pct"/>
            <w:vAlign w:val="center"/>
          </w:tcPr>
          <w:p w14:paraId="59B6204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eastAsia="宋体" w:cs="Times New Roman"/>
                <w:i w:val="0"/>
                <w:iCs w:val="0"/>
                <w:color w:val="000000"/>
                <w:kern w:val="0"/>
                <w:sz w:val="20"/>
                <w:szCs w:val="20"/>
                <w:u w:val="none"/>
                <w:lang w:val="en-US" w:eastAsia="zh-CN" w:bidi="ar"/>
              </w:rPr>
              <w:t>10</w:t>
            </w:r>
            <w:r>
              <w:rPr>
                <w:rFonts w:hint="eastAsia" w:ascii="Times New Roman" w:hAnsi="Times New Roman" w:eastAsia="宋体" w:cs="Times New Roman"/>
                <w:i w:val="0"/>
                <w:iCs w:val="0"/>
                <w:color w:val="000000"/>
                <w:kern w:val="0"/>
                <w:sz w:val="20"/>
                <w:szCs w:val="20"/>
                <w:u w:val="none"/>
                <w:lang w:val="en-US" w:eastAsia="zh-CN" w:bidi="ar"/>
              </w:rPr>
              <w:t>0.00%</w:t>
            </w:r>
          </w:p>
        </w:tc>
        <w:tc>
          <w:tcPr>
            <w:tcW w:w="359" w:type="pct"/>
            <w:vAlign w:val="center"/>
          </w:tcPr>
          <w:p w14:paraId="2396E34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2.00 </w:t>
            </w:r>
          </w:p>
        </w:tc>
        <w:tc>
          <w:tcPr>
            <w:tcW w:w="352" w:type="pct"/>
            <w:vAlign w:val="center"/>
          </w:tcPr>
          <w:p w14:paraId="04DD274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2.00 </w:t>
            </w:r>
          </w:p>
        </w:tc>
        <w:tc>
          <w:tcPr>
            <w:tcW w:w="454" w:type="pct"/>
            <w:vAlign w:val="center"/>
          </w:tcPr>
          <w:p w14:paraId="4A28ED8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2812E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57638731">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restart"/>
            <w:vAlign w:val="center"/>
          </w:tcPr>
          <w:p w14:paraId="443C6DA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C4产出成本（5.00分）</w:t>
            </w:r>
          </w:p>
        </w:tc>
        <w:tc>
          <w:tcPr>
            <w:tcW w:w="1483" w:type="pct"/>
            <w:vAlign w:val="center"/>
          </w:tcPr>
          <w:p w14:paraId="447D170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C41年度服务费</w:t>
            </w:r>
          </w:p>
        </w:tc>
        <w:tc>
          <w:tcPr>
            <w:tcW w:w="672" w:type="pct"/>
            <w:vAlign w:val="center"/>
          </w:tcPr>
          <w:p w14:paraId="401AAF5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≤4,529.51万元</w:t>
            </w:r>
          </w:p>
        </w:tc>
        <w:tc>
          <w:tcPr>
            <w:tcW w:w="711" w:type="pct"/>
            <w:vAlign w:val="center"/>
          </w:tcPr>
          <w:p w14:paraId="6D6A509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4,522.50万元</w:t>
            </w:r>
          </w:p>
        </w:tc>
        <w:tc>
          <w:tcPr>
            <w:tcW w:w="359" w:type="pct"/>
            <w:vAlign w:val="center"/>
          </w:tcPr>
          <w:p w14:paraId="4FC10DA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4.00 </w:t>
            </w:r>
          </w:p>
        </w:tc>
        <w:tc>
          <w:tcPr>
            <w:tcW w:w="352" w:type="pct"/>
            <w:vAlign w:val="center"/>
          </w:tcPr>
          <w:p w14:paraId="2D97068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4.00 </w:t>
            </w:r>
          </w:p>
        </w:tc>
        <w:tc>
          <w:tcPr>
            <w:tcW w:w="454" w:type="pct"/>
            <w:vAlign w:val="center"/>
          </w:tcPr>
          <w:p w14:paraId="5C6B823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564FC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7" w:type="pct"/>
            <w:vMerge w:val="continue"/>
            <w:vAlign w:val="center"/>
          </w:tcPr>
          <w:p w14:paraId="1EE849F5">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18" w:type="pct"/>
            <w:vMerge w:val="continue"/>
            <w:vAlign w:val="center"/>
          </w:tcPr>
          <w:p w14:paraId="2180BD75">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color w:val="auto"/>
                <w:sz w:val="20"/>
                <w:szCs w:val="20"/>
              </w:rPr>
            </w:pPr>
          </w:p>
        </w:tc>
        <w:tc>
          <w:tcPr>
            <w:tcW w:w="1483" w:type="pct"/>
            <w:vAlign w:val="center"/>
          </w:tcPr>
          <w:p w14:paraId="1695C45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color w:val="auto"/>
                <w:sz w:val="20"/>
                <w:szCs w:val="20"/>
              </w:rPr>
            </w:pPr>
            <w:r>
              <w:rPr>
                <w:rFonts w:hint="default" w:ascii="Times New Roman" w:hAnsi="Times New Roman" w:eastAsia="宋体" w:cs="Times New Roman"/>
                <w:i w:val="0"/>
                <w:iCs w:val="0"/>
                <w:color w:val="000000"/>
                <w:kern w:val="0"/>
                <w:sz w:val="20"/>
                <w:szCs w:val="20"/>
                <w:u w:val="none"/>
                <w:lang w:val="en-US" w:eastAsia="zh-CN" w:bidi="ar"/>
              </w:rPr>
              <w:t>C</w:t>
            </w:r>
            <w:r>
              <w:rPr>
                <w:rFonts w:hint="eastAsia" w:eastAsia="宋体" w:cs="Times New Roman"/>
                <w:i w:val="0"/>
                <w:iCs w:val="0"/>
                <w:color w:val="000000"/>
                <w:kern w:val="0"/>
                <w:sz w:val="20"/>
                <w:szCs w:val="20"/>
                <w:u w:val="none"/>
                <w:lang w:val="en-US" w:eastAsia="zh-CN" w:bidi="ar"/>
              </w:rPr>
              <w:t>42</w:t>
            </w:r>
            <w:r>
              <w:rPr>
                <w:rFonts w:hint="default" w:ascii="Times New Roman" w:hAnsi="Times New Roman" w:eastAsia="宋体" w:cs="Times New Roman"/>
                <w:i w:val="0"/>
                <w:iCs w:val="0"/>
                <w:color w:val="000000"/>
                <w:kern w:val="0"/>
                <w:sz w:val="20"/>
                <w:szCs w:val="20"/>
                <w:u w:val="none"/>
                <w:lang w:val="en-US" w:eastAsia="zh-CN" w:bidi="ar"/>
              </w:rPr>
              <w:t>承接主体对城市节日氛围打造投入费用</w:t>
            </w:r>
          </w:p>
        </w:tc>
        <w:tc>
          <w:tcPr>
            <w:tcW w:w="672" w:type="pct"/>
            <w:vAlign w:val="center"/>
          </w:tcPr>
          <w:p w14:paraId="5407428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≥150.00万元</w:t>
            </w:r>
          </w:p>
        </w:tc>
        <w:tc>
          <w:tcPr>
            <w:tcW w:w="711" w:type="pct"/>
            <w:vAlign w:val="center"/>
          </w:tcPr>
          <w:p w14:paraId="71D842E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265.18万元</w:t>
            </w:r>
          </w:p>
        </w:tc>
        <w:tc>
          <w:tcPr>
            <w:tcW w:w="359" w:type="pct"/>
            <w:vAlign w:val="center"/>
          </w:tcPr>
          <w:p w14:paraId="4DB4AD7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352" w:type="pct"/>
            <w:vAlign w:val="center"/>
          </w:tcPr>
          <w:p w14:paraId="43F969B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1.00 </w:t>
            </w:r>
          </w:p>
        </w:tc>
        <w:tc>
          <w:tcPr>
            <w:tcW w:w="454" w:type="pct"/>
            <w:vAlign w:val="center"/>
          </w:tcPr>
          <w:p w14:paraId="4B60710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color w:val="auto"/>
                <w:kern w:val="0"/>
                <w:sz w:val="20"/>
                <w:szCs w:val="20"/>
                <w:lang w:bidi="ar"/>
              </w:rPr>
            </w:pPr>
            <w:r>
              <w:rPr>
                <w:rFonts w:hint="eastAsia" w:ascii="宋体" w:hAnsi="宋体" w:eastAsia="宋体" w:cs="宋体"/>
                <w:i w:val="0"/>
                <w:iCs w:val="0"/>
                <w:color w:val="000000"/>
                <w:kern w:val="0"/>
                <w:sz w:val="20"/>
                <w:szCs w:val="20"/>
                <w:u w:val="none"/>
                <w:lang w:val="en-US" w:eastAsia="zh-CN" w:bidi="ar"/>
              </w:rPr>
              <w:t>100.00%</w:t>
            </w:r>
          </w:p>
        </w:tc>
      </w:tr>
      <w:tr w14:paraId="64E9E0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449" w:type="pct"/>
            <w:gridSpan w:val="3"/>
            <w:vAlign w:val="center"/>
          </w:tcPr>
          <w:p w14:paraId="158A84A6">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b w:val="0"/>
                <w:bCs w:val="0"/>
                <w:color w:val="auto"/>
                <w:sz w:val="20"/>
                <w:szCs w:val="20"/>
              </w:rPr>
            </w:pPr>
            <w:r>
              <w:rPr>
                <w:rFonts w:hint="default" w:ascii="Times New Roman" w:hAnsi="Times New Roman" w:cs="Times New Roman"/>
                <w:b w:val="0"/>
                <w:bCs w:val="0"/>
                <w:color w:val="auto"/>
                <w:sz w:val="20"/>
                <w:szCs w:val="20"/>
              </w:rPr>
              <w:t>合计</w:t>
            </w:r>
          </w:p>
        </w:tc>
        <w:tc>
          <w:tcPr>
            <w:tcW w:w="672" w:type="pct"/>
            <w:vAlign w:val="center"/>
          </w:tcPr>
          <w:p w14:paraId="641DB227">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cs="Times New Roman"/>
                <w:b w:val="0"/>
                <w:bCs w:val="0"/>
                <w:color w:val="auto"/>
                <w:kern w:val="0"/>
                <w:sz w:val="20"/>
                <w:szCs w:val="20"/>
                <w:lang w:bidi="ar"/>
              </w:rPr>
            </w:pPr>
          </w:p>
        </w:tc>
        <w:tc>
          <w:tcPr>
            <w:tcW w:w="711" w:type="pct"/>
            <w:vAlign w:val="center"/>
          </w:tcPr>
          <w:p w14:paraId="102A4959">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cs="Times New Roman"/>
                <w:b w:val="0"/>
                <w:bCs w:val="0"/>
                <w:color w:val="auto"/>
                <w:kern w:val="0"/>
                <w:sz w:val="20"/>
                <w:szCs w:val="20"/>
                <w:lang w:val="en-US" w:eastAsia="zh-CN" w:bidi="ar"/>
              </w:rPr>
            </w:pPr>
          </w:p>
        </w:tc>
        <w:tc>
          <w:tcPr>
            <w:tcW w:w="359" w:type="pct"/>
            <w:vAlign w:val="center"/>
          </w:tcPr>
          <w:p w14:paraId="4358FD3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b w:val="0"/>
                <w:bCs w:val="0"/>
                <w:color w:val="auto"/>
                <w:kern w:val="0"/>
                <w:sz w:val="20"/>
                <w:szCs w:val="20"/>
                <w:lang w:bidi="ar"/>
              </w:rPr>
            </w:pPr>
            <w:r>
              <w:rPr>
                <w:rFonts w:hint="eastAsia" w:ascii="宋体" w:hAnsi="宋体" w:eastAsia="宋体" w:cs="宋体"/>
                <w:b/>
                <w:bCs/>
                <w:i w:val="0"/>
                <w:iCs w:val="0"/>
                <w:color w:val="000000"/>
                <w:kern w:val="0"/>
                <w:sz w:val="20"/>
                <w:szCs w:val="20"/>
                <w:u w:val="none"/>
                <w:lang w:val="en-US" w:eastAsia="zh-CN" w:bidi="ar"/>
              </w:rPr>
              <w:t xml:space="preserve">30.00 </w:t>
            </w:r>
          </w:p>
        </w:tc>
        <w:tc>
          <w:tcPr>
            <w:tcW w:w="352" w:type="pct"/>
            <w:vAlign w:val="center"/>
          </w:tcPr>
          <w:p w14:paraId="71CDFE6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b w:val="0"/>
                <w:bCs w:val="0"/>
                <w:color w:val="auto"/>
                <w:kern w:val="0"/>
                <w:sz w:val="20"/>
                <w:szCs w:val="20"/>
                <w:lang w:val="en-US" w:eastAsia="zh-CN" w:bidi="ar"/>
              </w:rPr>
            </w:pPr>
            <w:r>
              <w:rPr>
                <w:rFonts w:hint="eastAsia" w:ascii="宋体" w:hAnsi="宋体" w:eastAsia="宋体" w:cs="宋体"/>
                <w:b/>
                <w:bCs/>
                <w:i w:val="0"/>
                <w:iCs w:val="0"/>
                <w:color w:val="000000"/>
                <w:kern w:val="0"/>
                <w:sz w:val="20"/>
                <w:szCs w:val="20"/>
                <w:u w:val="none"/>
                <w:lang w:val="en-US" w:eastAsia="zh-CN" w:bidi="ar"/>
              </w:rPr>
              <w:t xml:space="preserve">27.50 </w:t>
            </w:r>
          </w:p>
        </w:tc>
        <w:tc>
          <w:tcPr>
            <w:tcW w:w="454" w:type="pct"/>
            <w:vAlign w:val="center"/>
          </w:tcPr>
          <w:p w14:paraId="5E37034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cs="Times New Roman"/>
                <w:b w:val="0"/>
                <w:bCs w:val="0"/>
                <w:color w:val="auto"/>
                <w:kern w:val="0"/>
                <w:sz w:val="20"/>
                <w:szCs w:val="20"/>
                <w:lang w:bidi="ar"/>
              </w:rPr>
            </w:pPr>
            <w:r>
              <w:rPr>
                <w:rFonts w:hint="eastAsia" w:ascii="宋体" w:hAnsi="宋体" w:eastAsia="宋体" w:cs="宋体"/>
                <w:b/>
                <w:bCs/>
                <w:i w:val="0"/>
                <w:iCs w:val="0"/>
                <w:color w:val="000000"/>
                <w:kern w:val="0"/>
                <w:sz w:val="20"/>
                <w:szCs w:val="20"/>
                <w:u w:val="none"/>
                <w:lang w:val="en-US" w:eastAsia="zh-CN" w:bidi="ar"/>
              </w:rPr>
              <w:t>91.67%</w:t>
            </w:r>
          </w:p>
        </w:tc>
      </w:tr>
    </w:tbl>
    <w:p w14:paraId="45927E98">
      <w:pPr>
        <w:pageBreakBefore w:val="0"/>
        <w:kinsoku/>
        <w:wordWrap/>
        <w:overflowPunct/>
        <w:topLinePunct w:val="0"/>
        <w:autoSpaceDE/>
        <w:autoSpaceDN/>
        <w:bidi w:val="0"/>
        <w:snapToGrid w:val="0"/>
        <w:spacing w:before="0" w:after="0" w:line="360" w:lineRule="auto"/>
        <w:ind w:firstLine="422"/>
        <w:rPr>
          <w:rFonts w:hint="default" w:ascii="Times New Roman" w:hAnsi="Times New Roman" w:eastAsia="宋体" w:cs="Times New Roman"/>
          <w:b/>
          <w:bCs/>
          <w:color w:val="auto"/>
        </w:rPr>
      </w:pPr>
    </w:p>
    <w:p w14:paraId="05C8186D">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color w:val="auto"/>
        </w:rPr>
      </w:pPr>
      <w:r>
        <w:rPr>
          <w:rFonts w:hint="default" w:ascii="Times New Roman" w:hAnsi="Times New Roman" w:eastAsia="宋体" w:cs="Times New Roman"/>
          <w:b/>
          <w:bCs/>
          <w:color w:val="auto"/>
        </w:rPr>
        <w:t>指标得分分析</w:t>
      </w:r>
      <w:r>
        <w:rPr>
          <w:rFonts w:hint="default" w:ascii="Times New Roman" w:hAnsi="Times New Roman" w:cs="Times New Roman"/>
          <w:b/>
          <w:bCs/>
          <w:color w:val="auto"/>
        </w:rPr>
        <w:t>：</w:t>
      </w:r>
    </w:p>
    <w:p w14:paraId="43F4619A">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（1）C11道路清洁保洁服务完成率指标：</w:t>
      </w:r>
    </w:p>
    <w:p w14:paraId="356D3144">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w:t>
      </w:r>
      <w:r>
        <w:rPr>
          <w:rFonts w:hint="default" w:ascii="Times New Roman" w:hAnsi="Times New Roman" w:cs="Times New Roman"/>
          <w:color w:val="auto"/>
          <w:lang w:eastAsia="zh-CN"/>
        </w:rPr>
        <w:t>《吉木萨尔县城市管理服务“三位一体”委托运营项目专项审计报告》（新晟专审字〔2024〕2-008号）</w:t>
      </w:r>
      <w:r>
        <w:rPr>
          <w:rFonts w:hint="default" w:ascii="Times New Roman" w:hAnsi="Times New Roman" w:cs="Times New Roman"/>
          <w:color w:val="auto"/>
        </w:rPr>
        <w:t>等资料显示，</w:t>
      </w:r>
      <w:r>
        <w:rPr>
          <w:rFonts w:hint="default" w:ascii="Times New Roman" w:hAnsi="Times New Roman" w:cs="Times New Roman"/>
          <w:lang w:val="en-US" w:eastAsia="zh-CN"/>
        </w:rPr>
        <w:t>泓欣环境集团有限公司吉木萨尔分公司</w:t>
      </w:r>
      <w:r>
        <w:rPr>
          <w:rFonts w:hint="default" w:ascii="Times New Roman" w:hAnsi="Times New Roman" w:cs="Times New Roman"/>
          <w:color w:val="auto"/>
          <w:lang w:val="en-US" w:eastAsia="zh-CN"/>
        </w:rPr>
        <w:t>已</w:t>
      </w:r>
      <w:r>
        <w:rPr>
          <w:rFonts w:hint="eastAsia" w:cs="Times New Roman"/>
          <w:color w:val="auto"/>
          <w:lang w:val="en-US" w:eastAsia="zh-CN"/>
        </w:rPr>
        <w:t>提供</w:t>
      </w:r>
      <w:r>
        <w:rPr>
          <w:rFonts w:hint="default" w:ascii="Times New Roman" w:hAnsi="Times New Roman" w:cs="Times New Roman"/>
          <w:color w:val="auto"/>
          <w:lang w:val="en-US" w:eastAsia="zh-CN"/>
        </w:rPr>
        <w:t>服务合同</w:t>
      </w:r>
      <w:r>
        <w:rPr>
          <w:rFonts w:hint="eastAsia" w:cs="Times New Roman"/>
          <w:color w:val="auto"/>
          <w:lang w:val="en-US" w:eastAsia="zh-CN"/>
        </w:rPr>
        <w:t>内容包含</w:t>
      </w:r>
      <w:r>
        <w:rPr>
          <w:rFonts w:hint="default" w:ascii="Times New Roman" w:hAnsi="Times New Roman" w:cs="Times New Roman"/>
          <w:color w:val="auto"/>
        </w:rPr>
        <w:t>道路清洁保洁服务</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清扫保洁总面积318.31万平方米（其中原合同293.28万平方米，</w:t>
      </w:r>
      <w:r>
        <w:rPr>
          <w:rFonts w:hint="default" w:ascii="Times New Roman" w:hAnsi="Times New Roman" w:cs="Times New Roman"/>
          <w:color w:val="auto"/>
          <w:lang w:val="en-US" w:eastAsia="zh-CN"/>
        </w:rPr>
        <w:t>2024年</w:t>
      </w:r>
      <w:r>
        <w:rPr>
          <w:rFonts w:hint="default" w:ascii="Times New Roman" w:hAnsi="Times New Roman" w:cs="Times New Roman"/>
          <w:color w:val="auto"/>
          <w:lang w:eastAsia="zh-Hans"/>
        </w:rPr>
        <w:t>新增25.03万平方米）。</w:t>
      </w:r>
      <w:r>
        <w:rPr>
          <w:rFonts w:hint="eastAsia" w:cs="Times New Roman"/>
          <w:color w:val="auto"/>
          <w:lang w:val="en-US" w:eastAsia="zh-CN"/>
        </w:rPr>
        <w:t>经绩效评价组查阅项目运营管理单位提供的</w:t>
      </w:r>
      <w:r>
        <w:rPr>
          <w:rFonts w:hint="default" w:ascii="Times New Roman" w:hAnsi="Times New Roman" w:cs="Times New Roman"/>
          <w:color w:val="auto"/>
        </w:rPr>
        <w:t>《202</w:t>
      </w:r>
      <w:r>
        <w:rPr>
          <w:rFonts w:hint="eastAsia" w:cs="Times New Roman"/>
          <w:color w:val="auto"/>
          <w:lang w:val="en-US" w:eastAsia="zh-CN"/>
        </w:rPr>
        <w:t>4</w:t>
      </w:r>
      <w:r>
        <w:rPr>
          <w:rFonts w:hint="default" w:ascii="Times New Roman" w:hAnsi="Times New Roman" w:cs="Times New Roman"/>
          <w:color w:val="auto"/>
        </w:rPr>
        <w:t>年度吉木萨尔道路信息统计》《吉木萨尔县城区道路、绿化、裸地面积汇总表》</w:t>
      </w:r>
      <w:r>
        <w:rPr>
          <w:rFonts w:hint="default" w:ascii="Times New Roman" w:hAnsi="Times New Roman" w:cs="Times New Roman"/>
          <w:color w:val="auto"/>
          <w:lang w:val="en-US" w:eastAsia="zh-CN"/>
        </w:rPr>
        <w:t>《2024年6月清洁保洁台账》《2024年8月清扫车出车登记表》</w:t>
      </w:r>
      <w:r>
        <w:rPr>
          <w:rFonts w:hint="eastAsia" w:cs="Times New Roman"/>
          <w:color w:val="auto"/>
          <w:lang w:val="en-US" w:eastAsia="zh-CN"/>
        </w:rPr>
        <w:t>显示，项目运营管理单位已对开展日常的道路清扫保洁的服务管理的工作进行记录。</w:t>
      </w:r>
    </w:p>
    <w:p w14:paraId="394D250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该指标满分为3.00分，根据评分标准得</w:t>
      </w:r>
      <w:r>
        <w:rPr>
          <w:rFonts w:hint="default" w:ascii="Times New Roman" w:hAnsi="Times New Roman" w:cs="Times New Roman"/>
          <w:color w:val="auto"/>
          <w:lang w:val="en-US" w:eastAsia="zh-CN"/>
        </w:rPr>
        <w:t>3.00</w:t>
      </w:r>
      <w:r>
        <w:rPr>
          <w:rFonts w:hint="default" w:ascii="Times New Roman" w:hAnsi="Times New Roman" w:cs="Times New Roman"/>
          <w:color w:val="auto"/>
        </w:rPr>
        <w:t>分。</w:t>
      </w:r>
    </w:p>
    <w:p w14:paraId="531F6B24">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（2）C12清洁公厕服务完成率指标：</w:t>
      </w:r>
    </w:p>
    <w:p w14:paraId="5BD953A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《泓欣公厕台账》</w:t>
      </w:r>
      <w:r>
        <w:rPr>
          <w:rFonts w:hint="default" w:ascii="Times New Roman" w:hAnsi="Times New Roman" w:cs="Times New Roman"/>
          <w:color w:val="auto"/>
          <w:lang w:eastAsia="zh-CN"/>
        </w:rPr>
        <w:t>《2024年现场作业质量巡检表</w:t>
      </w:r>
      <w:r>
        <w:rPr>
          <w:rFonts w:hint="default" w:ascii="Times New Roman" w:hAnsi="Times New Roman" w:cs="Times New Roman"/>
          <w:color w:val="auto"/>
          <w:lang w:val="en-US" w:eastAsia="zh-CN"/>
        </w:rPr>
        <w:t>-公共厕所</w:t>
      </w:r>
      <w:r>
        <w:rPr>
          <w:rFonts w:hint="default" w:ascii="Times New Roman" w:hAnsi="Times New Roman" w:cs="Times New Roman"/>
          <w:color w:val="auto"/>
          <w:lang w:eastAsia="zh-CN"/>
        </w:rPr>
        <w:t>》《吉木萨尔县城市管理服务“三位一体”委托运营项目专项审计报告》（新晟专审字〔2024〕2-008号）《2024年度泓欣环境集团有限公司吉木萨尔分公司公厕运维台账》</w:t>
      </w:r>
      <w:r>
        <w:rPr>
          <w:rFonts w:hint="default" w:ascii="Times New Roman" w:hAnsi="Times New Roman" w:cs="Times New Roman"/>
          <w:color w:val="auto"/>
        </w:rPr>
        <w:t>等资料显示，泓欣环境集团有限公司</w:t>
      </w:r>
      <w:r>
        <w:rPr>
          <w:rFonts w:hint="default" w:ascii="Times New Roman" w:hAnsi="Times New Roman" w:cs="Times New Roman"/>
          <w:color w:val="auto"/>
          <w:lang w:val="en-US" w:eastAsia="zh-CN"/>
        </w:rPr>
        <w:t>已按照服务合同约定根据厕所移交时的2</w:t>
      </w:r>
      <w:r>
        <w:rPr>
          <w:rFonts w:hint="eastAsia" w:cs="Times New Roman"/>
          <w:color w:val="auto"/>
          <w:lang w:val="en-US" w:eastAsia="zh-CN"/>
        </w:rPr>
        <w:t>6</w:t>
      </w:r>
      <w:r>
        <w:rPr>
          <w:rFonts w:hint="default" w:ascii="Times New Roman" w:hAnsi="Times New Roman" w:cs="Times New Roman"/>
          <w:color w:val="auto"/>
          <w:lang w:val="en-US" w:eastAsia="zh-CN"/>
        </w:rPr>
        <w:t>座公厕，实际安排2</w:t>
      </w:r>
      <w:r>
        <w:rPr>
          <w:rFonts w:hint="eastAsia" w:cs="Times New Roman"/>
          <w:color w:val="auto"/>
          <w:lang w:val="en-US" w:eastAsia="zh-CN"/>
        </w:rPr>
        <w:t>6</w:t>
      </w:r>
      <w:r>
        <w:rPr>
          <w:rFonts w:hint="default" w:ascii="Times New Roman" w:hAnsi="Times New Roman" w:cs="Times New Roman"/>
          <w:color w:val="auto"/>
          <w:lang w:val="en-US" w:eastAsia="zh-CN"/>
        </w:rPr>
        <w:t>人对移交公厕进行日常清洁保洁，并做好日常保洁记录</w:t>
      </w:r>
      <w:r>
        <w:rPr>
          <w:rFonts w:hint="default" w:ascii="Times New Roman" w:hAnsi="Times New Roman" w:cs="Times New Roman"/>
          <w:color w:val="auto"/>
        </w:rPr>
        <w:t>。</w:t>
      </w:r>
    </w:p>
    <w:p w14:paraId="5763FD7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该指标满分为1.00分，根据评分标准得</w:t>
      </w:r>
      <w:r>
        <w:rPr>
          <w:rFonts w:hint="default" w:ascii="Times New Roman" w:hAnsi="Times New Roman" w:cs="Times New Roman"/>
          <w:color w:val="auto"/>
          <w:lang w:val="en-US" w:eastAsia="zh-CN"/>
        </w:rPr>
        <w:t>1</w:t>
      </w:r>
      <w:r>
        <w:rPr>
          <w:rFonts w:hint="default" w:ascii="Times New Roman" w:hAnsi="Times New Roman" w:cs="Times New Roman"/>
          <w:color w:val="auto"/>
        </w:rPr>
        <w:t>.00分。</w:t>
      </w:r>
    </w:p>
    <w:p w14:paraId="46483D7C">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（3）C13冬季除雪服务完成率指标：</w:t>
      </w:r>
    </w:p>
    <w:p w14:paraId="04A02D2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《2022年度吉木萨尔道路信息统计》《吉木萨尔新增三条道路信息统计》</w:t>
      </w:r>
      <w:r>
        <w:rPr>
          <w:rFonts w:hint="default" w:ascii="Times New Roman" w:hAnsi="Times New Roman" w:cs="Times New Roman"/>
          <w:color w:val="auto"/>
          <w:lang w:val="en-US" w:eastAsia="zh-CN"/>
        </w:rPr>
        <w:t>《2024年12月清雪车出车登记表》</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2024年11月拉雪车出车登记表</w:t>
      </w:r>
      <w:r>
        <w:rPr>
          <w:rFonts w:hint="default" w:ascii="Times New Roman" w:hAnsi="Times New Roman" w:cs="Times New Roman"/>
          <w:color w:val="auto"/>
          <w:lang w:eastAsia="zh-CN"/>
        </w:rPr>
        <w:t>》《吉木萨尔县城市管理服务“三位一体”委托运营项目专项审计报告》（新晟专审字〔2024〕2-008号）</w:t>
      </w:r>
      <w:r>
        <w:rPr>
          <w:rFonts w:hint="default" w:ascii="Times New Roman" w:hAnsi="Times New Roman" w:cs="Times New Roman"/>
          <w:color w:val="auto"/>
        </w:rPr>
        <w:t>等资料显示，</w:t>
      </w:r>
      <w:r>
        <w:rPr>
          <w:rFonts w:hint="default" w:ascii="Times New Roman" w:hAnsi="Times New Roman" w:cs="Times New Roman"/>
          <w:lang w:val="en-US" w:eastAsia="zh-CN"/>
        </w:rPr>
        <w:t>泓欣环境集团有限公司吉木萨尔分公司</w:t>
      </w:r>
      <w:r>
        <w:rPr>
          <w:rFonts w:hint="default" w:ascii="Times New Roman" w:hAnsi="Times New Roman" w:cs="Times New Roman"/>
          <w:color w:val="auto"/>
          <w:lang w:val="en-US" w:eastAsia="zh-CN"/>
        </w:rPr>
        <w:t>已按照服务合同约定完成冬季除雪服务</w:t>
      </w:r>
      <w:r>
        <w:rPr>
          <w:rFonts w:hint="default" w:ascii="Times New Roman" w:hAnsi="Times New Roman" w:cs="Times New Roman"/>
          <w:color w:val="auto"/>
        </w:rPr>
        <w:t>，</w:t>
      </w:r>
      <w:r>
        <w:rPr>
          <w:rFonts w:hint="default" w:ascii="Times New Roman" w:hAnsi="Times New Roman" w:cs="Times New Roman"/>
          <w:color w:val="auto"/>
          <w:lang w:eastAsia="zh-Hans"/>
        </w:rPr>
        <w:t>实施人机结合清雪工作，保障辖区道路安全畅通，</w:t>
      </w:r>
      <w:r>
        <w:rPr>
          <w:rFonts w:hint="default" w:ascii="Times New Roman" w:hAnsi="Times New Roman" w:cs="Times New Roman"/>
          <w:color w:val="auto"/>
          <w:lang w:val="en-US" w:eastAsia="zh-CN"/>
        </w:rPr>
        <w:t>实际</w:t>
      </w:r>
      <w:r>
        <w:rPr>
          <w:rFonts w:hint="default" w:ascii="Times New Roman" w:hAnsi="Times New Roman" w:cs="Times New Roman"/>
          <w:color w:val="auto"/>
          <w:lang w:eastAsia="zh-Hans"/>
        </w:rPr>
        <w:t>清雪道路面积</w:t>
      </w:r>
      <w:r>
        <w:rPr>
          <w:rFonts w:hint="default" w:ascii="Times New Roman" w:hAnsi="Times New Roman" w:cs="Times New Roman"/>
          <w:color w:val="auto"/>
          <w:lang w:val="en-US" w:eastAsia="zh-CN"/>
        </w:rPr>
        <w:t>201.03</w:t>
      </w:r>
      <w:r>
        <w:rPr>
          <w:rFonts w:hint="default" w:ascii="Times New Roman" w:hAnsi="Times New Roman" w:cs="Times New Roman"/>
          <w:color w:val="auto"/>
          <w:lang w:eastAsia="zh-Hans"/>
        </w:rPr>
        <w:t>万平方米，（其中原合同176万平方米，新增25.03万平方米，含非机动车道和人行道面积）。</w:t>
      </w:r>
      <w:r>
        <w:rPr>
          <w:rFonts w:hint="default" w:ascii="Times New Roman" w:hAnsi="Times New Roman" w:cs="Times New Roman"/>
          <w:color w:val="auto"/>
          <w:lang w:val="en-US" w:eastAsia="zh-CN"/>
        </w:rPr>
        <w:t>达到预期目标</w:t>
      </w:r>
      <w:r>
        <w:rPr>
          <w:rFonts w:hint="default" w:ascii="Times New Roman" w:hAnsi="Times New Roman" w:cs="Times New Roman"/>
          <w:color w:val="auto"/>
        </w:rPr>
        <w:t>。</w:t>
      </w:r>
    </w:p>
    <w:p w14:paraId="341992C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该指标满分为3.00分，根据评分标准得</w:t>
      </w:r>
      <w:r>
        <w:rPr>
          <w:rFonts w:hint="default" w:ascii="Times New Roman" w:hAnsi="Times New Roman" w:cs="Times New Roman"/>
          <w:color w:val="auto"/>
          <w:lang w:val="en-US" w:eastAsia="zh-CN"/>
        </w:rPr>
        <w:t>3.00</w:t>
      </w:r>
      <w:r>
        <w:rPr>
          <w:rFonts w:hint="default" w:ascii="Times New Roman" w:hAnsi="Times New Roman" w:cs="Times New Roman"/>
          <w:color w:val="auto"/>
        </w:rPr>
        <w:t>分。</w:t>
      </w:r>
    </w:p>
    <w:p w14:paraId="75F25763">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（4）C14建设完成智慧环卫平台建设服务完成率指标：</w:t>
      </w:r>
    </w:p>
    <w:p w14:paraId="37747319">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《2024年度泓欣环境集团有限公司吉木萨尔分公司智慧环卫平台建设台账》等资料显示，泓欣环境集团有限公司采购</w:t>
      </w:r>
      <w:r>
        <w:rPr>
          <w:rFonts w:hint="default" w:ascii="Times New Roman" w:hAnsi="Times New Roman" w:cs="Times New Roman"/>
          <w:color w:val="auto"/>
          <w:lang w:val="en-US" w:eastAsia="zh-CN"/>
        </w:rPr>
        <w:t>福建逸充空间信息科技有限公司为软件开发公司，在2024年完成了软件开发平台，主要包括</w:t>
      </w:r>
      <w:r>
        <w:rPr>
          <w:rFonts w:hint="default" w:ascii="Times New Roman" w:hAnsi="Times New Roman" w:cs="Times New Roman"/>
          <w:color w:val="auto"/>
        </w:rPr>
        <w:t>智慧环卫手机APP端</w:t>
      </w:r>
      <w:r>
        <w:rPr>
          <w:rFonts w:hint="default" w:ascii="Times New Roman" w:hAnsi="Times New Roman" w:cs="Times New Roman"/>
          <w:color w:val="auto"/>
          <w:lang w:val="en-US" w:eastAsia="zh-CN"/>
        </w:rPr>
        <w:t>和</w:t>
      </w:r>
      <w:r>
        <w:rPr>
          <w:rFonts w:hint="default" w:ascii="Times New Roman" w:hAnsi="Times New Roman" w:cs="Times New Roman"/>
          <w:color w:val="auto"/>
        </w:rPr>
        <w:t>智慧环卫管理平台端</w:t>
      </w:r>
      <w:r>
        <w:rPr>
          <w:rFonts w:hint="default" w:ascii="Times New Roman" w:hAnsi="Times New Roman" w:cs="Times New Roman"/>
          <w:color w:val="auto"/>
          <w:lang w:eastAsia="zh-CN"/>
        </w:rPr>
        <w:t>（</w:t>
      </w:r>
      <w:r>
        <w:rPr>
          <w:rFonts w:hint="default" w:ascii="Times New Roman" w:hAnsi="Times New Roman" w:cs="Times New Roman"/>
          <w:color w:val="auto"/>
        </w:rPr>
        <w:t>区域及项目展示大屏、监控调度、人员定位管理、智能手环管理、车辆台账管理、车辆轨迹、固定资产、人事管理、统计分析、系统管理模块</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并于</w:t>
      </w:r>
      <w:r>
        <w:rPr>
          <w:rFonts w:hint="default" w:ascii="Times New Roman" w:hAnsi="Times New Roman" w:cs="Times New Roman"/>
          <w:color w:val="auto"/>
          <w:lang w:eastAsia="zh-Hans"/>
        </w:rPr>
        <w:t>202</w:t>
      </w:r>
      <w:r>
        <w:rPr>
          <w:rFonts w:hint="default" w:ascii="Times New Roman" w:hAnsi="Times New Roman" w:cs="Times New Roman"/>
          <w:color w:val="auto"/>
          <w:lang w:val="en-US" w:eastAsia="zh-CN"/>
        </w:rPr>
        <w:t>4</w:t>
      </w:r>
      <w:r>
        <w:rPr>
          <w:rFonts w:hint="default" w:ascii="Times New Roman" w:hAnsi="Times New Roman" w:cs="Times New Roman"/>
          <w:color w:val="auto"/>
          <w:lang w:eastAsia="zh-Hans"/>
        </w:rPr>
        <w:t>年</w:t>
      </w:r>
      <w:r>
        <w:rPr>
          <w:rFonts w:hint="default" w:ascii="Times New Roman" w:hAnsi="Times New Roman" w:cs="Times New Roman"/>
          <w:color w:val="auto"/>
          <w:lang w:val="en-US" w:eastAsia="zh-CN"/>
        </w:rPr>
        <w:t>9</w:t>
      </w:r>
      <w:r>
        <w:rPr>
          <w:rFonts w:hint="default" w:ascii="Times New Roman" w:hAnsi="Times New Roman" w:cs="Times New Roman"/>
          <w:color w:val="auto"/>
          <w:lang w:eastAsia="zh-Hans"/>
        </w:rPr>
        <w:t>月</w:t>
      </w:r>
      <w:r>
        <w:rPr>
          <w:rFonts w:hint="default" w:ascii="Times New Roman" w:hAnsi="Times New Roman" w:cs="Times New Roman"/>
          <w:color w:val="auto"/>
          <w:lang w:val="en-US" w:eastAsia="zh-CN"/>
        </w:rPr>
        <w:t>2</w:t>
      </w:r>
      <w:r>
        <w:rPr>
          <w:rFonts w:hint="default" w:ascii="Times New Roman" w:hAnsi="Times New Roman" w:cs="Times New Roman"/>
          <w:color w:val="auto"/>
          <w:lang w:eastAsia="zh-Hans"/>
        </w:rPr>
        <w:t>日</w:t>
      </w:r>
      <w:r>
        <w:rPr>
          <w:rFonts w:hint="default" w:ascii="Times New Roman" w:hAnsi="Times New Roman" w:cs="Times New Roman"/>
          <w:color w:val="auto"/>
          <w:lang w:val="en-US" w:eastAsia="zh-CN"/>
        </w:rPr>
        <w:t>由泓欣环境集团有限公司对吉木萨尔三位一体项目综合智慧管理平台进行了验收，验收结果“经过对平台各项功能全面测试，功能达到开发要求，性能稳定”</w:t>
      </w:r>
      <w:r>
        <w:rPr>
          <w:rFonts w:hint="default" w:ascii="Times New Roman" w:hAnsi="Times New Roman" w:cs="Times New Roman"/>
          <w:color w:val="auto"/>
          <w:lang w:eastAsia="zh-Hans"/>
        </w:rPr>
        <w:t>。</w:t>
      </w:r>
    </w:p>
    <w:p w14:paraId="2E25814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该指标满分为1.00分，根据评分标准得</w:t>
      </w:r>
      <w:r>
        <w:rPr>
          <w:rFonts w:hint="default" w:ascii="Times New Roman" w:hAnsi="Times New Roman" w:cs="Times New Roman"/>
          <w:color w:val="auto"/>
          <w:lang w:val="en-US" w:eastAsia="zh-CN"/>
        </w:rPr>
        <w:t>1</w:t>
      </w:r>
      <w:r>
        <w:rPr>
          <w:rFonts w:hint="default" w:ascii="Times New Roman" w:hAnsi="Times New Roman" w:cs="Times New Roman"/>
          <w:color w:val="auto"/>
        </w:rPr>
        <w:t>.00分。</w:t>
      </w:r>
    </w:p>
    <w:p w14:paraId="1C7BFFCB">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（5）C15园林绿化养护服务完成率指标：</w:t>
      </w:r>
    </w:p>
    <w:p w14:paraId="40BC036D">
      <w:pPr>
        <w:bidi w:val="0"/>
        <w:spacing w:before="0" w:after="0" w:line="360" w:lineRule="auto"/>
        <w:rPr>
          <w:rFonts w:hint="default" w:ascii="Times New Roman" w:hAnsi="Times New Roman" w:cs="Times New Roman"/>
          <w:color w:val="auto"/>
        </w:rPr>
      </w:pPr>
      <w:r>
        <w:rPr>
          <w:rFonts w:hint="default" w:ascii="Times New Roman" w:hAnsi="Times New Roman" w:cs="Times New Roman"/>
          <w:color w:val="auto"/>
        </w:rPr>
        <w:t>经查阅</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《2022年度吉木萨尔道路信息统计》《吉木萨尔新增三条道路信息统计》</w:t>
      </w:r>
      <w:r>
        <w:rPr>
          <w:rFonts w:hint="default" w:ascii="Times New Roman" w:hAnsi="Times New Roman" w:cs="Times New Roman"/>
          <w:color w:val="auto"/>
          <w:lang w:val="en-US" w:eastAsia="zh-CN"/>
        </w:rPr>
        <w:t>《2024年6月清洁保洁台账》《2024年8月清扫车出车登记表》《吉木萨尔县城市管理服务“三位一体”委托运营项目专项审计报告》（新晟专审字〔2024〕2-008号）等资料显示，</w:t>
      </w:r>
      <w:r>
        <w:rPr>
          <w:rFonts w:hint="default" w:ascii="Times New Roman" w:hAnsi="Times New Roman" w:cs="Times New Roman"/>
          <w:lang w:val="en-US" w:eastAsia="zh-CN"/>
        </w:rPr>
        <w:t>泓欣环境集团有限公司吉木萨尔分公司</w:t>
      </w:r>
      <w:r>
        <w:rPr>
          <w:rFonts w:hint="default" w:ascii="Times New Roman" w:hAnsi="Times New Roman" w:cs="Times New Roman"/>
          <w:color w:val="auto"/>
          <w:lang w:val="en-US" w:eastAsia="zh-CN"/>
        </w:rPr>
        <w:t>已按照服务合同约定范围内园林绿化养护服务</w:t>
      </w:r>
      <w:r>
        <w:rPr>
          <w:rFonts w:hint="default" w:ascii="Times New Roman" w:hAnsi="Times New Roman" w:cs="Times New Roman"/>
          <w:color w:val="auto"/>
        </w:rPr>
        <w:t>，</w:t>
      </w:r>
      <w:r>
        <w:rPr>
          <w:rFonts w:hint="default" w:ascii="Times New Roman" w:hAnsi="Times New Roman" w:cs="Times New Roman"/>
          <w:color w:val="auto"/>
          <w:lang w:eastAsia="zh-Hans"/>
        </w:rPr>
        <w:t>园林绿化养护面积</w:t>
      </w:r>
      <w:r>
        <w:rPr>
          <w:rFonts w:hint="default" w:ascii="Times New Roman" w:hAnsi="Times New Roman" w:cs="Times New Roman"/>
          <w:color w:val="auto"/>
          <w:lang w:val="en-US" w:eastAsia="zh-CN"/>
        </w:rPr>
        <w:t>共计272.83万平方米（其中原合同</w:t>
      </w:r>
      <w:r>
        <w:rPr>
          <w:rFonts w:hint="default" w:ascii="Times New Roman" w:hAnsi="Times New Roman" w:cs="Times New Roman"/>
          <w:color w:val="auto"/>
          <w:lang w:eastAsia="zh-Hans"/>
        </w:rPr>
        <w:t>225.9万平方米</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2024年移交46.93万平方米</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完成</w:t>
      </w:r>
      <w:r>
        <w:rPr>
          <w:rFonts w:hint="default" w:ascii="Times New Roman" w:hAnsi="Times New Roman" w:cs="Times New Roman"/>
          <w:color w:val="auto"/>
          <w:lang w:eastAsia="zh-Hans"/>
        </w:rPr>
        <w:t>城市道路绿化养护、小游园绿化养护；春季花卉栽植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含花卉采购及人工栽植种植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、春秋季补植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原绿化补植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公共绿地的整形修剪、除草；绿地浇水排水；除草施肥；病虫害防治；浇水支线管网维护维修、供水管道的应急抢修和日常维护均由养护单位负责，出现爆管、断裂、渗漏等影响绿化供水现象，须及时予以抢修恢复</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含主辅材及人工</w:t>
      </w:r>
      <w:r>
        <w:rPr>
          <w:rFonts w:hint="default" w:ascii="Times New Roman" w:hAnsi="Times New Roman" w:cs="Times New Roman"/>
          <w:color w:val="auto"/>
          <w:lang w:eastAsia="zh-CN"/>
        </w:rPr>
        <w:t>）；</w:t>
      </w:r>
      <w:r>
        <w:rPr>
          <w:rFonts w:hint="default" w:ascii="Times New Roman" w:hAnsi="Times New Roman" w:cs="Times New Roman"/>
          <w:color w:val="auto"/>
          <w:lang w:eastAsia="zh-Hans"/>
        </w:rPr>
        <w:t>其他日常养护管理内容。</w:t>
      </w:r>
      <w:r>
        <w:rPr>
          <w:rFonts w:hint="default" w:ascii="Times New Roman" w:hAnsi="Times New Roman" w:cs="Times New Roman"/>
          <w:color w:val="auto"/>
        </w:rPr>
        <w:t>达到预期目标。</w:t>
      </w:r>
    </w:p>
    <w:p w14:paraId="0C3B291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w:t>
      </w:r>
      <w:r>
        <w:rPr>
          <w:rFonts w:hint="default" w:ascii="Times New Roman" w:hAnsi="Times New Roman" w:cs="Times New Roman"/>
          <w:color w:val="auto"/>
          <w:lang w:val="en-US" w:eastAsia="zh-CN"/>
        </w:rPr>
        <w:t>3</w:t>
      </w:r>
      <w:r>
        <w:rPr>
          <w:rFonts w:hint="default" w:ascii="Times New Roman" w:hAnsi="Times New Roman" w:cs="Times New Roman"/>
          <w:color w:val="auto"/>
        </w:rPr>
        <w:t>.00分，根据评分标准得</w:t>
      </w:r>
      <w:r>
        <w:rPr>
          <w:rFonts w:hint="default" w:ascii="Times New Roman" w:hAnsi="Times New Roman" w:cs="Times New Roman"/>
          <w:color w:val="auto"/>
          <w:lang w:val="en-US" w:eastAsia="zh-CN"/>
        </w:rPr>
        <w:t>3</w:t>
      </w:r>
      <w:r>
        <w:rPr>
          <w:rFonts w:hint="default" w:ascii="Times New Roman" w:hAnsi="Times New Roman" w:cs="Times New Roman"/>
          <w:color w:val="auto"/>
        </w:rPr>
        <w:t>.00分。</w:t>
      </w:r>
    </w:p>
    <w:p w14:paraId="28799DCA">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（6）C16游园维修服务完成率指标：</w:t>
      </w:r>
    </w:p>
    <w:p w14:paraId="49D230AF">
      <w:pPr>
        <w:bidi w:val="0"/>
        <w:spacing w:before="0" w:after="0" w:line="360" w:lineRule="auto"/>
        <w:rPr>
          <w:rFonts w:hint="default" w:ascii="Times New Roman" w:hAnsi="Times New Roman" w:cs="Times New Roman"/>
          <w:color w:val="auto"/>
        </w:rPr>
      </w:pPr>
      <w:r>
        <w:rPr>
          <w:rFonts w:hint="default" w:ascii="Times New Roman" w:hAnsi="Times New Roman" w:cs="Times New Roman"/>
          <w:color w:val="auto"/>
        </w:rPr>
        <w:t>经查阅</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《2024年小游园面积汇总》</w:t>
      </w:r>
      <w:r>
        <w:rPr>
          <w:rFonts w:hint="default" w:ascii="Times New Roman" w:hAnsi="Times New Roman" w:cs="Times New Roman"/>
          <w:color w:val="auto"/>
          <w:lang w:val="en-US" w:eastAsia="zh-CN"/>
        </w:rPr>
        <w:t>《2024年6月清洁保洁台账》《吉木萨尔县城市管理服务“三位一体”委托运营项目专项审计报告》（新晟专审字〔2024〕2-008号）</w:t>
      </w:r>
      <w:r>
        <w:rPr>
          <w:rFonts w:hint="default" w:ascii="Times New Roman" w:hAnsi="Times New Roman" w:cs="Times New Roman"/>
          <w:color w:val="auto"/>
        </w:rPr>
        <w:t>等资料显示，</w:t>
      </w:r>
      <w:r>
        <w:rPr>
          <w:rFonts w:hint="default" w:ascii="Times New Roman" w:hAnsi="Times New Roman" w:cs="Times New Roman"/>
          <w:lang w:val="en-US" w:eastAsia="zh-CN"/>
        </w:rPr>
        <w:t>泓欣环境集团有限公司吉木萨尔分公司</w:t>
      </w:r>
      <w:r>
        <w:rPr>
          <w:rFonts w:hint="default" w:ascii="Times New Roman" w:hAnsi="Times New Roman" w:cs="Times New Roman"/>
          <w:color w:val="auto"/>
          <w:lang w:val="en-US" w:eastAsia="zh-CN"/>
        </w:rPr>
        <w:t>已按照服务合同约定范围内游园维修服务</w:t>
      </w:r>
      <w:r>
        <w:rPr>
          <w:rFonts w:hint="default" w:ascii="Times New Roman" w:hAnsi="Times New Roman" w:cs="Times New Roman"/>
          <w:color w:val="auto"/>
        </w:rPr>
        <w:t>，</w:t>
      </w:r>
      <w:r>
        <w:rPr>
          <w:rFonts w:hint="default" w:ascii="Times New Roman" w:hAnsi="Times New Roman" w:cs="Times New Roman"/>
          <w:color w:val="auto"/>
          <w:lang w:val="en-US" w:eastAsia="zh-CN"/>
        </w:rPr>
        <w:t>实际对</w:t>
      </w:r>
      <w:r>
        <w:rPr>
          <w:rFonts w:hint="default" w:ascii="Times New Roman" w:hAnsi="Times New Roman" w:cs="Times New Roman"/>
          <w:color w:val="auto"/>
          <w:lang w:eastAsia="zh-Hans"/>
        </w:rPr>
        <w:t>全县</w:t>
      </w:r>
      <w:r>
        <w:rPr>
          <w:rFonts w:hint="default" w:ascii="Times New Roman" w:hAnsi="Times New Roman" w:cs="Times New Roman"/>
          <w:color w:val="auto"/>
          <w:lang w:val="en-US" w:eastAsia="zh-CN"/>
        </w:rPr>
        <w:t>15座</w:t>
      </w:r>
      <w:r>
        <w:rPr>
          <w:rFonts w:hint="default" w:ascii="Times New Roman" w:hAnsi="Times New Roman" w:cs="Times New Roman"/>
          <w:color w:val="auto"/>
          <w:lang w:eastAsia="zh-Hans"/>
        </w:rPr>
        <w:t>小游园</w:t>
      </w:r>
      <w:r>
        <w:rPr>
          <w:rFonts w:hint="default" w:ascii="Times New Roman" w:hAnsi="Times New Roman" w:cs="Times New Roman"/>
          <w:color w:val="auto"/>
          <w:lang w:val="en-US" w:eastAsia="zh-CN"/>
        </w:rPr>
        <w:t>进行</w:t>
      </w:r>
      <w:r>
        <w:rPr>
          <w:rFonts w:hint="default" w:ascii="Times New Roman" w:hAnsi="Times New Roman" w:cs="Times New Roman"/>
          <w:color w:val="auto"/>
          <w:lang w:eastAsia="zh-Hans"/>
        </w:rPr>
        <w:t>园内园林小品、设施设备进行维修、保养及更换</w:t>
      </w:r>
      <w:r>
        <w:rPr>
          <w:rFonts w:hint="default" w:ascii="Times New Roman" w:hAnsi="Times New Roman" w:cs="Times New Roman"/>
          <w:color w:val="auto"/>
          <w:lang w:val="en-US" w:eastAsia="zh-CN"/>
        </w:rPr>
        <w:t>工作</w:t>
      </w:r>
      <w:r>
        <w:rPr>
          <w:rFonts w:hint="default" w:ascii="Times New Roman" w:hAnsi="Times New Roman" w:cs="Times New Roman"/>
          <w:color w:val="auto"/>
          <w:lang w:eastAsia="zh-Hans"/>
        </w:rPr>
        <w:t>。</w:t>
      </w:r>
      <w:r>
        <w:rPr>
          <w:rFonts w:hint="default" w:ascii="Times New Roman" w:hAnsi="Times New Roman" w:cs="Times New Roman"/>
          <w:color w:val="auto"/>
        </w:rPr>
        <w:t>达到预期目标。</w:t>
      </w:r>
    </w:p>
    <w:p w14:paraId="0D20F1B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该指标满分为1.00分，根据评分标准得1.00分。</w:t>
      </w:r>
    </w:p>
    <w:p w14:paraId="0DBF2842">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（7）C17</w:t>
      </w:r>
      <w:r>
        <w:rPr>
          <w:rFonts w:hint="default" w:ascii="Times New Roman" w:hAnsi="Times New Roman" w:cs="Times New Roman"/>
          <w:b/>
          <w:bCs/>
          <w:color w:val="auto"/>
          <w:lang w:val="en-US" w:eastAsia="zh-CN"/>
        </w:rPr>
        <w:t>填埋场</w:t>
      </w:r>
      <w:r>
        <w:rPr>
          <w:rFonts w:hint="default" w:ascii="Times New Roman" w:hAnsi="Times New Roman" w:cs="Times New Roman"/>
          <w:b/>
          <w:bCs/>
          <w:color w:val="auto"/>
          <w:lang w:eastAsia="zh-CN"/>
        </w:rPr>
        <w:t>管理服务完成率</w:t>
      </w:r>
      <w:r>
        <w:rPr>
          <w:rFonts w:hint="default" w:ascii="Times New Roman" w:hAnsi="Times New Roman" w:cs="Times New Roman"/>
          <w:b/>
          <w:bCs/>
          <w:color w:val="auto"/>
        </w:rPr>
        <w:t>指标：</w:t>
      </w:r>
    </w:p>
    <w:p w14:paraId="44303E1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b/>
          <w:bCs/>
          <w:color w:val="auto"/>
          <w:lang w:val="en-US" w:eastAsia="zh-CN"/>
        </w:rPr>
      </w:pPr>
      <w:r>
        <w:rPr>
          <w:rFonts w:hint="default" w:ascii="Times New Roman" w:hAnsi="Times New Roman" w:cs="Times New Roman"/>
          <w:color w:val="auto"/>
        </w:rPr>
        <w:t>经查阅</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《2024年度泓欣环境集团有限公司吉木萨尔分公司生活垃圾收运台账》</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垃圾车出车台账</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吉木萨尔县城市管理服务“三位一体”委托运营项目专项审计报告》（新晟专审字〔2024〕2-008号）等资料显示，泓欣环境集团有限公司吉木萨尔分公司已按照服务合同约定范围内运营管理填埋场一座，2024年全年收运垃圾共计40,331.04吨，完成了填埋场管理服务，达到预期目标。</w:t>
      </w:r>
    </w:p>
    <w:p w14:paraId="410809C9">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w:t>
      </w:r>
      <w:r>
        <w:rPr>
          <w:rFonts w:hint="eastAsia" w:cs="Times New Roman"/>
          <w:color w:val="auto"/>
          <w:lang w:val="en-US" w:eastAsia="zh-CN"/>
        </w:rPr>
        <w:t>1</w:t>
      </w:r>
      <w:r>
        <w:rPr>
          <w:rFonts w:hint="default" w:ascii="Times New Roman" w:hAnsi="Times New Roman" w:cs="Times New Roman"/>
          <w:color w:val="auto"/>
        </w:rPr>
        <w:t>.00分，根据评分标准得</w:t>
      </w:r>
      <w:r>
        <w:rPr>
          <w:rFonts w:hint="eastAsia" w:cs="Times New Roman"/>
          <w:color w:val="auto"/>
          <w:lang w:val="en-US" w:eastAsia="zh-CN"/>
        </w:rPr>
        <w:t>1</w:t>
      </w:r>
      <w:r>
        <w:rPr>
          <w:rFonts w:hint="default" w:ascii="Times New Roman" w:hAnsi="Times New Roman" w:cs="Times New Roman"/>
          <w:color w:val="auto"/>
          <w:lang w:val="en-US" w:eastAsia="zh-CN"/>
        </w:rPr>
        <w:t>.00</w:t>
      </w:r>
      <w:r>
        <w:rPr>
          <w:rFonts w:hint="default" w:ascii="Times New Roman" w:hAnsi="Times New Roman" w:cs="Times New Roman"/>
          <w:color w:val="auto"/>
        </w:rPr>
        <w:t>分。</w:t>
      </w:r>
    </w:p>
    <w:p w14:paraId="08C14590">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w:t>
      </w:r>
      <w:r>
        <w:rPr>
          <w:rFonts w:hint="eastAsia" w:cs="Times New Roman"/>
          <w:b/>
          <w:bCs/>
          <w:color w:val="auto"/>
          <w:lang w:val="en-US" w:eastAsia="zh-CN"/>
        </w:rPr>
        <w:t>8</w:t>
      </w:r>
      <w:r>
        <w:rPr>
          <w:rFonts w:hint="default" w:ascii="Times New Roman" w:hAnsi="Times New Roman" w:cs="Times New Roman"/>
          <w:b/>
          <w:bCs/>
          <w:color w:val="auto"/>
        </w:rPr>
        <w:t>）C21环卫保洁季度考核合格率指标：</w:t>
      </w:r>
    </w:p>
    <w:p w14:paraId="1581861E">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《2024年吉木萨尔县“三位一体”环卫园林考核汇总表》等资料显示，环卫保洁第一季度考核</w:t>
      </w:r>
      <w:r>
        <w:rPr>
          <w:rFonts w:hint="default" w:ascii="Times New Roman" w:hAnsi="Times New Roman" w:cs="Times New Roman"/>
          <w:color w:val="auto"/>
          <w:lang w:val="en-US" w:eastAsia="zh-CN"/>
        </w:rPr>
        <w:t>结果</w:t>
      </w:r>
      <w:r>
        <w:rPr>
          <w:rFonts w:hint="default" w:ascii="Times New Roman" w:hAnsi="Times New Roman" w:cs="Times New Roman"/>
          <w:color w:val="auto"/>
        </w:rPr>
        <w:t>为89.30分</w:t>
      </w:r>
      <w:r>
        <w:rPr>
          <w:rFonts w:hint="default" w:ascii="Times New Roman" w:hAnsi="Times New Roman" w:cs="Times New Roman"/>
          <w:color w:val="auto"/>
          <w:lang w:eastAsia="zh-CN"/>
        </w:rPr>
        <w:t>，</w:t>
      </w:r>
      <w:r>
        <w:rPr>
          <w:rFonts w:hint="default" w:ascii="Times New Roman" w:hAnsi="Times New Roman" w:cs="Times New Roman"/>
          <w:color w:val="auto"/>
        </w:rPr>
        <w:t>第三季度考核</w:t>
      </w:r>
      <w:r>
        <w:rPr>
          <w:rFonts w:hint="default" w:ascii="Times New Roman" w:hAnsi="Times New Roman" w:cs="Times New Roman"/>
          <w:color w:val="auto"/>
          <w:lang w:val="en-US" w:eastAsia="zh-CN"/>
        </w:rPr>
        <w:t>结果</w:t>
      </w:r>
      <w:r>
        <w:rPr>
          <w:rFonts w:hint="default" w:ascii="Times New Roman" w:hAnsi="Times New Roman" w:cs="Times New Roman"/>
          <w:color w:val="auto"/>
        </w:rPr>
        <w:t>为90.07分</w:t>
      </w:r>
      <w:r>
        <w:rPr>
          <w:rFonts w:hint="default" w:ascii="Times New Roman" w:hAnsi="Times New Roman" w:cs="Times New Roman"/>
          <w:color w:val="auto"/>
          <w:lang w:eastAsia="zh-CN"/>
        </w:rPr>
        <w:t>，</w:t>
      </w:r>
      <w:r>
        <w:rPr>
          <w:rFonts w:hint="default" w:ascii="Times New Roman" w:hAnsi="Times New Roman" w:cs="Times New Roman"/>
          <w:color w:val="auto"/>
        </w:rPr>
        <w:t>第四季度考核</w:t>
      </w:r>
      <w:r>
        <w:rPr>
          <w:rFonts w:hint="default" w:ascii="Times New Roman" w:hAnsi="Times New Roman" w:cs="Times New Roman"/>
          <w:color w:val="auto"/>
          <w:lang w:val="en-US" w:eastAsia="zh-CN"/>
        </w:rPr>
        <w:t>结果</w:t>
      </w:r>
      <w:r>
        <w:rPr>
          <w:rFonts w:hint="default" w:ascii="Times New Roman" w:hAnsi="Times New Roman" w:cs="Times New Roman"/>
          <w:color w:val="auto"/>
        </w:rPr>
        <w:t>为88.90分</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该三个季度考核结果属于优秀；但</w:t>
      </w:r>
      <w:r>
        <w:rPr>
          <w:rFonts w:hint="default" w:ascii="Times New Roman" w:hAnsi="Times New Roman" w:cs="Times New Roman"/>
          <w:color w:val="auto"/>
        </w:rPr>
        <w:t>第二季度考核</w:t>
      </w:r>
      <w:r>
        <w:rPr>
          <w:rFonts w:hint="default" w:ascii="Times New Roman" w:hAnsi="Times New Roman" w:cs="Times New Roman"/>
          <w:color w:val="auto"/>
          <w:lang w:val="en-US" w:eastAsia="zh-CN"/>
        </w:rPr>
        <w:t>结果</w:t>
      </w:r>
      <w:r>
        <w:rPr>
          <w:rFonts w:hint="default" w:ascii="Times New Roman" w:hAnsi="Times New Roman" w:cs="Times New Roman"/>
          <w:color w:val="auto"/>
        </w:rPr>
        <w:t>为78.83分</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未达到优秀，抽查2024年6月环卫考核扣分</w:t>
      </w:r>
      <w:r>
        <w:rPr>
          <w:rFonts w:hint="eastAsia" w:cs="Times New Roman"/>
          <w:color w:val="auto"/>
          <w:lang w:val="en-US" w:eastAsia="zh-CN"/>
        </w:rPr>
        <w:t>表</w:t>
      </w:r>
      <w:r>
        <w:rPr>
          <w:rFonts w:hint="default" w:ascii="Times New Roman" w:hAnsi="Times New Roman" w:cs="Times New Roman"/>
          <w:color w:val="auto"/>
          <w:lang w:val="en-US" w:eastAsia="zh-CN"/>
        </w:rPr>
        <w:t>显示，主要原因是在现场核查时发现道路清扫不及时，人员不按时清扫、积水等问题造成</w:t>
      </w:r>
      <w:r>
        <w:rPr>
          <w:rFonts w:hint="default" w:ascii="Times New Roman" w:hAnsi="Times New Roman" w:cs="Times New Roman"/>
          <w:color w:val="auto"/>
        </w:rPr>
        <w:t>。根据评分标准，扣</w:t>
      </w:r>
      <w:r>
        <w:rPr>
          <w:rFonts w:hint="eastAsia" w:cs="Times New Roman"/>
          <w:color w:val="auto"/>
          <w:lang w:val="en-US" w:eastAsia="zh-CN"/>
        </w:rPr>
        <w:t>1.25</w:t>
      </w:r>
      <w:r>
        <w:rPr>
          <w:rFonts w:hint="default" w:ascii="Times New Roman" w:hAnsi="Times New Roman" w:cs="Times New Roman"/>
          <w:color w:val="auto"/>
        </w:rPr>
        <w:t>分。</w:t>
      </w:r>
    </w:p>
    <w:p w14:paraId="3C7A72AE">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w:t>
      </w:r>
      <w:r>
        <w:rPr>
          <w:rFonts w:hint="eastAsia" w:cs="Times New Roman"/>
          <w:color w:val="auto"/>
          <w:lang w:val="en-US" w:eastAsia="zh-CN"/>
        </w:rPr>
        <w:t>5</w:t>
      </w:r>
      <w:r>
        <w:rPr>
          <w:rFonts w:hint="default" w:ascii="Times New Roman" w:hAnsi="Times New Roman" w:cs="Times New Roman"/>
          <w:color w:val="auto"/>
        </w:rPr>
        <w:t>.00分，根据评分标准得</w:t>
      </w:r>
      <w:r>
        <w:rPr>
          <w:rFonts w:hint="eastAsia" w:cs="Times New Roman"/>
          <w:color w:val="auto"/>
          <w:lang w:val="en-US" w:eastAsia="zh-CN"/>
        </w:rPr>
        <w:t>3.75</w:t>
      </w:r>
      <w:r>
        <w:rPr>
          <w:rFonts w:hint="default" w:ascii="Times New Roman" w:hAnsi="Times New Roman" w:cs="Times New Roman"/>
          <w:color w:val="auto"/>
        </w:rPr>
        <w:t>分。</w:t>
      </w:r>
    </w:p>
    <w:p w14:paraId="6903330D">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w:t>
      </w:r>
      <w:r>
        <w:rPr>
          <w:rFonts w:hint="eastAsia" w:cs="Times New Roman"/>
          <w:b/>
          <w:bCs/>
          <w:color w:val="auto"/>
          <w:lang w:val="en-US" w:eastAsia="zh-CN"/>
        </w:rPr>
        <w:t>9</w:t>
      </w:r>
      <w:r>
        <w:rPr>
          <w:rFonts w:hint="default" w:ascii="Times New Roman" w:hAnsi="Times New Roman" w:cs="Times New Roman"/>
          <w:b/>
          <w:bCs/>
          <w:color w:val="auto"/>
        </w:rPr>
        <w:t>）C22园林保洁季度考核合格率指标：</w:t>
      </w:r>
    </w:p>
    <w:p w14:paraId="1DA75079">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经查阅</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《2024年吉木萨尔县“三位一体”环卫园林考核汇总表》等资料显示，园林保洁第一季度考核合格率为92.30分</w:t>
      </w:r>
      <w:r>
        <w:rPr>
          <w:rFonts w:hint="default" w:ascii="Times New Roman" w:hAnsi="Times New Roman" w:cs="Times New Roman"/>
          <w:color w:val="auto"/>
          <w:lang w:eastAsia="zh-CN"/>
        </w:rPr>
        <w:t>，</w:t>
      </w:r>
      <w:r>
        <w:rPr>
          <w:rFonts w:hint="default" w:ascii="Times New Roman" w:hAnsi="Times New Roman" w:cs="Times New Roman"/>
          <w:color w:val="auto"/>
        </w:rPr>
        <w:t>第三季度考核合格率为85.17分</w:t>
      </w:r>
      <w:r>
        <w:rPr>
          <w:rFonts w:hint="default" w:ascii="Times New Roman" w:hAnsi="Times New Roman" w:cs="Times New Roman"/>
          <w:color w:val="auto"/>
          <w:lang w:eastAsia="zh-CN"/>
        </w:rPr>
        <w:t>，</w:t>
      </w:r>
      <w:r>
        <w:rPr>
          <w:rFonts w:hint="default" w:ascii="Times New Roman" w:hAnsi="Times New Roman" w:cs="Times New Roman"/>
          <w:color w:val="auto"/>
        </w:rPr>
        <w:t>第四季度考核合格率为85.53分。</w:t>
      </w:r>
      <w:r>
        <w:rPr>
          <w:rFonts w:hint="default" w:ascii="Times New Roman" w:hAnsi="Times New Roman" w:cs="Times New Roman"/>
          <w:color w:val="auto"/>
          <w:lang w:val="en-US" w:eastAsia="zh-CN"/>
        </w:rPr>
        <w:t>但</w:t>
      </w:r>
      <w:r>
        <w:rPr>
          <w:rFonts w:hint="default" w:ascii="Times New Roman" w:hAnsi="Times New Roman" w:cs="Times New Roman"/>
          <w:color w:val="auto"/>
        </w:rPr>
        <w:t>第二季度考核合格率为76分</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未达到优秀，抽查</w:t>
      </w:r>
      <w:r>
        <w:rPr>
          <w:rFonts w:hint="eastAsia" w:cs="Times New Roman"/>
          <w:color w:val="auto"/>
          <w:lang w:val="en-US" w:eastAsia="zh-CN"/>
        </w:rPr>
        <w:t>2024年6月</w:t>
      </w:r>
      <w:r>
        <w:rPr>
          <w:rFonts w:hint="default" w:ascii="Times New Roman" w:hAnsi="Times New Roman" w:cs="Times New Roman"/>
          <w:color w:val="auto"/>
          <w:lang w:val="en-US" w:eastAsia="zh-CN"/>
        </w:rPr>
        <w:t>园林考核扣分表显示，主要原因是在现场核查时发现有枯树、树枝未及时清理、树木刮倒未及时清理等问题造成</w:t>
      </w:r>
      <w:r>
        <w:rPr>
          <w:rFonts w:hint="default" w:ascii="Times New Roman" w:hAnsi="Times New Roman" w:cs="Times New Roman"/>
          <w:color w:val="auto"/>
        </w:rPr>
        <w:t>。根据评分标准，扣</w:t>
      </w:r>
      <w:r>
        <w:rPr>
          <w:rFonts w:hint="eastAsia" w:cs="Times New Roman"/>
          <w:color w:val="auto"/>
          <w:lang w:val="en-US" w:eastAsia="zh-CN"/>
        </w:rPr>
        <w:t>1.25</w:t>
      </w:r>
      <w:r>
        <w:rPr>
          <w:rFonts w:hint="default" w:ascii="Times New Roman" w:hAnsi="Times New Roman" w:cs="Times New Roman"/>
          <w:color w:val="auto"/>
        </w:rPr>
        <w:t>分。</w:t>
      </w:r>
    </w:p>
    <w:p w14:paraId="5E61D7D3">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w:t>
      </w:r>
      <w:r>
        <w:rPr>
          <w:rFonts w:hint="eastAsia" w:cs="Times New Roman"/>
          <w:color w:val="auto"/>
          <w:lang w:val="en-US" w:eastAsia="zh-CN"/>
        </w:rPr>
        <w:t>5</w:t>
      </w:r>
      <w:r>
        <w:rPr>
          <w:rFonts w:hint="default" w:ascii="Times New Roman" w:hAnsi="Times New Roman" w:cs="Times New Roman"/>
          <w:color w:val="auto"/>
        </w:rPr>
        <w:t>.00分，根据评分标准得</w:t>
      </w:r>
      <w:r>
        <w:rPr>
          <w:rFonts w:hint="eastAsia" w:cs="Times New Roman"/>
          <w:color w:val="auto"/>
          <w:lang w:val="en-US" w:eastAsia="zh-CN"/>
        </w:rPr>
        <w:t>3.75</w:t>
      </w:r>
      <w:r>
        <w:rPr>
          <w:rFonts w:hint="default" w:ascii="Times New Roman" w:hAnsi="Times New Roman" w:cs="Times New Roman"/>
          <w:color w:val="auto"/>
        </w:rPr>
        <w:t>分。</w:t>
      </w:r>
    </w:p>
    <w:p w14:paraId="31F4457A">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highlight w:val="none"/>
        </w:rPr>
      </w:pPr>
      <w:r>
        <w:rPr>
          <w:rFonts w:hint="default" w:ascii="Times New Roman" w:hAnsi="Times New Roman" w:cs="Times New Roman"/>
          <w:b/>
          <w:bCs/>
          <w:color w:val="auto"/>
          <w:highlight w:val="none"/>
        </w:rPr>
        <w:t>（1</w:t>
      </w:r>
      <w:r>
        <w:rPr>
          <w:rFonts w:hint="eastAsia" w:cs="Times New Roman"/>
          <w:b/>
          <w:bCs/>
          <w:color w:val="auto"/>
          <w:highlight w:val="none"/>
          <w:lang w:val="en-US" w:eastAsia="zh-CN"/>
        </w:rPr>
        <w:t>0</w:t>
      </w:r>
      <w:r>
        <w:rPr>
          <w:rFonts w:hint="default" w:ascii="Times New Roman" w:hAnsi="Times New Roman" w:cs="Times New Roman"/>
          <w:b/>
          <w:bCs/>
          <w:color w:val="auto"/>
          <w:highlight w:val="none"/>
        </w:rPr>
        <w:t>）</w:t>
      </w:r>
      <w:r>
        <w:rPr>
          <w:rFonts w:hint="default" w:ascii="Times New Roman" w:hAnsi="Times New Roman" w:cs="Times New Roman"/>
          <w:b/>
          <w:bCs/>
          <w:color w:val="auto"/>
          <w:highlight w:val="none"/>
          <w:lang w:eastAsia="zh-CN"/>
        </w:rPr>
        <w:t>C31项目服务考核完成及时率</w:t>
      </w:r>
      <w:r>
        <w:rPr>
          <w:rFonts w:hint="default" w:ascii="Times New Roman" w:hAnsi="Times New Roman" w:cs="Times New Roman"/>
          <w:b/>
          <w:bCs/>
          <w:color w:val="auto"/>
          <w:highlight w:val="none"/>
        </w:rPr>
        <w:t>指标：</w:t>
      </w:r>
    </w:p>
    <w:p w14:paraId="1F6DDE8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highlight w:val="none"/>
          <w:lang w:val="en-US" w:eastAsia="zh-CN"/>
        </w:rPr>
      </w:pPr>
      <w:r>
        <w:rPr>
          <w:rFonts w:hint="default" w:ascii="Times New Roman" w:hAnsi="Times New Roman" w:cs="Times New Roman"/>
          <w:color w:val="auto"/>
          <w:highlight w:val="none"/>
          <w:lang w:val="en-US" w:eastAsia="zh-CN"/>
        </w:rPr>
        <w:t>根据</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《2024年吉木萨尔县“三位一体”环卫园林考核汇总表》《</w:t>
      </w:r>
      <w:r>
        <w:rPr>
          <w:rFonts w:hint="eastAsia" w:cs="Times New Roman"/>
          <w:color w:val="auto"/>
          <w:lang w:val="en-US" w:eastAsia="zh-CN"/>
        </w:rPr>
        <w:t>1-12月</w:t>
      </w:r>
      <w:r>
        <w:rPr>
          <w:rFonts w:hint="default" w:ascii="Times New Roman" w:hAnsi="Times New Roman" w:cs="Times New Roman"/>
          <w:color w:val="auto"/>
        </w:rPr>
        <w:t>吉木萨尔县“三位一体”环卫考核扣分表》《</w:t>
      </w:r>
      <w:r>
        <w:rPr>
          <w:rFonts w:hint="eastAsia" w:cs="Times New Roman"/>
          <w:color w:val="auto"/>
          <w:lang w:val="en-US" w:eastAsia="zh-CN"/>
        </w:rPr>
        <w:t>1-12月</w:t>
      </w:r>
      <w:r>
        <w:rPr>
          <w:rFonts w:hint="default" w:ascii="Times New Roman" w:hAnsi="Times New Roman" w:cs="Times New Roman"/>
          <w:color w:val="auto"/>
        </w:rPr>
        <w:t>吉木萨尔县“三位一体”</w:t>
      </w:r>
      <w:r>
        <w:rPr>
          <w:rFonts w:hint="eastAsia" w:cs="Times New Roman"/>
          <w:color w:val="auto"/>
          <w:lang w:val="en-US" w:eastAsia="zh-CN"/>
        </w:rPr>
        <w:t>园林</w:t>
      </w:r>
      <w:r>
        <w:rPr>
          <w:rFonts w:hint="default" w:ascii="Times New Roman" w:hAnsi="Times New Roman" w:cs="Times New Roman"/>
          <w:color w:val="auto"/>
        </w:rPr>
        <w:t>考核扣分表》</w:t>
      </w:r>
      <w:r>
        <w:rPr>
          <w:rFonts w:hint="eastAsia" w:cs="Times New Roman"/>
          <w:color w:val="auto"/>
          <w:lang w:val="en-US" w:eastAsia="zh-CN"/>
        </w:rPr>
        <w:t>等资料显示，</w:t>
      </w:r>
      <w:r>
        <w:rPr>
          <w:rFonts w:hint="default" w:ascii="Times New Roman" w:hAnsi="Times New Roman" w:cs="Times New Roman"/>
          <w:color w:val="auto"/>
          <w:lang w:val="en-US" w:eastAsia="zh-CN"/>
        </w:rPr>
        <w:t>吉木萨尔县住建局采取日常巡查结合不定期抽查的方式对环境卫生保洁、绿地养护、居住区管理工作进行考核；随时对安全文明作业进行检查。吉木萨尔县住建局实际每天安排外业人按照《服务合同》第五章第一条第3款约定“居民区日常管理执行《吉木萨尔县住建局居民区日常管理考核实施细则》”对项目进行环卫保洁服务</w:t>
      </w:r>
      <w:r>
        <w:rPr>
          <w:rFonts w:hint="eastAsia" w:cs="Times New Roman"/>
          <w:color w:val="auto"/>
          <w:lang w:val="en-US" w:eastAsia="zh-CN"/>
        </w:rPr>
        <w:t>和</w:t>
      </w:r>
      <w:r>
        <w:rPr>
          <w:rFonts w:hint="default" w:ascii="Times New Roman" w:hAnsi="Times New Roman" w:cs="Times New Roman"/>
          <w:color w:val="auto"/>
          <w:lang w:val="en-US" w:eastAsia="zh-CN"/>
        </w:rPr>
        <w:t>园林保洁服务</w:t>
      </w:r>
      <w:r>
        <w:rPr>
          <w:rFonts w:hint="eastAsia" w:cs="Times New Roman"/>
          <w:color w:val="auto"/>
          <w:lang w:val="en-US" w:eastAsia="zh-CN"/>
        </w:rPr>
        <w:t>进行考核，并形成月度</w:t>
      </w:r>
      <w:r>
        <w:rPr>
          <w:rFonts w:hint="default" w:ascii="Times New Roman" w:hAnsi="Times New Roman" w:cs="Times New Roman"/>
          <w:color w:val="auto"/>
        </w:rPr>
        <w:t>吉木萨尔县“三位一体”环卫考核扣分表</w:t>
      </w:r>
      <w:r>
        <w:rPr>
          <w:rFonts w:hint="eastAsia" w:cs="Times New Roman"/>
          <w:color w:val="auto"/>
          <w:lang w:val="en-US" w:eastAsia="zh-CN"/>
        </w:rPr>
        <w:t>和</w:t>
      </w:r>
      <w:r>
        <w:rPr>
          <w:rFonts w:hint="default" w:ascii="Times New Roman" w:hAnsi="Times New Roman" w:cs="Times New Roman"/>
          <w:color w:val="auto"/>
        </w:rPr>
        <w:t>吉木萨尔县“三位一体”</w:t>
      </w:r>
      <w:r>
        <w:rPr>
          <w:rFonts w:hint="eastAsia" w:cs="Times New Roman"/>
          <w:color w:val="auto"/>
          <w:lang w:val="en-US" w:eastAsia="zh-CN"/>
        </w:rPr>
        <w:t>园林</w:t>
      </w:r>
      <w:r>
        <w:rPr>
          <w:rFonts w:hint="default" w:ascii="Times New Roman" w:hAnsi="Times New Roman" w:cs="Times New Roman"/>
          <w:color w:val="auto"/>
        </w:rPr>
        <w:t>考核扣分表</w:t>
      </w:r>
      <w:r>
        <w:rPr>
          <w:rFonts w:hint="eastAsia" w:cs="Times New Roman"/>
          <w:color w:val="auto"/>
          <w:lang w:eastAsia="zh-CN"/>
        </w:rPr>
        <w:t>，</w:t>
      </w:r>
      <w:r>
        <w:rPr>
          <w:rFonts w:hint="eastAsia" w:cs="Times New Roman"/>
          <w:color w:val="auto"/>
          <w:lang w:val="en-US" w:eastAsia="zh-CN"/>
        </w:rPr>
        <w:t>最终汇总成《</w:t>
      </w:r>
      <w:r>
        <w:rPr>
          <w:rFonts w:hint="default" w:ascii="Times New Roman" w:hAnsi="Times New Roman" w:cs="Times New Roman"/>
          <w:color w:val="auto"/>
        </w:rPr>
        <w:t>2024年吉木萨尔县“三位一体”环卫园林考核汇总表</w:t>
      </w:r>
      <w:r>
        <w:rPr>
          <w:rFonts w:hint="eastAsia" w:cs="Times New Roman"/>
          <w:color w:val="auto"/>
          <w:lang w:val="en-US" w:eastAsia="zh-CN"/>
        </w:rPr>
        <w:t>》</w:t>
      </w:r>
      <w:r>
        <w:rPr>
          <w:rFonts w:hint="eastAsia" w:cs="Times New Roman"/>
          <w:color w:val="auto"/>
          <w:lang w:eastAsia="zh-CN"/>
        </w:rPr>
        <w:t>，</w:t>
      </w:r>
      <w:r>
        <w:rPr>
          <w:rFonts w:hint="eastAsia" w:cs="Times New Roman"/>
          <w:color w:val="auto"/>
          <w:lang w:val="en-US" w:eastAsia="zh-CN"/>
        </w:rPr>
        <w:t>项目服务考核按照服务合同约定及时完成考核。</w:t>
      </w:r>
    </w:p>
    <w:p w14:paraId="752033A8">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highlight w:val="none"/>
        </w:rPr>
      </w:pPr>
      <w:r>
        <w:rPr>
          <w:rFonts w:hint="default" w:ascii="Times New Roman" w:hAnsi="Times New Roman" w:cs="Times New Roman"/>
          <w:color w:val="auto"/>
          <w:highlight w:val="none"/>
        </w:rPr>
        <w:t>该指标满分为</w:t>
      </w:r>
      <w:r>
        <w:rPr>
          <w:rFonts w:hint="eastAsia" w:cs="Times New Roman"/>
          <w:color w:val="auto"/>
          <w:highlight w:val="none"/>
          <w:lang w:val="en-US" w:eastAsia="zh-CN"/>
        </w:rPr>
        <w:t>2</w:t>
      </w:r>
      <w:r>
        <w:rPr>
          <w:rFonts w:hint="default" w:ascii="Times New Roman" w:hAnsi="Times New Roman" w:cs="Times New Roman"/>
          <w:color w:val="auto"/>
          <w:highlight w:val="none"/>
        </w:rPr>
        <w:t>.00分，根据评分标准得</w:t>
      </w:r>
      <w:r>
        <w:rPr>
          <w:rFonts w:hint="eastAsia" w:cs="Times New Roman"/>
          <w:color w:val="auto"/>
          <w:highlight w:val="none"/>
          <w:lang w:val="en-US" w:eastAsia="zh-CN"/>
        </w:rPr>
        <w:t>2</w:t>
      </w:r>
      <w:r>
        <w:rPr>
          <w:rFonts w:hint="default" w:ascii="Times New Roman" w:hAnsi="Times New Roman" w:cs="Times New Roman"/>
          <w:color w:val="auto"/>
          <w:highlight w:val="none"/>
        </w:rPr>
        <w:t>.00分。</w:t>
      </w:r>
    </w:p>
    <w:p w14:paraId="280489AD">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（1</w:t>
      </w:r>
      <w:r>
        <w:rPr>
          <w:rFonts w:hint="eastAsia" w:cs="Times New Roman"/>
          <w:b/>
          <w:bCs/>
          <w:color w:val="auto"/>
          <w:lang w:val="en-US" w:eastAsia="zh-CN"/>
        </w:rPr>
        <w:t>1</w:t>
      </w:r>
      <w:r>
        <w:rPr>
          <w:rFonts w:hint="default" w:ascii="Times New Roman" w:hAnsi="Times New Roman" w:cs="Times New Roman"/>
          <w:b/>
          <w:bCs/>
          <w:color w:val="auto"/>
        </w:rPr>
        <w:t>）C41年度服务费指标：</w:t>
      </w:r>
    </w:p>
    <w:p w14:paraId="75ED00EE">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根据</w:t>
      </w:r>
      <w:r>
        <w:rPr>
          <w:rFonts w:hint="default" w:ascii="Times New Roman" w:hAnsi="Times New Roman" w:cs="Times New Roman"/>
          <w:color w:val="auto"/>
          <w:lang w:eastAsia="zh-CN"/>
        </w:rPr>
        <w:t>《吉木萨尔县城市管理服务“三位一体”委托运营项目服务合同》《吉木萨尔县城市管理服务“三位一体”项目新增清扫保洁及冬季除雪补充协议书》《吉木萨尔县城市管理服务“三位一体”委托运营项目专项审计报告》（新晟专审字〔2024〕2-008号）</w:t>
      </w:r>
      <w:r>
        <w:rPr>
          <w:rFonts w:hint="default" w:ascii="Times New Roman" w:hAnsi="Times New Roman" w:cs="Times New Roman"/>
          <w:color w:val="auto"/>
        </w:rPr>
        <w:t>以及项目资金拨付文件、国库集中支付资料显示，项目</w:t>
      </w:r>
      <w:r>
        <w:rPr>
          <w:rFonts w:hint="default" w:ascii="Times New Roman" w:hAnsi="Times New Roman" w:cs="Times New Roman"/>
          <w:color w:val="auto"/>
          <w:lang w:val="en-US" w:eastAsia="zh-CN"/>
        </w:rPr>
        <w:t>2024年年度服务费为4,529.51万元，依据</w:t>
      </w:r>
      <w:r>
        <w:rPr>
          <w:rFonts w:hint="default" w:ascii="Times New Roman" w:hAnsi="Times New Roman" w:cs="Times New Roman"/>
          <w:color w:val="auto"/>
          <w:lang w:eastAsia="zh-CN"/>
        </w:rPr>
        <w:t>《吉木萨尔县城市管理服务“三位一体”委托运营项目专项审计报告》（新晟专审字〔2024〕2-008号）</w:t>
      </w:r>
      <w:r>
        <w:rPr>
          <w:rFonts w:hint="default" w:ascii="Times New Roman" w:hAnsi="Times New Roman" w:cs="Times New Roman"/>
          <w:color w:val="auto"/>
          <w:lang w:val="en-US" w:eastAsia="zh-CN"/>
        </w:rPr>
        <w:t>显示，2024年实际应支付服务费</w:t>
      </w:r>
      <w:r>
        <w:rPr>
          <w:rFonts w:hint="default" w:ascii="Times New Roman" w:hAnsi="Times New Roman" w:cs="Times New Roman"/>
          <w:color w:val="auto"/>
        </w:rPr>
        <w:t>支出4,</w:t>
      </w:r>
      <w:r>
        <w:rPr>
          <w:rFonts w:hint="default" w:ascii="Times New Roman" w:hAnsi="Times New Roman" w:cs="Times New Roman"/>
          <w:color w:val="auto"/>
          <w:lang w:val="en-US" w:eastAsia="zh-CN"/>
        </w:rPr>
        <w:t>522.50</w:t>
      </w:r>
      <w:r>
        <w:rPr>
          <w:rFonts w:hint="default" w:ascii="Times New Roman" w:hAnsi="Times New Roman" w:cs="Times New Roman"/>
          <w:color w:val="auto"/>
        </w:rPr>
        <w:t>万元，</w:t>
      </w:r>
      <w:r>
        <w:rPr>
          <w:rFonts w:hint="default" w:ascii="Times New Roman" w:hAnsi="Times New Roman" w:cs="Times New Roman"/>
          <w:color w:val="auto"/>
          <w:lang w:val="en-US" w:eastAsia="zh-CN"/>
        </w:rPr>
        <w:t>年度服务费未超出合同约定服务费。主要是减去扣除未履行或未完成任务涉及公厕费用20.24万元，减去第四季度园林考核结果需扣除费用1.32万元，抵扣依据2025年吉木萨尔县住房和城乡建设局第五次党组会议纪要内容应由住建局承担的维修费用12.07万元（泓欣集团完成了应由住建局负责实施的公厕维修事项，产生维修费用12.07万元）</w:t>
      </w:r>
      <w:r>
        <w:rPr>
          <w:rFonts w:hint="default" w:ascii="Times New Roman" w:hAnsi="Times New Roman" w:cs="Times New Roman"/>
          <w:color w:val="auto"/>
        </w:rPr>
        <w:t>。</w:t>
      </w:r>
    </w:p>
    <w:p w14:paraId="110F7868">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w:t>
      </w:r>
      <w:r>
        <w:rPr>
          <w:rFonts w:hint="eastAsia" w:cs="Times New Roman"/>
          <w:color w:val="auto"/>
          <w:lang w:val="en-US" w:eastAsia="zh-CN"/>
        </w:rPr>
        <w:t>4</w:t>
      </w:r>
      <w:r>
        <w:rPr>
          <w:rFonts w:hint="default" w:ascii="Times New Roman" w:hAnsi="Times New Roman" w:cs="Times New Roman"/>
          <w:color w:val="auto"/>
        </w:rPr>
        <w:t>.00分，根据评分标准得</w:t>
      </w:r>
      <w:r>
        <w:rPr>
          <w:rFonts w:hint="eastAsia" w:cs="Times New Roman"/>
          <w:color w:val="auto"/>
          <w:lang w:val="en-US" w:eastAsia="zh-CN"/>
        </w:rPr>
        <w:t>4</w:t>
      </w:r>
      <w:r>
        <w:rPr>
          <w:rFonts w:hint="default" w:ascii="Times New Roman" w:hAnsi="Times New Roman" w:cs="Times New Roman"/>
          <w:color w:val="auto"/>
        </w:rPr>
        <w:t>.00分。</w:t>
      </w:r>
    </w:p>
    <w:p w14:paraId="5389497F">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（1</w:t>
      </w:r>
      <w:r>
        <w:rPr>
          <w:rFonts w:hint="eastAsia" w:cs="Times New Roman"/>
          <w:b/>
          <w:bCs/>
          <w:color w:val="auto"/>
          <w:lang w:val="en-US" w:eastAsia="zh-CN"/>
        </w:rPr>
        <w:t>2</w:t>
      </w:r>
      <w:r>
        <w:rPr>
          <w:rFonts w:hint="default" w:ascii="Times New Roman" w:hAnsi="Times New Roman" w:cs="Times New Roman"/>
          <w:b/>
          <w:bCs/>
          <w:color w:val="auto"/>
        </w:rPr>
        <w:t>）C43承接主体对城市节日氛围打造投入费用指标：</w:t>
      </w:r>
    </w:p>
    <w:p w14:paraId="7788B939">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eastAsiaTheme="minorEastAsia"/>
          <w:color w:val="auto"/>
          <w:lang w:eastAsia="zh-CN"/>
        </w:rPr>
      </w:pPr>
      <w:r>
        <w:rPr>
          <w:rFonts w:hint="default" w:ascii="Times New Roman" w:hAnsi="Times New Roman" w:cs="Times New Roman"/>
          <w:color w:val="auto"/>
        </w:rPr>
        <w:t>经查阅《2024年度泓欣环境集团有限公司吉木萨尔县分公司街景布置台账》《</w:t>
      </w:r>
      <w:r>
        <w:rPr>
          <w:rFonts w:hint="default" w:ascii="Times New Roman" w:hAnsi="Times New Roman" w:cs="Times New Roman"/>
          <w:color w:val="auto"/>
          <w:lang w:val="en-US" w:eastAsia="zh-CN"/>
        </w:rPr>
        <w:t>花卉采购合同</w:t>
      </w:r>
      <w:r>
        <w:rPr>
          <w:rFonts w:hint="default" w:ascii="Times New Roman" w:hAnsi="Times New Roman" w:cs="Times New Roman"/>
          <w:color w:val="auto"/>
        </w:rPr>
        <w:t>》</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花卉景观布置验收单</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《吉木萨尔县城市管理服务“三位一体”委托运营项目专项审计报告》（新晟专审字〔2024〕2-008号）</w:t>
      </w:r>
      <w:r>
        <w:rPr>
          <w:rFonts w:hint="default" w:ascii="Times New Roman" w:hAnsi="Times New Roman" w:cs="Times New Roman"/>
          <w:color w:val="auto"/>
        </w:rPr>
        <w:t>等资料显示，</w:t>
      </w:r>
      <w:r>
        <w:rPr>
          <w:rFonts w:hint="default" w:ascii="Times New Roman" w:hAnsi="Times New Roman" w:cs="Times New Roman"/>
          <w:color w:val="auto"/>
          <w:lang w:val="en-US" w:eastAsia="zh-CN"/>
        </w:rPr>
        <w:t>2024年3月，泓欣环境集团有限公司吉木萨尔分公司完成</w:t>
      </w:r>
      <w:r>
        <w:rPr>
          <w:rFonts w:hint="default" w:ascii="Times New Roman" w:hAnsi="Times New Roman" w:cs="Times New Roman"/>
          <w:color w:val="auto"/>
        </w:rPr>
        <w:t>对城市节日氛围打造投入费用</w:t>
      </w:r>
      <w:r>
        <w:rPr>
          <w:rFonts w:hint="default" w:ascii="Times New Roman" w:hAnsi="Times New Roman" w:cs="Times New Roman"/>
          <w:color w:val="auto"/>
          <w:lang w:val="en-US" w:eastAsia="zh-CN"/>
        </w:rPr>
        <w:t>265.18万元</w:t>
      </w:r>
      <w:r>
        <w:rPr>
          <w:rFonts w:hint="default" w:ascii="Times New Roman" w:hAnsi="Times New Roman" w:cs="Times New Roman"/>
          <w:color w:val="auto"/>
        </w:rPr>
        <w:t>，达到预期目标</w:t>
      </w:r>
      <w:r>
        <w:rPr>
          <w:rFonts w:hint="default" w:ascii="Times New Roman" w:hAnsi="Times New Roman" w:cs="Times New Roman"/>
          <w:color w:val="auto"/>
          <w:lang w:eastAsia="zh-CN"/>
        </w:rPr>
        <w:t>。</w:t>
      </w:r>
    </w:p>
    <w:p w14:paraId="0D16E343">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该指标满分为1.00分，根据评分标准得1.00分。</w:t>
      </w:r>
    </w:p>
    <w:p w14:paraId="64A8D045">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70" w:name="_Toc15575"/>
      <w:r>
        <w:rPr>
          <w:rFonts w:hint="default" w:ascii="Times New Roman" w:hAnsi="Times New Roman" w:cs="Times New Roman"/>
          <w:color w:val="auto"/>
        </w:rPr>
        <w:t>（四）项目效益情况</w:t>
      </w:r>
      <w:bookmarkEnd w:id="70"/>
    </w:p>
    <w:p w14:paraId="046E3A31">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项目效益指标由2个二级和4个三级指标构成，权重分30.00分，实际得分30.00分，得分率为100.00%。各指标业绩值和绩效分值如下表所示：</w:t>
      </w:r>
    </w:p>
    <w:p w14:paraId="297D29F0">
      <w:pPr>
        <w:rPr>
          <w:rFonts w:hint="default" w:ascii="Times New Roman" w:hAnsi="Times New Roman" w:eastAsia="黑体" w:cs="Times New Roman"/>
          <w:b w:val="0"/>
          <w:bCs w:val="0"/>
          <w:color w:val="auto"/>
        </w:rPr>
      </w:pPr>
      <w:r>
        <w:rPr>
          <w:rFonts w:hint="default" w:ascii="Times New Roman" w:hAnsi="Times New Roman" w:eastAsia="黑体" w:cs="Times New Roman"/>
          <w:b w:val="0"/>
          <w:bCs w:val="0"/>
          <w:color w:val="auto"/>
        </w:rPr>
        <w:br w:type="page"/>
      </w:r>
    </w:p>
    <w:p w14:paraId="1C5AC2D9">
      <w:pPr>
        <w:pageBreakBefore w:val="0"/>
        <w:kinsoku/>
        <w:wordWrap/>
        <w:overflowPunct/>
        <w:topLinePunct w:val="0"/>
        <w:autoSpaceDE/>
        <w:autoSpaceDN/>
        <w:bidi w:val="0"/>
        <w:snapToGrid w:val="0"/>
        <w:spacing w:before="0" w:after="0" w:line="360" w:lineRule="auto"/>
        <w:ind w:firstLine="0" w:firstLineChars="0"/>
        <w:jc w:val="center"/>
        <w:rPr>
          <w:rFonts w:hint="default" w:ascii="Times New Roman" w:hAnsi="Times New Roman" w:eastAsia="黑体" w:cs="Times New Roman"/>
          <w:b w:val="0"/>
          <w:bCs w:val="0"/>
          <w:color w:val="auto"/>
        </w:rPr>
      </w:pPr>
      <w:r>
        <w:rPr>
          <w:rFonts w:hint="default" w:ascii="Times New Roman" w:hAnsi="Times New Roman" w:eastAsia="黑体" w:cs="Times New Roman"/>
          <w:b w:val="0"/>
          <w:bCs w:val="0"/>
          <w:color w:val="auto"/>
        </w:rPr>
        <w:t>表</w:t>
      </w:r>
      <w:r>
        <w:rPr>
          <w:rFonts w:hint="default" w:ascii="Times New Roman" w:hAnsi="Times New Roman" w:eastAsia="黑体" w:cs="Times New Roman"/>
          <w:b w:val="0"/>
          <w:bCs w:val="0"/>
          <w:color w:val="auto"/>
          <w:lang w:val="en-US" w:eastAsia="zh-CN"/>
        </w:rPr>
        <w:t>5</w:t>
      </w:r>
      <w:r>
        <w:rPr>
          <w:rFonts w:hint="default" w:ascii="Times New Roman" w:hAnsi="Times New Roman" w:eastAsia="黑体" w:cs="Times New Roman"/>
          <w:b w:val="0"/>
          <w:bCs w:val="0"/>
          <w:color w:val="auto"/>
        </w:rPr>
        <w:t>-4：项目效益指标及分值</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1" w:type="dxa"/>
          <w:bottom w:w="0" w:type="dxa"/>
          <w:right w:w="51" w:type="dxa"/>
        </w:tblCellMar>
      </w:tblPr>
      <w:tblGrid>
        <w:gridCol w:w="1038"/>
        <w:gridCol w:w="1112"/>
        <w:gridCol w:w="2020"/>
        <w:gridCol w:w="841"/>
        <w:gridCol w:w="1110"/>
        <w:gridCol w:w="759"/>
        <w:gridCol w:w="690"/>
        <w:gridCol w:w="838"/>
      </w:tblGrid>
      <w:tr w14:paraId="09551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tblHeader/>
          <w:jc w:val="center"/>
        </w:trPr>
        <w:tc>
          <w:tcPr>
            <w:tcW w:w="617" w:type="pct"/>
            <w:vAlign w:val="center"/>
          </w:tcPr>
          <w:p w14:paraId="42A0A722">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一级指标</w:t>
            </w:r>
          </w:p>
        </w:tc>
        <w:tc>
          <w:tcPr>
            <w:tcW w:w="661" w:type="pct"/>
            <w:vAlign w:val="center"/>
          </w:tcPr>
          <w:p w14:paraId="74C741D5">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二级指标</w:t>
            </w:r>
          </w:p>
        </w:tc>
        <w:tc>
          <w:tcPr>
            <w:tcW w:w="1201" w:type="pct"/>
            <w:vAlign w:val="center"/>
          </w:tcPr>
          <w:p w14:paraId="2914A4F8">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三级指标</w:t>
            </w:r>
          </w:p>
        </w:tc>
        <w:tc>
          <w:tcPr>
            <w:tcW w:w="500" w:type="pct"/>
            <w:vAlign w:val="center"/>
          </w:tcPr>
          <w:p w14:paraId="11F539E2">
            <w:pPr>
              <w:pageBreakBefore w:val="0"/>
              <w:widowControl/>
              <w:kinsoku/>
              <w:wordWrap/>
              <w:overflowPunct/>
              <w:topLinePunct w:val="0"/>
              <w:autoSpaceDE/>
              <w:autoSpaceDN/>
              <w:bidi w:val="0"/>
              <w:snapToGrid w:val="0"/>
              <w:spacing w:before="0" w:after="0" w:line="240" w:lineRule="auto"/>
              <w:ind w:firstLine="0" w:firstLineChars="0"/>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目标值</w:t>
            </w:r>
          </w:p>
        </w:tc>
        <w:tc>
          <w:tcPr>
            <w:tcW w:w="660" w:type="pct"/>
            <w:vAlign w:val="center"/>
          </w:tcPr>
          <w:p w14:paraId="1A7ACB44">
            <w:pPr>
              <w:pageBreakBefore w:val="0"/>
              <w:widowControl/>
              <w:kinsoku/>
              <w:wordWrap/>
              <w:overflowPunct/>
              <w:topLinePunct w:val="0"/>
              <w:autoSpaceDE/>
              <w:autoSpaceDN/>
              <w:bidi w:val="0"/>
              <w:snapToGrid w:val="0"/>
              <w:spacing w:before="0" w:after="0" w:line="240" w:lineRule="auto"/>
              <w:ind w:firstLine="0" w:firstLineChars="0"/>
              <w:textAlignment w:val="center"/>
              <w:rPr>
                <w:rFonts w:hint="default" w:ascii="Times New Roman" w:hAnsi="Times New Roman" w:eastAsia="宋体" w:cs="Times New Roman"/>
                <w:b/>
                <w:color w:val="auto"/>
                <w:kern w:val="0"/>
                <w:sz w:val="20"/>
                <w:szCs w:val="20"/>
                <w:lang w:bidi="ar"/>
              </w:rPr>
            </w:pPr>
            <w:r>
              <w:rPr>
                <w:rFonts w:hint="default" w:ascii="Times New Roman" w:hAnsi="Times New Roman" w:eastAsia="宋体" w:cs="Times New Roman"/>
                <w:b/>
                <w:color w:val="auto"/>
                <w:kern w:val="0"/>
                <w:sz w:val="20"/>
                <w:szCs w:val="20"/>
                <w:lang w:bidi="ar"/>
              </w:rPr>
              <w:t>实际完成值</w:t>
            </w:r>
          </w:p>
        </w:tc>
        <w:tc>
          <w:tcPr>
            <w:tcW w:w="451" w:type="pct"/>
            <w:vAlign w:val="center"/>
          </w:tcPr>
          <w:p w14:paraId="3654A2C4">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权重</w:t>
            </w:r>
          </w:p>
        </w:tc>
        <w:tc>
          <w:tcPr>
            <w:tcW w:w="410" w:type="pct"/>
            <w:vAlign w:val="center"/>
          </w:tcPr>
          <w:p w14:paraId="61601311">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sz w:val="20"/>
                <w:szCs w:val="20"/>
              </w:rPr>
            </w:pPr>
            <w:r>
              <w:rPr>
                <w:rFonts w:hint="default" w:ascii="Times New Roman" w:hAnsi="Times New Roman" w:eastAsia="宋体" w:cs="Times New Roman"/>
                <w:b/>
                <w:color w:val="auto"/>
                <w:kern w:val="0"/>
                <w:sz w:val="20"/>
                <w:szCs w:val="20"/>
                <w:lang w:bidi="ar"/>
              </w:rPr>
              <w:t>得分</w:t>
            </w:r>
          </w:p>
        </w:tc>
        <w:tc>
          <w:tcPr>
            <w:tcW w:w="498" w:type="pct"/>
            <w:vAlign w:val="center"/>
          </w:tcPr>
          <w:p w14:paraId="530EB521">
            <w:pPr>
              <w:pageBreakBefore w:val="0"/>
              <w:widowControl/>
              <w:kinsoku/>
              <w:wordWrap/>
              <w:overflowPunct/>
              <w:topLinePunct w:val="0"/>
              <w:autoSpaceDE/>
              <w:autoSpaceDN/>
              <w:bidi w:val="0"/>
              <w:snapToGrid w:val="0"/>
              <w:spacing w:before="0" w:after="0" w:line="240" w:lineRule="auto"/>
              <w:ind w:firstLine="0" w:firstLineChars="0"/>
              <w:jc w:val="center"/>
              <w:textAlignment w:val="center"/>
              <w:rPr>
                <w:rFonts w:hint="default" w:ascii="Times New Roman" w:hAnsi="Times New Roman" w:eastAsia="宋体" w:cs="Times New Roman"/>
                <w:b/>
                <w:color w:val="auto"/>
                <w:kern w:val="0"/>
                <w:sz w:val="20"/>
                <w:szCs w:val="20"/>
                <w:lang w:bidi="ar"/>
              </w:rPr>
            </w:pPr>
            <w:r>
              <w:rPr>
                <w:rFonts w:hint="default" w:ascii="Times New Roman" w:hAnsi="Times New Roman" w:eastAsia="宋体" w:cs="Times New Roman"/>
                <w:b/>
                <w:color w:val="auto"/>
                <w:kern w:val="0"/>
                <w:sz w:val="20"/>
                <w:szCs w:val="20"/>
                <w:lang w:bidi="ar"/>
              </w:rPr>
              <w:t>得分率</w:t>
            </w:r>
          </w:p>
        </w:tc>
      </w:tr>
      <w:tr w14:paraId="2BD81C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restart"/>
            <w:vAlign w:val="center"/>
          </w:tcPr>
          <w:p w14:paraId="77A1EA55">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r>
              <w:rPr>
                <w:rFonts w:hint="default" w:ascii="Times New Roman" w:hAnsi="Times New Roman" w:cs="Times New Roman"/>
                <w:color w:val="auto"/>
                <w:sz w:val="20"/>
                <w:szCs w:val="20"/>
              </w:rPr>
              <w:t>D效益（3</w:t>
            </w:r>
            <w:r>
              <w:rPr>
                <w:rFonts w:hint="default" w:ascii="Times New Roman" w:hAnsi="Times New Roman" w:cs="Times New Roman"/>
                <w:color w:val="auto"/>
                <w:sz w:val="20"/>
                <w:szCs w:val="20"/>
                <w:lang w:val="en-US" w:eastAsia="zh-CN"/>
              </w:rPr>
              <w:t>0</w:t>
            </w:r>
            <w:r>
              <w:rPr>
                <w:rFonts w:hint="default" w:ascii="Times New Roman" w:hAnsi="Times New Roman" w:cs="Times New Roman"/>
                <w:color w:val="auto"/>
                <w:sz w:val="20"/>
                <w:szCs w:val="20"/>
              </w:rPr>
              <w:t>.00分）</w:t>
            </w:r>
          </w:p>
        </w:tc>
        <w:tc>
          <w:tcPr>
            <w:tcW w:w="661" w:type="pct"/>
            <w:vMerge w:val="restart"/>
            <w:vAlign w:val="center"/>
          </w:tcPr>
          <w:p w14:paraId="61D524E0">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D1社会效益指标（2</w:t>
            </w:r>
            <w:r>
              <w:rPr>
                <w:rFonts w:hint="default" w:ascii="Times New Roman" w:hAnsi="Times New Roman" w:cs="Times New Roman"/>
                <w:color w:val="auto"/>
                <w:kern w:val="0"/>
                <w:sz w:val="20"/>
                <w:szCs w:val="20"/>
                <w:lang w:val="en-US" w:eastAsia="zh-CN" w:bidi="ar"/>
              </w:rPr>
              <w:t>0</w:t>
            </w:r>
            <w:r>
              <w:rPr>
                <w:rFonts w:hint="default" w:ascii="Times New Roman" w:hAnsi="Times New Roman" w:cs="Times New Roman"/>
                <w:color w:val="auto"/>
                <w:kern w:val="0"/>
                <w:sz w:val="20"/>
                <w:szCs w:val="20"/>
                <w:lang w:bidi="ar"/>
              </w:rPr>
              <w:t>.00分）</w:t>
            </w:r>
          </w:p>
        </w:tc>
        <w:tc>
          <w:tcPr>
            <w:tcW w:w="1201" w:type="pct"/>
            <w:vAlign w:val="center"/>
          </w:tcPr>
          <w:p w14:paraId="5F443F50">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D11提升政府公共服务管理水平</w:t>
            </w:r>
          </w:p>
        </w:tc>
        <w:tc>
          <w:tcPr>
            <w:tcW w:w="500" w:type="pct"/>
            <w:vAlign w:val="center"/>
          </w:tcPr>
          <w:p w14:paraId="3D68DC10">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有效提升</w:t>
            </w:r>
          </w:p>
        </w:tc>
        <w:tc>
          <w:tcPr>
            <w:tcW w:w="660" w:type="pct"/>
            <w:vAlign w:val="center"/>
          </w:tcPr>
          <w:p w14:paraId="6EC1CA9F">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lang w:val="en-US" w:eastAsia="zh-CN"/>
              </w:rPr>
            </w:pPr>
            <w:r>
              <w:rPr>
                <w:rFonts w:hint="default" w:ascii="Times New Roman" w:hAnsi="Times New Roman" w:cs="Times New Roman"/>
                <w:color w:val="auto"/>
                <w:sz w:val="20"/>
                <w:szCs w:val="20"/>
                <w:lang w:val="en-US" w:eastAsia="zh-CN"/>
              </w:rPr>
              <w:t>有效提升</w:t>
            </w:r>
          </w:p>
        </w:tc>
        <w:tc>
          <w:tcPr>
            <w:tcW w:w="451" w:type="pct"/>
            <w:vAlign w:val="center"/>
          </w:tcPr>
          <w:p w14:paraId="03080F39">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10.00</w:t>
            </w:r>
          </w:p>
        </w:tc>
        <w:tc>
          <w:tcPr>
            <w:tcW w:w="410" w:type="pct"/>
            <w:vAlign w:val="center"/>
          </w:tcPr>
          <w:p w14:paraId="715BC4A9">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10.00</w:t>
            </w:r>
          </w:p>
        </w:tc>
        <w:tc>
          <w:tcPr>
            <w:tcW w:w="498" w:type="pct"/>
            <w:vAlign w:val="center"/>
          </w:tcPr>
          <w:p w14:paraId="40DEF933">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100.00%</w:t>
            </w:r>
          </w:p>
        </w:tc>
      </w:tr>
      <w:tr w14:paraId="09BF2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continue"/>
            <w:vAlign w:val="center"/>
          </w:tcPr>
          <w:p w14:paraId="4370DCC0">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61" w:type="pct"/>
            <w:vMerge w:val="continue"/>
            <w:vAlign w:val="center"/>
          </w:tcPr>
          <w:p w14:paraId="28D1A0E2">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1201" w:type="pct"/>
            <w:vAlign w:val="center"/>
          </w:tcPr>
          <w:p w14:paraId="6CFA32D6">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D12提升公共服务供给效率</w:t>
            </w:r>
          </w:p>
        </w:tc>
        <w:tc>
          <w:tcPr>
            <w:tcW w:w="500" w:type="pct"/>
            <w:vAlign w:val="center"/>
          </w:tcPr>
          <w:p w14:paraId="0C2A6362">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有效提升</w:t>
            </w:r>
          </w:p>
        </w:tc>
        <w:tc>
          <w:tcPr>
            <w:tcW w:w="660" w:type="pct"/>
            <w:vAlign w:val="center"/>
          </w:tcPr>
          <w:p w14:paraId="3001FA8B">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lang w:val="en-US" w:eastAsia="zh-CN"/>
              </w:rPr>
            </w:pPr>
            <w:r>
              <w:rPr>
                <w:rFonts w:hint="default" w:ascii="Times New Roman" w:hAnsi="Times New Roman" w:cs="Times New Roman"/>
                <w:color w:val="auto"/>
                <w:sz w:val="20"/>
                <w:szCs w:val="20"/>
                <w:lang w:val="en-US" w:eastAsia="zh-CN"/>
              </w:rPr>
              <w:t>有效提升</w:t>
            </w:r>
          </w:p>
        </w:tc>
        <w:tc>
          <w:tcPr>
            <w:tcW w:w="451" w:type="pct"/>
            <w:vAlign w:val="center"/>
          </w:tcPr>
          <w:p w14:paraId="47704EB6">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10.00</w:t>
            </w:r>
          </w:p>
        </w:tc>
        <w:tc>
          <w:tcPr>
            <w:tcW w:w="410" w:type="pct"/>
            <w:vAlign w:val="center"/>
          </w:tcPr>
          <w:p w14:paraId="1A3CDE21">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10.00</w:t>
            </w:r>
          </w:p>
        </w:tc>
        <w:tc>
          <w:tcPr>
            <w:tcW w:w="498" w:type="pct"/>
            <w:vAlign w:val="center"/>
          </w:tcPr>
          <w:p w14:paraId="59A29D61">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100.00%</w:t>
            </w:r>
          </w:p>
        </w:tc>
      </w:tr>
      <w:tr w14:paraId="04EADD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continue"/>
            <w:vAlign w:val="center"/>
          </w:tcPr>
          <w:p w14:paraId="159B95A2">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61" w:type="pct"/>
            <w:vMerge w:val="restart"/>
            <w:vAlign w:val="center"/>
          </w:tcPr>
          <w:p w14:paraId="5F5CC3A2">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D2服务对象满意度指标（1</w:t>
            </w:r>
            <w:r>
              <w:rPr>
                <w:rFonts w:hint="default" w:ascii="Times New Roman" w:hAnsi="Times New Roman" w:cs="Times New Roman"/>
                <w:color w:val="auto"/>
                <w:kern w:val="0"/>
                <w:sz w:val="20"/>
                <w:szCs w:val="20"/>
                <w:lang w:val="en-US" w:eastAsia="zh-CN" w:bidi="ar"/>
              </w:rPr>
              <w:t>0</w:t>
            </w:r>
            <w:r>
              <w:rPr>
                <w:rFonts w:hint="default" w:ascii="Times New Roman" w:hAnsi="Times New Roman" w:cs="Times New Roman"/>
                <w:color w:val="auto"/>
                <w:kern w:val="0"/>
                <w:sz w:val="20"/>
                <w:szCs w:val="20"/>
                <w:lang w:bidi="ar"/>
              </w:rPr>
              <w:t>.00分）</w:t>
            </w:r>
          </w:p>
        </w:tc>
        <w:tc>
          <w:tcPr>
            <w:tcW w:w="1201" w:type="pct"/>
            <w:vAlign w:val="center"/>
          </w:tcPr>
          <w:p w14:paraId="3A3EA42B">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D21购买主体满意度</w:t>
            </w:r>
          </w:p>
        </w:tc>
        <w:tc>
          <w:tcPr>
            <w:tcW w:w="500" w:type="pct"/>
            <w:vAlign w:val="center"/>
          </w:tcPr>
          <w:p w14:paraId="3FDA0B96">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≥90%</w:t>
            </w:r>
          </w:p>
        </w:tc>
        <w:tc>
          <w:tcPr>
            <w:tcW w:w="660" w:type="pct"/>
            <w:vAlign w:val="center"/>
          </w:tcPr>
          <w:p w14:paraId="08947EAF">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lang w:val="en-US" w:eastAsia="zh-CN"/>
              </w:rPr>
            </w:pPr>
            <w:r>
              <w:rPr>
                <w:rFonts w:hint="default" w:ascii="Times New Roman" w:hAnsi="Times New Roman" w:cs="Times New Roman" w:eastAsiaTheme="minorEastAsia"/>
                <w:color w:val="auto"/>
                <w:kern w:val="0"/>
                <w:sz w:val="20"/>
                <w:szCs w:val="20"/>
                <w:lang w:val="en-US" w:eastAsia="zh-CN" w:bidi="ar"/>
              </w:rPr>
              <w:t>100.00%</w:t>
            </w:r>
          </w:p>
        </w:tc>
        <w:tc>
          <w:tcPr>
            <w:tcW w:w="451" w:type="pct"/>
            <w:vAlign w:val="center"/>
          </w:tcPr>
          <w:p w14:paraId="13B126DC">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5.00</w:t>
            </w:r>
          </w:p>
        </w:tc>
        <w:tc>
          <w:tcPr>
            <w:tcW w:w="410" w:type="pct"/>
            <w:vAlign w:val="center"/>
          </w:tcPr>
          <w:p w14:paraId="356058BD">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5.00</w:t>
            </w:r>
          </w:p>
        </w:tc>
        <w:tc>
          <w:tcPr>
            <w:tcW w:w="498" w:type="pct"/>
            <w:vAlign w:val="center"/>
          </w:tcPr>
          <w:p w14:paraId="11F8E466">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100.00%</w:t>
            </w:r>
          </w:p>
        </w:tc>
      </w:tr>
      <w:tr w14:paraId="23AD56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vMerge w:val="continue"/>
            <w:vAlign w:val="center"/>
          </w:tcPr>
          <w:p w14:paraId="3D8A5CAF">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661" w:type="pct"/>
            <w:vMerge w:val="continue"/>
            <w:vAlign w:val="center"/>
          </w:tcPr>
          <w:p w14:paraId="04DADCA5">
            <w:pPr>
              <w:pageBreakBefore w:val="0"/>
              <w:widowControl/>
              <w:kinsoku/>
              <w:wordWrap/>
              <w:overflowPunct/>
              <w:topLinePunct w:val="0"/>
              <w:autoSpaceDE/>
              <w:autoSpaceDN/>
              <w:bidi w:val="0"/>
              <w:snapToGrid w:val="0"/>
              <w:spacing w:before="0" w:after="0" w:line="240" w:lineRule="auto"/>
              <w:ind w:firstLine="0" w:firstLineChars="0"/>
              <w:jc w:val="left"/>
              <w:rPr>
                <w:rFonts w:hint="default" w:ascii="Times New Roman" w:hAnsi="Times New Roman" w:eastAsia="宋体" w:cs="Times New Roman"/>
                <w:color w:val="auto"/>
                <w:sz w:val="20"/>
                <w:szCs w:val="20"/>
              </w:rPr>
            </w:pPr>
          </w:p>
        </w:tc>
        <w:tc>
          <w:tcPr>
            <w:tcW w:w="1201" w:type="pct"/>
            <w:vAlign w:val="center"/>
          </w:tcPr>
          <w:p w14:paraId="5F432066">
            <w:pPr>
              <w:pageBreakBefore w:val="0"/>
              <w:widowControl/>
              <w:kinsoku/>
              <w:wordWrap/>
              <w:overflowPunct/>
              <w:topLinePunct w:val="0"/>
              <w:autoSpaceDE/>
              <w:autoSpaceDN/>
              <w:bidi w:val="0"/>
              <w:snapToGrid w:val="0"/>
              <w:spacing w:before="0" w:after="0" w:line="240" w:lineRule="auto"/>
              <w:ind w:firstLine="0" w:firstLineChars="0"/>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D22受益对象满意度</w:t>
            </w:r>
          </w:p>
        </w:tc>
        <w:tc>
          <w:tcPr>
            <w:tcW w:w="500" w:type="pct"/>
            <w:vAlign w:val="center"/>
          </w:tcPr>
          <w:p w14:paraId="123B42DC">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≥90%</w:t>
            </w:r>
          </w:p>
        </w:tc>
        <w:tc>
          <w:tcPr>
            <w:tcW w:w="660" w:type="pct"/>
            <w:vAlign w:val="center"/>
          </w:tcPr>
          <w:p w14:paraId="6B1ACBE4">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lang w:val="en-US" w:eastAsia="zh-CN"/>
              </w:rPr>
            </w:pPr>
            <w:r>
              <w:rPr>
                <w:rFonts w:hint="default" w:ascii="Times New Roman" w:hAnsi="Times New Roman" w:cs="Times New Roman"/>
                <w:color w:val="auto"/>
                <w:sz w:val="20"/>
                <w:szCs w:val="20"/>
                <w:lang w:val="en-US" w:eastAsia="zh-CN"/>
              </w:rPr>
              <w:t>92.61%</w:t>
            </w:r>
          </w:p>
        </w:tc>
        <w:tc>
          <w:tcPr>
            <w:tcW w:w="451" w:type="pct"/>
            <w:vAlign w:val="center"/>
          </w:tcPr>
          <w:p w14:paraId="226C0358">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5.00</w:t>
            </w:r>
          </w:p>
        </w:tc>
        <w:tc>
          <w:tcPr>
            <w:tcW w:w="410" w:type="pct"/>
            <w:vAlign w:val="center"/>
          </w:tcPr>
          <w:p w14:paraId="14DA3DCB">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5.00</w:t>
            </w:r>
          </w:p>
        </w:tc>
        <w:tc>
          <w:tcPr>
            <w:tcW w:w="498" w:type="pct"/>
            <w:vAlign w:val="center"/>
          </w:tcPr>
          <w:p w14:paraId="1C4957BC">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100.00%</w:t>
            </w:r>
          </w:p>
        </w:tc>
      </w:tr>
      <w:tr w14:paraId="7BF6A1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17" w:type="pct"/>
            <w:gridSpan w:val="3"/>
            <w:vAlign w:val="center"/>
          </w:tcPr>
          <w:p w14:paraId="5783539C">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sz w:val="20"/>
                <w:szCs w:val="20"/>
              </w:rPr>
              <w:t>合计</w:t>
            </w:r>
          </w:p>
        </w:tc>
        <w:tc>
          <w:tcPr>
            <w:tcW w:w="500" w:type="pct"/>
            <w:vAlign w:val="center"/>
          </w:tcPr>
          <w:p w14:paraId="70EF46E3">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p>
        </w:tc>
        <w:tc>
          <w:tcPr>
            <w:tcW w:w="660" w:type="pct"/>
            <w:vAlign w:val="center"/>
          </w:tcPr>
          <w:p w14:paraId="5AFCE02A">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lang w:val="en-US" w:eastAsia="zh-CN"/>
              </w:rPr>
            </w:pPr>
          </w:p>
        </w:tc>
        <w:tc>
          <w:tcPr>
            <w:tcW w:w="451" w:type="pct"/>
            <w:vAlign w:val="center"/>
          </w:tcPr>
          <w:p w14:paraId="4767289D">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30.00</w:t>
            </w:r>
          </w:p>
        </w:tc>
        <w:tc>
          <w:tcPr>
            <w:tcW w:w="410" w:type="pct"/>
            <w:vAlign w:val="center"/>
          </w:tcPr>
          <w:p w14:paraId="098D2758">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30.00</w:t>
            </w:r>
          </w:p>
        </w:tc>
        <w:tc>
          <w:tcPr>
            <w:tcW w:w="498" w:type="pct"/>
            <w:vAlign w:val="center"/>
          </w:tcPr>
          <w:p w14:paraId="4FBF909A">
            <w:pPr>
              <w:pageBreakBefore w:val="0"/>
              <w:widowControl/>
              <w:kinsoku/>
              <w:wordWrap/>
              <w:overflowPunct/>
              <w:topLinePunct w:val="0"/>
              <w:autoSpaceDE/>
              <w:autoSpaceDN/>
              <w:bidi w:val="0"/>
              <w:snapToGrid w:val="0"/>
              <w:spacing w:before="0" w:after="0" w:line="240" w:lineRule="auto"/>
              <w:ind w:firstLine="0" w:firstLineChars="0"/>
              <w:jc w:val="center"/>
              <w:rPr>
                <w:rFonts w:hint="default" w:ascii="Times New Roman" w:hAnsi="Times New Roman" w:eastAsia="宋体" w:cs="Times New Roman"/>
                <w:color w:val="auto"/>
                <w:sz w:val="20"/>
                <w:szCs w:val="20"/>
              </w:rPr>
            </w:pPr>
            <w:r>
              <w:rPr>
                <w:rFonts w:hint="default" w:ascii="Times New Roman" w:hAnsi="Times New Roman" w:cs="Times New Roman"/>
                <w:color w:val="auto"/>
                <w:kern w:val="0"/>
                <w:sz w:val="20"/>
                <w:szCs w:val="20"/>
                <w:lang w:bidi="ar"/>
              </w:rPr>
              <w:t>100.00%</w:t>
            </w:r>
          </w:p>
        </w:tc>
      </w:tr>
    </w:tbl>
    <w:p w14:paraId="41EAA238">
      <w:pPr>
        <w:pageBreakBefore w:val="0"/>
        <w:kinsoku/>
        <w:wordWrap/>
        <w:overflowPunct/>
        <w:topLinePunct w:val="0"/>
        <w:autoSpaceDE/>
        <w:autoSpaceDN/>
        <w:bidi w:val="0"/>
        <w:snapToGrid w:val="0"/>
        <w:spacing w:before="0" w:after="0" w:line="360" w:lineRule="auto"/>
        <w:ind w:firstLine="422"/>
        <w:rPr>
          <w:rFonts w:hint="default" w:ascii="Times New Roman" w:hAnsi="Times New Roman" w:eastAsia="宋体" w:cs="Times New Roman"/>
          <w:b/>
          <w:bCs/>
          <w:color w:val="auto"/>
        </w:rPr>
      </w:pPr>
    </w:p>
    <w:p w14:paraId="065E506F">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color w:val="auto"/>
        </w:rPr>
      </w:pPr>
      <w:r>
        <w:rPr>
          <w:rFonts w:hint="default" w:ascii="Times New Roman" w:hAnsi="Times New Roman" w:eastAsia="宋体" w:cs="Times New Roman"/>
          <w:b/>
          <w:bCs/>
          <w:color w:val="auto"/>
        </w:rPr>
        <w:t>指标得分分析</w:t>
      </w:r>
      <w:r>
        <w:rPr>
          <w:rFonts w:hint="default" w:ascii="Times New Roman" w:hAnsi="Times New Roman" w:cs="Times New Roman"/>
          <w:b/>
          <w:bCs/>
          <w:color w:val="auto"/>
        </w:rPr>
        <w:t>：</w:t>
      </w:r>
    </w:p>
    <w:p w14:paraId="47DEEB86">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（1）D11提升政府公共服务管理水平指标：</w:t>
      </w:r>
    </w:p>
    <w:p w14:paraId="7F414229">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根据《吉木萨尔县城市管理服务“三位一体”委托运营项目满意度调研问卷（全县居民）》统计结果，满意度调研问卷对象吉木萨尔县全县居民，共发放444分，收回有效问卷444份。根据问题1</w:t>
      </w:r>
      <w:r>
        <w:rPr>
          <w:rFonts w:hint="default" w:ascii="Times New Roman" w:hAnsi="Times New Roman" w:cs="Times New Roman"/>
          <w:color w:val="auto"/>
          <w:lang w:val="en-US" w:eastAsia="zh-CN"/>
        </w:rPr>
        <w:t>1：</w:t>
      </w:r>
      <w:r>
        <w:rPr>
          <w:rFonts w:hint="default" w:ascii="Times New Roman" w:hAnsi="Times New Roman" w:cs="Times New Roman"/>
          <w:color w:val="auto"/>
        </w:rPr>
        <w:t>“您认为目前城市环卫、绿化，提供的政府公共服务管理水平实现程度如何</w:t>
      </w:r>
      <w:r>
        <w:rPr>
          <w:rFonts w:hint="default" w:ascii="Times New Roman" w:hAnsi="Times New Roman" w:cs="Times New Roman"/>
          <w:color w:val="auto"/>
          <w:lang w:eastAsia="zh-CN"/>
        </w:rPr>
        <w:t>？</w:t>
      </w:r>
      <w:r>
        <w:rPr>
          <w:rFonts w:hint="default" w:ascii="Times New Roman" w:hAnsi="Times New Roman" w:cs="Times New Roman"/>
          <w:color w:val="auto"/>
        </w:rPr>
        <w:t>”统计结果，按照社会公众认可程度计算指标完成率为93.94%，基本达成目标。根据评分标准，指标完成率在100.00%-80.00%之间，得满分。</w:t>
      </w:r>
    </w:p>
    <w:p w14:paraId="7B29047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该指标满分为10.00分，根据评分标准得10.00分。</w:t>
      </w:r>
    </w:p>
    <w:p w14:paraId="2730071E">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（2）D12提升公共服务供给效率指标：</w:t>
      </w:r>
    </w:p>
    <w:p w14:paraId="12437DD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根据《吉木萨尔县城市管理服务“三位一体”委托运营项目满意度调研问卷（全县居民）》统计结果，满意度调研问卷对象吉木萨尔县全县居民，共发放444分，收回有效问卷444份。根据问题1</w:t>
      </w:r>
      <w:r>
        <w:rPr>
          <w:rFonts w:hint="default" w:ascii="Times New Roman" w:hAnsi="Times New Roman" w:cs="Times New Roman"/>
          <w:color w:val="auto"/>
          <w:lang w:val="en-US" w:eastAsia="zh-CN"/>
        </w:rPr>
        <w:t>4：</w:t>
      </w:r>
      <w:r>
        <w:rPr>
          <w:rFonts w:hint="default" w:ascii="Times New Roman" w:hAnsi="Times New Roman" w:cs="Times New Roman"/>
          <w:color w:val="auto"/>
        </w:rPr>
        <w:t>“您认为提升公共服务供给效率程度如何”统计结果，按照社会公众认可程度计算指标完成率为92.39%，基本达成目标。根据评分标准，指标完成率在100.00%-80.00%之间，得满分。</w:t>
      </w:r>
    </w:p>
    <w:p w14:paraId="5911AF9C">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该指标满分为10.00分，根据评分标准得10.00分。</w:t>
      </w:r>
    </w:p>
    <w:p w14:paraId="618F254A">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（3）D21购买主体满意度指标：</w:t>
      </w:r>
    </w:p>
    <w:p w14:paraId="7DD5C36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根据《吉木萨尔县城市管理服务“三位一体”委托运营项目满意度调研问卷（</w:t>
      </w:r>
      <w:r>
        <w:rPr>
          <w:rFonts w:hint="default" w:ascii="Times New Roman" w:hAnsi="Times New Roman" w:cs="Times New Roman"/>
          <w:color w:val="auto"/>
          <w:lang w:val="en-US" w:eastAsia="zh-CN"/>
        </w:rPr>
        <w:t>购买主体</w:t>
      </w:r>
      <w:r>
        <w:rPr>
          <w:rFonts w:hint="default" w:ascii="Times New Roman" w:hAnsi="Times New Roman" w:cs="Times New Roman"/>
          <w:color w:val="auto"/>
        </w:rPr>
        <w:t>）》统计结果，满意度调研问卷对象吉木萨尔县</w:t>
      </w:r>
      <w:r>
        <w:rPr>
          <w:rFonts w:hint="default" w:ascii="Times New Roman" w:hAnsi="Times New Roman" w:cs="Times New Roman"/>
          <w:color w:val="auto"/>
          <w:lang w:val="en-US" w:eastAsia="zh-CN"/>
        </w:rPr>
        <w:t>住建局</w:t>
      </w:r>
      <w:r>
        <w:rPr>
          <w:rFonts w:hint="default" w:ascii="Times New Roman" w:hAnsi="Times New Roman" w:cs="Times New Roman"/>
          <w:color w:val="auto"/>
        </w:rPr>
        <w:t>，共发放</w:t>
      </w:r>
      <w:r>
        <w:rPr>
          <w:rFonts w:hint="default" w:ascii="Times New Roman" w:hAnsi="Times New Roman" w:cs="Times New Roman"/>
          <w:color w:val="auto"/>
          <w:lang w:val="en-US" w:eastAsia="zh-CN"/>
        </w:rPr>
        <w:t>1</w:t>
      </w:r>
      <w:r>
        <w:rPr>
          <w:rFonts w:hint="default" w:ascii="Times New Roman" w:hAnsi="Times New Roman" w:cs="Times New Roman"/>
          <w:color w:val="auto"/>
        </w:rPr>
        <w:t>分，收回有效问卷</w:t>
      </w:r>
      <w:r>
        <w:rPr>
          <w:rFonts w:hint="default" w:ascii="Times New Roman" w:hAnsi="Times New Roman" w:cs="Times New Roman"/>
          <w:color w:val="auto"/>
          <w:lang w:val="en-US" w:eastAsia="zh-CN"/>
        </w:rPr>
        <w:t>1</w:t>
      </w:r>
      <w:r>
        <w:rPr>
          <w:rFonts w:hint="default" w:ascii="Times New Roman" w:hAnsi="Times New Roman" w:cs="Times New Roman"/>
          <w:color w:val="auto"/>
        </w:rPr>
        <w:t>份。根据问题10</w:t>
      </w:r>
      <w:r>
        <w:rPr>
          <w:rFonts w:hint="default" w:ascii="Times New Roman" w:hAnsi="Times New Roman" w:cs="Times New Roman"/>
          <w:color w:val="auto"/>
          <w:lang w:eastAsia="zh-CN"/>
        </w:rPr>
        <w:t>：</w:t>
      </w:r>
      <w:r>
        <w:rPr>
          <w:rFonts w:hint="default" w:ascii="Times New Roman" w:hAnsi="Times New Roman" w:cs="Times New Roman"/>
          <w:color w:val="auto"/>
        </w:rPr>
        <w:t>“</w:t>
      </w:r>
      <w:r>
        <w:rPr>
          <w:rFonts w:hint="default" w:ascii="Times New Roman" w:hAnsi="Times New Roman" w:eastAsia="宋体" w:cs="Times New Roman"/>
          <w:color w:val="auto"/>
          <w:lang w:val="en-US" w:eastAsia="zh-CN"/>
        </w:rPr>
        <w:t>整体推荐意愿：综合来看，您是否愿意向其他单位推荐该服务单位？</w:t>
      </w:r>
      <w:r>
        <w:rPr>
          <w:rFonts w:hint="default" w:ascii="Times New Roman" w:hAnsi="Times New Roman" w:cs="Times New Roman"/>
          <w:color w:val="auto"/>
        </w:rPr>
        <w:t>”统计结果，按照社会公众认可程度计算指标完成率为</w:t>
      </w:r>
      <w:r>
        <w:rPr>
          <w:rFonts w:hint="default" w:ascii="Times New Roman" w:hAnsi="Times New Roman" w:cs="Times New Roman"/>
          <w:color w:val="auto"/>
          <w:lang w:val="en-US" w:eastAsia="zh-CN"/>
        </w:rPr>
        <w:t>100.00</w:t>
      </w:r>
      <w:r>
        <w:rPr>
          <w:rFonts w:hint="default" w:ascii="Times New Roman" w:hAnsi="Times New Roman" w:cs="Times New Roman"/>
          <w:color w:val="auto"/>
        </w:rPr>
        <w:t>%，</w:t>
      </w:r>
      <w:r>
        <w:rPr>
          <w:rFonts w:hint="default" w:ascii="Times New Roman" w:hAnsi="Times New Roman" w:cs="Times New Roman"/>
          <w:color w:val="auto"/>
          <w:lang w:val="en-US" w:eastAsia="zh-CN"/>
        </w:rPr>
        <w:t>达成预期目标</w:t>
      </w:r>
      <w:r>
        <w:rPr>
          <w:rFonts w:hint="default" w:ascii="Times New Roman" w:hAnsi="Times New Roman" w:cs="Times New Roman"/>
          <w:color w:val="auto"/>
        </w:rPr>
        <w:t>。根据评分标准，指标完成率在100.00%-80.00%之间，得满分。</w:t>
      </w:r>
    </w:p>
    <w:p w14:paraId="2B30FF0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该指标满分为5.00分，根据评分标准得5.00分。</w:t>
      </w:r>
    </w:p>
    <w:p w14:paraId="2AD1C9FC">
      <w:pPr>
        <w:pageBreakBefore w:val="0"/>
        <w:kinsoku/>
        <w:wordWrap/>
        <w:overflowPunct/>
        <w:topLinePunct w:val="0"/>
        <w:autoSpaceDE/>
        <w:autoSpaceDN/>
        <w:bidi w:val="0"/>
        <w:snapToGrid w:val="0"/>
        <w:spacing w:before="0" w:after="0" w:line="36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（4）D22受益对象满意度指标：</w:t>
      </w:r>
    </w:p>
    <w:p w14:paraId="6CDFC60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根据《吉木萨尔县城市管理服务“三位一体”委托运营项目满意度调研问卷（全县居民）》统计结果，满意度调研问卷对象吉木萨尔县全县居民，共发放444分，收回有效问卷444份。根据</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1.对县城道路清洁保洁（如街道清扫、垃圾清运等）的满意度</w:t>
      </w:r>
      <w:r>
        <w:rPr>
          <w:rFonts w:hint="default" w:ascii="Times New Roman" w:hAnsi="Times New Roman" w:cs="Times New Roman"/>
          <w:color w:val="auto"/>
          <w:lang w:eastAsia="zh-CN"/>
        </w:rPr>
        <w:t>？</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2.对县城绿化管理（如绿植存活率、绿化带整洁度等）的满意度</w:t>
      </w:r>
      <w:r>
        <w:rPr>
          <w:rFonts w:hint="default" w:ascii="Times New Roman" w:hAnsi="Times New Roman" w:cs="Times New Roman"/>
          <w:color w:val="auto"/>
          <w:lang w:eastAsia="zh-CN"/>
        </w:rPr>
        <w:t>？</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3.对县城公园维护（如设施完好度、环境卫生、绿化景观等）的满意度</w:t>
      </w:r>
      <w:r>
        <w:rPr>
          <w:rFonts w:hint="eastAsia"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4.对县城公共厕所（如清洁度、设施完善性、分布合理性等）的满意度</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5.对管辖居住小区物业服务（如安保、卫生清洁、公共设施维护等）的满意度</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6.您认为县城环卫工作的垃圾清运及时性如何？</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7.您觉得县城绿化植物的修剪和养护频率是否合适？</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8.您认为冬季县城环卫工作的清理积雪及时性如何？</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9.您对冬季县城内清理积雪是否</w:t>
      </w:r>
      <w:r>
        <w:rPr>
          <w:rFonts w:hint="eastAsia" w:cs="Times New Roman"/>
          <w:color w:val="auto"/>
          <w:lang w:eastAsia="zh-CN"/>
        </w:rPr>
        <w:t>满意</w:t>
      </w:r>
      <w:r>
        <w:rPr>
          <w:rFonts w:hint="default" w:ascii="Times New Roman" w:hAnsi="Times New Roman" w:cs="Times New Roman"/>
          <w:color w:val="auto"/>
        </w:rPr>
        <w:t>？</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10.您认为由泓欣环境集团管理小区物业对业主提出的问题（如维修请求、投诉等）的处理效率如何？</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11.您认为目前城市环卫、绿化，提供的政府公共服务管理水平实现程度如何</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12.总体而言，您对县城上述公共服务的综合满意度如何？</w:t>
      </w:r>
      <w:r>
        <w:rPr>
          <w:rFonts w:hint="eastAsia" w:ascii="Times New Roman" w:hAnsi="Times New Roman" w:cs="Times New Roman"/>
          <w:color w:val="auto"/>
          <w:lang w:eastAsia="zh-CN"/>
        </w:rPr>
        <w:t>”“</w:t>
      </w:r>
      <w:r>
        <w:rPr>
          <w:rFonts w:hint="default" w:ascii="Times New Roman" w:hAnsi="Times New Roman" w:cs="Times New Roman"/>
          <w:color w:val="auto"/>
          <w:lang w:val="en-US" w:eastAsia="zh-CN"/>
        </w:rPr>
        <w:t>问题</w:t>
      </w:r>
      <w:r>
        <w:rPr>
          <w:rFonts w:hint="default" w:ascii="Times New Roman" w:hAnsi="Times New Roman" w:cs="Times New Roman"/>
          <w:color w:val="auto"/>
        </w:rPr>
        <w:t>14.您认为提升公共服务供给效率程度如何</w:t>
      </w:r>
      <w:r>
        <w:rPr>
          <w:rFonts w:hint="default" w:ascii="Times New Roman" w:hAnsi="Times New Roman" w:cs="Times New Roman"/>
          <w:color w:val="auto"/>
          <w:lang w:eastAsia="zh-CN"/>
        </w:rPr>
        <w:t>？”</w:t>
      </w:r>
      <w:r>
        <w:rPr>
          <w:rFonts w:hint="default" w:ascii="Times New Roman" w:hAnsi="Times New Roman" w:cs="Times New Roman"/>
          <w:color w:val="auto"/>
        </w:rPr>
        <w:t>统计结果，按照社会公众认可程度计算</w:t>
      </w:r>
      <w:r>
        <w:rPr>
          <w:rFonts w:hint="default" w:ascii="Times New Roman" w:hAnsi="Times New Roman" w:cs="Times New Roman"/>
          <w:color w:val="auto"/>
          <w:lang w:val="en-US" w:eastAsia="zh-CN"/>
        </w:rPr>
        <w:t>综合满意度</w:t>
      </w:r>
      <w:r>
        <w:rPr>
          <w:rFonts w:hint="default" w:ascii="Times New Roman" w:hAnsi="Times New Roman" w:cs="Times New Roman"/>
          <w:color w:val="auto"/>
        </w:rPr>
        <w:t>为92.</w:t>
      </w:r>
      <w:r>
        <w:rPr>
          <w:rFonts w:hint="default" w:ascii="Times New Roman" w:hAnsi="Times New Roman" w:cs="Times New Roman"/>
          <w:color w:val="auto"/>
          <w:lang w:val="en-US" w:eastAsia="zh-CN"/>
        </w:rPr>
        <w:t>57</w:t>
      </w:r>
      <w:r>
        <w:rPr>
          <w:rFonts w:hint="default" w:ascii="Times New Roman" w:hAnsi="Times New Roman" w:cs="Times New Roman"/>
          <w:color w:val="auto"/>
        </w:rPr>
        <w:t>%，基本达成目标。根据评分标准，指标完成率在100.00%-80.00%之间，得满分。</w:t>
      </w:r>
    </w:p>
    <w:p w14:paraId="6930AB2F">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该指标满分为5.00分，根据评分标准得5.00分。</w:t>
      </w:r>
    </w:p>
    <w:p w14:paraId="1018A7D5">
      <w:pPr>
        <w:pStyle w:val="2"/>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71" w:name="_Toc30458"/>
      <w:bookmarkStart w:id="72" w:name="_Toc14652"/>
      <w:r>
        <w:rPr>
          <w:rFonts w:hint="default" w:ascii="Times New Roman" w:hAnsi="Times New Roman" w:cs="Times New Roman"/>
          <w:color w:val="auto"/>
        </w:rPr>
        <w:t>六、主要经验及做法、存在的问题及原因分析</w:t>
      </w:r>
      <w:bookmarkEnd w:id="71"/>
      <w:bookmarkEnd w:id="72"/>
    </w:p>
    <w:p w14:paraId="1C35CF84">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73" w:name="_Toc14662"/>
      <w:bookmarkStart w:id="74" w:name="_Toc16974"/>
      <w:bookmarkStart w:id="75" w:name="_Toc438"/>
      <w:bookmarkStart w:id="76" w:name="_Toc15518"/>
      <w:r>
        <w:rPr>
          <w:rFonts w:hint="default" w:ascii="Times New Roman" w:hAnsi="Times New Roman" w:cs="Times New Roman"/>
          <w:color w:val="auto"/>
        </w:rPr>
        <w:t>（一）主要经验及做法</w:t>
      </w:r>
      <w:bookmarkEnd w:id="73"/>
      <w:bookmarkEnd w:id="74"/>
      <w:bookmarkEnd w:id="75"/>
      <w:bookmarkEnd w:id="76"/>
    </w:p>
    <w:p w14:paraId="689194B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为促进城市管理由传统的粗放式逐步向精细化管理模式的转变，吉木萨尔县住建局制定环卫保洁、园林养护管理考核实施细则，采取日常巡查结合不定期抽查的方式对环境卫生保洁、绿地养护工作进行考核和评分，考核结果作为</w:t>
      </w:r>
      <w:r>
        <w:rPr>
          <w:rFonts w:hint="default" w:ascii="Times New Roman" w:hAnsi="Times New Roman" w:cs="Times New Roman"/>
          <w:color w:val="auto"/>
          <w:lang w:val="en-US" w:eastAsia="zh-CN"/>
        </w:rPr>
        <w:t>承接主体</w:t>
      </w:r>
      <w:r>
        <w:rPr>
          <w:rFonts w:hint="default" w:ascii="Times New Roman" w:hAnsi="Times New Roman" w:cs="Times New Roman"/>
          <w:color w:val="auto"/>
        </w:rPr>
        <w:t>支付服务费的依据，做到以考促管、以考促改、以考促效，实现城市管理提档升级，全面提升县城环境品质，增强居民幸福感、获得感。</w:t>
      </w:r>
    </w:p>
    <w:p w14:paraId="19290585">
      <w:pPr>
        <w:pStyle w:val="3"/>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77" w:name="_Toc25341"/>
      <w:bookmarkStart w:id="78" w:name="_Toc4015"/>
      <w:bookmarkStart w:id="79" w:name="_Toc370"/>
      <w:bookmarkStart w:id="80" w:name="_Toc13318"/>
      <w:r>
        <w:rPr>
          <w:rFonts w:hint="default" w:ascii="Times New Roman" w:hAnsi="Times New Roman" w:cs="Times New Roman"/>
          <w:color w:val="auto"/>
        </w:rPr>
        <w:t>（二）存在的问题</w:t>
      </w:r>
      <w:bookmarkEnd w:id="77"/>
      <w:bookmarkEnd w:id="78"/>
      <w:bookmarkEnd w:id="79"/>
      <w:bookmarkEnd w:id="80"/>
    </w:p>
    <w:p w14:paraId="52E04510">
      <w:pPr>
        <w:spacing w:line="360" w:lineRule="auto"/>
        <w:ind w:firstLine="420"/>
        <w:rPr>
          <w:rFonts w:hint="default" w:cs="Times New Roman"/>
          <w:b w:val="0"/>
          <w:bCs w:val="0"/>
          <w:color w:val="auto"/>
          <w:lang w:val="en-US" w:eastAsia="zh-CN"/>
        </w:rPr>
      </w:pPr>
      <w:bookmarkStart w:id="81" w:name="_Toc8112"/>
      <w:bookmarkStart w:id="82" w:name="_Toc15177"/>
      <w:bookmarkStart w:id="83" w:name="_Toc13947"/>
      <w:r>
        <w:rPr>
          <w:rFonts w:hint="eastAsia" w:cs="Times New Roman"/>
          <w:b w:val="0"/>
          <w:bCs w:val="0"/>
          <w:color w:val="auto"/>
          <w:lang w:val="en-US" w:eastAsia="zh-CN"/>
        </w:rPr>
        <w:t>在本次绩效过程中，我们注意到已签订的</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w:t>
      </w:r>
      <w:r>
        <w:rPr>
          <w:rFonts w:hint="default" w:cs="Times New Roman"/>
          <w:b w:val="0"/>
          <w:bCs w:val="0"/>
          <w:color w:val="auto"/>
          <w:lang w:val="en-US" w:eastAsia="zh-CN"/>
        </w:rPr>
        <w:t>关于</w:t>
      </w:r>
      <w:r>
        <w:rPr>
          <w:rFonts w:hint="default" w:ascii="Times New Roman" w:hAnsi="Times New Roman" w:cs="Times New Roman"/>
          <w:color w:val="auto"/>
        </w:rPr>
        <w:t>居民区日常管理服务</w:t>
      </w:r>
      <w:r>
        <w:rPr>
          <w:rFonts w:hint="default" w:cs="Times New Roman"/>
          <w:b w:val="0"/>
          <w:bCs w:val="0"/>
          <w:color w:val="auto"/>
          <w:lang w:val="en-US" w:eastAsia="zh-CN"/>
        </w:rPr>
        <w:t>范围、承接主体履约要求、行业管理、服务费用支付时限等内容约定不够明确，导致项目实际实施过程存在无法严格按照合同约定条款执行相关工作要求，主要存在偏差情况如下：</w:t>
      </w:r>
    </w:p>
    <w:p w14:paraId="40304A68">
      <w:pPr>
        <w:spacing w:line="360" w:lineRule="auto"/>
        <w:ind w:firstLine="420"/>
        <w:rPr>
          <w:rFonts w:hint="default" w:ascii="Times New Roman" w:hAnsi="Times New Roman" w:cs="Times New Roman"/>
          <w:color w:val="auto"/>
        </w:rPr>
      </w:pPr>
      <w:r>
        <w:rPr>
          <w:rFonts w:hint="default" w:cs="Times New Roman"/>
          <w:color w:val="auto"/>
          <w:lang w:val="en-US" w:eastAsia="zh-CN"/>
        </w:rPr>
        <w:t>一是，根据</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委托运营项目服务合同》中</w:t>
      </w:r>
      <w:r>
        <w:rPr>
          <w:rFonts w:hint="default" w:cs="Times New Roman"/>
          <w:color w:val="auto"/>
          <w:lang w:val="en-US" w:eastAsia="zh-CN"/>
        </w:rPr>
        <w:t>第四章第二条“</w:t>
      </w:r>
      <w:r>
        <w:rPr>
          <w:rFonts w:hint="default" w:ascii="Times New Roman" w:hAnsi="Times New Roman" w:cs="Times New Roman"/>
          <w:color w:val="auto"/>
        </w:rPr>
        <w:t>居民区日常管理服务</w:t>
      </w:r>
      <w:r>
        <w:rPr>
          <w:rFonts w:hint="default" w:cs="Times New Roman"/>
          <w:color w:val="auto"/>
          <w:lang w:val="en-US" w:eastAsia="zh-CN"/>
        </w:rPr>
        <w:t xml:space="preserve"> </w:t>
      </w:r>
      <w:r>
        <w:rPr>
          <w:rFonts w:hint="default" w:ascii="Times New Roman" w:hAnsi="Times New Roman" w:cs="Times New Roman"/>
          <w:color w:val="auto"/>
        </w:rPr>
        <w:t>此项服务由乙方自主经营，自负盈亏</w:t>
      </w:r>
      <w:r>
        <w:rPr>
          <w:rFonts w:hint="default" w:cs="Times New Roman"/>
          <w:color w:val="auto"/>
          <w:lang w:val="en-US" w:eastAsia="zh-CN"/>
        </w:rPr>
        <w:t>”，但合同中</w:t>
      </w:r>
      <w:r>
        <w:rPr>
          <w:rFonts w:hint="default" w:ascii="Times New Roman" w:hAnsi="Times New Roman" w:cs="Times New Roman"/>
          <w:color w:val="auto"/>
          <w:lang w:val="en-US" w:eastAsia="zh-CN"/>
        </w:rPr>
        <w:t>第五章第一条第3款</w:t>
      </w:r>
      <w:r>
        <w:rPr>
          <w:rFonts w:hint="default" w:cs="Times New Roman"/>
          <w:color w:val="auto"/>
          <w:lang w:val="en-US" w:eastAsia="zh-CN"/>
        </w:rPr>
        <w:t>同时</w:t>
      </w:r>
      <w:r>
        <w:rPr>
          <w:rFonts w:hint="default" w:ascii="Times New Roman" w:hAnsi="Times New Roman" w:cs="Times New Roman"/>
          <w:color w:val="auto"/>
          <w:lang w:val="en-US" w:eastAsia="zh-CN"/>
        </w:rPr>
        <w:t>约定</w:t>
      </w:r>
      <w:r>
        <w:rPr>
          <w:rFonts w:hint="default" w:cs="Times New Roman"/>
          <w:color w:val="auto"/>
          <w:lang w:val="en-US" w:eastAsia="zh-CN"/>
        </w:rPr>
        <w:t>了“</w:t>
      </w:r>
      <w:r>
        <w:rPr>
          <w:rFonts w:hint="default" w:ascii="Times New Roman" w:hAnsi="Times New Roman" w:cs="Times New Roman"/>
          <w:color w:val="auto"/>
          <w:lang w:val="en-US" w:eastAsia="zh-CN"/>
        </w:rPr>
        <w:t>居民区日常管理执行《吉木萨尔县住建局居民区日常管理考核实施细则》</w:t>
      </w:r>
      <w:r>
        <w:rPr>
          <w:rFonts w:hint="default" w:cs="Times New Roman"/>
          <w:color w:val="auto"/>
          <w:lang w:val="en-US" w:eastAsia="zh-CN"/>
        </w:rPr>
        <w:t>”。项目实施单位实际并不对第三方运营管理公司自主经营的</w:t>
      </w:r>
      <w:r>
        <w:rPr>
          <w:rFonts w:hint="default" w:ascii="Times New Roman" w:hAnsi="Times New Roman" w:cs="Times New Roman"/>
          <w:color w:val="auto"/>
        </w:rPr>
        <w:t>居民区日常管理服务</w:t>
      </w:r>
      <w:r>
        <w:rPr>
          <w:rFonts w:hint="default" w:cs="Times New Roman"/>
          <w:color w:val="auto"/>
          <w:lang w:val="en-US" w:eastAsia="zh-CN"/>
        </w:rPr>
        <w:t>进行绩效考核</w:t>
      </w:r>
      <w:r>
        <w:rPr>
          <w:rFonts w:hint="default" w:ascii="Times New Roman" w:hAnsi="Times New Roman" w:cs="Times New Roman"/>
          <w:color w:val="auto"/>
        </w:rPr>
        <w:t>。</w:t>
      </w:r>
    </w:p>
    <w:p w14:paraId="257BFA9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rPr>
      </w:pPr>
      <w:r>
        <w:rPr>
          <w:rFonts w:hint="default" w:cs="Times New Roman"/>
          <w:color w:val="auto"/>
          <w:lang w:val="en-US" w:eastAsia="zh-CN"/>
        </w:rPr>
        <w:t>二是，</w:t>
      </w:r>
      <w:r>
        <w:rPr>
          <w:rFonts w:hint="default" w:ascii="Times New Roman" w:hAnsi="Times New Roman" w:cs="Times New Roman"/>
          <w:color w:val="auto"/>
        </w:rPr>
        <w:t>根据《吉木萨尔县城市管理服务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委托运营项目服务合同》中</w:t>
      </w:r>
      <w:r>
        <w:rPr>
          <w:rFonts w:hint="default" w:cs="Times New Roman"/>
          <w:color w:val="auto"/>
          <w:lang w:val="en-US" w:eastAsia="zh-CN"/>
        </w:rPr>
        <w:t>第六章第四条“1、乙方在本合同期内陆续对车辆的配置投资不少于2,000.00万元（具体投入以乙方拟定的投入计划经甲方审核同意后为准）”要求，但合同服务内容中没有对道路清洁服务所需配备车辆类型，数量，是否满足道路清洁服务需求等车辆配置投资要求做明确约定</w:t>
      </w:r>
      <w:r>
        <w:rPr>
          <w:rFonts w:hint="default" w:ascii="Times New Roman" w:hAnsi="Times New Roman" w:cs="Times New Roman"/>
          <w:color w:val="auto"/>
        </w:rPr>
        <w:t>。</w:t>
      </w:r>
      <w:r>
        <w:rPr>
          <w:rFonts w:hint="default" w:cs="Times New Roman"/>
          <w:color w:val="auto"/>
          <w:lang w:val="en-US" w:eastAsia="zh-CN"/>
        </w:rPr>
        <w:t>根据</w:t>
      </w:r>
      <w:r>
        <w:rPr>
          <w:rFonts w:hint="default" w:ascii="Times New Roman" w:hAnsi="Times New Roman" w:cs="Times New Roman"/>
          <w:color w:val="auto"/>
          <w:lang w:eastAsia="zh-CN"/>
        </w:rPr>
        <w:t>《吉木萨尔县城市管理服务“三位一体”委托运营项目专项审计报告》（新晟专审字〔2024〕2-008号）</w:t>
      </w:r>
      <w:r>
        <w:rPr>
          <w:rFonts w:hint="default" w:ascii="Times New Roman" w:hAnsi="Times New Roman" w:cs="Times New Roman"/>
          <w:color w:val="auto"/>
        </w:rPr>
        <w:t>的资料显示，</w:t>
      </w:r>
      <w:r>
        <w:rPr>
          <w:rFonts w:hint="default" w:ascii="Times New Roman" w:hAnsi="Times New Roman" w:cs="Times New Roman"/>
          <w:color w:val="auto"/>
          <w:lang w:val="en-US" w:eastAsia="zh-CN"/>
        </w:rPr>
        <w:t>截至2024年12月31日，泓欣集团共对车辆配置投资1,862.40万元，其中2023年车辆投资1,185.37万元，2024年车辆投资677.03万元</w:t>
      </w:r>
      <w:r>
        <w:rPr>
          <w:rFonts w:hint="default" w:cs="Times New Roman"/>
          <w:color w:val="auto"/>
          <w:lang w:val="en-US" w:eastAsia="zh-CN"/>
        </w:rPr>
        <w:t>。项目运营管理公司已完成的车辆配置投资完成度评价依据不足。</w:t>
      </w:r>
    </w:p>
    <w:p w14:paraId="32869680">
      <w:pPr>
        <w:spacing w:line="360" w:lineRule="auto"/>
        <w:ind w:firstLine="420"/>
        <w:rPr>
          <w:rFonts w:hint="default" w:ascii="Times New Roman" w:hAnsi="Times New Roman" w:cs="Times New Roman"/>
          <w:color w:val="auto"/>
        </w:rPr>
      </w:pPr>
      <w:r>
        <w:rPr>
          <w:rFonts w:hint="default" w:cs="Times New Roman"/>
          <w:color w:val="auto"/>
          <w:lang w:val="en-US" w:eastAsia="zh-CN"/>
        </w:rPr>
        <w:t>三是，</w:t>
      </w:r>
      <w:r>
        <w:rPr>
          <w:rFonts w:hint="default" w:ascii="Times New Roman" w:hAnsi="Times New Roman" w:cs="Times New Roman"/>
          <w:color w:val="auto"/>
          <w:lang w:val="en-US" w:eastAsia="zh-CN"/>
        </w:rPr>
        <w:t>根据</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w:t>
      </w:r>
      <w:r>
        <w:rPr>
          <w:rFonts w:hint="default" w:ascii="Times New Roman" w:hAnsi="Times New Roman" w:cs="Times New Roman"/>
          <w:color w:val="auto"/>
          <w:lang w:val="en-US" w:eastAsia="zh-CN"/>
        </w:rPr>
        <w:t>第七章第一条</w:t>
      </w:r>
      <w:r>
        <w:rPr>
          <w:rFonts w:hint="default" w:cs="Times New Roman"/>
          <w:color w:val="auto"/>
          <w:lang w:val="en-US" w:eastAsia="zh-CN"/>
        </w:rPr>
        <w:t>“</w:t>
      </w:r>
      <w:r>
        <w:rPr>
          <w:rFonts w:hint="default" w:ascii="Times New Roman" w:hAnsi="Times New Roman" w:cs="Times New Roman"/>
          <w:color w:val="auto"/>
          <w:lang w:val="en-US" w:eastAsia="zh-CN"/>
        </w:rPr>
        <w:t>4.甲方对乙方在服务过程中实施行业监管，监管内容包括服务的质量，安全防范措施等</w:t>
      </w:r>
      <w:r>
        <w:rPr>
          <w:rFonts w:hint="default" w:cs="Times New Roman"/>
          <w:color w:val="auto"/>
          <w:lang w:val="en-US" w:eastAsia="zh-CN"/>
        </w:rPr>
        <w:t>”</w:t>
      </w:r>
      <w:r>
        <w:rPr>
          <w:rFonts w:hint="default" w:ascii="Times New Roman" w:hAnsi="Times New Roman" w:cs="Times New Roman"/>
          <w:color w:val="auto"/>
          <w:lang w:val="en-US" w:eastAsia="zh-CN"/>
        </w:rPr>
        <w:t>。但</w:t>
      </w:r>
      <w:r>
        <w:rPr>
          <w:rFonts w:hint="default" w:cs="Times New Roman"/>
          <w:color w:val="auto"/>
          <w:lang w:val="en-US" w:eastAsia="zh-CN"/>
        </w:rPr>
        <w:t>项目实施单位</w:t>
      </w:r>
      <w:r>
        <w:rPr>
          <w:rFonts w:hint="default" w:ascii="Times New Roman" w:hAnsi="Times New Roman" w:cs="Times New Roman"/>
          <w:color w:val="auto"/>
          <w:lang w:val="en-US" w:eastAsia="zh-CN"/>
        </w:rPr>
        <w:t>未</w:t>
      </w:r>
      <w:r>
        <w:rPr>
          <w:rFonts w:hint="default" w:cs="Times New Roman"/>
          <w:color w:val="auto"/>
          <w:lang w:val="en-US" w:eastAsia="zh-CN"/>
        </w:rPr>
        <w:t>提供</w:t>
      </w:r>
      <w:r>
        <w:rPr>
          <w:rFonts w:hint="default" w:ascii="Times New Roman" w:hAnsi="Times New Roman" w:cs="Times New Roman"/>
          <w:color w:val="auto"/>
          <w:lang w:val="en-US" w:eastAsia="zh-CN"/>
        </w:rPr>
        <w:t>对项目承接主体</w:t>
      </w:r>
      <w:r>
        <w:rPr>
          <w:rFonts w:hint="default" w:cs="Times New Roman"/>
          <w:color w:val="auto"/>
          <w:lang w:val="en-US" w:eastAsia="zh-CN"/>
        </w:rPr>
        <w:t>开展</w:t>
      </w:r>
      <w:r>
        <w:rPr>
          <w:rFonts w:hint="default" w:ascii="Times New Roman" w:hAnsi="Times New Roman" w:cs="Times New Roman"/>
          <w:color w:val="auto"/>
          <w:lang w:val="en-US" w:eastAsia="zh-CN"/>
        </w:rPr>
        <w:t>相关行业监管</w:t>
      </w:r>
      <w:r>
        <w:rPr>
          <w:rFonts w:hint="default" w:cs="Times New Roman"/>
          <w:color w:val="auto"/>
          <w:lang w:val="en-US" w:eastAsia="zh-CN"/>
        </w:rPr>
        <w:t>的</w:t>
      </w:r>
      <w:r>
        <w:rPr>
          <w:rFonts w:hint="default" w:ascii="Times New Roman" w:hAnsi="Times New Roman" w:cs="Times New Roman"/>
          <w:color w:val="auto"/>
          <w:lang w:val="en-US" w:eastAsia="zh-CN"/>
        </w:rPr>
        <w:t>资料。</w:t>
      </w:r>
    </w:p>
    <w:p w14:paraId="2E5FE133">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eastAsia="zh-CN"/>
        </w:rPr>
      </w:pPr>
      <w:r>
        <w:rPr>
          <w:rFonts w:hint="default" w:cs="Times New Roman"/>
          <w:color w:val="auto"/>
          <w:lang w:val="en-US" w:eastAsia="zh-CN"/>
        </w:rPr>
        <w:t>四是，</w:t>
      </w:r>
      <w:r>
        <w:rPr>
          <w:rFonts w:hint="default" w:ascii="Times New Roman" w:hAnsi="Times New Roman" w:cs="Times New Roman"/>
          <w:color w:val="auto"/>
          <w:lang w:val="en-US" w:eastAsia="zh-CN"/>
        </w:rPr>
        <w:t>根据</w:t>
      </w:r>
      <w:r>
        <w:rPr>
          <w:rFonts w:hint="default" w:ascii="Times New Roman" w:hAnsi="Times New Roman" w:cs="Times New Roman"/>
          <w:color w:val="auto"/>
          <w:lang w:eastAsia="zh-CN"/>
        </w:rPr>
        <w:t>《吉木萨尔县城市管理服务“三位一体”委托运营项目服务合同》</w:t>
      </w:r>
      <w:r>
        <w:rPr>
          <w:rFonts w:hint="default" w:ascii="Times New Roman" w:hAnsi="Times New Roman" w:cs="Times New Roman"/>
          <w:color w:val="auto"/>
        </w:rPr>
        <w:t>第</w:t>
      </w:r>
      <w:r>
        <w:rPr>
          <w:rFonts w:hint="default" w:ascii="Times New Roman" w:hAnsi="Times New Roman" w:cs="Times New Roman"/>
          <w:color w:val="auto"/>
          <w:lang w:val="en-US" w:eastAsia="zh-CN"/>
        </w:rPr>
        <w:t>四</w:t>
      </w:r>
      <w:r>
        <w:rPr>
          <w:rFonts w:hint="default" w:ascii="Times New Roman" w:hAnsi="Times New Roman" w:cs="Times New Roman"/>
          <w:color w:val="auto"/>
        </w:rPr>
        <w:t>条：</w:t>
      </w:r>
      <w:r>
        <w:rPr>
          <w:rFonts w:hint="default" w:ascii="Times New Roman" w:hAnsi="Times New Roman" w:cs="Times New Roman"/>
          <w:color w:val="auto"/>
          <w:lang w:eastAsia="zh-CN"/>
        </w:rPr>
        <w:t>“按季度依据考核结果支付服务费”</w:t>
      </w:r>
      <w:r>
        <w:rPr>
          <w:rFonts w:hint="default" w:cs="Times New Roman"/>
          <w:color w:val="auto"/>
          <w:lang w:eastAsia="zh-CN"/>
        </w:rPr>
        <w:t>，</w:t>
      </w:r>
      <w:r>
        <w:rPr>
          <w:rFonts w:hint="default" w:cs="Times New Roman"/>
          <w:color w:val="auto"/>
          <w:lang w:val="en-US" w:eastAsia="zh-CN"/>
        </w:rPr>
        <w:t>但未明确具体的服务费支付时限和支付条件。项目实施单位在实际支付服务费用的支付时效存在较大差异，具体如下：</w:t>
      </w:r>
      <w:r>
        <w:rPr>
          <w:rFonts w:hint="default" w:ascii="Times New Roman" w:hAnsi="Times New Roman" w:cs="Times New Roman"/>
          <w:color w:val="auto"/>
          <w:lang w:val="en-US" w:eastAsia="zh-CN"/>
        </w:rPr>
        <w:t>截至2024年12月31日，</w:t>
      </w:r>
      <w:r>
        <w:rPr>
          <w:rFonts w:hint="default" w:cs="Times New Roman"/>
          <w:color w:val="auto"/>
          <w:lang w:val="en-US" w:eastAsia="zh-CN"/>
        </w:rPr>
        <w:t>项目实际于</w:t>
      </w:r>
      <w:r>
        <w:rPr>
          <w:rFonts w:hint="default"/>
          <w:color w:val="auto"/>
        </w:rPr>
        <w:t>2024</w:t>
      </w:r>
      <w:r>
        <w:rPr>
          <w:rFonts w:hint="default"/>
          <w:color w:val="auto"/>
          <w:lang w:val="en-US" w:eastAsia="zh-CN"/>
        </w:rPr>
        <w:t>年</w:t>
      </w:r>
      <w:r>
        <w:rPr>
          <w:rFonts w:hint="default"/>
          <w:color w:val="auto"/>
        </w:rPr>
        <w:t>4</w:t>
      </w:r>
      <w:r>
        <w:rPr>
          <w:rFonts w:hint="default"/>
          <w:color w:val="auto"/>
          <w:lang w:val="en-US" w:eastAsia="zh-CN"/>
        </w:rPr>
        <w:t>月</w:t>
      </w:r>
      <w:r>
        <w:rPr>
          <w:rFonts w:hint="default"/>
          <w:color w:val="auto"/>
        </w:rPr>
        <w:t>25</w:t>
      </w:r>
      <w:r>
        <w:rPr>
          <w:rFonts w:hint="default"/>
          <w:color w:val="auto"/>
          <w:lang w:val="en-US" w:eastAsia="zh-CN"/>
        </w:rPr>
        <w:t>日支付服务费用1,267.18万元；</w:t>
      </w:r>
      <w:r>
        <w:rPr>
          <w:rFonts w:hint="default" w:cs="Times New Roman"/>
          <w:color w:val="auto"/>
          <w:lang w:val="en-US" w:eastAsia="zh-CN"/>
        </w:rPr>
        <w:t>于</w:t>
      </w:r>
      <w:r>
        <w:rPr>
          <w:rFonts w:hint="default" w:ascii="Times New Roman" w:hAnsi="Times New Roman" w:cs="Times New Roman"/>
          <w:color w:val="auto"/>
          <w:lang w:val="en-US" w:eastAsia="zh-CN"/>
        </w:rPr>
        <w:t>2024</w:t>
      </w:r>
      <w:r>
        <w:rPr>
          <w:rFonts w:hint="default" w:ascii="Times New Roman" w:hAnsi="Times New Roman" w:cs="Times New Roman"/>
          <w:color w:val="auto"/>
          <w:lang w:eastAsia="zh-CN"/>
        </w:rPr>
        <w:t>年7月19日</w:t>
      </w:r>
      <w:r>
        <w:rPr>
          <w:rFonts w:hint="default" w:ascii="Times New Roman" w:hAnsi="Times New Roman" w:cs="Times New Roman"/>
          <w:color w:val="auto"/>
          <w:lang w:val="en-US" w:eastAsia="zh-CN"/>
        </w:rPr>
        <w:t>支付</w:t>
      </w:r>
      <w:r>
        <w:rPr>
          <w:rFonts w:hint="default" w:ascii="Times New Roman" w:hAnsi="Times New Roman" w:cs="Times New Roman"/>
          <w:color w:val="auto"/>
          <w:lang w:eastAsia="zh-CN"/>
        </w:rPr>
        <w:t>2024年第一季度</w:t>
      </w:r>
      <w:r>
        <w:rPr>
          <w:rFonts w:hint="default" w:cs="Times New Roman"/>
          <w:color w:val="auto"/>
          <w:lang w:val="en-US" w:eastAsia="zh-CN"/>
        </w:rPr>
        <w:t>服务</w:t>
      </w:r>
      <w:r>
        <w:rPr>
          <w:rFonts w:hint="default" w:ascii="Times New Roman" w:hAnsi="Times New Roman" w:cs="Times New Roman"/>
          <w:color w:val="auto"/>
          <w:lang w:eastAsia="zh-CN"/>
        </w:rPr>
        <w:t>费</w:t>
      </w:r>
      <w:r>
        <w:rPr>
          <w:rFonts w:hint="default" w:cs="Times New Roman"/>
          <w:color w:val="auto"/>
          <w:lang w:val="en-US" w:eastAsia="zh-CN"/>
        </w:rPr>
        <w:t>用</w:t>
      </w:r>
      <w:r>
        <w:rPr>
          <w:rFonts w:hint="default" w:ascii="Times New Roman" w:hAnsi="Times New Roman" w:cs="Times New Roman"/>
          <w:color w:val="auto"/>
          <w:lang w:eastAsia="zh-CN"/>
        </w:rPr>
        <w:t>1,082.38</w:t>
      </w:r>
      <w:r>
        <w:rPr>
          <w:rFonts w:hint="default" w:ascii="Times New Roman" w:hAnsi="Times New Roman" w:cs="Times New Roman"/>
          <w:color w:val="auto"/>
          <w:lang w:val="en-US" w:eastAsia="zh-CN"/>
        </w:rPr>
        <w:t>万元</w:t>
      </w:r>
      <w:r>
        <w:rPr>
          <w:rFonts w:hint="default" w:ascii="Times New Roman" w:hAnsi="Times New Roman" w:cs="Times New Roman"/>
          <w:color w:val="auto"/>
          <w:lang w:eastAsia="zh-CN"/>
        </w:rPr>
        <w:t>；2024年8月31日</w:t>
      </w:r>
      <w:r>
        <w:rPr>
          <w:rFonts w:hint="default" w:ascii="Times New Roman" w:hAnsi="Times New Roman" w:cs="Times New Roman"/>
          <w:color w:val="auto"/>
          <w:lang w:val="en-US" w:eastAsia="zh-CN"/>
        </w:rPr>
        <w:t>支付</w:t>
      </w:r>
      <w:r>
        <w:rPr>
          <w:rFonts w:hint="default" w:ascii="Times New Roman" w:hAnsi="Times New Roman" w:cs="Times New Roman"/>
          <w:color w:val="auto"/>
          <w:lang w:eastAsia="zh-CN"/>
        </w:rPr>
        <w:t>2024年第一、第二季度</w:t>
      </w:r>
      <w:r>
        <w:rPr>
          <w:rFonts w:hint="default" w:cs="Times New Roman"/>
          <w:color w:val="auto"/>
          <w:lang w:val="en-US" w:eastAsia="zh-CN"/>
        </w:rPr>
        <w:t>服务费用</w:t>
      </w:r>
      <w:r>
        <w:rPr>
          <w:rFonts w:hint="default" w:ascii="Times New Roman" w:hAnsi="Times New Roman" w:cs="Times New Roman"/>
          <w:color w:val="auto"/>
          <w:lang w:eastAsia="zh-CN"/>
        </w:rPr>
        <w:t>100.00</w:t>
      </w:r>
      <w:r>
        <w:rPr>
          <w:rFonts w:hint="default" w:ascii="Times New Roman" w:hAnsi="Times New Roman" w:cs="Times New Roman"/>
          <w:color w:val="auto"/>
          <w:lang w:val="en-US" w:eastAsia="zh-CN"/>
        </w:rPr>
        <w:t>万元</w:t>
      </w:r>
      <w:r>
        <w:rPr>
          <w:rFonts w:hint="default" w:ascii="Times New Roman" w:hAnsi="Times New Roman" w:cs="Times New Roman"/>
          <w:color w:val="auto"/>
          <w:lang w:eastAsia="zh-CN"/>
        </w:rPr>
        <w:t>；2024年8月31日</w:t>
      </w:r>
      <w:r>
        <w:rPr>
          <w:rFonts w:hint="default" w:cs="Times New Roman"/>
          <w:color w:val="auto"/>
          <w:lang w:val="en-US" w:eastAsia="zh-CN"/>
        </w:rPr>
        <w:t>支付</w:t>
      </w:r>
      <w:r>
        <w:rPr>
          <w:rFonts w:hint="default" w:ascii="Times New Roman" w:hAnsi="Times New Roman" w:cs="Times New Roman"/>
          <w:color w:val="auto"/>
          <w:lang w:eastAsia="zh-CN"/>
        </w:rPr>
        <w:t>2024年第二季度</w:t>
      </w:r>
      <w:r>
        <w:rPr>
          <w:rFonts w:hint="default" w:cs="Times New Roman"/>
          <w:color w:val="auto"/>
          <w:lang w:val="en-US" w:eastAsia="zh-CN"/>
        </w:rPr>
        <w:t>服务</w:t>
      </w:r>
      <w:r>
        <w:rPr>
          <w:rFonts w:hint="default" w:ascii="Times New Roman" w:hAnsi="Times New Roman" w:cs="Times New Roman"/>
          <w:color w:val="auto"/>
          <w:lang w:eastAsia="zh-CN"/>
        </w:rPr>
        <w:t>费用1,075.33</w:t>
      </w:r>
      <w:r>
        <w:rPr>
          <w:rFonts w:hint="default" w:ascii="Times New Roman" w:hAnsi="Times New Roman" w:cs="Times New Roman"/>
          <w:color w:val="auto"/>
          <w:lang w:val="en-US" w:eastAsia="zh-CN"/>
        </w:rPr>
        <w:t>万元</w:t>
      </w:r>
      <w:r>
        <w:rPr>
          <w:rFonts w:hint="default" w:ascii="Times New Roman" w:hAnsi="Times New Roman" w:cs="Times New Roman"/>
          <w:color w:val="auto"/>
          <w:lang w:eastAsia="zh-CN"/>
        </w:rPr>
        <w:t>；2024年9月30日、2024年11月19日</w:t>
      </w:r>
      <w:r>
        <w:rPr>
          <w:rFonts w:hint="default" w:cs="Times New Roman"/>
          <w:color w:val="auto"/>
          <w:lang w:val="en-US" w:eastAsia="zh-CN"/>
        </w:rPr>
        <w:t>分2次</w:t>
      </w:r>
      <w:r>
        <w:rPr>
          <w:rFonts w:hint="default" w:ascii="Times New Roman" w:hAnsi="Times New Roman" w:cs="Times New Roman"/>
          <w:color w:val="auto"/>
          <w:lang w:val="en-US" w:eastAsia="zh-CN"/>
        </w:rPr>
        <w:t>支付</w:t>
      </w:r>
      <w:r>
        <w:rPr>
          <w:rFonts w:hint="default" w:ascii="Times New Roman" w:hAnsi="Times New Roman" w:cs="Times New Roman"/>
          <w:color w:val="auto"/>
          <w:lang w:eastAsia="zh-CN"/>
        </w:rPr>
        <w:t>2024年第三季度</w:t>
      </w:r>
      <w:r>
        <w:rPr>
          <w:rFonts w:hint="default" w:cs="Times New Roman"/>
          <w:color w:val="auto"/>
          <w:lang w:val="en-US" w:eastAsia="zh-CN"/>
        </w:rPr>
        <w:t>服务</w:t>
      </w:r>
      <w:r>
        <w:rPr>
          <w:rFonts w:hint="default" w:ascii="Times New Roman" w:hAnsi="Times New Roman" w:cs="Times New Roman"/>
          <w:color w:val="auto"/>
          <w:lang w:eastAsia="zh-CN"/>
        </w:rPr>
        <w:t>费用</w:t>
      </w:r>
      <w:r>
        <w:rPr>
          <w:rFonts w:hint="default" w:ascii="Times New Roman" w:hAnsi="Times New Roman" w:cs="Times New Roman"/>
          <w:color w:val="auto"/>
          <w:lang w:val="en-US" w:eastAsia="zh-CN"/>
        </w:rPr>
        <w:t>1</w:t>
      </w:r>
      <w:r>
        <w:rPr>
          <w:rFonts w:hint="default" w:cs="Times New Roman"/>
          <w:color w:val="auto"/>
          <w:lang w:val="en-US" w:eastAsia="zh-CN"/>
        </w:rPr>
        <w:t>,0</w:t>
      </w:r>
      <w:r>
        <w:rPr>
          <w:rFonts w:hint="default" w:ascii="Times New Roman" w:hAnsi="Times New Roman" w:cs="Times New Roman"/>
          <w:color w:val="auto"/>
          <w:lang w:val="en-US" w:eastAsia="zh-CN"/>
        </w:rPr>
        <w:t>81.92万元</w:t>
      </w:r>
      <w:r>
        <w:rPr>
          <w:rFonts w:hint="default" w:cs="Times New Roman"/>
          <w:color w:val="auto"/>
          <w:lang w:val="en-US" w:eastAsia="zh-CN"/>
        </w:rPr>
        <w:t>。</w:t>
      </w:r>
    </w:p>
    <w:p w14:paraId="114D3B4F">
      <w:pPr>
        <w:pStyle w:val="2"/>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lang w:val="en-US" w:eastAsia="zh-CN"/>
        </w:rPr>
      </w:pPr>
      <w:bookmarkStart w:id="84" w:name="_Toc29690"/>
      <w:r>
        <w:rPr>
          <w:rFonts w:hint="default" w:ascii="Times New Roman" w:hAnsi="Times New Roman" w:cs="Times New Roman"/>
          <w:color w:val="auto"/>
          <w:lang w:val="en-US" w:eastAsia="zh-CN"/>
        </w:rPr>
        <w:t>七、有关建议</w:t>
      </w:r>
      <w:bookmarkEnd w:id="81"/>
      <w:bookmarkEnd w:id="82"/>
      <w:bookmarkEnd w:id="83"/>
      <w:bookmarkEnd w:id="84"/>
    </w:p>
    <w:p w14:paraId="38664E2C">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eastAsia="zh-CN"/>
        </w:rPr>
      </w:pPr>
      <w:bookmarkStart w:id="85" w:name="_Toc13243"/>
      <w:bookmarkStart w:id="86" w:name="_Toc12773"/>
      <w:bookmarkStart w:id="87" w:name="_Toc32445"/>
      <w:r>
        <w:rPr>
          <w:rFonts w:hint="eastAsia" w:cs="Times New Roman"/>
          <w:color w:val="auto"/>
          <w:lang w:val="en-US" w:eastAsia="zh-CN"/>
        </w:rPr>
        <w:t>一是建议</w:t>
      </w:r>
      <w:r>
        <w:rPr>
          <w:rFonts w:hint="default" w:ascii="Times New Roman" w:hAnsi="Times New Roman" w:cs="Times New Roman"/>
          <w:color w:val="auto"/>
          <w:lang w:val="en-US" w:eastAsia="zh-CN"/>
        </w:rPr>
        <w:t>项目实施单位及运营单位加强合同履约过程监督</w:t>
      </w:r>
      <w:r>
        <w:rPr>
          <w:rFonts w:hint="eastAsia" w:cs="Times New Roman"/>
          <w:color w:val="auto"/>
          <w:lang w:val="en-US" w:eastAsia="zh-CN"/>
        </w:rPr>
        <w:t>，在以后年度签订服务合同时，结合该项目运营管理实际情况，细化合同相关条款，使其明确具体并可落地。包括对居民日常管理服务监督与考核应明确责任主体，考核方式，考核时间以及考核频次；对于服务费支付方式应明确付款时限、付款条件、付款依据及付款比例，用于确保按时支付服务费保障运营公司正常运转；对于运营期内车辆投资的确认，应根据现有清扫服务面积，服务质量，服务要求和现有车辆情况等按年度确定投资车辆的数量，型号以及投资金额，保障服务机械化率提升。同时建议</w:t>
      </w:r>
      <w:r>
        <w:rPr>
          <w:rFonts w:hint="default" w:ascii="Times New Roman" w:hAnsi="Times New Roman" w:cs="Times New Roman"/>
          <w:color w:val="auto"/>
          <w:lang w:val="en-US" w:eastAsia="zh-CN"/>
        </w:rPr>
        <w:t>制定统一的项目管理框架，确定项目运营期各阶段任务，明确各阶段分工及职责，落实动态化监管机制，建立周报、月报制度跟踪里程碑节点，及时对项目运营过程中出现的问题进行纠偏，确保合同</w:t>
      </w:r>
      <w:r>
        <w:rPr>
          <w:rFonts w:hint="eastAsia" w:cs="Times New Roman"/>
          <w:color w:val="auto"/>
          <w:lang w:val="en-US" w:eastAsia="zh-CN"/>
        </w:rPr>
        <w:t>履约</w:t>
      </w:r>
      <w:r>
        <w:rPr>
          <w:rFonts w:hint="default" w:ascii="Times New Roman" w:hAnsi="Times New Roman" w:cs="Times New Roman"/>
          <w:color w:val="auto"/>
          <w:lang w:val="en-US" w:eastAsia="zh-CN"/>
        </w:rPr>
        <w:t>落实到位。</w:t>
      </w:r>
    </w:p>
    <w:p w14:paraId="7D2E17F7">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lang w:val="en-US" w:eastAsia="zh-CN"/>
        </w:rPr>
      </w:pPr>
      <w:r>
        <w:rPr>
          <w:rFonts w:hint="eastAsia" w:cs="Times New Roman"/>
          <w:color w:val="auto"/>
          <w:lang w:val="en-US" w:eastAsia="zh-CN"/>
        </w:rPr>
        <w:t>二是，建议</w:t>
      </w:r>
      <w:r>
        <w:rPr>
          <w:rFonts w:hint="default" w:ascii="Times New Roman" w:hAnsi="Times New Roman" w:cs="Times New Roman"/>
          <w:color w:val="auto"/>
          <w:lang w:val="en-US" w:eastAsia="zh-CN"/>
        </w:rPr>
        <w:t>项目实施单位</w:t>
      </w:r>
      <w:r>
        <w:rPr>
          <w:rFonts w:hint="eastAsia" w:cs="Times New Roman"/>
          <w:color w:val="auto"/>
          <w:lang w:val="en-US" w:eastAsia="zh-CN"/>
        </w:rPr>
        <w:t>根据</w:t>
      </w:r>
      <w:r>
        <w:rPr>
          <w:rFonts w:hint="default" w:ascii="Times New Roman" w:hAnsi="Times New Roman" w:cs="Times New Roman"/>
          <w:color w:val="auto"/>
        </w:rPr>
        <w:t>《政府购买服务管理办法》中“第二十条购买主体实施政府购买服务项目绩效管理，应当开展事前绩效评估，定期对所购服务实施情况开展绩效评价，具备条件的项目可以运用第三方评价评估”</w:t>
      </w:r>
      <w:r>
        <w:rPr>
          <w:rFonts w:hint="eastAsia" w:cs="Times New Roman"/>
          <w:color w:val="auto"/>
          <w:lang w:val="en-US" w:eastAsia="zh-CN"/>
        </w:rPr>
        <w:t>的要求，</w:t>
      </w:r>
      <w:r>
        <w:rPr>
          <w:rFonts w:hint="default" w:ascii="Times New Roman" w:hAnsi="Times New Roman" w:cs="Times New Roman"/>
          <w:color w:val="auto"/>
        </w:rPr>
        <w:t>每季度组织一次现场核查，年终引入第三方评价，评价报告作为下一年度预算安排和续约依据，确保“花钱必问效、无效必问责”</w:t>
      </w:r>
      <w:r>
        <w:rPr>
          <w:rFonts w:hint="default" w:ascii="Times New Roman" w:hAnsi="Times New Roman" w:cs="Times New Roman"/>
          <w:color w:val="auto"/>
          <w:lang w:val="en-US" w:eastAsia="zh-CN"/>
        </w:rPr>
        <w:t>。</w:t>
      </w:r>
    </w:p>
    <w:p w14:paraId="507EDA24">
      <w:pPr>
        <w:keepNext/>
        <w:keepLines/>
        <w:pageBreakBefore w:val="0"/>
        <w:widowControl w:val="0"/>
        <w:numPr>
          <w:ilvl w:val="0"/>
          <w:numId w:val="2"/>
        </w:numPr>
        <w:kinsoku/>
        <w:wordWrap/>
        <w:overflowPunct/>
        <w:topLinePunct w:val="0"/>
        <w:autoSpaceDE/>
        <w:autoSpaceDN/>
        <w:bidi w:val="0"/>
        <w:adjustRightInd w:val="0"/>
        <w:snapToGrid w:val="0"/>
        <w:spacing w:before="0" w:after="0" w:line="360" w:lineRule="auto"/>
        <w:ind w:firstLine="482"/>
        <w:textAlignment w:val="auto"/>
        <w:outlineLvl w:val="0"/>
        <w:rPr>
          <w:rFonts w:hint="default" w:ascii="Times New Roman" w:hAnsi="Times New Roman" w:eastAsia="宋体" w:cs="Times New Roman"/>
          <w:b/>
          <w:bCs/>
          <w:color w:val="auto"/>
          <w:kern w:val="44"/>
          <w:sz w:val="24"/>
          <w:szCs w:val="44"/>
          <w:lang w:val="en-US" w:eastAsia="zh-CN" w:bidi="ar-SA"/>
        </w:rPr>
      </w:pPr>
      <w:r>
        <w:rPr>
          <w:rFonts w:hint="default" w:ascii="Times New Roman" w:hAnsi="Times New Roman" w:eastAsia="宋体" w:cs="Times New Roman"/>
          <w:b/>
          <w:bCs/>
          <w:color w:val="auto"/>
          <w:kern w:val="44"/>
          <w:sz w:val="24"/>
          <w:szCs w:val="44"/>
          <w:lang w:val="en-US" w:eastAsia="zh-CN" w:bidi="ar-SA"/>
        </w:rPr>
        <w:t>绩效评价结果应用建议</w:t>
      </w:r>
      <w:bookmarkEnd w:id="85"/>
      <w:bookmarkEnd w:id="86"/>
    </w:p>
    <w:p w14:paraId="0C2B0C14">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outlineLvl w:val="1"/>
        <w:rPr>
          <w:rFonts w:hint="default" w:ascii="Times New Roman" w:hAnsi="Times New Roman" w:eastAsia="宋体" w:cs="Times New Roman"/>
          <w:b/>
          <w:bCs/>
          <w:color w:val="auto"/>
          <w:kern w:val="2"/>
          <w:sz w:val="21"/>
          <w:szCs w:val="21"/>
          <w:lang w:val="en-US" w:eastAsia="zh-CN" w:bidi="ar-SA"/>
        </w:rPr>
      </w:pPr>
      <w:bookmarkStart w:id="88" w:name="_Toc10431"/>
      <w:bookmarkStart w:id="89" w:name="_Toc32318"/>
      <w:r>
        <w:rPr>
          <w:rFonts w:hint="default" w:ascii="Times New Roman" w:hAnsi="Times New Roman" w:cs="Times New Roman"/>
          <w:b/>
          <w:bCs/>
          <w:color w:val="auto"/>
          <w:lang w:val="en-US" w:eastAsia="zh-CN"/>
        </w:rPr>
        <w:t>（一）绩效结果挂钩次年预算资金安排</w:t>
      </w:r>
      <w:bookmarkEnd w:id="88"/>
      <w:bookmarkEnd w:id="89"/>
    </w:p>
    <w:p w14:paraId="2F03D338">
      <w:pPr>
        <w:pageBreakBefore w:val="0"/>
        <w:widowControl w:val="0"/>
        <w:kinsoku/>
        <w:wordWrap/>
        <w:overflowPunct/>
        <w:topLinePunct w:val="0"/>
        <w:autoSpaceDE/>
        <w:autoSpaceDN/>
        <w:bidi w:val="0"/>
        <w:adjustRightInd w:val="0"/>
        <w:snapToGrid w:val="0"/>
        <w:spacing w:line="360" w:lineRule="auto"/>
        <w:ind w:firstLine="420"/>
        <w:textAlignment w:val="auto"/>
        <w:outlineLvl w:val="9"/>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为有效提高财政预算资金的经济性、效率性、效益性和公平性，建议将本次绩效评价结果作为预算单位次年预算编制的重要依据，并优化支出结构、完善相关办法、改进预算管理。</w:t>
      </w:r>
    </w:p>
    <w:p w14:paraId="61FF002B">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outlineLvl w:val="1"/>
        <w:rPr>
          <w:rFonts w:hint="default" w:ascii="Times New Roman" w:hAnsi="Times New Roman" w:cs="Times New Roman"/>
          <w:b/>
          <w:bCs/>
          <w:color w:val="auto"/>
          <w:lang w:val="en-US" w:eastAsia="zh-CN"/>
        </w:rPr>
      </w:pPr>
      <w:bookmarkStart w:id="90" w:name="_Toc18316"/>
      <w:bookmarkStart w:id="91" w:name="_Toc12255"/>
      <w:r>
        <w:rPr>
          <w:rFonts w:hint="default" w:ascii="Times New Roman" w:hAnsi="Times New Roman" w:cs="Times New Roman"/>
          <w:b/>
          <w:bCs/>
          <w:color w:val="auto"/>
          <w:lang w:val="en-US" w:eastAsia="zh-CN"/>
        </w:rPr>
        <w:t>（二）绩效结果挂钩整改措施</w:t>
      </w:r>
      <w:bookmarkEnd w:id="90"/>
      <w:bookmarkEnd w:id="91"/>
    </w:p>
    <w:p w14:paraId="6B9E2159">
      <w:pPr>
        <w:pageBreakBefore w:val="0"/>
        <w:widowControl w:val="0"/>
        <w:kinsoku/>
        <w:wordWrap/>
        <w:overflowPunct/>
        <w:topLinePunct w:val="0"/>
        <w:autoSpaceDE/>
        <w:autoSpaceDN/>
        <w:bidi w:val="0"/>
        <w:adjustRightInd w:val="0"/>
        <w:snapToGrid w:val="0"/>
        <w:spacing w:line="360" w:lineRule="auto"/>
        <w:ind w:firstLine="420"/>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根据本次绩效评价报告中所反馈的问题和建议，由项目实施单位及时研究制定整改措施，积极落实整改要求，切实改进资金管理和项目管理，并在规定的时间内，将整改情况向吉木萨尔县财政局行文报告，并附《绩效评价结果整改报告》。</w:t>
      </w:r>
    </w:p>
    <w:p w14:paraId="4912AD68">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outlineLvl w:val="1"/>
        <w:rPr>
          <w:rFonts w:hint="default" w:ascii="Times New Roman" w:hAnsi="Times New Roman" w:cs="Times New Roman"/>
          <w:b/>
          <w:bCs/>
          <w:color w:val="auto"/>
          <w:lang w:val="en-US" w:eastAsia="zh-CN"/>
        </w:rPr>
      </w:pPr>
      <w:bookmarkStart w:id="92" w:name="_Toc24965"/>
      <w:bookmarkStart w:id="93" w:name="_Toc9131"/>
      <w:r>
        <w:rPr>
          <w:rFonts w:hint="default" w:ascii="Times New Roman" w:hAnsi="Times New Roman" w:cs="Times New Roman"/>
          <w:b/>
          <w:bCs/>
          <w:color w:val="auto"/>
          <w:lang w:val="en-US" w:eastAsia="zh-CN"/>
        </w:rPr>
        <w:t>（三）绩效结果挂钩报告公开</w:t>
      </w:r>
      <w:bookmarkEnd w:id="92"/>
      <w:bookmarkEnd w:id="93"/>
    </w:p>
    <w:p w14:paraId="7F252A9B">
      <w:pPr>
        <w:pageBreakBefore w:val="0"/>
        <w:widowControl w:val="0"/>
        <w:kinsoku/>
        <w:wordWrap/>
        <w:overflowPunct/>
        <w:topLinePunct w:val="0"/>
        <w:autoSpaceDE/>
        <w:autoSpaceDN/>
        <w:bidi w:val="0"/>
        <w:adjustRightInd w:val="0"/>
        <w:snapToGrid w:val="0"/>
        <w:spacing w:line="360" w:lineRule="auto"/>
        <w:ind w:firstLine="420"/>
        <w:textAlignment w:val="auto"/>
        <w:outlineLvl w:val="9"/>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cs="Times New Roman"/>
          <w:color w:val="auto"/>
          <w:lang w:val="en-US" w:eastAsia="zh-CN"/>
        </w:rPr>
        <w:t>积极推进评价结果和评价报告</w:t>
      </w:r>
      <w:r>
        <w:rPr>
          <w:rFonts w:hint="default" w:ascii="Times New Roman" w:hAnsi="Times New Roman" w:eastAsia="宋体" w:cs="Times New Roman"/>
          <w:b w:val="0"/>
          <w:bCs w:val="0"/>
          <w:color w:val="auto"/>
          <w:kern w:val="2"/>
          <w:sz w:val="21"/>
          <w:szCs w:val="21"/>
          <w:lang w:val="en-US" w:eastAsia="zh-CN" w:bidi="ar-SA"/>
        </w:rPr>
        <w:t>等绩效信息的公开。按照政府信息公开有关规定，由吉木萨尔县财政局将本次绩效评价的结果信息进行公开，加强社会和舆论监督，提高财政资金使用透明度。</w:t>
      </w:r>
    </w:p>
    <w:p w14:paraId="5103BBA4">
      <w:pPr>
        <w:pStyle w:val="2"/>
        <w:pageBreakBefore w:val="0"/>
        <w:kinsoku/>
        <w:wordWrap/>
        <w:overflowPunct/>
        <w:topLinePunct w:val="0"/>
        <w:autoSpaceDE/>
        <w:autoSpaceDN/>
        <w:bidi w:val="0"/>
        <w:snapToGrid w:val="0"/>
        <w:spacing w:before="0" w:after="0" w:line="360" w:lineRule="auto"/>
        <w:ind w:firstLine="482"/>
        <w:rPr>
          <w:rFonts w:hint="default" w:ascii="Times New Roman" w:hAnsi="Times New Roman" w:cs="Times New Roman"/>
          <w:color w:val="auto"/>
        </w:rPr>
      </w:pPr>
      <w:bookmarkStart w:id="94" w:name="_Toc8368"/>
      <w:r>
        <w:rPr>
          <w:rFonts w:hint="default" w:ascii="Times New Roman" w:hAnsi="Times New Roman" w:cs="Times New Roman"/>
          <w:color w:val="auto"/>
          <w:lang w:val="en-US" w:eastAsia="zh-CN"/>
        </w:rPr>
        <w:t>九</w:t>
      </w:r>
      <w:r>
        <w:rPr>
          <w:rFonts w:hint="default" w:ascii="Times New Roman" w:hAnsi="Times New Roman" w:cs="Times New Roman"/>
          <w:color w:val="auto"/>
        </w:rPr>
        <w:t>、其他需要说明的问题</w:t>
      </w:r>
      <w:bookmarkEnd w:id="87"/>
      <w:bookmarkEnd w:id="94"/>
    </w:p>
    <w:p w14:paraId="5D037925">
      <w:pPr>
        <w:bidi w:val="0"/>
        <w:spacing w:before="0" w:after="0" w:line="360" w:lineRule="auto"/>
        <w:ind w:firstLine="42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根据</w:t>
      </w:r>
      <w:r>
        <w:rPr>
          <w:rFonts w:hint="eastAsia" w:cs="Times New Roman"/>
          <w:color w:val="auto"/>
          <w:lang w:val="en-US" w:eastAsia="zh-CN"/>
        </w:rPr>
        <w:t>项目运营管理公司提供的</w:t>
      </w:r>
      <w:r>
        <w:rPr>
          <w:rFonts w:hint="default" w:ascii="Times New Roman" w:hAnsi="Times New Roman" w:cs="Times New Roman"/>
          <w:color w:val="auto"/>
          <w:lang w:val="en-US" w:eastAsia="zh-CN"/>
        </w:rPr>
        <w:t>《泓欣环境集团有限公司关于同意授予吉木萨尔鑫泓欣物业服务有限公司相关权限的批复》（泓欣环境〔2024〕07号）资料显示，2024年4月1日泓欣环境集团有限公司同意授权吉木萨尔鑫泓欣物业服务有限公司</w:t>
      </w:r>
      <w:r>
        <w:rPr>
          <w:rFonts w:hint="default" w:ascii="Times New Roman" w:hAnsi="Times New Roman" w:cs="Times New Roman"/>
          <w:lang w:val="en-US" w:eastAsia="zh-CN"/>
        </w:rPr>
        <w:t>运营物业服务</w:t>
      </w:r>
      <w:r>
        <w:rPr>
          <w:rFonts w:hint="default" w:ascii="Times New Roman" w:hAnsi="Times New Roman" w:cs="Times New Roman"/>
          <w:color w:val="auto"/>
          <w:lang w:val="en-US" w:eastAsia="zh-CN"/>
        </w:rPr>
        <w:t>，授权项目范围内以吉木萨尔鑫泓欣物业服务有限公司的名义签订对下各类合同、委托运营项目管理、用章管理、运营结算、委托运营项目款、开具增值税发票及抵扣进项税额、工作联系事宜。</w:t>
      </w:r>
      <w:r>
        <w:rPr>
          <w:rFonts w:hint="default" w:ascii="Times New Roman" w:hAnsi="Times New Roman" w:cs="Times New Roman"/>
          <w:color w:val="auto"/>
        </w:rPr>
        <w:t>根据</w:t>
      </w:r>
      <w:r>
        <w:rPr>
          <w:rFonts w:hint="default" w:ascii="Times New Roman" w:hAnsi="Times New Roman" w:cs="Times New Roman"/>
          <w:color w:val="auto"/>
          <w:lang w:eastAsia="zh-CN"/>
        </w:rPr>
        <w:t>《吉木萨尔县城市管理服务“三位一体”委托运营项目专项审计报告》（新晟专审字〔2024〕2-008号）</w:t>
      </w:r>
      <w:r>
        <w:rPr>
          <w:rFonts w:hint="default" w:ascii="Times New Roman" w:hAnsi="Times New Roman" w:cs="Times New Roman"/>
          <w:color w:val="auto"/>
        </w:rPr>
        <w:t>显示，2024年</w:t>
      </w:r>
      <w:r>
        <w:rPr>
          <w:rFonts w:hint="eastAsia" w:cs="Times New Roman"/>
          <w:color w:val="auto"/>
          <w:lang w:val="en-US" w:eastAsia="zh-CN"/>
        </w:rPr>
        <w:t>项目运营管理公司</w:t>
      </w:r>
      <w:r>
        <w:rPr>
          <w:rFonts w:hint="default" w:ascii="Times New Roman" w:hAnsi="Times New Roman" w:cs="Times New Roman"/>
          <w:color w:val="auto"/>
          <w:lang w:val="en-US" w:eastAsia="zh-CN"/>
        </w:rPr>
        <w:t>实际</w:t>
      </w:r>
      <w:r>
        <w:rPr>
          <w:rFonts w:hint="default" w:ascii="Times New Roman" w:hAnsi="Times New Roman" w:cs="Times New Roman"/>
          <w:color w:val="auto"/>
        </w:rPr>
        <w:t>对所接管的</w:t>
      </w:r>
      <w:r>
        <w:rPr>
          <w:rFonts w:hint="eastAsia" w:cs="Times New Roman"/>
          <w:color w:val="auto"/>
          <w:lang w:val="en-US" w:eastAsia="zh-CN"/>
        </w:rPr>
        <w:t>25个</w:t>
      </w:r>
      <w:r>
        <w:rPr>
          <w:rFonts w:hint="default" w:ascii="Times New Roman" w:hAnsi="Times New Roman" w:cs="Times New Roman"/>
          <w:color w:val="auto"/>
        </w:rPr>
        <w:t>小区</w:t>
      </w:r>
      <w:r>
        <w:rPr>
          <w:rFonts w:hint="default" w:ascii="Times New Roman" w:hAnsi="Times New Roman" w:cs="Times New Roman"/>
          <w:color w:val="auto"/>
          <w:lang w:eastAsia="zh-CN"/>
        </w:rPr>
        <w:t>投入</w:t>
      </w:r>
      <w:r>
        <w:rPr>
          <w:rFonts w:hint="default" w:ascii="Times New Roman" w:hAnsi="Times New Roman" w:cs="Times New Roman"/>
          <w:color w:val="auto"/>
          <w:lang w:eastAsia="zh-Hans"/>
        </w:rPr>
        <w:t>健身器材、包裹存放处、宣传栏、停车位、门禁系统、自行车停放处、电动车充电棚等</w:t>
      </w:r>
      <w:r>
        <w:rPr>
          <w:rFonts w:hint="default" w:ascii="Times New Roman" w:hAnsi="Times New Roman" w:cs="Times New Roman"/>
          <w:color w:val="auto"/>
          <w:lang w:eastAsia="zh-CN"/>
        </w:rPr>
        <w:t>配套基础设施</w:t>
      </w:r>
      <w:r>
        <w:rPr>
          <w:rFonts w:hint="eastAsia" w:cs="Times New Roman"/>
          <w:color w:val="auto"/>
          <w:lang w:val="en-US" w:eastAsia="zh-CN"/>
        </w:rPr>
        <w:t>建设</w:t>
      </w:r>
      <w:r>
        <w:rPr>
          <w:rFonts w:hint="default" w:ascii="Times New Roman" w:hAnsi="Times New Roman" w:cs="Times New Roman"/>
          <w:color w:val="auto"/>
          <w:lang w:eastAsia="zh-CN"/>
        </w:rPr>
        <w:t>费用共计151.12万元。</w:t>
      </w:r>
      <w:r>
        <w:rPr>
          <w:rFonts w:hint="default" w:ascii="Times New Roman" w:hAnsi="Times New Roman" w:cs="Times New Roman"/>
          <w:color w:val="auto"/>
        </w:rPr>
        <w:t>《吉木萨尔县城市管理服务</w:t>
      </w:r>
      <w:r>
        <w:rPr>
          <w:rFonts w:hint="default" w:ascii="Times New Roman" w:hAnsi="Times New Roman" w:cs="Times New Roman"/>
          <w:color w:val="auto"/>
          <w:lang w:eastAsia="zh-CN"/>
        </w:rPr>
        <w:t>“</w:t>
      </w:r>
      <w:r>
        <w:rPr>
          <w:rFonts w:hint="default" w:ascii="Times New Roman" w:hAnsi="Times New Roman" w:cs="Times New Roman"/>
          <w:color w:val="auto"/>
        </w:rPr>
        <w:t>三位一体</w:t>
      </w:r>
      <w:r>
        <w:rPr>
          <w:rFonts w:hint="default" w:ascii="Times New Roman" w:hAnsi="Times New Roman" w:cs="Times New Roman"/>
          <w:color w:val="auto"/>
          <w:lang w:eastAsia="zh-CN"/>
        </w:rPr>
        <w:t>”</w:t>
      </w:r>
      <w:r>
        <w:rPr>
          <w:rFonts w:hint="default" w:ascii="Times New Roman" w:hAnsi="Times New Roman" w:cs="Times New Roman"/>
          <w:color w:val="auto"/>
        </w:rPr>
        <w:t>委托运营项目服务合同》中</w:t>
      </w:r>
      <w:r>
        <w:rPr>
          <w:rFonts w:hint="eastAsia" w:cs="Times New Roman"/>
          <w:color w:val="auto"/>
          <w:lang w:val="en-US" w:eastAsia="zh-CN"/>
        </w:rPr>
        <w:t>第四章第二条约定：“</w:t>
      </w:r>
      <w:r>
        <w:rPr>
          <w:rFonts w:hint="default" w:ascii="Times New Roman" w:hAnsi="Times New Roman" w:cs="Times New Roman"/>
          <w:color w:val="auto"/>
        </w:rPr>
        <w:t>居民区日常管理服务此项服务由乙方自主经营，自负盈亏</w:t>
      </w:r>
      <w:r>
        <w:rPr>
          <w:rFonts w:hint="eastAsia" w:cs="Times New Roman"/>
          <w:color w:val="auto"/>
          <w:lang w:val="en-US" w:eastAsia="zh-CN"/>
        </w:rPr>
        <w:t>”在调研中我们注意到</w:t>
      </w:r>
      <w:r>
        <w:rPr>
          <w:rFonts w:hint="eastAsia" w:cs="Times New Roman"/>
          <w:color w:val="auto"/>
          <w:lang w:eastAsia="zh-CN"/>
        </w:rPr>
        <w:t>，</w:t>
      </w:r>
      <w:r>
        <w:rPr>
          <w:rFonts w:hint="eastAsia" w:cs="Times New Roman"/>
          <w:color w:val="auto"/>
          <w:lang w:val="en-US" w:eastAsia="zh-CN"/>
        </w:rPr>
        <w:t>项目实施单位实际</w:t>
      </w:r>
      <w:r>
        <w:rPr>
          <w:rFonts w:hint="default" w:ascii="Times New Roman" w:hAnsi="Times New Roman" w:cs="Times New Roman"/>
          <w:color w:val="auto"/>
          <w:lang w:val="en-US" w:eastAsia="zh-CN"/>
        </w:rPr>
        <w:t>未</w:t>
      </w:r>
      <w:r>
        <w:rPr>
          <w:rFonts w:hint="eastAsia" w:cs="Times New Roman"/>
          <w:color w:val="auto"/>
          <w:lang w:val="en-US" w:eastAsia="zh-CN"/>
        </w:rPr>
        <w:t>对</w:t>
      </w:r>
      <w:r>
        <w:rPr>
          <w:rFonts w:hint="default" w:ascii="Times New Roman" w:hAnsi="Times New Roman" w:cs="Times New Roman"/>
          <w:color w:val="auto"/>
          <w:lang w:val="en-US" w:eastAsia="zh-CN"/>
        </w:rPr>
        <w:t>物业服务</w:t>
      </w:r>
      <w:r>
        <w:rPr>
          <w:rFonts w:hint="eastAsia" w:cs="Times New Roman"/>
          <w:color w:val="auto"/>
          <w:lang w:val="en-US" w:eastAsia="zh-CN"/>
        </w:rPr>
        <w:t>公司</w:t>
      </w:r>
      <w:r>
        <w:rPr>
          <w:rFonts w:hint="default" w:ascii="Times New Roman" w:hAnsi="Times New Roman" w:cs="Times New Roman"/>
          <w:color w:val="auto"/>
          <w:lang w:val="en-US" w:eastAsia="zh-CN"/>
        </w:rPr>
        <w:t>组织开展</w:t>
      </w:r>
      <w:r>
        <w:rPr>
          <w:rFonts w:hint="eastAsia" w:cs="Times New Roman"/>
          <w:color w:val="auto"/>
          <w:lang w:val="en-US" w:eastAsia="zh-CN"/>
        </w:rPr>
        <w:t>的</w:t>
      </w:r>
      <w:r>
        <w:rPr>
          <w:rFonts w:hint="default" w:ascii="Times New Roman" w:hAnsi="Times New Roman" w:cs="Times New Roman"/>
          <w:color w:val="auto"/>
          <w:lang w:val="en-US" w:eastAsia="zh-CN"/>
        </w:rPr>
        <w:t>物业服务</w:t>
      </w:r>
      <w:r>
        <w:rPr>
          <w:rFonts w:hint="eastAsia" w:cs="Times New Roman"/>
          <w:color w:val="auto"/>
          <w:lang w:val="en-US" w:eastAsia="zh-CN"/>
        </w:rPr>
        <w:t>进行</w:t>
      </w:r>
      <w:r>
        <w:rPr>
          <w:rFonts w:hint="default" w:ascii="Times New Roman" w:hAnsi="Times New Roman" w:cs="Times New Roman"/>
          <w:color w:val="auto"/>
          <w:lang w:val="en-US" w:eastAsia="zh-CN"/>
        </w:rPr>
        <w:t>绩效</w:t>
      </w:r>
      <w:r>
        <w:rPr>
          <w:rFonts w:hint="default" w:ascii="Times New Roman" w:hAnsi="Times New Roman" w:cs="Times New Roman"/>
          <w:color w:val="auto"/>
        </w:rPr>
        <w:t>考核</w:t>
      </w:r>
      <w:r>
        <w:rPr>
          <w:rFonts w:hint="default" w:ascii="Times New Roman" w:hAnsi="Times New Roman" w:cs="Times New Roman"/>
          <w:color w:val="auto"/>
          <w:lang w:val="en-US" w:eastAsia="zh-CN"/>
        </w:rPr>
        <w:t>工作</w:t>
      </w:r>
      <w:r>
        <w:rPr>
          <w:rFonts w:hint="eastAsia" w:cs="Times New Roman"/>
          <w:color w:val="auto"/>
          <w:lang w:val="en-US" w:eastAsia="zh-CN"/>
        </w:rPr>
        <w:t>，吉木萨尔住房和建设局就</w:t>
      </w:r>
      <w:r>
        <w:rPr>
          <w:rFonts w:hint="default" w:ascii="Times New Roman" w:hAnsi="Times New Roman" w:cs="Times New Roman"/>
          <w:color w:val="auto"/>
          <w:lang w:val="en-US" w:eastAsia="zh-CN"/>
        </w:rPr>
        <w:t>吉木萨尔鑫泓欣物业服务有限公司</w:t>
      </w:r>
      <w:r>
        <w:rPr>
          <w:rFonts w:hint="eastAsia" w:cs="Times New Roman"/>
          <w:color w:val="auto"/>
          <w:lang w:val="en-US" w:eastAsia="zh-CN"/>
        </w:rPr>
        <w:t>提供物业服务事项出具了《关于吉木萨尔县城市管理服务“三位一体”委托运营项目物业考核与车辆投资考核情况说明》。故</w:t>
      </w:r>
      <w:r>
        <w:rPr>
          <w:rFonts w:hint="default" w:ascii="Times New Roman" w:hAnsi="Times New Roman" w:cs="Times New Roman"/>
          <w:lang w:val="en-US" w:eastAsia="zh-CN"/>
        </w:rPr>
        <w:t>吉木萨尔鑫泓欣物业服务有限公司</w:t>
      </w:r>
      <w:r>
        <w:rPr>
          <w:rFonts w:hint="eastAsia" w:cs="Times New Roman"/>
          <w:lang w:val="en-US" w:eastAsia="zh-CN"/>
        </w:rPr>
        <w:t>对25个小区提供</w:t>
      </w:r>
      <w:r>
        <w:rPr>
          <w:rFonts w:hint="eastAsia" w:cs="Times New Roman"/>
          <w:color w:val="auto"/>
          <w:lang w:val="en-US" w:eastAsia="zh-CN"/>
        </w:rPr>
        <w:t>居民区日常管理服务以及</w:t>
      </w:r>
      <w:r>
        <w:rPr>
          <w:rFonts w:hint="default" w:ascii="Times New Roman" w:hAnsi="Times New Roman" w:cs="Times New Roman"/>
          <w:color w:val="auto"/>
          <w:lang w:eastAsia="zh-CN"/>
        </w:rPr>
        <w:t>配套基础设施</w:t>
      </w:r>
      <w:r>
        <w:rPr>
          <w:rFonts w:hint="eastAsia" w:cs="Times New Roman"/>
          <w:color w:val="auto"/>
          <w:lang w:val="en-US" w:eastAsia="zh-CN"/>
        </w:rPr>
        <w:t>建设</w:t>
      </w:r>
      <w:r>
        <w:rPr>
          <w:rFonts w:hint="default" w:ascii="Times New Roman" w:hAnsi="Times New Roman" w:cs="Times New Roman"/>
          <w:color w:val="auto"/>
          <w:lang w:eastAsia="zh-CN"/>
        </w:rPr>
        <w:t>费用</w:t>
      </w:r>
      <w:r>
        <w:rPr>
          <w:rFonts w:hint="eastAsia" w:cs="Times New Roman"/>
          <w:color w:val="auto"/>
          <w:lang w:val="en-US" w:eastAsia="zh-CN"/>
        </w:rPr>
        <w:t>投入情况不在本次评价范围内。</w:t>
      </w:r>
    </w:p>
    <w:p w14:paraId="15CE7F71">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r>
        <w:rPr>
          <w:rFonts w:hint="default" w:ascii="Times New Roman" w:hAnsi="Times New Roman" w:cs="Times New Roman"/>
          <w:color w:val="auto"/>
        </w:rPr>
        <w:t>该项目的绩效评价结论可靠性基于相关部门和项目单位提供的项目资料的全面性、真实性和准确性，绩效评价组尽可能地收集更为全面、有效、准确的文件和数据，但由于受客观因素的限制，只能在相关部门和单位提供的现有资料的基础上核实、分析，作出绩效评价结论。绩效评价人员在评价过程中遵循独立、客观、公正原则，恪守职业道德规范，尽可能地确保数据与结论的真实性与可靠性。</w:t>
      </w:r>
    </w:p>
    <w:p w14:paraId="38F9123B">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p>
    <w:p w14:paraId="5EF5E666">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p>
    <w:p w14:paraId="15E6A192">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p>
    <w:p w14:paraId="56F66297">
      <w:pPr>
        <w:pageBreakBefore w:val="0"/>
        <w:kinsoku/>
        <w:wordWrap/>
        <w:overflowPunct/>
        <w:topLinePunct w:val="0"/>
        <w:autoSpaceDE/>
        <w:autoSpaceDN/>
        <w:bidi w:val="0"/>
        <w:snapToGrid w:val="0"/>
        <w:spacing w:before="0" w:after="0" w:line="240" w:lineRule="auto"/>
        <w:ind w:firstLine="420"/>
        <w:rPr>
          <w:rFonts w:hint="default" w:ascii="Times New Roman" w:hAnsi="Times New Roman" w:cs="Times New Roman"/>
          <w:color w:val="auto"/>
        </w:rPr>
      </w:pP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724"/>
        <w:gridCol w:w="4798"/>
      </w:tblGrid>
      <w:tr w14:paraId="1A6756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3724" w:type="dxa"/>
            <w:tcBorders>
              <w:top w:val="nil"/>
              <w:left w:val="nil"/>
              <w:bottom w:val="nil"/>
              <w:right w:val="nil"/>
            </w:tcBorders>
          </w:tcPr>
          <w:p w14:paraId="3137C337">
            <w:pPr>
              <w:pageBreakBefore w:val="0"/>
              <w:kinsoku/>
              <w:wordWrap/>
              <w:overflowPunct/>
              <w:topLinePunct w:val="0"/>
              <w:autoSpaceDE/>
              <w:autoSpaceDN/>
              <w:bidi w:val="0"/>
              <w:snapToGrid w:val="0"/>
              <w:spacing w:before="0" w:after="0" w:line="240" w:lineRule="auto"/>
              <w:ind w:firstLine="420"/>
              <w:rPr>
                <w:rFonts w:hint="default" w:ascii="Times New Roman" w:hAnsi="Times New Roman" w:cs="Times New Roman"/>
                <w:color w:val="auto"/>
              </w:rPr>
            </w:pPr>
          </w:p>
        </w:tc>
        <w:tc>
          <w:tcPr>
            <w:tcW w:w="4798" w:type="dxa"/>
            <w:tcBorders>
              <w:top w:val="nil"/>
              <w:left w:val="nil"/>
              <w:bottom w:val="nil"/>
              <w:right w:val="nil"/>
            </w:tcBorders>
            <w:vAlign w:val="center"/>
          </w:tcPr>
          <w:p w14:paraId="3B214D1E">
            <w:pPr>
              <w:pageBreakBefore w:val="0"/>
              <w:kinsoku/>
              <w:wordWrap/>
              <w:overflowPunct/>
              <w:topLinePunct w:val="0"/>
              <w:autoSpaceDE/>
              <w:autoSpaceDN/>
              <w:bidi w:val="0"/>
              <w:snapToGrid w:val="0"/>
              <w:spacing w:before="0" w:after="0" w:line="240" w:lineRule="auto"/>
              <w:ind w:firstLine="0" w:firstLineChars="0"/>
              <w:rPr>
                <w:rFonts w:hint="default" w:ascii="Times New Roman" w:hAnsi="Times New Roman" w:cs="Times New Roman"/>
                <w:color w:val="auto"/>
              </w:rPr>
            </w:pPr>
            <w:r>
              <w:rPr>
                <w:rFonts w:hint="default" w:ascii="Times New Roman" w:hAnsi="Times New Roman" w:eastAsia="黑体" w:cs="Times New Roman"/>
                <w:color w:val="auto"/>
              </w:rPr>
              <w:t>评价机构：新疆驰远天合有限责任会计师事务所</w:t>
            </w:r>
          </w:p>
        </w:tc>
      </w:tr>
      <w:tr w14:paraId="636386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3724" w:type="dxa"/>
            <w:tcBorders>
              <w:top w:val="nil"/>
              <w:left w:val="nil"/>
              <w:bottom w:val="nil"/>
              <w:right w:val="nil"/>
            </w:tcBorders>
          </w:tcPr>
          <w:p w14:paraId="07FFA5AA">
            <w:pPr>
              <w:pageBreakBefore w:val="0"/>
              <w:kinsoku/>
              <w:wordWrap/>
              <w:overflowPunct/>
              <w:topLinePunct w:val="0"/>
              <w:autoSpaceDE/>
              <w:autoSpaceDN/>
              <w:bidi w:val="0"/>
              <w:snapToGrid w:val="0"/>
              <w:spacing w:before="0" w:after="0" w:line="240" w:lineRule="auto"/>
              <w:ind w:firstLine="420"/>
              <w:rPr>
                <w:rFonts w:hint="default" w:ascii="Times New Roman" w:hAnsi="Times New Roman" w:cs="Times New Roman"/>
                <w:color w:val="auto"/>
              </w:rPr>
            </w:pPr>
          </w:p>
        </w:tc>
        <w:tc>
          <w:tcPr>
            <w:tcW w:w="4798" w:type="dxa"/>
            <w:tcBorders>
              <w:top w:val="nil"/>
              <w:left w:val="nil"/>
              <w:bottom w:val="nil"/>
              <w:right w:val="nil"/>
            </w:tcBorders>
            <w:vAlign w:val="center"/>
          </w:tcPr>
          <w:p w14:paraId="42DD4208">
            <w:pPr>
              <w:pageBreakBefore w:val="0"/>
              <w:kinsoku/>
              <w:wordWrap/>
              <w:overflowPunct/>
              <w:topLinePunct w:val="0"/>
              <w:autoSpaceDE/>
              <w:autoSpaceDN/>
              <w:bidi w:val="0"/>
              <w:snapToGrid w:val="0"/>
              <w:spacing w:before="0" w:after="0" w:line="240" w:lineRule="auto"/>
              <w:ind w:firstLine="0" w:firstLineChars="0"/>
              <w:rPr>
                <w:rFonts w:hint="default" w:ascii="Times New Roman" w:hAnsi="Times New Roman" w:cs="Times New Roman"/>
                <w:color w:val="auto"/>
              </w:rPr>
            </w:pPr>
            <w:r>
              <w:rPr>
                <w:rFonts w:hint="default" w:ascii="Times New Roman" w:hAnsi="Times New Roman" w:eastAsia="黑体" w:cs="Times New Roman"/>
                <w:color w:val="auto"/>
              </w:rPr>
              <w:t>评价时间：202</w:t>
            </w:r>
            <w:r>
              <w:rPr>
                <w:rFonts w:hint="default" w:ascii="Times New Roman" w:hAnsi="Times New Roman" w:eastAsia="黑体" w:cs="Times New Roman"/>
                <w:color w:val="auto"/>
                <w:lang w:val="en-US" w:eastAsia="zh-CN"/>
              </w:rPr>
              <w:t>5</w:t>
            </w:r>
            <w:r>
              <w:rPr>
                <w:rFonts w:hint="default" w:ascii="Times New Roman" w:hAnsi="Times New Roman" w:eastAsia="黑体" w:cs="Times New Roman"/>
                <w:color w:val="auto"/>
              </w:rPr>
              <w:t>年</w:t>
            </w:r>
            <w:r>
              <w:rPr>
                <w:rFonts w:hint="default" w:ascii="Times New Roman" w:hAnsi="Times New Roman" w:eastAsia="黑体" w:cs="Times New Roman"/>
                <w:color w:val="auto"/>
                <w:lang w:val="en-US" w:eastAsia="zh-CN"/>
              </w:rPr>
              <w:t>8</w:t>
            </w:r>
            <w:r>
              <w:rPr>
                <w:rFonts w:hint="default" w:ascii="Times New Roman" w:hAnsi="Times New Roman" w:eastAsia="黑体" w:cs="Times New Roman"/>
                <w:color w:val="auto"/>
              </w:rPr>
              <w:t>月</w:t>
            </w:r>
          </w:p>
        </w:tc>
      </w:tr>
    </w:tbl>
    <w:p w14:paraId="06D6F033">
      <w:pPr>
        <w:pageBreakBefore w:val="0"/>
        <w:kinsoku/>
        <w:wordWrap/>
        <w:overflowPunct/>
        <w:topLinePunct w:val="0"/>
        <w:autoSpaceDE/>
        <w:autoSpaceDN/>
        <w:bidi w:val="0"/>
        <w:snapToGrid w:val="0"/>
        <w:spacing w:before="0" w:after="0" w:line="360" w:lineRule="auto"/>
        <w:ind w:firstLine="3150" w:firstLineChars="1500"/>
        <w:rPr>
          <w:rFonts w:hint="default" w:ascii="Times New Roman" w:hAnsi="Times New Roman" w:eastAsia="黑体" w:cs="Times New Roman"/>
          <w:color w:val="auto"/>
        </w:rPr>
        <w:sectPr>
          <w:footerReference r:id="rId14" w:type="default"/>
          <w:pgSz w:w="11906" w:h="16838"/>
          <w:pgMar w:top="1440" w:right="1800" w:bottom="1440" w:left="1800" w:header="851" w:footer="794" w:gutter="0"/>
          <w:pgNumType w:fmt="decimal" w:start="1"/>
          <w:cols w:space="425" w:num="1"/>
          <w:docGrid w:type="lines" w:linePitch="312" w:charSpace="0"/>
        </w:sectPr>
      </w:pPr>
    </w:p>
    <w:p w14:paraId="00190636">
      <w:pPr>
        <w:pStyle w:val="2"/>
        <w:pageBreakBefore w:val="0"/>
        <w:kinsoku/>
        <w:wordWrap/>
        <w:overflowPunct/>
        <w:topLinePunct w:val="0"/>
        <w:autoSpaceDE/>
        <w:autoSpaceDN/>
        <w:bidi w:val="0"/>
        <w:snapToGrid w:val="0"/>
        <w:spacing w:before="0" w:after="0" w:line="360" w:lineRule="auto"/>
        <w:ind w:firstLine="0" w:firstLineChars="0"/>
        <w:rPr>
          <w:rFonts w:hint="default" w:ascii="Times New Roman" w:hAnsi="Times New Roman" w:cs="Times New Roman"/>
          <w:color w:val="auto"/>
        </w:rPr>
      </w:pPr>
      <w:bookmarkStart w:id="95" w:name="_Toc11103"/>
      <w:bookmarkStart w:id="96" w:name="_Toc6006"/>
      <w:bookmarkStart w:id="97" w:name="_Toc9327"/>
      <w:bookmarkStart w:id="98" w:name="_Toc25777"/>
      <w:bookmarkStart w:id="99" w:name="_Toc12265"/>
      <w:r>
        <w:rPr>
          <w:rFonts w:hint="default" w:ascii="Times New Roman" w:hAnsi="Times New Roman" w:cs="Times New Roman"/>
          <w:color w:val="auto"/>
        </w:rPr>
        <w:t>附件1：绩效评价指标体系及综合评价表</w:t>
      </w:r>
      <w:bookmarkEnd w:id="95"/>
    </w:p>
    <w:p w14:paraId="51D18D70">
      <w:pPr>
        <w:pageBreakBefore w:val="0"/>
        <w:kinsoku/>
        <w:wordWrap/>
        <w:overflowPunct/>
        <w:topLinePunct w:val="0"/>
        <w:autoSpaceDE/>
        <w:autoSpaceDN/>
        <w:bidi w:val="0"/>
        <w:snapToGrid w:val="0"/>
        <w:spacing w:before="0" w:after="0" w:line="360" w:lineRule="auto"/>
        <w:ind w:firstLine="422"/>
        <w:jc w:val="center"/>
        <w:rPr>
          <w:rFonts w:hint="default" w:ascii="Times New Roman" w:hAnsi="Times New Roman" w:eastAsia="宋体" w:cs="Times New Roman"/>
          <w:b/>
          <w:bCs/>
          <w:color w:val="auto"/>
        </w:rPr>
      </w:pPr>
      <w:r>
        <w:rPr>
          <w:rFonts w:hint="default" w:ascii="Times New Roman" w:hAnsi="Times New Roman" w:eastAsia="宋体" w:cs="Times New Roman"/>
          <w:b/>
          <w:bCs/>
          <w:color w:val="auto"/>
          <w:lang w:val="en-US"/>
        </w:rPr>
        <w:t>吉木萨尔县城市管理服务“三位一体”委托运营项目</w:t>
      </w:r>
      <w:r>
        <w:rPr>
          <w:rFonts w:hint="default" w:ascii="Times New Roman" w:hAnsi="Times New Roman" w:eastAsia="宋体" w:cs="Times New Roman"/>
          <w:b/>
          <w:bCs/>
          <w:color w:val="auto"/>
        </w:rPr>
        <w:t>绩效评价指标体系及综合评分表</w:t>
      </w:r>
    </w:p>
    <w:tbl>
      <w:tblPr>
        <w:tblStyle w:val="18"/>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23" w:type="dxa"/>
          <w:bottom w:w="0" w:type="dxa"/>
          <w:right w:w="23" w:type="dxa"/>
        </w:tblCellMar>
      </w:tblPr>
      <w:tblGrid>
        <w:gridCol w:w="677"/>
        <w:gridCol w:w="790"/>
        <w:gridCol w:w="1058"/>
        <w:gridCol w:w="2517"/>
        <w:gridCol w:w="4729"/>
        <w:gridCol w:w="914"/>
        <w:gridCol w:w="1180"/>
        <w:gridCol w:w="686"/>
        <w:gridCol w:w="657"/>
        <w:gridCol w:w="785"/>
      </w:tblGrid>
      <w:tr w14:paraId="63CAB3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blHeader/>
        </w:trPr>
        <w:tc>
          <w:tcPr>
            <w:tcW w:w="241" w:type="pct"/>
            <w:shd w:val="clear" w:color="auto" w:fill="auto"/>
            <w:vAlign w:val="center"/>
          </w:tcPr>
          <w:p w14:paraId="5C14569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一级指标</w:t>
            </w:r>
          </w:p>
        </w:tc>
        <w:tc>
          <w:tcPr>
            <w:tcW w:w="282" w:type="pct"/>
            <w:shd w:val="clear" w:color="auto" w:fill="auto"/>
            <w:vAlign w:val="center"/>
          </w:tcPr>
          <w:p w14:paraId="2DBA07E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二级指标</w:t>
            </w:r>
          </w:p>
        </w:tc>
        <w:tc>
          <w:tcPr>
            <w:tcW w:w="378" w:type="pct"/>
            <w:shd w:val="clear" w:color="auto" w:fill="auto"/>
            <w:vAlign w:val="center"/>
          </w:tcPr>
          <w:p w14:paraId="659E374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三级指标</w:t>
            </w:r>
          </w:p>
        </w:tc>
        <w:tc>
          <w:tcPr>
            <w:tcW w:w="899" w:type="pct"/>
            <w:shd w:val="clear" w:color="auto" w:fill="auto"/>
            <w:vAlign w:val="center"/>
          </w:tcPr>
          <w:p w14:paraId="261B7EF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指标解释</w:t>
            </w:r>
          </w:p>
        </w:tc>
        <w:tc>
          <w:tcPr>
            <w:tcW w:w="1689" w:type="pct"/>
            <w:shd w:val="clear" w:color="auto" w:fill="auto"/>
            <w:vAlign w:val="center"/>
          </w:tcPr>
          <w:p w14:paraId="4053DC2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评价标准</w:t>
            </w:r>
          </w:p>
        </w:tc>
        <w:tc>
          <w:tcPr>
            <w:tcW w:w="326" w:type="pct"/>
            <w:shd w:val="clear" w:color="auto" w:fill="auto"/>
            <w:vAlign w:val="center"/>
          </w:tcPr>
          <w:p w14:paraId="680418B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目标值</w:t>
            </w:r>
          </w:p>
        </w:tc>
        <w:tc>
          <w:tcPr>
            <w:tcW w:w="421" w:type="pct"/>
            <w:shd w:val="clear" w:color="auto" w:fill="auto"/>
            <w:vAlign w:val="center"/>
          </w:tcPr>
          <w:p w14:paraId="0E5FB8D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实际完成值</w:t>
            </w:r>
          </w:p>
        </w:tc>
        <w:tc>
          <w:tcPr>
            <w:tcW w:w="245" w:type="pct"/>
            <w:shd w:val="clear" w:color="auto" w:fill="auto"/>
            <w:vAlign w:val="center"/>
          </w:tcPr>
          <w:p w14:paraId="79C1A5C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标杆分值</w:t>
            </w:r>
          </w:p>
        </w:tc>
        <w:tc>
          <w:tcPr>
            <w:tcW w:w="234" w:type="pct"/>
            <w:shd w:val="clear" w:color="auto" w:fill="auto"/>
            <w:vAlign w:val="center"/>
          </w:tcPr>
          <w:p w14:paraId="742E6D0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指标得分</w:t>
            </w:r>
          </w:p>
        </w:tc>
        <w:tc>
          <w:tcPr>
            <w:tcW w:w="280" w:type="pct"/>
            <w:shd w:val="clear" w:color="auto" w:fill="auto"/>
            <w:vAlign w:val="center"/>
          </w:tcPr>
          <w:p w14:paraId="434E8F2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得分率</w:t>
            </w:r>
          </w:p>
        </w:tc>
      </w:tr>
      <w:tr w14:paraId="3BE9A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restart"/>
            <w:shd w:val="clear" w:color="auto" w:fill="auto"/>
            <w:vAlign w:val="center"/>
          </w:tcPr>
          <w:p w14:paraId="272581C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A项目决策（15.00分）　</w:t>
            </w:r>
          </w:p>
        </w:tc>
        <w:tc>
          <w:tcPr>
            <w:tcW w:w="282" w:type="pct"/>
            <w:shd w:val="clear" w:color="auto" w:fill="auto"/>
            <w:vAlign w:val="center"/>
          </w:tcPr>
          <w:p w14:paraId="03074D8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A1是否合规（5.00分）　</w:t>
            </w:r>
          </w:p>
        </w:tc>
        <w:tc>
          <w:tcPr>
            <w:tcW w:w="378" w:type="pct"/>
            <w:shd w:val="clear" w:color="auto" w:fill="auto"/>
            <w:vAlign w:val="center"/>
          </w:tcPr>
          <w:p w14:paraId="364DFE4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A11立项依据合理性</w:t>
            </w:r>
          </w:p>
        </w:tc>
        <w:tc>
          <w:tcPr>
            <w:tcW w:w="899" w:type="pct"/>
            <w:shd w:val="clear" w:color="auto" w:fill="auto"/>
            <w:vAlign w:val="center"/>
          </w:tcPr>
          <w:p w14:paraId="2CAE62A7">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判断政府购买服务是否合规，如果违规购买一票否决，购买主体的项目立项是否符合法律法规、相关政策、发展规划以及部门职责，用以反映和考核项目立项依据情况。</w:t>
            </w:r>
          </w:p>
        </w:tc>
        <w:tc>
          <w:tcPr>
            <w:tcW w:w="1689" w:type="pct"/>
            <w:shd w:val="clear" w:color="auto" w:fill="auto"/>
            <w:vAlign w:val="center"/>
          </w:tcPr>
          <w:p w14:paraId="275F80E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①是否符合国家相关法律法规、国民经济发展规划和新疆维吾尔自治区党委、政府决策；</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②是否与部门职责和任务相符；</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③是否符合部门优先发展重点；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④项目是否纳入政府购买服务指导性目录；</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⑤购买服务需求是否合理充分；</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⑥是否与购买服务政策相符。</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备注：如涉及违规购买一票否决</w:t>
            </w:r>
          </w:p>
        </w:tc>
        <w:tc>
          <w:tcPr>
            <w:tcW w:w="326" w:type="pct"/>
            <w:shd w:val="clear" w:color="auto" w:fill="auto"/>
            <w:vAlign w:val="center"/>
          </w:tcPr>
          <w:p w14:paraId="41830AC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合规</w:t>
            </w:r>
          </w:p>
        </w:tc>
        <w:tc>
          <w:tcPr>
            <w:tcW w:w="421" w:type="pct"/>
            <w:shd w:val="clear" w:color="auto" w:fill="auto"/>
            <w:vAlign w:val="center"/>
          </w:tcPr>
          <w:p w14:paraId="5D45B60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合规</w:t>
            </w:r>
          </w:p>
        </w:tc>
        <w:tc>
          <w:tcPr>
            <w:tcW w:w="245" w:type="pct"/>
            <w:shd w:val="clear" w:color="auto" w:fill="auto"/>
            <w:vAlign w:val="center"/>
          </w:tcPr>
          <w:p w14:paraId="397E000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5.00</w:t>
            </w:r>
          </w:p>
        </w:tc>
        <w:tc>
          <w:tcPr>
            <w:tcW w:w="234" w:type="pct"/>
            <w:shd w:val="clear" w:color="auto" w:fill="auto"/>
            <w:vAlign w:val="center"/>
          </w:tcPr>
          <w:p w14:paraId="4D3D2A0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5.00</w:t>
            </w:r>
          </w:p>
        </w:tc>
        <w:tc>
          <w:tcPr>
            <w:tcW w:w="280" w:type="pct"/>
            <w:shd w:val="clear" w:color="auto" w:fill="auto"/>
            <w:vAlign w:val="center"/>
          </w:tcPr>
          <w:p w14:paraId="588EAFB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6BC6E0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7E1CC108">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shd w:val="clear" w:color="auto" w:fill="auto"/>
            <w:vAlign w:val="center"/>
          </w:tcPr>
          <w:p w14:paraId="7B454D9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A2项目立项（2.00分）　</w:t>
            </w:r>
          </w:p>
        </w:tc>
        <w:tc>
          <w:tcPr>
            <w:tcW w:w="378" w:type="pct"/>
            <w:shd w:val="clear" w:color="auto" w:fill="auto"/>
            <w:vAlign w:val="center"/>
          </w:tcPr>
          <w:p w14:paraId="518C53C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A21项目立项规范性</w:t>
            </w:r>
          </w:p>
        </w:tc>
        <w:tc>
          <w:tcPr>
            <w:tcW w:w="899" w:type="pct"/>
            <w:shd w:val="clear" w:color="auto" w:fill="auto"/>
            <w:vAlign w:val="center"/>
          </w:tcPr>
          <w:p w14:paraId="758A5B23">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购买主体的项目申请、设立过程是否符合相关要求，用以反映和考核项目立项的规范情况。</w:t>
            </w:r>
          </w:p>
        </w:tc>
        <w:tc>
          <w:tcPr>
            <w:tcW w:w="1689" w:type="pct"/>
            <w:shd w:val="clear" w:color="auto" w:fill="auto"/>
            <w:vAlign w:val="center"/>
          </w:tcPr>
          <w:p w14:paraId="15AE7E2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①立项前是否经过必要的可行性研究、专家论证、风险评估、集体决策等；</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②项目立项符合规定程序；</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③审批文件和材料合规完整，每符合一项得1/3权重分。</w:t>
            </w:r>
          </w:p>
        </w:tc>
        <w:tc>
          <w:tcPr>
            <w:tcW w:w="326" w:type="pct"/>
            <w:shd w:val="clear" w:color="auto" w:fill="auto"/>
            <w:vAlign w:val="center"/>
          </w:tcPr>
          <w:p w14:paraId="21350C4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规范</w:t>
            </w:r>
          </w:p>
        </w:tc>
        <w:tc>
          <w:tcPr>
            <w:tcW w:w="421" w:type="pct"/>
            <w:shd w:val="clear" w:color="auto" w:fill="auto"/>
            <w:vAlign w:val="center"/>
          </w:tcPr>
          <w:p w14:paraId="3319B73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规范</w:t>
            </w:r>
          </w:p>
        </w:tc>
        <w:tc>
          <w:tcPr>
            <w:tcW w:w="245" w:type="pct"/>
            <w:shd w:val="clear" w:color="auto" w:fill="auto"/>
            <w:vAlign w:val="center"/>
          </w:tcPr>
          <w:p w14:paraId="282C80A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2.00</w:t>
            </w:r>
          </w:p>
        </w:tc>
        <w:tc>
          <w:tcPr>
            <w:tcW w:w="234" w:type="pct"/>
            <w:shd w:val="clear" w:color="auto" w:fill="auto"/>
            <w:vAlign w:val="center"/>
          </w:tcPr>
          <w:p w14:paraId="5542614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2.00</w:t>
            </w:r>
          </w:p>
        </w:tc>
        <w:tc>
          <w:tcPr>
            <w:tcW w:w="280" w:type="pct"/>
            <w:shd w:val="clear" w:color="auto" w:fill="auto"/>
            <w:vAlign w:val="center"/>
          </w:tcPr>
          <w:p w14:paraId="31DA9EA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0C7A9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35648C9E">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restart"/>
            <w:shd w:val="clear" w:color="auto" w:fill="auto"/>
            <w:vAlign w:val="center"/>
          </w:tcPr>
          <w:p w14:paraId="22941AA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A3项目目标（4.00分）　</w:t>
            </w:r>
          </w:p>
        </w:tc>
        <w:tc>
          <w:tcPr>
            <w:tcW w:w="378" w:type="pct"/>
            <w:shd w:val="clear" w:color="auto" w:fill="auto"/>
            <w:vAlign w:val="center"/>
          </w:tcPr>
          <w:p w14:paraId="01F1AF85">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A31绩效目标合理性</w:t>
            </w:r>
          </w:p>
        </w:tc>
        <w:tc>
          <w:tcPr>
            <w:tcW w:w="899" w:type="pct"/>
            <w:shd w:val="clear" w:color="auto" w:fill="auto"/>
            <w:vAlign w:val="center"/>
          </w:tcPr>
          <w:p w14:paraId="34E642EF">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考核购买主体所设定的绩效目标是否依据充分，是否符合客观实际，用以反映和考核项目绩效目标与项目实施的相符情况。</w:t>
            </w:r>
          </w:p>
        </w:tc>
        <w:tc>
          <w:tcPr>
            <w:tcW w:w="1689" w:type="pct"/>
            <w:shd w:val="clear" w:color="auto" w:fill="auto"/>
            <w:vAlign w:val="center"/>
          </w:tcPr>
          <w:p w14:paraId="4757EAF3">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①是否有绩效目标；</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②绩效目标是否能够支持购买主体目标的实现；</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③项目预算产出效益和效果是否符合正常的业绩水平；</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④是否与预算确定的项目资金量相匹配。</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若①不符合，则此指标不得分；若①符合，则每发现一处不符扣0.5分，扣完为止。</w:t>
            </w:r>
          </w:p>
        </w:tc>
        <w:tc>
          <w:tcPr>
            <w:tcW w:w="326" w:type="pct"/>
            <w:shd w:val="clear" w:color="auto" w:fill="auto"/>
            <w:vAlign w:val="center"/>
          </w:tcPr>
          <w:p w14:paraId="4230C38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合理</w:t>
            </w:r>
          </w:p>
        </w:tc>
        <w:tc>
          <w:tcPr>
            <w:tcW w:w="421" w:type="pct"/>
            <w:shd w:val="clear" w:color="auto" w:fill="auto"/>
            <w:vAlign w:val="center"/>
          </w:tcPr>
          <w:p w14:paraId="3BEFEC2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合理</w:t>
            </w:r>
          </w:p>
        </w:tc>
        <w:tc>
          <w:tcPr>
            <w:tcW w:w="245" w:type="pct"/>
            <w:shd w:val="clear" w:color="auto" w:fill="auto"/>
            <w:vAlign w:val="center"/>
          </w:tcPr>
          <w:p w14:paraId="6183B79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34" w:type="pct"/>
            <w:shd w:val="clear" w:color="auto" w:fill="auto"/>
            <w:vAlign w:val="center"/>
          </w:tcPr>
          <w:p w14:paraId="705A8DE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80" w:type="pct"/>
            <w:shd w:val="clear" w:color="auto" w:fill="auto"/>
            <w:vAlign w:val="center"/>
          </w:tcPr>
          <w:p w14:paraId="5AABFB9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502E9E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7071E8A2">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31C0FD93">
            <w:pPr>
              <w:keepNext w:val="0"/>
              <w:keepLines w:val="0"/>
              <w:pageBreakBefore w:val="0"/>
              <w:widowControl/>
              <w:kinsoku/>
              <w:wordWrap/>
              <w:overflowPunct/>
              <w:topLinePunct w:val="0"/>
              <w:autoSpaceDE/>
              <w:autoSpaceDN/>
              <w:bidi w:val="0"/>
              <w:spacing w:line="240" w:lineRule="auto"/>
              <w:ind w:firstLine="0" w:firstLineChars="0"/>
              <w:jc w:val="left"/>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15AB879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A32绩效指标明确性</w:t>
            </w:r>
          </w:p>
        </w:tc>
        <w:tc>
          <w:tcPr>
            <w:tcW w:w="899" w:type="pct"/>
            <w:shd w:val="clear" w:color="auto" w:fill="auto"/>
            <w:vAlign w:val="center"/>
          </w:tcPr>
          <w:p w14:paraId="7E13740D">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考核购买主体依据绩效目标设定的绩效指标是否清晰、细化、可衡量等，用以反映和考核项目绩效目标的细化情况。</w:t>
            </w:r>
          </w:p>
        </w:tc>
        <w:tc>
          <w:tcPr>
            <w:tcW w:w="1689" w:type="pct"/>
            <w:shd w:val="clear" w:color="auto" w:fill="auto"/>
            <w:vAlign w:val="center"/>
          </w:tcPr>
          <w:p w14:paraId="178E1858">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①是否将项目绩效目标细化分解为具体的绩效指标；</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②是否通过清晰、可衡量的指标值予以体现；</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③是否与项目目标任务数或计划数相对应；绩效目标是否清晰、细化、量化、可衡量；</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④用以反映和考核服务绩效目标的细化及量化情况。</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每发现一处不符扣0.2分，扣完为止。</w:t>
            </w:r>
          </w:p>
        </w:tc>
        <w:tc>
          <w:tcPr>
            <w:tcW w:w="326" w:type="pct"/>
            <w:shd w:val="clear" w:color="auto" w:fill="auto"/>
            <w:vAlign w:val="center"/>
          </w:tcPr>
          <w:p w14:paraId="056826A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明确</w:t>
            </w:r>
          </w:p>
        </w:tc>
        <w:tc>
          <w:tcPr>
            <w:tcW w:w="421" w:type="pct"/>
            <w:shd w:val="clear" w:color="auto" w:fill="auto"/>
            <w:vAlign w:val="center"/>
          </w:tcPr>
          <w:p w14:paraId="0B70FDD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明确</w:t>
            </w:r>
          </w:p>
        </w:tc>
        <w:tc>
          <w:tcPr>
            <w:tcW w:w="245" w:type="pct"/>
            <w:shd w:val="clear" w:color="auto" w:fill="auto"/>
            <w:vAlign w:val="center"/>
          </w:tcPr>
          <w:p w14:paraId="52DC6E0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34" w:type="pct"/>
            <w:shd w:val="clear" w:color="auto" w:fill="auto"/>
            <w:vAlign w:val="center"/>
          </w:tcPr>
          <w:p w14:paraId="02CC6C8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80" w:type="pct"/>
            <w:shd w:val="clear" w:color="auto" w:fill="auto"/>
            <w:vAlign w:val="center"/>
          </w:tcPr>
          <w:p w14:paraId="2C5B7FB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441C2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0CF17348">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restart"/>
            <w:shd w:val="clear" w:color="auto" w:fill="auto"/>
            <w:vAlign w:val="center"/>
          </w:tcPr>
          <w:p w14:paraId="471CA5E2">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A4资金投入（3.00分）</w:t>
            </w:r>
          </w:p>
        </w:tc>
        <w:tc>
          <w:tcPr>
            <w:tcW w:w="378" w:type="pct"/>
            <w:shd w:val="clear" w:color="auto" w:fill="auto"/>
            <w:vAlign w:val="center"/>
          </w:tcPr>
          <w:p w14:paraId="56D4477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A41预算编制科学性</w:t>
            </w:r>
          </w:p>
        </w:tc>
        <w:tc>
          <w:tcPr>
            <w:tcW w:w="899" w:type="pct"/>
            <w:shd w:val="clear" w:color="auto" w:fill="auto"/>
            <w:vAlign w:val="center"/>
          </w:tcPr>
          <w:p w14:paraId="1591D400">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①购买主体预算编制是否经过科学论证，有明确标准，②是否充分结合项目特点和相关资金预算，结合物价、工资、税费等因素，合理测算安排政府购买服务支出，预算资金额度与年度目标是否相适应，用以反映和考核项目预算编制的科学性、合理性情况。</w:t>
            </w:r>
          </w:p>
        </w:tc>
        <w:tc>
          <w:tcPr>
            <w:tcW w:w="1689" w:type="pct"/>
            <w:shd w:val="clear" w:color="auto" w:fill="auto"/>
            <w:vAlign w:val="center"/>
          </w:tcPr>
          <w:p w14:paraId="7F83D700">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①预算编制经过科学论证，有明确标准；</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②预算编制依据充分、合理，与年度目标相适应，</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每发现一处不符扣1.0分，扣完为止。</w:t>
            </w:r>
          </w:p>
        </w:tc>
        <w:tc>
          <w:tcPr>
            <w:tcW w:w="326" w:type="pct"/>
            <w:shd w:val="clear" w:color="auto" w:fill="auto"/>
            <w:vAlign w:val="center"/>
          </w:tcPr>
          <w:p w14:paraId="1A47AFA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科学</w:t>
            </w:r>
          </w:p>
        </w:tc>
        <w:tc>
          <w:tcPr>
            <w:tcW w:w="421" w:type="pct"/>
            <w:shd w:val="clear" w:color="auto" w:fill="auto"/>
            <w:vAlign w:val="center"/>
          </w:tcPr>
          <w:p w14:paraId="49A273A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科学</w:t>
            </w:r>
          </w:p>
        </w:tc>
        <w:tc>
          <w:tcPr>
            <w:tcW w:w="245" w:type="pct"/>
            <w:shd w:val="clear" w:color="auto" w:fill="auto"/>
            <w:vAlign w:val="center"/>
          </w:tcPr>
          <w:p w14:paraId="6CAF12B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34" w:type="pct"/>
            <w:shd w:val="clear" w:color="auto" w:fill="auto"/>
            <w:vAlign w:val="center"/>
          </w:tcPr>
          <w:p w14:paraId="770A179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80" w:type="pct"/>
            <w:shd w:val="clear" w:color="auto" w:fill="auto"/>
            <w:vAlign w:val="center"/>
          </w:tcPr>
          <w:p w14:paraId="175FE23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32F73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55E6FBAB">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0430EBD7">
            <w:pPr>
              <w:keepNext w:val="0"/>
              <w:keepLines w:val="0"/>
              <w:pageBreakBefore w:val="0"/>
              <w:widowControl/>
              <w:kinsoku/>
              <w:wordWrap/>
              <w:overflowPunct/>
              <w:topLinePunct w:val="0"/>
              <w:autoSpaceDE/>
              <w:autoSpaceDN/>
              <w:bidi w:val="0"/>
              <w:spacing w:line="240" w:lineRule="auto"/>
              <w:ind w:firstLine="0" w:firstLineChars="0"/>
              <w:jc w:val="left"/>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643BA58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A42资金分配合理性</w:t>
            </w:r>
          </w:p>
        </w:tc>
        <w:tc>
          <w:tcPr>
            <w:tcW w:w="899" w:type="pct"/>
            <w:shd w:val="clear" w:color="auto" w:fill="auto"/>
            <w:vAlign w:val="center"/>
          </w:tcPr>
          <w:p w14:paraId="70A3B027">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考核项目预算资金分配是否有测算依据，与政府购买服务的目标是否相适应，用以反映和考核项目预算资金分配的科学性、合理性情况。</w:t>
            </w:r>
          </w:p>
        </w:tc>
        <w:tc>
          <w:tcPr>
            <w:tcW w:w="1689" w:type="pct"/>
            <w:shd w:val="clear" w:color="auto" w:fill="auto"/>
            <w:vAlign w:val="center"/>
          </w:tcPr>
          <w:p w14:paraId="26C71954">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项目预算资金分配有测算依据且与政府购买服务目标相适应，得满分，否则不得分。</w:t>
            </w:r>
          </w:p>
        </w:tc>
        <w:tc>
          <w:tcPr>
            <w:tcW w:w="326" w:type="pct"/>
            <w:shd w:val="clear" w:color="auto" w:fill="auto"/>
            <w:vAlign w:val="center"/>
          </w:tcPr>
          <w:p w14:paraId="138EA98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合理</w:t>
            </w:r>
          </w:p>
        </w:tc>
        <w:tc>
          <w:tcPr>
            <w:tcW w:w="421" w:type="pct"/>
            <w:shd w:val="clear" w:color="auto" w:fill="auto"/>
            <w:vAlign w:val="center"/>
          </w:tcPr>
          <w:p w14:paraId="0FBF3D1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合理</w:t>
            </w:r>
          </w:p>
        </w:tc>
        <w:tc>
          <w:tcPr>
            <w:tcW w:w="245" w:type="pct"/>
            <w:shd w:val="clear" w:color="auto" w:fill="auto"/>
            <w:vAlign w:val="center"/>
          </w:tcPr>
          <w:p w14:paraId="3A3B888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34" w:type="pct"/>
            <w:shd w:val="clear" w:color="auto" w:fill="auto"/>
            <w:vAlign w:val="center"/>
          </w:tcPr>
          <w:p w14:paraId="219F677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80" w:type="pct"/>
            <w:shd w:val="clear" w:color="auto" w:fill="auto"/>
            <w:vAlign w:val="center"/>
          </w:tcPr>
          <w:p w14:paraId="79B73AC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4B537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3491" w:type="pct"/>
            <w:gridSpan w:val="5"/>
            <w:shd w:val="clear" w:color="auto" w:fill="auto"/>
            <w:vAlign w:val="center"/>
          </w:tcPr>
          <w:p w14:paraId="4DD1C19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小计</w:t>
            </w:r>
          </w:p>
        </w:tc>
        <w:tc>
          <w:tcPr>
            <w:tcW w:w="326" w:type="pct"/>
            <w:shd w:val="clear" w:color="auto" w:fill="auto"/>
            <w:vAlign w:val="center"/>
          </w:tcPr>
          <w:p w14:paraId="6AF7A58E">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b/>
                <w:bCs/>
                <w:i w:val="0"/>
                <w:iCs w:val="0"/>
                <w:color w:val="000000"/>
                <w:sz w:val="18"/>
                <w:szCs w:val="18"/>
                <w:u w:val="none"/>
              </w:rPr>
            </w:pPr>
          </w:p>
        </w:tc>
        <w:tc>
          <w:tcPr>
            <w:tcW w:w="421" w:type="pct"/>
            <w:shd w:val="clear" w:color="auto" w:fill="auto"/>
            <w:vAlign w:val="center"/>
          </w:tcPr>
          <w:p w14:paraId="7F4159ED">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b/>
                <w:bCs/>
                <w:i w:val="0"/>
                <w:iCs w:val="0"/>
                <w:color w:val="000000"/>
                <w:sz w:val="18"/>
                <w:szCs w:val="18"/>
                <w:u w:val="none"/>
              </w:rPr>
            </w:pPr>
          </w:p>
        </w:tc>
        <w:tc>
          <w:tcPr>
            <w:tcW w:w="245" w:type="pct"/>
            <w:shd w:val="clear" w:color="auto" w:fill="auto"/>
            <w:vAlign w:val="center"/>
          </w:tcPr>
          <w:p w14:paraId="1E42C0E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 xml:space="preserve">15.00 </w:t>
            </w:r>
          </w:p>
        </w:tc>
        <w:tc>
          <w:tcPr>
            <w:tcW w:w="234" w:type="pct"/>
            <w:shd w:val="clear" w:color="auto" w:fill="auto"/>
            <w:vAlign w:val="center"/>
          </w:tcPr>
          <w:p w14:paraId="7D4E1AE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 xml:space="preserve">15.00 </w:t>
            </w:r>
          </w:p>
        </w:tc>
        <w:tc>
          <w:tcPr>
            <w:tcW w:w="280" w:type="pct"/>
            <w:shd w:val="clear" w:color="auto" w:fill="auto"/>
            <w:vAlign w:val="center"/>
          </w:tcPr>
          <w:p w14:paraId="73EEB3B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30862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restart"/>
            <w:shd w:val="clear" w:color="auto" w:fill="auto"/>
            <w:vAlign w:val="center"/>
          </w:tcPr>
          <w:p w14:paraId="07AF609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B过程</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（35.00分）</w:t>
            </w:r>
          </w:p>
        </w:tc>
        <w:tc>
          <w:tcPr>
            <w:tcW w:w="282" w:type="pct"/>
            <w:vMerge w:val="restart"/>
            <w:shd w:val="clear" w:color="auto" w:fill="auto"/>
            <w:vAlign w:val="center"/>
          </w:tcPr>
          <w:p w14:paraId="0E9BE0C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B1 资金管理（12.00分）　</w:t>
            </w:r>
          </w:p>
        </w:tc>
        <w:tc>
          <w:tcPr>
            <w:tcW w:w="378" w:type="pct"/>
            <w:shd w:val="clear" w:color="auto" w:fill="auto"/>
            <w:vAlign w:val="center"/>
          </w:tcPr>
          <w:p w14:paraId="55EC137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B11资金到位率</w:t>
            </w:r>
          </w:p>
        </w:tc>
        <w:tc>
          <w:tcPr>
            <w:tcW w:w="899" w:type="pct"/>
            <w:shd w:val="clear" w:color="auto" w:fill="auto"/>
            <w:vAlign w:val="center"/>
          </w:tcPr>
          <w:p w14:paraId="38223CA1">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实际到位资金与预算资金的比率，用以反映和考核资金落实情况对项目实施的总体保障程度。</w:t>
            </w:r>
          </w:p>
        </w:tc>
        <w:tc>
          <w:tcPr>
            <w:tcW w:w="1689" w:type="pct"/>
            <w:shd w:val="clear" w:color="auto" w:fill="auto"/>
            <w:vAlign w:val="center"/>
          </w:tcPr>
          <w:p w14:paraId="761335E9">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资金到位率=（实际到位资金/预算资金）×100%。</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项目完成且资金到位数满足年度预算规模需求，得3分；项目尚未完成，资金到位率小于100%且大于等于80%的得2分，资金到位率小于80%且大于等于60%的得1.50分，资金到位率小于60%的不得分。</w:t>
            </w:r>
          </w:p>
        </w:tc>
        <w:tc>
          <w:tcPr>
            <w:tcW w:w="326" w:type="pct"/>
            <w:shd w:val="clear" w:color="auto" w:fill="auto"/>
            <w:vAlign w:val="center"/>
          </w:tcPr>
          <w:p w14:paraId="38A67D8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421" w:type="pct"/>
            <w:shd w:val="clear" w:color="auto" w:fill="auto"/>
            <w:vAlign w:val="center"/>
          </w:tcPr>
          <w:p w14:paraId="0423C6D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245" w:type="pct"/>
            <w:shd w:val="clear" w:color="auto" w:fill="auto"/>
            <w:vAlign w:val="center"/>
          </w:tcPr>
          <w:p w14:paraId="419EC7A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 </w:t>
            </w:r>
          </w:p>
        </w:tc>
        <w:tc>
          <w:tcPr>
            <w:tcW w:w="234" w:type="pct"/>
            <w:shd w:val="clear" w:color="auto" w:fill="auto"/>
            <w:vAlign w:val="center"/>
          </w:tcPr>
          <w:p w14:paraId="20B4EF9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 </w:t>
            </w:r>
          </w:p>
        </w:tc>
        <w:tc>
          <w:tcPr>
            <w:tcW w:w="280" w:type="pct"/>
            <w:shd w:val="clear" w:color="auto" w:fill="auto"/>
            <w:vAlign w:val="center"/>
          </w:tcPr>
          <w:p w14:paraId="72F2405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2613F0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6228033A">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19301022">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66C5978B">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B12预算执行率</w:t>
            </w:r>
          </w:p>
        </w:tc>
        <w:tc>
          <w:tcPr>
            <w:tcW w:w="899" w:type="pct"/>
            <w:shd w:val="clear" w:color="auto" w:fill="auto"/>
            <w:vAlign w:val="center"/>
          </w:tcPr>
          <w:p w14:paraId="3184FDF1">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项目实际支出资金与项目预算（或实际到位资金的比率）是否按照计划执行，用以反映和考核项目资金的利用效率。</w:t>
            </w:r>
          </w:p>
        </w:tc>
        <w:tc>
          <w:tcPr>
            <w:tcW w:w="1689" w:type="pct"/>
            <w:shd w:val="clear" w:color="auto" w:fill="auto"/>
            <w:vAlign w:val="center"/>
          </w:tcPr>
          <w:p w14:paraId="17B84C24">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预算执行率=（实际支出资金/实际到位资金）×100%。</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项目完成且执行数控制在年度预算规模之内的，得5分；项目尚未完成，预算执行率小于100%且大于等于80%的得3分，预算执行率小于80%且大于等于60%的得2分，预算执行率小于60%的不得分。</w:t>
            </w:r>
          </w:p>
        </w:tc>
        <w:tc>
          <w:tcPr>
            <w:tcW w:w="326" w:type="pct"/>
            <w:shd w:val="clear" w:color="auto" w:fill="auto"/>
            <w:vAlign w:val="center"/>
          </w:tcPr>
          <w:p w14:paraId="345FCB6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421" w:type="pct"/>
            <w:shd w:val="clear" w:color="auto" w:fill="auto"/>
            <w:vAlign w:val="center"/>
          </w:tcPr>
          <w:p w14:paraId="06BAB29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245" w:type="pct"/>
            <w:shd w:val="clear" w:color="auto" w:fill="auto"/>
            <w:vAlign w:val="center"/>
          </w:tcPr>
          <w:p w14:paraId="31C1558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 </w:t>
            </w:r>
          </w:p>
        </w:tc>
        <w:tc>
          <w:tcPr>
            <w:tcW w:w="234" w:type="pct"/>
            <w:shd w:val="clear" w:color="auto" w:fill="auto"/>
            <w:vAlign w:val="center"/>
          </w:tcPr>
          <w:p w14:paraId="5DAC4A5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 </w:t>
            </w:r>
          </w:p>
        </w:tc>
        <w:tc>
          <w:tcPr>
            <w:tcW w:w="280" w:type="pct"/>
            <w:shd w:val="clear" w:color="auto" w:fill="auto"/>
            <w:vAlign w:val="center"/>
          </w:tcPr>
          <w:p w14:paraId="7DCEC84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2F8A7A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0F2BAC13">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2E68AFC1">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7E7B6E2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B13资金使用合规性</w:t>
            </w:r>
          </w:p>
        </w:tc>
        <w:tc>
          <w:tcPr>
            <w:tcW w:w="899" w:type="pct"/>
            <w:shd w:val="clear" w:color="auto" w:fill="auto"/>
            <w:vAlign w:val="center"/>
          </w:tcPr>
          <w:p w14:paraId="7C375FEF">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①购买主体和承接主体项目资金使用是否符合相关的财务管理制度规定，②承接主体是否按照要求及时向购买主体提供资金的使用情况，项目的执行情况等材料。用以反映和考核双方项目资金的规范运行情况。</w:t>
            </w:r>
          </w:p>
        </w:tc>
        <w:tc>
          <w:tcPr>
            <w:tcW w:w="1689" w:type="pct"/>
            <w:shd w:val="clear" w:color="auto" w:fill="auto"/>
            <w:vAlign w:val="center"/>
          </w:tcPr>
          <w:p w14:paraId="793F456C">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①资金使用符合国家财经法规和财务管理制度以及有关专项资金管理办法的规定；</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②承接主体按照要求及时向购买主体提供资金的使用情况，项目的执行情况等材料，每符合一项得1/2权重分。</w:t>
            </w:r>
          </w:p>
        </w:tc>
        <w:tc>
          <w:tcPr>
            <w:tcW w:w="326" w:type="pct"/>
            <w:shd w:val="clear" w:color="auto" w:fill="auto"/>
            <w:vAlign w:val="center"/>
          </w:tcPr>
          <w:p w14:paraId="3C34EC8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合规</w:t>
            </w:r>
          </w:p>
        </w:tc>
        <w:tc>
          <w:tcPr>
            <w:tcW w:w="421" w:type="pct"/>
            <w:shd w:val="clear" w:color="auto" w:fill="auto"/>
            <w:vAlign w:val="center"/>
          </w:tcPr>
          <w:p w14:paraId="61AB1E7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合规</w:t>
            </w:r>
          </w:p>
        </w:tc>
        <w:tc>
          <w:tcPr>
            <w:tcW w:w="245" w:type="pct"/>
            <w:shd w:val="clear" w:color="auto" w:fill="auto"/>
            <w:vAlign w:val="center"/>
          </w:tcPr>
          <w:p w14:paraId="2CD8576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4.00 </w:t>
            </w:r>
          </w:p>
        </w:tc>
        <w:tc>
          <w:tcPr>
            <w:tcW w:w="234" w:type="pct"/>
            <w:shd w:val="clear" w:color="auto" w:fill="auto"/>
            <w:vAlign w:val="center"/>
          </w:tcPr>
          <w:p w14:paraId="63E1863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.00 </w:t>
            </w:r>
          </w:p>
        </w:tc>
        <w:tc>
          <w:tcPr>
            <w:tcW w:w="280" w:type="pct"/>
            <w:shd w:val="clear" w:color="auto" w:fill="auto"/>
            <w:vAlign w:val="center"/>
          </w:tcPr>
          <w:p w14:paraId="023296C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eastAsia="宋体" w:cs="Times New Roman"/>
                <w:i w:val="0"/>
                <w:iCs w:val="0"/>
                <w:color w:val="000000"/>
                <w:kern w:val="0"/>
                <w:sz w:val="18"/>
                <w:szCs w:val="18"/>
                <w:u w:val="none"/>
                <w:lang w:val="en-US" w:eastAsia="zh-CN" w:bidi="ar"/>
              </w:rPr>
              <w:t>100</w:t>
            </w:r>
            <w:r>
              <w:rPr>
                <w:rFonts w:hint="default" w:ascii="Times New Roman" w:hAnsi="Times New Roman" w:eastAsia="宋体" w:cs="Times New Roman"/>
                <w:i w:val="0"/>
                <w:iCs w:val="0"/>
                <w:color w:val="000000"/>
                <w:kern w:val="0"/>
                <w:sz w:val="18"/>
                <w:szCs w:val="18"/>
                <w:u w:val="none"/>
                <w:lang w:val="en-US" w:eastAsia="zh-CN" w:bidi="ar"/>
              </w:rPr>
              <w:t>.00%</w:t>
            </w:r>
          </w:p>
        </w:tc>
      </w:tr>
      <w:tr w14:paraId="560F9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5C8A5304">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5D6693F6">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6CF24092">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B14财务监督有效性</w:t>
            </w:r>
          </w:p>
        </w:tc>
        <w:tc>
          <w:tcPr>
            <w:tcW w:w="899" w:type="pct"/>
            <w:shd w:val="clear" w:color="auto" w:fill="auto"/>
            <w:vAlign w:val="center"/>
          </w:tcPr>
          <w:p w14:paraId="7A850686">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购买主体是否为保障资金的安全、规范运行而采取了必要的监督检查措施，用以反映和考核购买主体对资金运行的监督情况。</w:t>
            </w:r>
          </w:p>
        </w:tc>
        <w:tc>
          <w:tcPr>
            <w:tcW w:w="1689" w:type="pct"/>
            <w:shd w:val="clear" w:color="auto" w:fill="auto"/>
            <w:vAlign w:val="center"/>
          </w:tcPr>
          <w:p w14:paraId="5C16E87F">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评价要点：建立财务监督检查措施，得满分，否则不得分。</w:t>
            </w:r>
          </w:p>
        </w:tc>
        <w:tc>
          <w:tcPr>
            <w:tcW w:w="326" w:type="pct"/>
            <w:shd w:val="clear" w:color="auto" w:fill="auto"/>
            <w:vAlign w:val="center"/>
          </w:tcPr>
          <w:p w14:paraId="0FDD19E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有效</w:t>
            </w:r>
          </w:p>
        </w:tc>
        <w:tc>
          <w:tcPr>
            <w:tcW w:w="421" w:type="pct"/>
            <w:shd w:val="clear" w:color="auto" w:fill="auto"/>
            <w:vAlign w:val="center"/>
          </w:tcPr>
          <w:p w14:paraId="57CE40B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有效</w:t>
            </w:r>
          </w:p>
        </w:tc>
        <w:tc>
          <w:tcPr>
            <w:tcW w:w="245" w:type="pct"/>
            <w:shd w:val="clear" w:color="auto" w:fill="auto"/>
            <w:vAlign w:val="center"/>
          </w:tcPr>
          <w:p w14:paraId="741C4F0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34" w:type="pct"/>
            <w:shd w:val="clear" w:color="auto" w:fill="auto"/>
            <w:vAlign w:val="center"/>
          </w:tcPr>
          <w:p w14:paraId="70717B9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280" w:type="pct"/>
            <w:shd w:val="clear" w:color="auto" w:fill="auto"/>
            <w:vAlign w:val="center"/>
          </w:tcPr>
          <w:p w14:paraId="15AF139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20B83B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14D0B8FA">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restart"/>
            <w:shd w:val="clear" w:color="auto" w:fill="auto"/>
            <w:vAlign w:val="center"/>
          </w:tcPr>
          <w:p w14:paraId="7A40923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B2 组织实施（13.00分）　</w:t>
            </w:r>
          </w:p>
        </w:tc>
        <w:tc>
          <w:tcPr>
            <w:tcW w:w="378" w:type="pct"/>
            <w:shd w:val="clear" w:color="auto" w:fill="auto"/>
            <w:vAlign w:val="center"/>
          </w:tcPr>
          <w:p w14:paraId="679B40C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B21管理制度健全性</w:t>
            </w:r>
          </w:p>
        </w:tc>
        <w:tc>
          <w:tcPr>
            <w:tcW w:w="899" w:type="pct"/>
            <w:shd w:val="clear" w:color="auto" w:fill="auto"/>
            <w:vAlign w:val="center"/>
          </w:tcPr>
          <w:p w14:paraId="3F7B51F4">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购买主体和承接主体的财务和业务管理制度是否健全，用以反映和考核财务和业务管理制度对政府购买服务顺利实施的保障情况。</w:t>
            </w:r>
          </w:p>
        </w:tc>
        <w:tc>
          <w:tcPr>
            <w:tcW w:w="1689" w:type="pct"/>
            <w:shd w:val="clear" w:color="auto" w:fill="auto"/>
            <w:vAlign w:val="center"/>
          </w:tcPr>
          <w:p w14:paraId="5725BAC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①是否已制定或具有相应的财务和业务管理制度；</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②财务和业务管理制度是否合法、合规、完整。</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以上两项分别占50%的权重分，符合则得分，否则扣除相应权重的100%、80%、60%、40%和20%的分值，扣完为止。</w:t>
            </w:r>
          </w:p>
        </w:tc>
        <w:tc>
          <w:tcPr>
            <w:tcW w:w="326" w:type="pct"/>
            <w:shd w:val="clear" w:color="auto" w:fill="auto"/>
            <w:vAlign w:val="center"/>
          </w:tcPr>
          <w:p w14:paraId="4333158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健全</w:t>
            </w:r>
          </w:p>
        </w:tc>
        <w:tc>
          <w:tcPr>
            <w:tcW w:w="421" w:type="pct"/>
            <w:shd w:val="clear" w:color="auto" w:fill="auto"/>
            <w:vAlign w:val="center"/>
          </w:tcPr>
          <w:p w14:paraId="16AC673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健全</w:t>
            </w:r>
          </w:p>
        </w:tc>
        <w:tc>
          <w:tcPr>
            <w:tcW w:w="245" w:type="pct"/>
            <w:shd w:val="clear" w:color="auto" w:fill="auto"/>
            <w:vAlign w:val="center"/>
          </w:tcPr>
          <w:p w14:paraId="4DA9DD5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 </w:t>
            </w:r>
          </w:p>
        </w:tc>
        <w:tc>
          <w:tcPr>
            <w:tcW w:w="234" w:type="pct"/>
            <w:shd w:val="clear" w:color="auto" w:fill="auto"/>
            <w:vAlign w:val="center"/>
          </w:tcPr>
          <w:p w14:paraId="14181D6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 </w:t>
            </w:r>
          </w:p>
        </w:tc>
        <w:tc>
          <w:tcPr>
            <w:tcW w:w="280" w:type="pct"/>
            <w:shd w:val="clear" w:color="auto" w:fill="auto"/>
            <w:vAlign w:val="center"/>
          </w:tcPr>
          <w:p w14:paraId="3BA2F63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7F161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2F195AFB">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501FCAB0">
            <w:pPr>
              <w:keepNext w:val="0"/>
              <w:keepLines w:val="0"/>
              <w:pageBreakBefore w:val="0"/>
              <w:widowControl/>
              <w:kinsoku/>
              <w:wordWrap/>
              <w:overflowPunct/>
              <w:topLinePunct w:val="0"/>
              <w:autoSpaceDE/>
              <w:autoSpaceDN/>
              <w:bidi w:val="0"/>
              <w:spacing w:line="240" w:lineRule="auto"/>
              <w:ind w:firstLine="0" w:firstLineChars="0"/>
              <w:jc w:val="left"/>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32141358">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B22项目采购管理规范性</w:t>
            </w:r>
          </w:p>
        </w:tc>
        <w:tc>
          <w:tcPr>
            <w:tcW w:w="899" w:type="pct"/>
            <w:shd w:val="clear" w:color="auto" w:fill="auto"/>
            <w:vAlign w:val="center"/>
          </w:tcPr>
          <w:p w14:paraId="455BC325">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考核①购买主体是否按照要求公开购买服务信息；②是否按照政府采购法等有关规定，通过公平公正择优确认承接主体，用以反映和考核购买主体实施项目采购过程的规范执行情况。</w:t>
            </w:r>
          </w:p>
        </w:tc>
        <w:tc>
          <w:tcPr>
            <w:tcW w:w="1689" w:type="pct"/>
            <w:shd w:val="clear" w:color="auto" w:fill="auto"/>
            <w:vAlign w:val="center"/>
          </w:tcPr>
          <w:p w14:paraId="09F4123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评价要点：</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①购买主体按照要求公开购买服务信息；②是否按照政府采购法等有关规定，通过公平公正择优确认承接主体每符合一项得1/2权重分。</w:t>
            </w:r>
          </w:p>
        </w:tc>
        <w:tc>
          <w:tcPr>
            <w:tcW w:w="326" w:type="pct"/>
            <w:shd w:val="clear" w:color="auto" w:fill="auto"/>
            <w:vAlign w:val="center"/>
          </w:tcPr>
          <w:p w14:paraId="65660D5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规范</w:t>
            </w:r>
          </w:p>
        </w:tc>
        <w:tc>
          <w:tcPr>
            <w:tcW w:w="421" w:type="pct"/>
            <w:shd w:val="clear" w:color="auto" w:fill="auto"/>
            <w:vAlign w:val="center"/>
          </w:tcPr>
          <w:p w14:paraId="6D860D7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规范</w:t>
            </w:r>
          </w:p>
        </w:tc>
        <w:tc>
          <w:tcPr>
            <w:tcW w:w="245" w:type="pct"/>
            <w:shd w:val="clear" w:color="auto" w:fill="auto"/>
            <w:vAlign w:val="center"/>
          </w:tcPr>
          <w:p w14:paraId="0ABFD74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 </w:t>
            </w:r>
          </w:p>
        </w:tc>
        <w:tc>
          <w:tcPr>
            <w:tcW w:w="234" w:type="pct"/>
            <w:shd w:val="clear" w:color="auto" w:fill="auto"/>
            <w:vAlign w:val="center"/>
          </w:tcPr>
          <w:p w14:paraId="752B21E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 </w:t>
            </w:r>
          </w:p>
        </w:tc>
        <w:tc>
          <w:tcPr>
            <w:tcW w:w="280" w:type="pct"/>
            <w:shd w:val="clear" w:color="auto" w:fill="auto"/>
            <w:vAlign w:val="center"/>
          </w:tcPr>
          <w:p w14:paraId="1F3953F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732D6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0B29F168">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7FD0F460">
            <w:pPr>
              <w:keepNext w:val="0"/>
              <w:keepLines w:val="0"/>
              <w:pageBreakBefore w:val="0"/>
              <w:widowControl/>
              <w:kinsoku/>
              <w:wordWrap/>
              <w:overflowPunct/>
              <w:topLinePunct w:val="0"/>
              <w:autoSpaceDE/>
              <w:autoSpaceDN/>
              <w:bidi w:val="0"/>
              <w:spacing w:line="240" w:lineRule="auto"/>
              <w:ind w:firstLine="0" w:firstLineChars="0"/>
              <w:jc w:val="left"/>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587AB76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B23项目实施管理规范性</w:t>
            </w:r>
          </w:p>
        </w:tc>
        <w:tc>
          <w:tcPr>
            <w:tcW w:w="899" w:type="pct"/>
            <w:shd w:val="clear" w:color="auto" w:fill="auto"/>
            <w:vAlign w:val="center"/>
          </w:tcPr>
          <w:p w14:paraId="496BB64B">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考核项目实施是否符合相关管理规定，用以反映和考核相关管理制度的有效执行情况。</w:t>
            </w:r>
          </w:p>
        </w:tc>
        <w:tc>
          <w:tcPr>
            <w:tcW w:w="1689" w:type="pct"/>
            <w:shd w:val="clear" w:color="auto" w:fill="auto"/>
            <w:vAlign w:val="center"/>
          </w:tcPr>
          <w:p w14:paraId="3F451745">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评价要点：</w:t>
            </w:r>
          </w:p>
          <w:p w14:paraId="4D4FED48">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该项目合同管理规范性，项目履约管理规范职责分工明确，监督机制有效，项目履约管理、项目实施管理等制度完备且有效执行的，得满分。发现项目存在以下问题的，按相应标准扣减分数，扣完为止。</w:t>
            </w:r>
          </w:p>
          <w:p w14:paraId="2A02627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①未</w:t>
            </w:r>
            <w:r>
              <w:rPr>
                <w:rFonts w:hint="eastAsia" w:eastAsia="宋体" w:cs="Times New Roman"/>
                <w:i w:val="0"/>
                <w:iCs w:val="0"/>
                <w:color w:val="000000"/>
                <w:kern w:val="0"/>
                <w:sz w:val="18"/>
                <w:szCs w:val="18"/>
                <w:u w:val="none"/>
                <w:lang w:val="en-US" w:eastAsia="zh-CN" w:bidi="ar"/>
              </w:rPr>
              <w:t>与</w:t>
            </w:r>
            <w:r>
              <w:rPr>
                <w:rFonts w:hint="default" w:ascii="Times New Roman" w:hAnsi="Times New Roman" w:eastAsia="宋体" w:cs="Times New Roman"/>
                <w:i w:val="0"/>
                <w:iCs w:val="0"/>
                <w:color w:val="000000"/>
                <w:kern w:val="0"/>
                <w:sz w:val="18"/>
                <w:szCs w:val="18"/>
                <w:u w:val="none"/>
                <w:lang w:val="en-US" w:eastAsia="zh-CN" w:bidi="ar"/>
              </w:rPr>
              <w:t>承接主体签订书面合同；</w:t>
            </w:r>
          </w:p>
          <w:p w14:paraId="5CD8DE74">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②合同签订内容完整，写明服务标准、时限等，合同签订时限未超过3年；</w:t>
            </w:r>
          </w:p>
          <w:p w14:paraId="7970A973">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③合同签订内容符合政府购买服务政策、履职范围、服务内容、指导性目录等有关规定；政府购买服务合同依法予以公告；</w:t>
            </w:r>
          </w:p>
          <w:p w14:paraId="5BF130A8">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④购买主体未建立履约管理机制，未开展绩效执行监控；</w:t>
            </w:r>
          </w:p>
          <w:p w14:paraId="29264D26">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⑤购买主体未建立项目考核验收机制；</w:t>
            </w:r>
          </w:p>
          <w:p w14:paraId="5918EE1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⑥承接主体人员和设施设备等资源配置状况未满足提供公共服务需求，</w:t>
            </w:r>
          </w:p>
          <w:p w14:paraId="2C046A9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根据评分标准，没发现处，扣1.0分，扣完为止。</w:t>
            </w:r>
          </w:p>
        </w:tc>
        <w:tc>
          <w:tcPr>
            <w:tcW w:w="326" w:type="pct"/>
            <w:shd w:val="clear" w:color="auto" w:fill="auto"/>
            <w:vAlign w:val="center"/>
          </w:tcPr>
          <w:p w14:paraId="37B0D7D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有效</w:t>
            </w:r>
          </w:p>
        </w:tc>
        <w:tc>
          <w:tcPr>
            <w:tcW w:w="421" w:type="pct"/>
            <w:shd w:val="clear" w:color="auto" w:fill="auto"/>
            <w:vAlign w:val="center"/>
          </w:tcPr>
          <w:p w14:paraId="24EA4C8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lang w:val="en-US" w:eastAsia="zh-CN"/>
              </w:rPr>
            </w:pPr>
            <w:r>
              <w:rPr>
                <w:rFonts w:hint="eastAsia" w:eastAsia="宋体" w:cs="Times New Roman"/>
                <w:i w:val="0"/>
                <w:iCs w:val="0"/>
                <w:color w:val="000000"/>
                <w:sz w:val="18"/>
                <w:szCs w:val="18"/>
                <w:u w:val="none"/>
                <w:lang w:val="en-US" w:eastAsia="zh-CN"/>
              </w:rPr>
              <w:t>较不有效</w:t>
            </w:r>
          </w:p>
        </w:tc>
        <w:tc>
          <w:tcPr>
            <w:tcW w:w="245" w:type="pct"/>
            <w:shd w:val="clear" w:color="auto" w:fill="auto"/>
            <w:vAlign w:val="center"/>
          </w:tcPr>
          <w:p w14:paraId="7818461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eastAsia="宋体" w:cs="Times New Roman"/>
                <w:i w:val="0"/>
                <w:iCs w:val="0"/>
                <w:color w:val="000000"/>
                <w:sz w:val="18"/>
                <w:szCs w:val="18"/>
                <w:u w:val="none"/>
                <w:lang w:val="en-US" w:eastAsia="zh-CN"/>
              </w:rPr>
            </w:pPr>
            <w:r>
              <w:rPr>
                <w:rFonts w:hint="eastAsia" w:eastAsia="宋体" w:cs="Times New Roman"/>
                <w:i w:val="0"/>
                <w:iCs w:val="0"/>
                <w:color w:val="000000"/>
                <w:sz w:val="18"/>
                <w:szCs w:val="18"/>
                <w:u w:val="none"/>
                <w:lang w:val="en-US" w:eastAsia="zh-CN"/>
              </w:rPr>
              <w:t xml:space="preserve">7.00 </w:t>
            </w:r>
          </w:p>
        </w:tc>
        <w:tc>
          <w:tcPr>
            <w:tcW w:w="234" w:type="pct"/>
            <w:shd w:val="clear" w:color="auto" w:fill="auto"/>
            <w:vAlign w:val="center"/>
          </w:tcPr>
          <w:p w14:paraId="27CF271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eastAsia="宋体" w:cs="Times New Roman"/>
                <w:i w:val="0"/>
                <w:iCs w:val="0"/>
                <w:color w:val="000000"/>
                <w:sz w:val="18"/>
                <w:szCs w:val="18"/>
                <w:u w:val="none"/>
                <w:lang w:val="en-US" w:eastAsia="zh-CN"/>
              </w:rPr>
            </w:pPr>
            <w:r>
              <w:rPr>
                <w:rFonts w:hint="eastAsia" w:eastAsia="宋体" w:cs="Times New Roman"/>
                <w:i w:val="0"/>
                <w:iCs w:val="0"/>
                <w:color w:val="000000"/>
                <w:sz w:val="18"/>
                <w:szCs w:val="18"/>
                <w:u w:val="none"/>
                <w:lang w:val="en-US" w:eastAsia="zh-CN"/>
              </w:rPr>
              <w:t xml:space="preserve">2.00 </w:t>
            </w:r>
          </w:p>
        </w:tc>
        <w:tc>
          <w:tcPr>
            <w:tcW w:w="280" w:type="pct"/>
            <w:shd w:val="clear" w:color="auto" w:fill="auto"/>
            <w:vAlign w:val="center"/>
          </w:tcPr>
          <w:p w14:paraId="24B8D77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eastAsia="宋体" w:cs="Times New Roman"/>
                <w:i w:val="0"/>
                <w:iCs w:val="0"/>
                <w:color w:val="000000"/>
                <w:sz w:val="18"/>
                <w:szCs w:val="18"/>
                <w:u w:val="none"/>
                <w:lang w:val="en-US" w:eastAsia="zh-CN"/>
              </w:rPr>
            </w:pPr>
            <w:r>
              <w:rPr>
                <w:rFonts w:hint="eastAsia" w:eastAsia="宋体" w:cs="Times New Roman"/>
                <w:i w:val="0"/>
                <w:iCs w:val="0"/>
                <w:color w:val="000000"/>
                <w:sz w:val="18"/>
                <w:szCs w:val="18"/>
                <w:u w:val="none"/>
                <w:lang w:val="en-US" w:eastAsia="zh-CN"/>
              </w:rPr>
              <w:t>28.57%</w:t>
            </w:r>
          </w:p>
        </w:tc>
      </w:tr>
      <w:tr w14:paraId="56DE64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3491" w:type="pct"/>
            <w:gridSpan w:val="5"/>
            <w:shd w:val="clear" w:color="auto" w:fill="auto"/>
            <w:vAlign w:val="center"/>
          </w:tcPr>
          <w:p w14:paraId="6031E5A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小计</w:t>
            </w:r>
          </w:p>
        </w:tc>
        <w:tc>
          <w:tcPr>
            <w:tcW w:w="326" w:type="pct"/>
            <w:shd w:val="clear" w:color="auto" w:fill="auto"/>
            <w:vAlign w:val="center"/>
          </w:tcPr>
          <w:p w14:paraId="5323CB0E">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b/>
                <w:bCs/>
                <w:i w:val="0"/>
                <w:iCs w:val="0"/>
                <w:color w:val="000000"/>
                <w:sz w:val="18"/>
                <w:szCs w:val="18"/>
                <w:u w:val="none"/>
              </w:rPr>
            </w:pPr>
          </w:p>
        </w:tc>
        <w:tc>
          <w:tcPr>
            <w:tcW w:w="421" w:type="pct"/>
            <w:shd w:val="clear" w:color="auto" w:fill="auto"/>
            <w:vAlign w:val="center"/>
          </w:tcPr>
          <w:p w14:paraId="7E7DC1B9">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b/>
                <w:bCs/>
                <w:i w:val="0"/>
                <w:iCs w:val="0"/>
                <w:color w:val="000000"/>
                <w:sz w:val="18"/>
                <w:szCs w:val="18"/>
                <w:u w:val="none"/>
              </w:rPr>
            </w:pPr>
          </w:p>
        </w:tc>
        <w:tc>
          <w:tcPr>
            <w:tcW w:w="245" w:type="pct"/>
            <w:shd w:val="clear" w:color="auto" w:fill="auto"/>
            <w:vAlign w:val="center"/>
          </w:tcPr>
          <w:p w14:paraId="42648B3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eastAsia" w:ascii="Times New Roman" w:hAnsi="Times New Roman" w:eastAsia="宋体" w:cs="Times New Roman"/>
                <w:b/>
                <w:bCs/>
                <w:i w:val="0"/>
                <w:iCs w:val="0"/>
                <w:color w:val="000000"/>
                <w:sz w:val="18"/>
                <w:szCs w:val="18"/>
                <w:u w:val="none"/>
                <w:lang w:val="en-US" w:eastAsia="zh-CN"/>
              </w:rPr>
              <w:t xml:space="preserve">25.00 </w:t>
            </w:r>
          </w:p>
        </w:tc>
        <w:tc>
          <w:tcPr>
            <w:tcW w:w="234" w:type="pct"/>
            <w:shd w:val="clear" w:color="auto" w:fill="auto"/>
            <w:vAlign w:val="center"/>
          </w:tcPr>
          <w:p w14:paraId="1622BCE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lang w:val="en-US" w:eastAsia="zh-CN"/>
              </w:rPr>
            </w:pPr>
            <w:r>
              <w:rPr>
                <w:rFonts w:hint="eastAsia" w:ascii="Times New Roman" w:hAnsi="Times New Roman" w:eastAsia="宋体" w:cs="Times New Roman"/>
                <w:b/>
                <w:bCs/>
                <w:i w:val="0"/>
                <w:iCs w:val="0"/>
                <w:color w:val="000000"/>
                <w:sz w:val="18"/>
                <w:szCs w:val="18"/>
                <w:u w:val="none"/>
                <w:lang w:val="en-US" w:eastAsia="zh-CN"/>
              </w:rPr>
              <w:t>2</w:t>
            </w:r>
            <w:r>
              <w:rPr>
                <w:rFonts w:hint="eastAsia" w:eastAsia="宋体" w:cs="Times New Roman"/>
                <w:b/>
                <w:bCs/>
                <w:i w:val="0"/>
                <w:iCs w:val="0"/>
                <w:color w:val="000000"/>
                <w:sz w:val="18"/>
                <w:szCs w:val="18"/>
                <w:u w:val="none"/>
                <w:lang w:val="en-US" w:eastAsia="zh-CN"/>
              </w:rPr>
              <w:t>0</w:t>
            </w:r>
            <w:r>
              <w:rPr>
                <w:rFonts w:hint="eastAsia" w:ascii="Times New Roman" w:hAnsi="Times New Roman" w:eastAsia="宋体" w:cs="Times New Roman"/>
                <w:b/>
                <w:bCs/>
                <w:i w:val="0"/>
                <w:iCs w:val="0"/>
                <w:color w:val="000000"/>
                <w:sz w:val="18"/>
                <w:szCs w:val="18"/>
                <w:u w:val="none"/>
                <w:lang w:val="en-US" w:eastAsia="zh-CN"/>
              </w:rPr>
              <w:t xml:space="preserve">.00 </w:t>
            </w:r>
          </w:p>
        </w:tc>
        <w:tc>
          <w:tcPr>
            <w:tcW w:w="280" w:type="pct"/>
            <w:shd w:val="clear" w:color="auto" w:fill="auto"/>
            <w:vAlign w:val="center"/>
          </w:tcPr>
          <w:p w14:paraId="466C16C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lang w:val="en-US" w:eastAsia="zh-CN"/>
              </w:rPr>
            </w:pPr>
            <w:r>
              <w:rPr>
                <w:rFonts w:hint="eastAsia" w:ascii="Times New Roman" w:hAnsi="Times New Roman" w:eastAsia="宋体" w:cs="Times New Roman"/>
                <w:b/>
                <w:bCs/>
                <w:i w:val="0"/>
                <w:iCs w:val="0"/>
                <w:color w:val="000000"/>
                <w:sz w:val="18"/>
                <w:szCs w:val="18"/>
                <w:u w:val="none"/>
                <w:lang w:val="en-US" w:eastAsia="zh-CN"/>
              </w:rPr>
              <w:t>8</w:t>
            </w:r>
            <w:r>
              <w:rPr>
                <w:rFonts w:hint="eastAsia" w:eastAsia="宋体" w:cs="Times New Roman"/>
                <w:b/>
                <w:bCs/>
                <w:i w:val="0"/>
                <w:iCs w:val="0"/>
                <w:color w:val="000000"/>
                <w:sz w:val="18"/>
                <w:szCs w:val="18"/>
                <w:u w:val="none"/>
                <w:lang w:val="en-US" w:eastAsia="zh-CN"/>
              </w:rPr>
              <w:t>0</w:t>
            </w:r>
            <w:r>
              <w:rPr>
                <w:rFonts w:hint="eastAsia" w:ascii="Times New Roman" w:hAnsi="Times New Roman" w:eastAsia="宋体" w:cs="Times New Roman"/>
                <w:b/>
                <w:bCs/>
                <w:i w:val="0"/>
                <w:iCs w:val="0"/>
                <w:color w:val="000000"/>
                <w:sz w:val="18"/>
                <w:szCs w:val="18"/>
                <w:u w:val="none"/>
                <w:lang w:val="en-US" w:eastAsia="zh-CN"/>
              </w:rPr>
              <w:t>.00%</w:t>
            </w:r>
          </w:p>
        </w:tc>
      </w:tr>
      <w:tr w14:paraId="646534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restart"/>
            <w:shd w:val="clear" w:color="auto" w:fill="auto"/>
            <w:vAlign w:val="center"/>
          </w:tcPr>
          <w:p w14:paraId="235ED1E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C产出</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（30.00分）</w:t>
            </w:r>
          </w:p>
        </w:tc>
        <w:tc>
          <w:tcPr>
            <w:tcW w:w="282" w:type="pct"/>
            <w:vMerge w:val="restart"/>
            <w:shd w:val="clear" w:color="auto" w:fill="auto"/>
            <w:vAlign w:val="center"/>
          </w:tcPr>
          <w:p w14:paraId="379EAFF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C1产出数量（15.00分）</w:t>
            </w:r>
          </w:p>
        </w:tc>
        <w:tc>
          <w:tcPr>
            <w:tcW w:w="378" w:type="pct"/>
            <w:shd w:val="clear" w:color="auto" w:fill="auto"/>
            <w:vAlign w:val="center"/>
          </w:tcPr>
          <w:p w14:paraId="24345A3C">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C11道路清洁保洁服务完成率</w:t>
            </w:r>
          </w:p>
        </w:tc>
        <w:tc>
          <w:tcPr>
            <w:tcW w:w="899" w:type="pct"/>
            <w:shd w:val="clear" w:color="auto" w:fill="auto"/>
            <w:vAlign w:val="center"/>
          </w:tcPr>
          <w:p w14:paraId="18B1AECA">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考核按照《服务合同》中道路清洁保洁面积的完成情况。</w:t>
            </w:r>
          </w:p>
        </w:tc>
        <w:tc>
          <w:tcPr>
            <w:tcW w:w="1689" w:type="pct"/>
            <w:shd w:val="clear" w:color="auto" w:fill="auto"/>
            <w:vAlign w:val="center"/>
          </w:tcPr>
          <w:p w14:paraId="44929572">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实际完成率=（实际道路清洁保洁</w:t>
            </w:r>
            <w:r>
              <w:rPr>
                <w:rFonts w:hint="eastAsia" w:eastAsia="宋体" w:cs="Times New Roman"/>
                <w:i w:val="0"/>
                <w:iCs w:val="0"/>
                <w:color w:val="000000"/>
                <w:kern w:val="0"/>
                <w:sz w:val="18"/>
                <w:szCs w:val="18"/>
                <w:highlight w:val="none"/>
                <w:u w:val="none"/>
                <w:lang w:val="en-US" w:eastAsia="zh-CN" w:bidi="ar"/>
              </w:rPr>
              <w:t>服务</w:t>
            </w:r>
            <w:r>
              <w:rPr>
                <w:rFonts w:hint="default" w:ascii="Times New Roman" w:hAnsi="Times New Roman" w:eastAsia="宋体" w:cs="Times New Roman"/>
                <w:i w:val="0"/>
                <w:iCs w:val="0"/>
                <w:color w:val="000000"/>
                <w:kern w:val="0"/>
                <w:sz w:val="18"/>
                <w:szCs w:val="18"/>
                <w:highlight w:val="none"/>
                <w:u w:val="none"/>
                <w:lang w:val="en-US" w:eastAsia="zh-CN" w:bidi="ar"/>
              </w:rPr>
              <w:t>面积合计数/计划道路清洁保洁</w:t>
            </w:r>
            <w:r>
              <w:rPr>
                <w:rFonts w:hint="eastAsia" w:eastAsia="宋体" w:cs="Times New Roman"/>
                <w:i w:val="0"/>
                <w:iCs w:val="0"/>
                <w:color w:val="000000"/>
                <w:kern w:val="0"/>
                <w:sz w:val="18"/>
                <w:szCs w:val="18"/>
                <w:highlight w:val="none"/>
                <w:u w:val="none"/>
                <w:lang w:val="en-US" w:eastAsia="zh-CN" w:bidi="ar"/>
              </w:rPr>
              <w:t>服务</w:t>
            </w:r>
            <w:r>
              <w:rPr>
                <w:rFonts w:hint="default" w:ascii="Times New Roman" w:hAnsi="Times New Roman" w:eastAsia="宋体" w:cs="Times New Roman"/>
                <w:i w:val="0"/>
                <w:iCs w:val="0"/>
                <w:color w:val="000000"/>
                <w:kern w:val="0"/>
                <w:sz w:val="18"/>
                <w:szCs w:val="18"/>
                <w:highlight w:val="none"/>
                <w:u w:val="none"/>
                <w:lang w:val="en-US" w:eastAsia="zh-CN" w:bidi="ar"/>
              </w:rPr>
              <w:t>面积合计数）×100.0%。</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①实际完成值大于等于年度指标值，得满分；</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②实际完成值小于年度指标值，得分=实际完成值/年度指标值×分值。</w:t>
            </w:r>
          </w:p>
        </w:tc>
        <w:tc>
          <w:tcPr>
            <w:tcW w:w="914" w:type="dxa"/>
            <w:shd w:val="clear" w:color="auto" w:fill="auto"/>
            <w:vAlign w:val="center"/>
          </w:tcPr>
          <w:p w14:paraId="7D39364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1180" w:type="dxa"/>
            <w:shd w:val="clear" w:color="auto" w:fill="auto"/>
            <w:vAlign w:val="center"/>
          </w:tcPr>
          <w:p w14:paraId="532FBF5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686" w:type="dxa"/>
            <w:shd w:val="clear" w:color="auto" w:fill="auto"/>
            <w:vAlign w:val="center"/>
          </w:tcPr>
          <w:p w14:paraId="16CB4E2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3.00 </w:t>
            </w:r>
          </w:p>
        </w:tc>
        <w:tc>
          <w:tcPr>
            <w:tcW w:w="657" w:type="dxa"/>
            <w:shd w:val="clear" w:color="auto" w:fill="auto"/>
            <w:vAlign w:val="center"/>
          </w:tcPr>
          <w:p w14:paraId="3396A83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3.00 </w:t>
            </w:r>
          </w:p>
        </w:tc>
        <w:tc>
          <w:tcPr>
            <w:tcW w:w="785" w:type="dxa"/>
            <w:shd w:val="clear" w:color="auto" w:fill="auto"/>
            <w:vAlign w:val="center"/>
          </w:tcPr>
          <w:p w14:paraId="1DFA00B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77E83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1309B982">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15D9DDAE">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20C0E528">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C12清洁公厕服务完成率</w:t>
            </w:r>
          </w:p>
        </w:tc>
        <w:tc>
          <w:tcPr>
            <w:tcW w:w="899" w:type="pct"/>
            <w:shd w:val="clear" w:color="auto" w:fill="auto"/>
            <w:vAlign w:val="center"/>
          </w:tcPr>
          <w:p w14:paraId="0C2CB6B8">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考核按照《服务合同》中清洁公厕的完成情况。</w:t>
            </w:r>
          </w:p>
        </w:tc>
        <w:tc>
          <w:tcPr>
            <w:tcW w:w="1689" w:type="pct"/>
            <w:shd w:val="clear" w:color="auto" w:fill="auto"/>
            <w:vAlign w:val="center"/>
          </w:tcPr>
          <w:p w14:paraId="1EA47CC3">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实际完成率=（实际清洁公厕</w:t>
            </w:r>
            <w:r>
              <w:rPr>
                <w:rFonts w:hint="eastAsia" w:eastAsia="宋体" w:cs="Times New Roman"/>
                <w:i w:val="0"/>
                <w:iCs w:val="0"/>
                <w:color w:val="000000"/>
                <w:kern w:val="0"/>
                <w:sz w:val="18"/>
                <w:szCs w:val="18"/>
                <w:highlight w:val="none"/>
                <w:u w:val="none"/>
                <w:lang w:val="en-US" w:eastAsia="zh-CN" w:bidi="ar"/>
              </w:rPr>
              <w:t>服务</w:t>
            </w:r>
            <w:r>
              <w:rPr>
                <w:rFonts w:hint="default" w:ascii="Times New Roman" w:hAnsi="Times New Roman" w:eastAsia="宋体" w:cs="Times New Roman"/>
                <w:i w:val="0"/>
                <w:iCs w:val="0"/>
                <w:color w:val="000000"/>
                <w:kern w:val="0"/>
                <w:sz w:val="18"/>
                <w:szCs w:val="18"/>
                <w:highlight w:val="none"/>
                <w:u w:val="none"/>
                <w:lang w:val="en-US" w:eastAsia="zh-CN" w:bidi="ar"/>
              </w:rPr>
              <w:t>数量/计划清洁公厕</w:t>
            </w:r>
            <w:r>
              <w:rPr>
                <w:rFonts w:hint="eastAsia" w:eastAsia="宋体" w:cs="Times New Roman"/>
                <w:i w:val="0"/>
                <w:iCs w:val="0"/>
                <w:color w:val="000000"/>
                <w:kern w:val="0"/>
                <w:sz w:val="18"/>
                <w:szCs w:val="18"/>
                <w:highlight w:val="none"/>
                <w:u w:val="none"/>
                <w:lang w:val="en-US" w:eastAsia="zh-CN" w:bidi="ar"/>
              </w:rPr>
              <w:t>服务</w:t>
            </w:r>
            <w:r>
              <w:rPr>
                <w:rFonts w:hint="default" w:ascii="Times New Roman" w:hAnsi="Times New Roman" w:eastAsia="宋体" w:cs="Times New Roman"/>
                <w:i w:val="0"/>
                <w:iCs w:val="0"/>
                <w:color w:val="000000"/>
                <w:kern w:val="0"/>
                <w:sz w:val="18"/>
                <w:szCs w:val="18"/>
                <w:highlight w:val="none"/>
                <w:u w:val="none"/>
                <w:lang w:val="en-US" w:eastAsia="zh-CN" w:bidi="ar"/>
              </w:rPr>
              <w:t>数量）×100.0%。</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①实际完成值大于等于年度指标值，得满分；</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②实际完成值小于年度指标值，得分=实际完成值/年度指标值×分值。</w:t>
            </w:r>
          </w:p>
        </w:tc>
        <w:tc>
          <w:tcPr>
            <w:tcW w:w="914" w:type="dxa"/>
            <w:shd w:val="clear" w:color="auto" w:fill="auto"/>
            <w:vAlign w:val="center"/>
          </w:tcPr>
          <w:p w14:paraId="195C887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1180" w:type="dxa"/>
            <w:shd w:val="clear" w:color="auto" w:fill="auto"/>
            <w:vAlign w:val="center"/>
          </w:tcPr>
          <w:p w14:paraId="4229556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686" w:type="dxa"/>
            <w:shd w:val="clear" w:color="auto" w:fill="auto"/>
            <w:vAlign w:val="center"/>
          </w:tcPr>
          <w:p w14:paraId="3EF96B6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657" w:type="dxa"/>
            <w:shd w:val="clear" w:color="auto" w:fill="auto"/>
            <w:vAlign w:val="center"/>
          </w:tcPr>
          <w:p w14:paraId="042C06D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785" w:type="dxa"/>
            <w:shd w:val="clear" w:color="auto" w:fill="auto"/>
            <w:vAlign w:val="center"/>
          </w:tcPr>
          <w:p w14:paraId="65442DA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390642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103FA72E">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2BC14E6F">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1D9BBCC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C13冬季除雪服务完成率</w:t>
            </w:r>
          </w:p>
        </w:tc>
        <w:tc>
          <w:tcPr>
            <w:tcW w:w="899" w:type="pct"/>
            <w:shd w:val="clear" w:color="auto" w:fill="auto"/>
            <w:vAlign w:val="center"/>
          </w:tcPr>
          <w:p w14:paraId="39CE3B08">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考核按照《服务合同》中冬季除雪面积的完成情况。</w:t>
            </w:r>
          </w:p>
        </w:tc>
        <w:tc>
          <w:tcPr>
            <w:tcW w:w="1689" w:type="pct"/>
            <w:shd w:val="clear" w:color="auto" w:fill="auto"/>
            <w:vAlign w:val="center"/>
          </w:tcPr>
          <w:p w14:paraId="101A297E">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实际完成率=（实际冬季除雪</w:t>
            </w:r>
            <w:r>
              <w:rPr>
                <w:rFonts w:hint="eastAsia" w:eastAsia="宋体" w:cs="Times New Roman"/>
                <w:i w:val="0"/>
                <w:iCs w:val="0"/>
                <w:color w:val="000000"/>
                <w:kern w:val="0"/>
                <w:sz w:val="18"/>
                <w:szCs w:val="18"/>
                <w:highlight w:val="none"/>
                <w:u w:val="none"/>
                <w:lang w:val="en-US" w:eastAsia="zh-CN" w:bidi="ar"/>
              </w:rPr>
              <w:t>服务</w:t>
            </w:r>
            <w:r>
              <w:rPr>
                <w:rFonts w:hint="default" w:ascii="Times New Roman" w:hAnsi="Times New Roman" w:eastAsia="宋体" w:cs="Times New Roman"/>
                <w:i w:val="0"/>
                <w:iCs w:val="0"/>
                <w:color w:val="000000"/>
                <w:kern w:val="0"/>
                <w:sz w:val="18"/>
                <w:szCs w:val="18"/>
                <w:highlight w:val="none"/>
                <w:u w:val="none"/>
                <w:lang w:val="en-US" w:eastAsia="zh-CN" w:bidi="ar"/>
              </w:rPr>
              <w:t>面积数/计划冬季除雪</w:t>
            </w:r>
            <w:r>
              <w:rPr>
                <w:rFonts w:hint="eastAsia" w:eastAsia="宋体" w:cs="Times New Roman"/>
                <w:i w:val="0"/>
                <w:iCs w:val="0"/>
                <w:color w:val="000000"/>
                <w:kern w:val="0"/>
                <w:sz w:val="18"/>
                <w:szCs w:val="18"/>
                <w:highlight w:val="none"/>
                <w:u w:val="none"/>
                <w:lang w:val="en-US" w:eastAsia="zh-CN" w:bidi="ar"/>
              </w:rPr>
              <w:t>服务</w:t>
            </w:r>
            <w:r>
              <w:rPr>
                <w:rFonts w:hint="default" w:ascii="Times New Roman" w:hAnsi="Times New Roman" w:eastAsia="宋体" w:cs="Times New Roman"/>
                <w:i w:val="0"/>
                <w:iCs w:val="0"/>
                <w:color w:val="000000"/>
                <w:kern w:val="0"/>
                <w:sz w:val="18"/>
                <w:szCs w:val="18"/>
                <w:highlight w:val="none"/>
                <w:u w:val="none"/>
                <w:lang w:val="en-US" w:eastAsia="zh-CN" w:bidi="ar"/>
              </w:rPr>
              <w:t>面积数）×100.0%。</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①实际完成值大于等于年度指标值，得满分；</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②实际完成值小于年度指标值，得分=实际完成值/年度指标值×分值。</w:t>
            </w:r>
          </w:p>
        </w:tc>
        <w:tc>
          <w:tcPr>
            <w:tcW w:w="914" w:type="dxa"/>
            <w:shd w:val="clear" w:color="auto" w:fill="auto"/>
            <w:vAlign w:val="center"/>
          </w:tcPr>
          <w:p w14:paraId="1EEA9FD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1180" w:type="dxa"/>
            <w:shd w:val="clear" w:color="auto" w:fill="auto"/>
            <w:vAlign w:val="center"/>
          </w:tcPr>
          <w:p w14:paraId="4BE22CC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686" w:type="dxa"/>
            <w:shd w:val="clear" w:color="auto" w:fill="auto"/>
            <w:vAlign w:val="center"/>
          </w:tcPr>
          <w:p w14:paraId="6993D7A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3.00 </w:t>
            </w:r>
          </w:p>
        </w:tc>
        <w:tc>
          <w:tcPr>
            <w:tcW w:w="657" w:type="dxa"/>
            <w:shd w:val="clear" w:color="auto" w:fill="auto"/>
            <w:vAlign w:val="center"/>
          </w:tcPr>
          <w:p w14:paraId="41D0A02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3.00 </w:t>
            </w:r>
          </w:p>
        </w:tc>
        <w:tc>
          <w:tcPr>
            <w:tcW w:w="785" w:type="dxa"/>
            <w:shd w:val="clear" w:color="auto" w:fill="auto"/>
            <w:vAlign w:val="center"/>
          </w:tcPr>
          <w:p w14:paraId="121D667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3A695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305AB9D0">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32FA5188">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1459559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C14建设完成智慧环卫平台建设服务完成率</w:t>
            </w:r>
          </w:p>
        </w:tc>
        <w:tc>
          <w:tcPr>
            <w:tcW w:w="899" w:type="pct"/>
            <w:shd w:val="clear" w:color="auto" w:fill="auto"/>
            <w:vAlign w:val="center"/>
          </w:tcPr>
          <w:p w14:paraId="407F742F">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考核按照《服务合同》中建设完成智慧环卫平台建设的完成情况。</w:t>
            </w:r>
          </w:p>
        </w:tc>
        <w:tc>
          <w:tcPr>
            <w:tcW w:w="1689" w:type="pct"/>
            <w:shd w:val="clear" w:color="auto" w:fill="auto"/>
            <w:vAlign w:val="center"/>
          </w:tcPr>
          <w:p w14:paraId="47EF1AE5">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实际完成率=（实际建设完成智慧环卫平台建设数/计划建设完成智慧环卫平台建设数）×100.0%。</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①实际完成值大于等于年度指标值，得满分；</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②实际完成值小于年度指标值，得分=实际完成值/年度指标值×分值。</w:t>
            </w:r>
          </w:p>
        </w:tc>
        <w:tc>
          <w:tcPr>
            <w:tcW w:w="914" w:type="dxa"/>
            <w:shd w:val="clear" w:color="auto" w:fill="auto"/>
            <w:vAlign w:val="center"/>
          </w:tcPr>
          <w:p w14:paraId="37AD2EA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1180" w:type="dxa"/>
            <w:shd w:val="clear" w:color="auto" w:fill="auto"/>
            <w:vAlign w:val="center"/>
          </w:tcPr>
          <w:p w14:paraId="7E0B6FD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686" w:type="dxa"/>
            <w:shd w:val="clear" w:color="auto" w:fill="auto"/>
            <w:vAlign w:val="center"/>
          </w:tcPr>
          <w:p w14:paraId="24A608C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657" w:type="dxa"/>
            <w:shd w:val="clear" w:color="auto" w:fill="auto"/>
            <w:vAlign w:val="center"/>
          </w:tcPr>
          <w:p w14:paraId="21E6243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785" w:type="dxa"/>
            <w:shd w:val="clear" w:color="auto" w:fill="auto"/>
            <w:vAlign w:val="center"/>
          </w:tcPr>
          <w:p w14:paraId="56B1E88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2E5586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175A38E8">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02C11FE5">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67107AEB">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C15园林绿化养护服务完成率</w:t>
            </w:r>
          </w:p>
        </w:tc>
        <w:tc>
          <w:tcPr>
            <w:tcW w:w="899" w:type="pct"/>
            <w:shd w:val="clear" w:color="auto" w:fill="auto"/>
            <w:vAlign w:val="center"/>
          </w:tcPr>
          <w:p w14:paraId="41CC61BF">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考核按照《服务合同》中园林绿化养护面积的完成情况。</w:t>
            </w:r>
          </w:p>
        </w:tc>
        <w:tc>
          <w:tcPr>
            <w:tcW w:w="1689" w:type="pct"/>
            <w:shd w:val="clear" w:color="auto" w:fill="auto"/>
            <w:vAlign w:val="center"/>
          </w:tcPr>
          <w:p w14:paraId="0594B54B">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实际完成率=（实际园林绿化养护</w:t>
            </w:r>
            <w:r>
              <w:rPr>
                <w:rFonts w:hint="eastAsia" w:eastAsia="宋体" w:cs="Times New Roman"/>
                <w:i w:val="0"/>
                <w:iCs w:val="0"/>
                <w:color w:val="000000"/>
                <w:kern w:val="0"/>
                <w:sz w:val="18"/>
                <w:szCs w:val="18"/>
                <w:highlight w:val="none"/>
                <w:u w:val="none"/>
                <w:lang w:val="en-US" w:eastAsia="zh-CN" w:bidi="ar"/>
              </w:rPr>
              <w:t>服务</w:t>
            </w:r>
            <w:r>
              <w:rPr>
                <w:rFonts w:hint="default" w:ascii="Times New Roman" w:hAnsi="Times New Roman" w:eastAsia="宋体" w:cs="Times New Roman"/>
                <w:i w:val="0"/>
                <w:iCs w:val="0"/>
                <w:color w:val="000000"/>
                <w:kern w:val="0"/>
                <w:sz w:val="18"/>
                <w:szCs w:val="18"/>
                <w:highlight w:val="none"/>
                <w:u w:val="none"/>
                <w:lang w:val="en-US" w:eastAsia="zh-CN" w:bidi="ar"/>
              </w:rPr>
              <w:t>面积数量/计划园林绿化养护</w:t>
            </w:r>
            <w:r>
              <w:rPr>
                <w:rFonts w:hint="eastAsia" w:eastAsia="宋体" w:cs="Times New Roman"/>
                <w:i w:val="0"/>
                <w:iCs w:val="0"/>
                <w:color w:val="000000"/>
                <w:kern w:val="0"/>
                <w:sz w:val="18"/>
                <w:szCs w:val="18"/>
                <w:highlight w:val="none"/>
                <w:u w:val="none"/>
                <w:lang w:val="en-US" w:eastAsia="zh-CN" w:bidi="ar"/>
              </w:rPr>
              <w:t>服务</w:t>
            </w:r>
            <w:r>
              <w:rPr>
                <w:rFonts w:hint="default" w:ascii="Times New Roman" w:hAnsi="Times New Roman" w:eastAsia="宋体" w:cs="Times New Roman"/>
                <w:i w:val="0"/>
                <w:iCs w:val="0"/>
                <w:color w:val="000000"/>
                <w:kern w:val="0"/>
                <w:sz w:val="18"/>
                <w:szCs w:val="18"/>
                <w:highlight w:val="none"/>
                <w:u w:val="none"/>
                <w:lang w:val="en-US" w:eastAsia="zh-CN" w:bidi="ar"/>
              </w:rPr>
              <w:t>面积数量）×100.0%。</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①实际完成值大于等于年度指标值，得满分；</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②实际完成值小于年度指标值，得分=实际完成值/年度指标值×分值。</w:t>
            </w:r>
          </w:p>
        </w:tc>
        <w:tc>
          <w:tcPr>
            <w:tcW w:w="914" w:type="dxa"/>
            <w:shd w:val="clear" w:color="auto" w:fill="auto"/>
            <w:vAlign w:val="center"/>
          </w:tcPr>
          <w:p w14:paraId="5896960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1180" w:type="dxa"/>
            <w:shd w:val="clear" w:color="auto" w:fill="auto"/>
            <w:vAlign w:val="center"/>
          </w:tcPr>
          <w:p w14:paraId="7C77FB2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686" w:type="dxa"/>
            <w:shd w:val="clear" w:color="auto" w:fill="auto"/>
            <w:vAlign w:val="center"/>
          </w:tcPr>
          <w:p w14:paraId="644FE3E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3.00 </w:t>
            </w:r>
          </w:p>
        </w:tc>
        <w:tc>
          <w:tcPr>
            <w:tcW w:w="657" w:type="dxa"/>
            <w:shd w:val="clear" w:color="auto" w:fill="auto"/>
            <w:vAlign w:val="center"/>
          </w:tcPr>
          <w:p w14:paraId="23DAE2D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3.00 </w:t>
            </w:r>
          </w:p>
        </w:tc>
        <w:tc>
          <w:tcPr>
            <w:tcW w:w="785" w:type="dxa"/>
            <w:shd w:val="clear" w:color="auto" w:fill="auto"/>
            <w:vAlign w:val="center"/>
          </w:tcPr>
          <w:p w14:paraId="5B61040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2396DC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690C453F">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41244658">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6B55A5E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C16游园维修服务完成率</w:t>
            </w:r>
          </w:p>
        </w:tc>
        <w:tc>
          <w:tcPr>
            <w:tcW w:w="899" w:type="pct"/>
            <w:shd w:val="clear" w:color="auto" w:fill="auto"/>
            <w:vAlign w:val="center"/>
          </w:tcPr>
          <w:p w14:paraId="1DE9582A">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考核按照《服务合同》中游园维修数量的完成情况。</w:t>
            </w:r>
          </w:p>
        </w:tc>
        <w:tc>
          <w:tcPr>
            <w:tcW w:w="1689" w:type="pct"/>
            <w:shd w:val="clear" w:color="auto" w:fill="auto"/>
            <w:vAlign w:val="center"/>
          </w:tcPr>
          <w:p w14:paraId="70953A80">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实际完成率=（实际游园维修数量/计划游园维修数量）×100.0%。</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①实际完成值大于等于年度指标值，得满分；</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②实际完成值小于年度指标值，得分=实际完成值/年度指标值×分值。</w:t>
            </w:r>
          </w:p>
        </w:tc>
        <w:tc>
          <w:tcPr>
            <w:tcW w:w="914" w:type="dxa"/>
            <w:shd w:val="clear" w:color="auto" w:fill="auto"/>
            <w:vAlign w:val="center"/>
          </w:tcPr>
          <w:p w14:paraId="3A75627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1180" w:type="dxa"/>
            <w:shd w:val="clear" w:color="auto" w:fill="auto"/>
            <w:vAlign w:val="center"/>
          </w:tcPr>
          <w:p w14:paraId="5AB9F8B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686" w:type="dxa"/>
            <w:shd w:val="clear" w:color="auto" w:fill="auto"/>
            <w:vAlign w:val="center"/>
          </w:tcPr>
          <w:p w14:paraId="3B1E3D3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657" w:type="dxa"/>
            <w:shd w:val="clear" w:color="auto" w:fill="auto"/>
            <w:vAlign w:val="center"/>
          </w:tcPr>
          <w:p w14:paraId="7AEA8EB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785" w:type="dxa"/>
            <w:shd w:val="clear" w:color="auto" w:fill="auto"/>
            <w:vAlign w:val="center"/>
          </w:tcPr>
          <w:p w14:paraId="1C5AB99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2EC9C7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5073773A">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10110607">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286B6045">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C17填埋场管理服务完成率</w:t>
            </w:r>
          </w:p>
        </w:tc>
        <w:tc>
          <w:tcPr>
            <w:tcW w:w="899" w:type="pct"/>
            <w:shd w:val="clear" w:color="auto" w:fill="auto"/>
            <w:vAlign w:val="center"/>
          </w:tcPr>
          <w:p w14:paraId="6D0FF908">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考核按照《服务合同》中垃圾场管理服务的完成情况。</w:t>
            </w:r>
          </w:p>
        </w:tc>
        <w:tc>
          <w:tcPr>
            <w:tcW w:w="1689" w:type="pct"/>
            <w:shd w:val="clear" w:color="auto" w:fill="auto"/>
            <w:vAlign w:val="center"/>
          </w:tcPr>
          <w:p w14:paraId="0DB255A4">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实际完成率=（实际完成填埋场运营数量/计划完成填埋场运营数量）×100.0%。</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①实际完成值大于等于年度指标值，得满分；</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②实际完成值小于年度指标值，得分=实际完成值/年度指标值×分值。</w:t>
            </w:r>
          </w:p>
        </w:tc>
        <w:tc>
          <w:tcPr>
            <w:tcW w:w="914" w:type="dxa"/>
            <w:shd w:val="clear" w:color="auto" w:fill="auto"/>
            <w:vAlign w:val="center"/>
          </w:tcPr>
          <w:p w14:paraId="367C7DB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1180" w:type="dxa"/>
            <w:shd w:val="clear" w:color="auto" w:fill="auto"/>
            <w:vAlign w:val="center"/>
          </w:tcPr>
          <w:p w14:paraId="602112F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c>
          <w:tcPr>
            <w:tcW w:w="686" w:type="dxa"/>
            <w:shd w:val="clear" w:color="auto" w:fill="auto"/>
            <w:vAlign w:val="center"/>
          </w:tcPr>
          <w:p w14:paraId="09F6057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657" w:type="dxa"/>
            <w:shd w:val="clear" w:color="auto" w:fill="auto"/>
            <w:vAlign w:val="center"/>
          </w:tcPr>
          <w:p w14:paraId="54C2B28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785" w:type="dxa"/>
            <w:shd w:val="clear" w:color="auto" w:fill="auto"/>
            <w:vAlign w:val="center"/>
          </w:tcPr>
          <w:p w14:paraId="5E07D1F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79384D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2A81F1E1">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restart"/>
            <w:shd w:val="clear" w:color="auto" w:fill="auto"/>
            <w:vAlign w:val="center"/>
          </w:tcPr>
          <w:p w14:paraId="7842260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C2产出质量（9.00分）</w:t>
            </w:r>
          </w:p>
        </w:tc>
        <w:tc>
          <w:tcPr>
            <w:tcW w:w="378" w:type="pct"/>
            <w:shd w:val="clear" w:color="auto" w:fill="auto"/>
            <w:vAlign w:val="center"/>
          </w:tcPr>
          <w:p w14:paraId="4D2AF175">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C21环卫保洁季度考核合格率</w:t>
            </w:r>
          </w:p>
        </w:tc>
        <w:tc>
          <w:tcPr>
            <w:tcW w:w="899" w:type="pct"/>
            <w:shd w:val="clear" w:color="auto" w:fill="auto"/>
            <w:vAlign w:val="center"/>
          </w:tcPr>
          <w:p w14:paraId="4692E5D2">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考核按照《服务合同》中环卫保洁考核年度总体合格率的完成情况。</w:t>
            </w:r>
          </w:p>
        </w:tc>
        <w:tc>
          <w:tcPr>
            <w:tcW w:w="1689" w:type="pct"/>
            <w:shd w:val="clear" w:color="auto" w:fill="auto"/>
            <w:vAlign w:val="center"/>
          </w:tcPr>
          <w:p w14:paraId="0024C322">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四个季度环卫保洁考核合格分数在85分以上得满分，若发现有季度考核低于85分，扣分值的1/4分。</w:t>
            </w:r>
          </w:p>
        </w:tc>
        <w:tc>
          <w:tcPr>
            <w:tcW w:w="914" w:type="dxa"/>
            <w:shd w:val="clear" w:color="auto" w:fill="auto"/>
            <w:noWrap/>
            <w:vAlign w:val="center"/>
          </w:tcPr>
          <w:p w14:paraId="76CBF24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≥85分/季度</w:t>
            </w:r>
          </w:p>
        </w:tc>
        <w:tc>
          <w:tcPr>
            <w:tcW w:w="1180" w:type="dxa"/>
            <w:shd w:val="clear" w:color="auto" w:fill="auto"/>
            <w:vAlign w:val="center"/>
          </w:tcPr>
          <w:p w14:paraId="6332389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平均86.78分</w:t>
            </w:r>
          </w:p>
        </w:tc>
        <w:tc>
          <w:tcPr>
            <w:tcW w:w="686" w:type="dxa"/>
            <w:shd w:val="clear" w:color="auto" w:fill="auto"/>
            <w:vAlign w:val="center"/>
          </w:tcPr>
          <w:p w14:paraId="6FDA372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5.00 </w:t>
            </w:r>
          </w:p>
        </w:tc>
        <w:tc>
          <w:tcPr>
            <w:tcW w:w="657" w:type="dxa"/>
            <w:shd w:val="clear" w:color="auto" w:fill="auto"/>
            <w:vAlign w:val="center"/>
          </w:tcPr>
          <w:p w14:paraId="3ACB562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3.75 </w:t>
            </w:r>
          </w:p>
        </w:tc>
        <w:tc>
          <w:tcPr>
            <w:tcW w:w="785" w:type="dxa"/>
            <w:shd w:val="clear" w:color="auto" w:fill="auto"/>
            <w:vAlign w:val="center"/>
          </w:tcPr>
          <w:p w14:paraId="7BDE313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75.00%</w:t>
            </w:r>
          </w:p>
        </w:tc>
      </w:tr>
      <w:tr w14:paraId="16A6F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90" w:hRule="atLeast"/>
        </w:trPr>
        <w:tc>
          <w:tcPr>
            <w:tcW w:w="241" w:type="pct"/>
            <w:vMerge w:val="continue"/>
            <w:shd w:val="clear" w:color="auto" w:fill="auto"/>
            <w:vAlign w:val="center"/>
          </w:tcPr>
          <w:p w14:paraId="5751FE03">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2284B8F6">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79BF3A6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C22园林保洁季度考核合格率</w:t>
            </w:r>
          </w:p>
        </w:tc>
        <w:tc>
          <w:tcPr>
            <w:tcW w:w="899" w:type="pct"/>
            <w:shd w:val="clear" w:color="auto" w:fill="auto"/>
            <w:vAlign w:val="center"/>
          </w:tcPr>
          <w:p w14:paraId="12153AE2">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考核按照《服务合同》中园林保洁考核年度总体合格率的完成情况。</w:t>
            </w:r>
          </w:p>
        </w:tc>
        <w:tc>
          <w:tcPr>
            <w:tcW w:w="1689" w:type="pct"/>
            <w:shd w:val="clear" w:color="auto" w:fill="auto"/>
            <w:vAlign w:val="center"/>
          </w:tcPr>
          <w:p w14:paraId="5FA82533">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四个季度园林保洁考核合格分数在85分以上得满分，若发现有季度考核低于85分，扣分值的1/4分。</w:t>
            </w:r>
          </w:p>
        </w:tc>
        <w:tc>
          <w:tcPr>
            <w:tcW w:w="914" w:type="dxa"/>
            <w:shd w:val="clear" w:color="auto" w:fill="auto"/>
            <w:noWrap/>
            <w:vAlign w:val="center"/>
          </w:tcPr>
          <w:p w14:paraId="21790C3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≥85分/季度</w:t>
            </w:r>
          </w:p>
        </w:tc>
        <w:tc>
          <w:tcPr>
            <w:tcW w:w="1180" w:type="dxa"/>
            <w:shd w:val="clear" w:color="auto" w:fill="auto"/>
            <w:vAlign w:val="center"/>
          </w:tcPr>
          <w:p w14:paraId="772ECEF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平均84.75分</w:t>
            </w:r>
          </w:p>
        </w:tc>
        <w:tc>
          <w:tcPr>
            <w:tcW w:w="686" w:type="dxa"/>
            <w:shd w:val="clear" w:color="auto" w:fill="auto"/>
            <w:vAlign w:val="center"/>
          </w:tcPr>
          <w:p w14:paraId="2BF1434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5.00 </w:t>
            </w:r>
          </w:p>
        </w:tc>
        <w:tc>
          <w:tcPr>
            <w:tcW w:w="657" w:type="dxa"/>
            <w:shd w:val="clear" w:color="auto" w:fill="auto"/>
            <w:vAlign w:val="center"/>
          </w:tcPr>
          <w:p w14:paraId="17EC1AB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3.75 </w:t>
            </w:r>
          </w:p>
        </w:tc>
        <w:tc>
          <w:tcPr>
            <w:tcW w:w="785" w:type="dxa"/>
            <w:shd w:val="clear" w:color="auto" w:fill="auto"/>
            <w:vAlign w:val="center"/>
          </w:tcPr>
          <w:p w14:paraId="4792DBD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75.00%</w:t>
            </w:r>
          </w:p>
        </w:tc>
      </w:tr>
      <w:tr w14:paraId="57BB3B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67A3126D">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shd w:val="clear" w:color="auto" w:fill="auto"/>
            <w:vAlign w:val="center"/>
          </w:tcPr>
          <w:p w14:paraId="5F0785A8">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C3时效指标（1.00）</w:t>
            </w:r>
          </w:p>
        </w:tc>
        <w:tc>
          <w:tcPr>
            <w:tcW w:w="378" w:type="pct"/>
            <w:shd w:val="clear" w:color="auto" w:fill="auto"/>
            <w:vAlign w:val="center"/>
          </w:tcPr>
          <w:p w14:paraId="28A0F3B5">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C31</w:t>
            </w:r>
            <w:r>
              <w:rPr>
                <w:rFonts w:hint="eastAsia" w:eastAsia="宋体" w:cs="Times New Roman"/>
                <w:i w:val="0"/>
                <w:iCs w:val="0"/>
                <w:color w:val="000000"/>
                <w:kern w:val="0"/>
                <w:sz w:val="18"/>
                <w:szCs w:val="18"/>
                <w:u w:val="none"/>
                <w:lang w:val="en-US" w:eastAsia="zh-CN" w:bidi="ar"/>
              </w:rPr>
              <w:t>项目服务考核完成及时率</w:t>
            </w:r>
          </w:p>
        </w:tc>
        <w:tc>
          <w:tcPr>
            <w:tcW w:w="899" w:type="pct"/>
            <w:shd w:val="clear" w:color="auto" w:fill="auto"/>
            <w:vAlign w:val="center"/>
          </w:tcPr>
          <w:p w14:paraId="466C8E0B">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考核按照《服务合同》中约定2024年</w:t>
            </w:r>
            <w:r>
              <w:rPr>
                <w:rFonts w:hint="eastAsia" w:eastAsia="宋体" w:cs="Times New Roman"/>
                <w:i w:val="0"/>
                <w:iCs w:val="0"/>
                <w:color w:val="000000"/>
                <w:kern w:val="0"/>
                <w:sz w:val="18"/>
                <w:szCs w:val="18"/>
                <w:u w:val="none"/>
                <w:lang w:val="en-US" w:eastAsia="zh-CN" w:bidi="ar"/>
              </w:rPr>
              <w:t>环卫保洁和园林保洁</w:t>
            </w:r>
            <w:r>
              <w:rPr>
                <w:rFonts w:hint="default" w:ascii="Times New Roman" w:hAnsi="Times New Roman" w:eastAsia="宋体" w:cs="Times New Roman"/>
                <w:i w:val="0"/>
                <w:iCs w:val="0"/>
                <w:color w:val="000000"/>
                <w:kern w:val="0"/>
                <w:sz w:val="18"/>
                <w:szCs w:val="18"/>
                <w:u w:val="none"/>
                <w:lang w:val="en-US" w:eastAsia="zh-CN" w:bidi="ar"/>
              </w:rPr>
              <w:t>考核</w:t>
            </w:r>
            <w:r>
              <w:rPr>
                <w:rFonts w:hint="eastAsia" w:eastAsia="宋体" w:cs="Times New Roman"/>
                <w:i w:val="0"/>
                <w:iCs w:val="0"/>
                <w:color w:val="000000"/>
                <w:kern w:val="0"/>
                <w:sz w:val="18"/>
                <w:szCs w:val="18"/>
                <w:u w:val="none"/>
                <w:lang w:val="en-US" w:eastAsia="zh-CN" w:bidi="ar"/>
              </w:rPr>
              <w:t>是否按月及时</w:t>
            </w:r>
            <w:r>
              <w:rPr>
                <w:rFonts w:hint="default" w:ascii="Times New Roman" w:hAnsi="Times New Roman" w:eastAsia="宋体" w:cs="Times New Roman"/>
                <w:i w:val="0"/>
                <w:iCs w:val="0"/>
                <w:color w:val="000000"/>
                <w:kern w:val="0"/>
                <w:sz w:val="18"/>
                <w:szCs w:val="18"/>
                <w:u w:val="none"/>
                <w:lang w:val="en-US" w:eastAsia="zh-CN" w:bidi="ar"/>
              </w:rPr>
              <w:t>完成。</w:t>
            </w:r>
          </w:p>
        </w:tc>
        <w:tc>
          <w:tcPr>
            <w:tcW w:w="1689" w:type="pct"/>
            <w:shd w:val="clear" w:color="auto" w:fill="auto"/>
            <w:vAlign w:val="center"/>
          </w:tcPr>
          <w:p w14:paraId="14DB3B8F">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按月对环卫和园林保洁及时进行考核，得满分。若存在没有按月进行考核，则发现一个月没有完成考核扣0.20分，直至扣完为止。</w:t>
            </w:r>
          </w:p>
        </w:tc>
        <w:tc>
          <w:tcPr>
            <w:tcW w:w="914" w:type="dxa"/>
            <w:shd w:val="clear" w:color="auto" w:fill="auto"/>
            <w:noWrap/>
            <w:vAlign w:val="center"/>
          </w:tcPr>
          <w:p w14:paraId="0BE9D76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100.00%</w:t>
            </w:r>
          </w:p>
        </w:tc>
        <w:tc>
          <w:tcPr>
            <w:tcW w:w="1180" w:type="dxa"/>
            <w:shd w:val="clear" w:color="auto" w:fill="auto"/>
            <w:vAlign w:val="center"/>
          </w:tcPr>
          <w:p w14:paraId="1D07E39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100.00%</w:t>
            </w:r>
          </w:p>
        </w:tc>
        <w:tc>
          <w:tcPr>
            <w:tcW w:w="686" w:type="dxa"/>
            <w:shd w:val="clear" w:color="auto" w:fill="auto"/>
            <w:vAlign w:val="center"/>
          </w:tcPr>
          <w:p w14:paraId="255D2EA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2.00 </w:t>
            </w:r>
          </w:p>
        </w:tc>
        <w:tc>
          <w:tcPr>
            <w:tcW w:w="657" w:type="dxa"/>
            <w:shd w:val="clear" w:color="auto" w:fill="auto"/>
            <w:vAlign w:val="center"/>
          </w:tcPr>
          <w:p w14:paraId="0BE5A32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2.00 </w:t>
            </w:r>
          </w:p>
        </w:tc>
        <w:tc>
          <w:tcPr>
            <w:tcW w:w="785" w:type="dxa"/>
            <w:shd w:val="clear" w:color="auto" w:fill="auto"/>
            <w:vAlign w:val="center"/>
          </w:tcPr>
          <w:p w14:paraId="5C3C9BE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62290D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3AA41712">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restart"/>
            <w:shd w:val="clear" w:color="auto" w:fill="auto"/>
            <w:vAlign w:val="center"/>
          </w:tcPr>
          <w:p w14:paraId="27F4E8B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C4产出成本（5.00分）</w:t>
            </w:r>
          </w:p>
        </w:tc>
        <w:tc>
          <w:tcPr>
            <w:tcW w:w="378" w:type="pct"/>
            <w:shd w:val="clear" w:color="auto" w:fill="auto"/>
            <w:vAlign w:val="center"/>
          </w:tcPr>
          <w:p w14:paraId="0D553DC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C41年度服务费</w:t>
            </w:r>
          </w:p>
        </w:tc>
        <w:tc>
          <w:tcPr>
            <w:tcW w:w="899" w:type="pct"/>
            <w:shd w:val="clear" w:color="auto" w:fill="auto"/>
            <w:vAlign w:val="center"/>
          </w:tcPr>
          <w:p w14:paraId="36FCA819">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考核按照《服务合同》中约定支付年度服务的完成情况。</w:t>
            </w:r>
          </w:p>
        </w:tc>
        <w:tc>
          <w:tcPr>
            <w:tcW w:w="1689" w:type="pct"/>
            <w:shd w:val="clear" w:color="auto" w:fill="auto"/>
            <w:vAlign w:val="center"/>
          </w:tcPr>
          <w:p w14:paraId="5E9670DF">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实际完成值=（实际应付年度服务费总数/计划支付年度服务费总数）×100%。</w:t>
            </w:r>
          </w:p>
          <w:p w14:paraId="1C311001">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①实际完成值大于年度指标值，得0分；</w:t>
            </w:r>
          </w:p>
          <w:p w14:paraId="14477F1B">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②实际完成值小于等于年度指标值，且偏离程度小于20%，得满分；</w:t>
            </w:r>
          </w:p>
          <w:p w14:paraId="20B4E518">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③实际完成值小于年度指标值，且偏离程度大于等于20%，得0得分。</w:t>
            </w:r>
          </w:p>
        </w:tc>
        <w:tc>
          <w:tcPr>
            <w:tcW w:w="914" w:type="dxa"/>
            <w:shd w:val="clear" w:color="auto" w:fill="auto"/>
            <w:vAlign w:val="center"/>
          </w:tcPr>
          <w:p w14:paraId="00A3070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≤4,529.51万元</w:t>
            </w:r>
          </w:p>
        </w:tc>
        <w:tc>
          <w:tcPr>
            <w:tcW w:w="1180" w:type="dxa"/>
            <w:shd w:val="clear" w:color="auto" w:fill="auto"/>
            <w:vAlign w:val="center"/>
          </w:tcPr>
          <w:p w14:paraId="32D9815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4,522.50万元</w:t>
            </w:r>
          </w:p>
        </w:tc>
        <w:tc>
          <w:tcPr>
            <w:tcW w:w="686" w:type="dxa"/>
            <w:shd w:val="clear" w:color="auto" w:fill="auto"/>
            <w:vAlign w:val="center"/>
          </w:tcPr>
          <w:p w14:paraId="1106E9C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4.00 </w:t>
            </w:r>
          </w:p>
        </w:tc>
        <w:tc>
          <w:tcPr>
            <w:tcW w:w="657" w:type="dxa"/>
            <w:shd w:val="clear" w:color="auto" w:fill="auto"/>
            <w:vAlign w:val="center"/>
          </w:tcPr>
          <w:p w14:paraId="2B54B07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4.00 </w:t>
            </w:r>
          </w:p>
        </w:tc>
        <w:tc>
          <w:tcPr>
            <w:tcW w:w="785" w:type="dxa"/>
            <w:shd w:val="clear" w:color="auto" w:fill="auto"/>
            <w:vAlign w:val="center"/>
          </w:tcPr>
          <w:p w14:paraId="16D2873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14C9FB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6DCFC2ED">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797773F2">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61ABA82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C43承接主体对城市节日氛围打造投入费用</w:t>
            </w:r>
          </w:p>
        </w:tc>
        <w:tc>
          <w:tcPr>
            <w:tcW w:w="899" w:type="pct"/>
            <w:shd w:val="clear" w:color="auto" w:fill="auto"/>
            <w:vAlign w:val="center"/>
          </w:tcPr>
          <w:p w14:paraId="747B27A9">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考核按照《服务合同》中承接主体约定对城市节日氛围打造投入的完成情况。</w:t>
            </w:r>
          </w:p>
        </w:tc>
        <w:tc>
          <w:tcPr>
            <w:tcW w:w="1689" w:type="pct"/>
            <w:shd w:val="clear" w:color="auto" w:fill="auto"/>
            <w:vAlign w:val="center"/>
          </w:tcPr>
          <w:p w14:paraId="1A6FB7AA">
            <w:pPr>
              <w:keepNext w:val="0"/>
              <w:keepLines w:val="0"/>
              <w:pageBreakBefore w:val="0"/>
              <w:widowControl/>
              <w:suppressLineNumbers w:val="0"/>
              <w:kinsoku/>
              <w:wordWrap/>
              <w:overflowPunct/>
              <w:topLinePunct w:val="0"/>
              <w:autoSpaceDE/>
              <w:autoSpaceDN/>
              <w:bidi w:val="0"/>
              <w:spacing w:line="240" w:lineRule="auto"/>
              <w:ind w:firstLine="0" w:firstLineChars="0"/>
              <w:jc w:val="both"/>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实际完成值=（实际承接主体对城市节日氛围打造投入费用/计划应承接主体对城市节日氛围打造投入费用）×100%。</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①实际完成值大于年度指标值，得满分；</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②实际完成值小于年度指标值，得分=实际完成值/年度指标值×分值。</w:t>
            </w:r>
          </w:p>
        </w:tc>
        <w:tc>
          <w:tcPr>
            <w:tcW w:w="914" w:type="dxa"/>
            <w:shd w:val="clear" w:color="auto" w:fill="auto"/>
            <w:vAlign w:val="center"/>
          </w:tcPr>
          <w:p w14:paraId="427BA45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≥150.00万元</w:t>
            </w:r>
          </w:p>
        </w:tc>
        <w:tc>
          <w:tcPr>
            <w:tcW w:w="1180" w:type="dxa"/>
            <w:shd w:val="clear" w:color="auto" w:fill="auto"/>
            <w:vAlign w:val="center"/>
          </w:tcPr>
          <w:p w14:paraId="7BE70A8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265.18万元</w:t>
            </w:r>
          </w:p>
        </w:tc>
        <w:tc>
          <w:tcPr>
            <w:tcW w:w="686" w:type="dxa"/>
            <w:shd w:val="clear" w:color="auto" w:fill="auto"/>
            <w:vAlign w:val="center"/>
          </w:tcPr>
          <w:p w14:paraId="1295D5D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657" w:type="dxa"/>
            <w:shd w:val="clear" w:color="auto" w:fill="auto"/>
            <w:vAlign w:val="center"/>
          </w:tcPr>
          <w:p w14:paraId="6EE3A03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 xml:space="preserve">1.00 </w:t>
            </w:r>
          </w:p>
        </w:tc>
        <w:tc>
          <w:tcPr>
            <w:tcW w:w="785" w:type="dxa"/>
            <w:shd w:val="clear" w:color="auto" w:fill="auto"/>
            <w:vAlign w:val="center"/>
          </w:tcPr>
          <w:p w14:paraId="101EDBA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eastAsia" w:ascii="宋体" w:hAnsi="宋体" w:eastAsia="宋体" w:cs="宋体"/>
                <w:i w:val="0"/>
                <w:iCs w:val="0"/>
                <w:color w:val="000000"/>
                <w:kern w:val="0"/>
                <w:sz w:val="20"/>
                <w:szCs w:val="20"/>
                <w:u w:val="none"/>
                <w:lang w:val="en-US" w:eastAsia="zh-CN" w:bidi="ar"/>
              </w:rPr>
              <w:t>100.00%</w:t>
            </w:r>
          </w:p>
        </w:tc>
      </w:tr>
      <w:tr w14:paraId="63CB9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3491" w:type="pct"/>
            <w:gridSpan w:val="5"/>
            <w:shd w:val="clear" w:color="auto" w:fill="auto"/>
            <w:vAlign w:val="center"/>
          </w:tcPr>
          <w:p w14:paraId="32783CB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小计</w:t>
            </w:r>
          </w:p>
        </w:tc>
        <w:tc>
          <w:tcPr>
            <w:tcW w:w="914" w:type="dxa"/>
            <w:shd w:val="clear" w:color="auto" w:fill="auto"/>
            <w:vAlign w:val="center"/>
          </w:tcPr>
          <w:p w14:paraId="6ED8B849">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b/>
                <w:bCs/>
                <w:i w:val="0"/>
                <w:iCs w:val="0"/>
                <w:color w:val="000000"/>
                <w:sz w:val="18"/>
                <w:szCs w:val="18"/>
                <w:u w:val="none"/>
              </w:rPr>
            </w:pPr>
          </w:p>
        </w:tc>
        <w:tc>
          <w:tcPr>
            <w:tcW w:w="1180" w:type="dxa"/>
            <w:shd w:val="clear" w:color="auto" w:fill="auto"/>
            <w:vAlign w:val="center"/>
          </w:tcPr>
          <w:p w14:paraId="34E59B49">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b/>
                <w:bCs/>
                <w:i w:val="0"/>
                <w:iCs w:val="0"/>
                <w:color w:val="000000"/>
                <w:sz w:val="18"/>
                <w:szCs w:val="18"/>
                <w:u w:val="none"/>
              </w:rPr>
            </w:pPr>
          </w:p>
        </w:tc>
        <w:tc>
          <w:tcPr>
            <w:tcW w:w="686" w:type="dxa"/>
            <w:shd w:val="clear" w:color="auto" w:fill="auto"/>
            <w:vAlign w:val="center"/>
          </w:tcPr>
          <w:p w14:paraId="2F6A5F4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eastAsia" w:ascii="宋体" w:hAnsi="宋体" w:eastAsia="宋体" w:cs="宋体"/>
                <w:b/>
                <w:bCs/>
                <w:i w:val="0"/>
                <w:iCs w:val="0"/>
                <w:color w:val="000000"/>
                <w:kern w:val="0"/>
                <w:sz w:val="20"/>
                <w:szCs w:val="20"/>
                <w:u w:val="none"/>
                <w:lang w:val="en-US" w:eastAsia="zh-CN" w:bidi="ar"/>
              </w:rPr>
              <w:t xml:space="preserve">30.00 </w:t>
            </w:r>
          </w:p>
        </w:tc>
        <w:tc>
          <w:tcPr>
            <w:tcW w:w="657" w:type="dxa"/>
            <w:shd w:val="clear" w:color="auto" w:fill="auto"/>
            <w:vAlign w:val="center"/>
          </w:tcPr>
          <w:p w14:paraId="5488C50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eastAsia" w:ascii="宋体" w:hAnsi="宋体" w:eastAsia="宋体" w:cs="宋体"/>
                <w:b/>
                <w:bCs/>
                <w:i w:val="0"/>
                <w:iCs w:val="0"/>
                <w:color w:val="000000"/>
                <w:kern w:val="0"/>
                <w:sz w:val="20"/>
                <w:szCs w:val="20"/>
                <w:u w:val="none"/>
                <w:lang w:val="en-US" w:eastAsia="zh-CN" w:bidi="ar"/>
              </w:rPr>
              <w:t xml:space="preserve">27.50 </w:t>
            </w:r>
          </w:p>
        </w:tc>
        <w:tc>
          <w:tcPr>
            <w:tcW w:w="785" w:type="dxa"/>
            <w:shd w:val="clear" w:color="auto" w:fill="auto"/>
            <w:vAlign w:val="center"/>
          </w:tcPr>
          <w:p w14:paraId="2C2E18A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eastAsia" w:ascii="宋体" w:hAnsi="宋体" w:eastAsia="宋体" w:cs="宋体"/>
                <w:b/>
                <w:bCs/>
                <w:i w:val="0"/>
                <w:iCs w:val="0"/>
                <w:color w:val="000000"/>
                <w:kern w:val="0"/>
                <w:sz w:val="20"/>
                <w:szCs w:val="20"/>
                <w:u w:val="none"/>
                <w:lang w:val="en-US" w:eastAsia="zh-CN" w:bidi="ar"/>
              </w:rPr>
              <w:t>91.67%</w:t>
            </w:r>
          </w:p>
        </w:tc>
      </w:tr>
      <w:tr w14:paraId="00B906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restart"/>
            <w:shd w:val="clear" w:color="auto" w:fill="auto"/>
            <w:vAlign w:val="center"/>
          </w:tcPr>
          <w:p w14:paraId="0B145C1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D效益</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（30.00分）</w:t>
            </w:r>
          </w:p>
        </w:tc>
        <w:tc>
          <w:tcPr>
            <w:tcW w:w="282" w:type="pct"/>
            <w:vMerge w:val="restart"/>
            <w:shd w:val="clear" w:color="auto" w:fill="auto"/>
            <w:vAlign w:val="center"/>
          </w:tcPr>
          <w:p w14:paraId="72B4B33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D1社会效益指标（20.00分）</w:t>
            </w:r>
          </w:p>
        </w:tc>
        <w:tc>
          <w:tcPr>
            <w:tcW w:w="378" w:type="pct"/>
            <w:shd w:val="clear" w:color="auto" w:fill="auto"/>
            <w:vAlign w:val="center"/>
          </w:tcPr>
          <w:p w14:paraId="42F740B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D11提升政府公共服务管理水平</w:t>
            </w:r>
          </w:p>
        </w:tc>
        <w:tc>
          <w:tcPr>
            <w:tcW w:w="899" w:type="pct"/>
            <w:shd w:val="clear" w:color="auto" w:fill="auto"/>
            <w:vAlign w:val="center"/>
          </w:tcPr>
          <w:p w14:paraId="637F999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政府购买服务项目实施后，提升公共服务管理水平</w:t>
            </w:r>
          </w:p>
        </w:tc>
        <w:tc>
          <w:tcPr>
            <w:tcW w:w="1689" w:type="pct"/>
            <w:shd w:val="clear" w:color="auto" w:fill="auto"/>
            <w:vAlign w:val="center"/>
          </w:tcPr>
          <w:p w14:paraId="005B0D2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根据问卷调查情况进行评分，指标完成率=∑样本数（“有效提升”×1.0+“有所提升”×0.8+“一 般”×0.6+“提高效果较小”×0.3+“无效果”×0）/总样本数×100.00%，实际完成值分为基本达成目标、部分实现目标、实现目标程度较低三个档次，并分别按照该指标对应分值区间 100.00%-80.00%（含）、80.00%-60.00%（含）、60.00%-0.00%合理确定分值。</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①指标完成率在100.00%-80.00%之间，得满分；</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②指标完成率在80.00%-60.00%之间，得分=指标完成率×标杆分值；</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③指标完成率小于60.00%为不及格，不得分。</w:t>
            </w:r>
          </w:p>
        </w:tc>
        <w:tc>
          <w:tcPr>
            <w:tcW w:w="326" w:type="pct"/>
            <w:shd w:val="clear" w:color="auto" w:fill="auto"/>
            <w:vAlign w:val="center"/>
          </w:tcPr>
          <w:p w14:paraId="0BB04BF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有效提升</w:t>
            </w:r>
          </w:p>
        </w:tc>
        <w:tc>
          <w:tcPr>
            <w:tcW w:w="421" w:type="pct"/>
            <w:shd w:val="clear" w:color="auto" w:fill="auto"/>
            <w:vAlign w:val="center"/>
          </w:tcPr>
          <w:p w14:paraId="0F6E5EF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有效提升</w:t>
            </w:r>
          </w:p>
        </w:tc>
        <w:tc>
          <w:tcPr>
            <w:tcW w:w="245" w:type="pct"/>
            <w:shd w:val="clear" w:color="auto" w:fill="auto"/>
            <w:noWrap/>
            <w:vAlign w:val="center"/>
          </w:tcPr>
          <w:p w14:paraId="051345D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10.00 </w:t>
            </w:r>
          </w:p>
        </w:tc>
        <w:tc>
          <w:tcPr>
            <w:tcW w:w="234" w:type="pct"/>
            <w:shd w:val="clear" w:color="auto" w:fill="auto"/>
            <w:noWrap/>
            <w:vAlign w:val="center"/>
          </w:tcPr>
          <w:p w14:paraId="5D39726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10.00 </w:t>
            </w:r>
          </w:p>
        </w:tc>
        <w:tc>
          <w:tcPr>
            <w:tcW w:w="280" w:type="pct"/>
            <w:shd w:val="clear" w:color="auto" w:fill="auto"/>
            <w:vAlign w:val="center"/>
          </w:tcPr>
          <w:p w14:paraId="5B5039A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0EA51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19D1DC2C">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3621604E">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36A7DA7B">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D12提升公共服务供给效率</w:t>
            </w:r>
          </w:p>
        </w:tc>
        <w:tc>
          <w:tcPr>
            <w:tcW w:w="899" w:type="pct"/>
            <w:shd w:val="clear" w:color="auto" w:fill="auto"/>
            <w:vAlign w:val="center"/>
          </w:tcPr>
          <w:p w14:paraId="601192E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政府购买服务项目实施后，提升公共服务供给效率</w:t>
            </w:r>
          </w:p>
        </w:tc>
        <w:tc>
          <w:tcPr>
            <w:tcW w:w="1689" w:type="pct"/>
            <w:shd w:val="clear" w:color="auto" w:fill="auto"/>
            <w:vAlign w:val="center"/>
          </w:tcPr>
          <w:p w14:paraId="49823BF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根据问卷调查情况进行评分，指标完成率=∑样本数（“有效提高”×1.0+“有所提高”×0.8+“一 般”×0.6+“提高效果较小”×0.3+“无效果”×0）/总样本数×100.00%，实际完成值分为基本达成目标、部分实现目标、实现目标程度较低三个档次，并分别按照该指标对应分值区间 100.00%-80.00%（含）、80.00%-60.00%（含）、60.00%-0.00%合理确定分值。</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①指标完成率在100.00%-80.00%之间，得满分；</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②指标完成率在80.00%-60.00%之间，得分=指标完成率×标杆分值；</w:t>
            </w:r>
            <w:r>
              <w:rPr>
                <w:rFonts w:hint="default" w:ascii="Times New Roman" w:hAnsi="Times New Roman" w:eastAsia="宋体" w:cs="Times New Roman"/>
                <w:i w:val="0"/>
                <w:iCs w:val="0"/>
                <w:color w:val="000000"/>
                <w:kern w:val="0"/>
                <w:sz w:val="18"/>
                <w:szCs w:val="18"/>
                <w:u w:val="none"/>
                <w:lang w:val="en-US" w:eastAsia="zh-CN" w:bidi="ar"/>
              </w:rPr>
              <w:br w:type="textWrapping"/>
            </w:r>
            <w:r>
              <w:rPr>
                <w:rFonts w:hint="default" w:ascii="Times New Roman" w:hAnsi="Times New Roman" w:eastAsia="宋体" w:cs="Times New Roman"/>
                <w:i w:val="0"/>
                <w:iCs w:val="0"/>
                <w:color w:val="000000"/>
                <w:kern w:val="0"/>
                <w:sz w:val="18"/>
                <w:szCs w:val="18"/>
                <w:u w:val="none"/>
                <w:lang w:val="en-US" w:eastAsia="zh-CN" w:bidi="ar"/>
              </w:rPr>
              <w:t>③指标完成率小于60.00%为不及格，不得分。</w:t>
            </w:r>
          </w:p>
        </w:tc>
        <w:tc>
          <w:tcPr>
            <w:tcW w:w="326" w:type="pct"/>
            <w:shd w:val="clear" w:color="auto" w:fill="auto"/>
            <w:vAlign w:val="center"/>
          </w:tcPr>
          <w:p w14:paraId="7EDD048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有效提升</w:t>
            </w:r>
          </w:p>
        </w:tc>
        <w:tc>
          <w:tcPr>
            <w:tcW w:w="421" w:type="pct"/>
            <w:shd w:val="clear" w:color="auto" w:fill="auto"/>
            <w:vAlign w:val="center"/>
          </w:tcPr>
          <w:p w14:paraId="47D37D3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有效提升</w:t>
            </w:r>
          </w:p>
        </w:tc>
        <w:tc>
          <w:tcPr>
            <w:tcW w:w="245" w:type="pct"/>
            <w:shd w:val="clear" w:color="auto" w:fill="auto"/>
            <w:noWrap/>
            <w:vAlign w:val="center"/>
          </w:tcPr>
          <w:p w14:paraId="125BEBC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10.00 </w:t>
            </w:r>
          </w:p>
        </w:tc>
        <w:tc>
          <w:tcPr>
            <w:tcW w:w="234" w:type="pct"/>
            <w:shd w:val="clear" w:color="auto" w:fill="auto"/>
            <w:noWrap/>
            <w:vAlign w:val="center"/>
          </w:tcPr>
          <w:p w14:paraId="46F8AEE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10.00 </w:t>
            </w:r>
          </w:p>
        </w:tc>
        <w:tc>
          <w:tcPr>
            <w:tcW w:w="280" w:type="pct"/>
            <w:shd w:val="clear" w:color="auto" w:fill="auto"/>
            <w:vAlign w:val="center"/>
          </w:tcPr>
          <w:p w14:paraId="213E2A8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61CAC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306E1511">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restart"/>
            <w:shd w:val="clear" w:color="auto" w:fill="auto"/>
            <w:vAlign w:val="center"/>
          </w:tcPr>
          <w:p w14:paraId="115ADCF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D2服务对象满意度指标（10.00分）</w:t>
            </w:r>
          </w:p>
        </w:tc>
        <w:tc>
          <w:tcPr>
            <w:tcW w:w="378" w:type="pct"/>
            <w:shd w:val="clear" w:color="auto" w:fill="auto"/>
            <w:vAlign w:val="center"/>
          </w:tcPr>
          <w:p w14:paraId="6518E9AB">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D21购买主体满意度</w:t>
            </w:r>
          </w:p>
        </w:tc>
        <w:tc>
          <w:tcPr>
            <w:tcW w:w="899" w:type="pct"/>
            <w:shd w:val="clear" w:color="auto" w:fill="auto"/>
            <w:vAlign w:val="center"/>
          </w:tcPr>
          <w:p w14:paraId="66A299CB">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用以反映和考核社会公众或服务对象对项目实施效果的满意程度</w:t>
            </w:r>
          </w:p>
        </w:tc>
        <w:tc>
          <w:tcPr>
            <w:tcW w:w="1689" w:type="pct"/>
            <w:shd w:val="clear" w:color="auto" w:fill="auto"/>
            <w:vAlign w:val="center"/>
          </w:tcPr>
          <w:p w14:paraId="5FC093D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据满意度问卷统计情况计算满意度，满意度调查结果大于等于 90%，得满分：满意度调查结果大于 60%且小于 90%的，按超过的比重赋分，计算公式为：得分=（实际完成率-60%</w:t>
            </w:r>
            <w:r>
              <w:rPr>
                <w:rFonts w:hint="eastAsia" w:ascii="Times New Roman" w:hAnsi="Times New Roman" w:eastAsia="宋体"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/(1-60%)x指标分值：完成率小于 60%为不及格，不得分。</w:t>
            </w:r>
          </w:p>
        </w:tc>
        <w:tc>
          <w:tcPr>
            <w:tcW w:w="326" w:type="pct"/>
            <w:shd w:val="clear" w:color="auto" w:fill="auto"/>
            <w:vAlign w:val="center"/>
          </w:tcPr>
          <w:p w14:paraId="293F61F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≥90%</w:t>
            </w:r>
          </w:p>
        </w:tc>
        <w:tc>
          <w:tcPr>
            <w:tcW w:w="421" w:type="pct"/>
            <w:shd w:val="clear" w:color="auto" w:fill="auto"/>
            <w:noWrap/>
            <w:vAlign w:val="center"/>
          </w:tcPr>
          <w:p w14:paraId="327B146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c>
          <w:tcPr>
            <w:tcW w:w="245" w:type="pct"/>
            <w:shd w:val="clear" w:color="auto" w:fill="auto"/>
            <w:noWrap/>
            <w:vAlign w:val="center"/>
          </w:tcPr>
          <w:p w14:paraId="7FAA610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5.00 </w:t>
            </w:r>
          </w:p>
        </w:tc>
        <w:tc>
          <w:tcPr>
            <w:tcW w:w="234" w:type="pct"/>
            <w:shd w:val="clear" w:color="auto" w:fill="auto"/>
            <w:noWrap/>
            <w:vAlign w:val="center"/>
          </w:tcPr>
          <w:p w14:paraId="2FA1F4F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5.00 </w:t>
            </w:r>
          </w:p>
        </w:tc>
        <w:tc>
          <w:tcPr>
            <w:tcW w:w="280" w:type="pct"/>
            <w:shd w:val="clear" w:color="auto" w:fill="auto"/>
            <w:vAlign w:val="center"/>
          </w:tcPr>
          <w:p w14:paraId="0D4D712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497D20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241" w:type="pct"/>
            <w:vMerge w:val="continue"/>
            <w:shd w:val="clear" w:color="auto" w:fill="auto"/>
            <w:vAlign w:val="center"/>
          </w:tcPr>
          <w:p w14:paraId="120F4CB0">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82" w:type="pct"/>
            <w:vMerge w:val="continue"/>
            <w:shd w:val="clear" w:color="auto" w:fill="auto"/>
            <w:vAlign w:val="center"/>
          </w:tcPr>
          <w:p w14:paraId="2C8483D6">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378" w:type="pct"/>
            <w:shd w:val="clear" w:color="auto" w:fill="auto"/>
            <w:vAlign w:val="center"/>
          </w:tcPr>
          <w:p w14:paraId="0D9CD7E1">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D22社会公众满意度</w:t>
            </w:r>
          </w:p>
        </w:tc>
        <w:tc>
          <w:tcPr>
            <w:tcW w:w="899" w:type="pct"/>
            <w:shd w:val="clear" w:color="auto" w:fill="auto"/>
            <w:vAlign w:val="center"/>
          </w:tcPr>
          <w:p w14:paraId="3816C5DD">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用以反映和考核社会公众或服务对象对项目实施效果的满意程度</w:t>
            </w:r>
          </w:p>
        </w:tc>
        <w:tc>
          <w:tcPr>
            <w:tcW w:w="1689" w:type="pct"/>
            <w:shd w:val="clear" w:color="auto" w:fill="auto"/>
            <w:vAlign w:val="center"/>
          </w:tcPr>
          <w:p w14:paraId="4A556666">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据满意度问卷统计情况计算满意度，满意度调查结果大于等于 90%，得满分：满意度调查结果大于 60%且小于 90%的，按超过的比重赋分，计算公式为：得分=（实际完成率-60%</w:t>
            </w:r>
            <w:r>
              <w:rPr>
                <w:rFonts w:hint="eastAsia" w:ascii="Times New Roman" w:hAnsi="Times New Roman" w:eastAsia="宋体"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/(1-60%)x指标分值：完成率小于 60%为不及格，不得分。</w:t>
            </w:r>
          </w:p>
        </w:tc>
        <w:tc>
          <w:tcPr>
            <w:tcW w:w="326" w:type="pct"/>
            <w:shd w:val="clear" w:color="auto" w:fill="auto"/>
            <w:vAlign w:val="center"/>
          </w:tcPr>
          <w:p w14:paraId="6BD7F2F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≥90%</w:t>
            </w:r>
          </w:p>
        </w:tc>
        <w:tc>
          <w:tcPr>
            <w:tcW w:w="421" w:type="pct"/>
            <w:shd w:val="clear" w:color="auto" w:fill="auto"/>
            <w:noWrap/>
            <w:vAlign w:val="center"/>
          </w:tcPr>
          <w:p w14:paraId="710E04E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92.61%</w:t>
            </w:r>
          </w:p>
        </w:tc>
        <w:tc>
          <w:tcPr>
            <w:tcW w:w="245" w:type="pct"/>
            <w:shd w:val="clear" w:color="auto" w:fill="auto"/>
            <w:noWrap/>
            <w:vAlign w:val="center"/>
          </w:tcPr>
          <w:p w14:paraId="23F4449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5.00 </w:t>
            </w:r>
          </w:p>
        </w:tc>
        <w:tc>
          <w:tcPr>
            <w:tcW w:w="234" w:type="pct"/>
            <w:shd w:val="clear" w:color="auto" w:fill="auto"/>
            <w:noWrap/>
            <w:vAlign w:val="center"/>
          </w:tcPr>
          <w:p w14:paraId="22FD5E6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5.00 </w:t>
            </w:r>
          </w:p>
        </w:tc>
        <w:tc>
          <w:tcPr>
            <w:tcW w:w="280" w:type="pct"/>
            <w:shd w:val="clear" w:color="auto" w:fill="auto"/>
            <w:vAlign w:val="center"/>
          </w:tcPr>
          <w:p w14:paraId="283E4B4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100.00%</w:t>
            </w:r>
          </w:p>
        </w:tc>
      </w:tr>
      <w:tr w14:paraId="5205E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283" w:hRule="atLeast"/>
        </w:trPr>
        <w:tc>
          <w:tcPr>
            <w:tcW w:w="3491" w:type="pct"/>
            <w:gridSpan w:val="5"/>
            <w:shd w:val="clear" w:color="auto" w:fill="auto"/>
            <w:vAlign w:val="center"/>
          </w:tcPr>
          <w:p w14:paraId="7EC0CBA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小计</w:t>
            </w:r>
          </w:p>
        </w:tc>
        <w:tc>
          <w:tcPr>
            <w:tcW w:w="326" w:type="pct"/>
            <w:shd w:val="clear" w:color="auto" w:fill="auto"/>
            <w:vAlign w:val="center"/>
          </w:tcPr>
          <w:p w14:paraId="574050E5">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421" w:type="pct"/>
            <w:shd w:val="clear" w:color="auto" w:fill="auto"/>
            <w:noWrap/>
            <w:vAlign w:val="center"/>
          </w:tcPr>
          <w:p w14:paraId="2C44939B">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45" w:type="pct"/>
            <w:shd w:val="clear" w:color="auto" w:fill="auto"/>
            <w:noWrap/>
            <w:vAlign w:val="center"/>
          </w:tcPr>
          <w:p w14:paraId="786B46F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 xml:space="preserve">30.00 </w:t>
            </w:r>
          </w:p>
        </w:tc>
        <w:tc>
          <w:tcPr>
            <w:tcW w:w="234" w:type="pct"/>
            <w:shd w:val="clear" w:color="auto" w:fill="auto"/>
            <w:noWrap/>
            <w:vAlign w:val="center"/>
          </w:tcPr>
          <w:p w14:paraId="7BFDC17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 xml:space="preserve">30.00 </w:t>
            </w:r>
          </w:p>
        </w:tc>
        <w:tc>
          <w:tcPr>
            <w:tcW w:w="280" w:type="pct"/>
            <w:shd w:val="clear" w:color="auto" w:fill="auto"/>
            <w:vAlign w:val="center"/>
          </w:tcPr>
          <w:p w14:paraId="243D2CF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100.00%</w:t>
            </w:r>
          </w:p>
        </w:tc>
      </w:tr>
      <w:tr w14:paraId="5FFA9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83" w:hRule="atLeast"/>
        </w:trPr>
        <w:tc>
          <w:tcPr>
            <w:tcW w:w="3491" w:type="pct"/>
            <w:gridSpan w:val="5"/>
            <w:shd w:val="clear" w:color="auto" w:fill="auto"/>
            <w:noWrap/>
            <w:vAlign w:val="center"/>
          </w:tcPr>
          <w:p w14:paraId="3A96301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合计</w:t>
            </w:r>
          </w:p>
        </w:tc>
        <w:tc>
          <w:tcPr>
            <w:tcW w:w="326" w:type="pct"/>
            <w:shd w:val="clear" w:color="auto" w:fill="auto"/>
            <w:vAlign w:val="center"/>
          </w:tcPr>
          <w:p w14:paraId="4F1F2E49">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421" w:type="pct"/>
            <w:shd w:val="clear" w:color="auto" w:fill="auto"/>
            <w:noWrap/>
            <w:vAlign w:val="center"/>
          </w:tcPr>
          <w:p w14:paraId="2659F7CC">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宋体" w:cs="Times New Roman"/>
                <w:i w:val="0"/>
                <w:iCs w:val="0"/>
                <w:color w:val="000000"/>
                <w:sz w:val="18"/>
                <w:szCs w:val="18"/>
                <w:u w:val="none"/>
              </w:rPr>
            </w:pPr>
          </w:p>
        </w:tc>
        <w:tc>
          <w:tcPr>
            <w:tcW w:w="245" w:type="pct"/>
            <w:shd w:val="clear" w:color="auto" w:fill="auto"/>
            <w:noWrap/>
            <w:vAlign w:val="center"/>
          </w:tcPr>
          <w:p w14:paraId="4E17854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 xml:space="preserve">100.00 </w:t>
            </w:r>
          </w:p>
        </w:tc>
        <w:tc>
          <w:tcPr>
            <w:tcW w:w="234" w:type="pct"/>
            <w:shd w:val="clear" w:color="auto" w:fill="auto"/>
            <w:noWrap/>
            <w:vAlign w:val="center"/>
          </w:tcPr>
          <w:p w14:paraId="555B42B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u w:val="none"/>
                <w:lang w:val="en-US" w:eastAsia="zh-CN" w:bidi="ar"/>
              </w:rPr>
            </w:pPr>
            <w:r>
              <w:rPr>
                <w:rFonts w:hint="eastAsia" w:eastAsia="宋体" w:cs="Times New Roman"/>
                <w:b/>
                <w:bCs/>
                <w:i w:val="0"/>
                <w:iCs w:val="0"/>
                <w:color w:val="000000"/>
                <w:kern w:val="0"/>
                <w:sz w:val="18"/>
                <w:szCs w:val="18"/>
                <w:u w:val="none"/>
                <w:lang w:val="en-US" w:eastAsia="zh-CN" w:bidi="ar"/>
              </w:rPr>
              <w:t>92.50</w:t>
            </w:r>
            <w:r>
              <w:rPr>
                <w:rFonts w:hint="default" w:ascii="Times New Roman" w:hAnsi="Times New Roman" w:eastAsia="宋体" w:cs="Times New Roman"/>
                <w:b/>
                <w:bCs/>
                <w:i w:val="0"/>
                <w:iCs w:val="0"/>
                <w:color w:val="000000"/>
                <w:kern w:val="0"/>
                <w:sz w:val="18"/>
                <w:szCs w:val="18"/>
                <w:u w:val="none"/>
                <w:lang w:val="en-US" w:eastAsia="zh-CN" w:bidi="ar"/>
              </w:rPr>
              <w:t xml:space="preserve"> </w:t>
            </w:r>
          </w:p>
        </w:tc>
        <w:tc>
          <w:tcPr>
            <w:tcW w:w="280" w:type="pct"/>
            <w:shd w:val="clear" w:color="auto" w:fill="auto"/>
            <w:vAlign w:val="center"/>
          </w:tcPr>
          <w:p w14:paraId="369A210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u w:val="none"/>
                <w:lang w:val="en-US" w:eastAsia="zh-CN" w:bidi="ar"/>
              </w:rPr>
            </w:pPr>
            <w:r>
              <w:rPr>
                <w:rFonts w:hint="eastAsia" w:eastAsia="宋体" w:cs="Times New Roman"/>
                <w:b/>
                <w:bCs/>
                <w:i w:val="0"/>
                <w:iCs w:val="0"/>
                <w:color w:val="000000"/>
                <w:kern w:val="0"/>
                <w:sz w:val="18"/>
                <w:szCs w:val="18"/>
                <w:u w:val="none"/>
                <w:lang w:val="en-US" w:eastAsia="zh-CN" w:bidi="ar"/>
              </w:rPr>
              <w:t>92.50</w:t>
            </w:r>
            <w:r>
              <w:rPr>
                <w:rFonts w:hint="default" w:ascii="Times New Roman" w:hAnsi="Times New Roman" w:eastAsia="宋体" w:cs="Times New Roman"/>
                <w:b/>
                <w:bCs/>
                <w:i w:val="0"/>
                <w:iCs w:val="0"/>
                <w:color w:val="000000"/>
                <w:kern w:val="0"/>
                <w:sz w:val="18"/>
                <w:szCs w:val="18"/>
                <w:u w:val="none"/>
                <w:lang w:val="en-US" w:eastAsia="zh-CN" w:bidi="ar"/>
              </w:rPr>
              <w:t>%</w:t>
            </w:r>
          </w:p>
        </w:tc>
      </w:tr>
    </w:tbl>
    <w:p w14:paraId="14B08DA5">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p>
    <w:p w14:paraId="20F8A6BA">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sectPr>
          <w:footerReference r:id="rId15" w:type="default"/>
          <w:pgSz w:w="16838" w:h="11906" w:orient="landscape"/>
          <w:pgMar w:top="1800" w:right="1440" w:bottom="1800" w:left="1440" w:header="851" w:footer="907" w:gutter="0"/>
          <w:pgNumType w:fmt="decimal"/>
          <w:cols w:space="425" w:num="1"/>
          <w:docGrid w:type="lines" w:linePitch="312" w:charSpace="0"/>
        </w:sectPr>
      </w:pPr>
    </w:p>
    <w:p w14:paraId="2F922350">
      <w:pPr>
        <w:pStyle w:val="2"/>
        <w:pageBreakBefore w:val="0"/>
        <w:kinsoku/>
        <w:wordWrap/>
        <w:overflowPunct/>
        <w:topLinePunct w:val="0"/>
        <w:autoSpaceDE/>
        <w:autoSpaceDN/>
        <w:bidi w:val="0"/>
        <w:snapToGrid w:val="0"/>
        <w:spacing w:before="0" w:after="0" w:line="360" w:lineRule="auto"/>
        <w:ind w:firstLine="0" w:firstLineChars="0"/>
        <w:rPr>
          <w:rFonts w:hint="default" w:ascii="Times New Roman" w:hAnsi="Times New Roman" w:cs="Times New Roman"/>
          <w:color w:val="auto"/>
        </w:rPr>
      </w:pPr>
      <w:r>
        <w:rPr>
          <w:rFonts w:hint="default" w:ascii="Times New Roman" w:hAnsi="Times New Roman" w:cs="Times New Roman"/>
          <w:color w:val="auto"/>
        </w:rPr>
        <w:t>附件2：基础表</w:t>
      </w:r>
      <w:bookmarkEnd w:id="96"/>
      <w:bookmarkEnd w:id="97"/>
      <w:bookmarkEnd w:id="98"/>
      <w:bookmarkEnd w:id="99"/>
    </w:p>
    <w:p w14:paraId="2B83996D">
      <w:pPr>
        <w:pStyle w:val="3"/>
        <w:keepNext/>
        <w:keepLines/>
        <w:pageBreakBefore w:val="0"/>
        <w:widowControl w:val="0"/>
        <w:kinsoku/>
        <w:wordWrap/>
        <w:overflowPunct/>
        <w:topLinePunct w:val="0"/>
        <w:autoSpaceDE/>
        <w:autoSpaceDN/>
        <w:bidi w:val="0"/>
        <w:adjustRightInd w:val="0"/>
        <w:snapToGrid w:val="0"/>
        <w:spacing w:before="0" w:after="0" w:line="360" w:lineRule="auto"/>
        <w:ind w:firstLine="0" w:firstLineChars="0"/>
        <w:jc w:val="center"/>
        <w:textAlignment w:val="auto"/>
        <w:rPr>
          <w:rFonts w:hint="default" w:ascii="Times New Roman" w:hAnsi="Times New Roman" w:eastAsia="黑体" w:cs="Times New Roman"/>
          <w:b w:val="0"/>
          <w:bCs w:val="0"/>
          <w:sz w:val="24"/>
          <w:szCs w:val="24"/>
        </w:rPr>
      </w:pPr>
      <w:bookmarkStart w:id="100" w:name="_Toc29041"/>
      <w:bookmarkStart w:id="101" w:name="_Toc22741"/>
      <w:r>
        <w:rPr>
          <w:rFonts w:hint="default" w:ascii="Times New Roman" w:hAnsi="Times New Roman" w:eastAsia="黑体" w:cs="Times New Roman"/>
          <w:b w:val="0"/>
          <w:bCs w:val="0"/>
          <w:color w:val="auto"/>
          <w:lang w:val="en-US" w:eastAsia="zh-CN"/>
        </w:rPr>
        <w:t>基础表2-1：资金支出明细表</w:t>
      </w:r>
    </w:p>
    <w:bookmarkEnd w:id="100"/>
    <w:bookmarkEnd w:id="101"/>
    <w:p w14:paraId="6372C941">
      <w:pPr>
        <w:keepNext/>
        <w:keepLines/>
        <w:pageBreakBefore w:val="0"/>
        <w:widowControl w:val="0"/>
        <w:kinsoku/>
        <w:wordWrap/>
        <w:overflowPunct/>
        <w:topLinePunct w:val="0"/>
        <w:autoSpaceDE/>
        <w:autoSpaceDN/>
        <w:bidi w:val="0"/>
        <w:adjustRightInd w:val="0"/>
        <w:snapToGrid w:val="0"/>
        <w:spacing w:before="0" w:after="0" w:line="360" w:lineRule="auto"/>
        <w:ind w:firstLine="0" w:firstLineChars="0"/>
        <w:jc w:val="right"/>
        <w:textAlignment w:val="auto"/>
        <w:outlineLvl w:val="9"/>
        <w:rPr>
          <w:rFonts w:hint="default" w:ascii="Times New Roman" w:hAnsi="Times New Roman" w:cs="Times New Roman" w:eastAsiaTheme="minorEastAsia"/>
          <w:color w:val="auto"/>
          <w:lang w:val="en-US" w:eastAsia="zh-CN"/>
        </w:rPr>
      </w:pPr>
      <w:r>
        <w:rPr>
          <w:rFonts w:hint="default" w:ascii="Times New Roman" w:hAnsi="Times New Roman" w:eastAsia="黑体" w:cs="Times New Roman"/>
          <w:b w:val="0"/>
          <w:bCs w:val="0"/>
          <w:sz w:val="24"/>
          <w:szCs w:val="24"/>
          <w:lang w:val="en-US" w:eastAsia="zh-CN"/>
        </w:rPr>
        <w:t>单位：万元</w:t>
      </w:r>
    </w:p>
    <w:tbl>
      <w:tblPr>
        <w:tblStyle w:val="1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726"/>
        <w:gridCol w:w="1205"/>
        <w:gridCol w:w="1773"/>
        <w:gridCol w:w="1684"/>
        <w:gridCol w:w="1684"/>
        <w:gridCol w:w="1447"/>
      </w:tblGrid>
      <w:tr w14:paraId="2AEC6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95" w:hRule="atLeast"/>
        </w:trPr>
        <w:tc>
          <w:tcPr>
            <w:tcW w:w="426" w:type="pct"/>
            <w:shd w:val="clear" w:color="auto" w:fill="auto"/>
            <w:noWrap/>
            <w:vAlign w:val="center"/>
          </w:tcPr>
          <w:p w14:paraId="0620691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序号</w:t>
            </w:r>
          </w:p>
        </w:tc>
        <w:tc>
          <w:tcPr>
            <w:tcW w:w="707" w:type="pct"/>
            <w:shd w:val="clear" w:color="auto" w:fill="auto"/>
            <w:noWrap/>
            <w:vAlign w:val="center"/>
          </w:tcPr>
          <w:p w14:paraId="2636333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支付时间</w:t>
            </w:r>
          </w:p>
        </w:tc>
        <w:tc>
          <w:tcPr>
            <w:tcW w:w="1040" w:type="pct"/>
            <w:shd w:val="clear" w:color="auto" w:fill="auto"/>
            <w:noWrap/>
            <w:vAlign w:val="center"/>
          </w:tcPr>
          <w:p w14:paraId="248CF8A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摘要</w:t>
            </w:r>
          </w:p>
        </w:tc>
        <w:tc>
          <w:tcPr>
            <w:tcW w:w="988" w:type="pct"/>
            <w:shd w:val="clear" w:color="auto" w:fill="auto"/>
            <w:noWrap/>
            <w:vAlign w:val="center"/>
          </w:tcPr>
          <w:p w14:paraId="5F93A89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下达预算指标</w:t>
            </w:r>
          </w:p>
        </w:tc>
        <w:tc>
          <w:tcPr>
            <w:tcW w:w="988" w:type="pct"/>
            <w:shd w:val="clear" w:color="auto" w:fill="auto"/>
            <w:noWrap/>
            <w:vAlign w:val="center"/>
          </w:tcPr>
          <w:p w14:paraId="58AD641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实际支出金额</w:t>
            </w:r>
          </w:p>
        </w:tc>
        <w:tc>
          <w:tcPr>
            <w:tcW w:w="848" w:type="pct"/>
            <w:shd w:val="clear" w:color="auto" w:fill="auto"/>
            <w:noWrap/>
            <w:vAlign w:val="center"/>
          </w:tcPr>
          <w:p w14:paraId="459436F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资金支付率</w:t>
            </w:r>
          </w:p>
        </w:tc>
      </w:tr>
      <w:tr w14:paraId="3C67F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5" w:hRule="atLeast"/>
        </w:trPr>
        <w:tc>
          <w:tcPr>
            <w:tcW w:w="426" w:type="pct"/>
            <w:shd w:val="clear" w:color="auto" w:fill="auto"/>
            <w:noWrap/>
            <w:vAlign w:val="center"/>
          </w:tcPr>
          <w:p w14:paraId="3955346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c>
          <w:tcPr>
            <w:tcW w:w="707" w:type="pct"/>
            <w:shd w:val="clear" w:color="auto" w:fill="auto"/>
            <w:vAlign w:val="center"/>
          </w:tcPr>
          <w:p w14:paraId="535BBB7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2024年4月25日</w:t>
            </w:r>
          </w:p>
        </w:tc>
        <w:tc>
          <w:tcPr>
            <w:tcW w:w="1040" w:type="pct"/>
            <w:shd w:val="clear" w:color="auto" w:fill="auto"/>
            <w:vAlign w:val="center"/>
          </w:tcPr>
          <w:p w14:paraId="60D00D6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2023年第四季度城市管理服务“三位一体”委托运营项目费用</w:t>
            </w:r>
          </w:p>
        </w:tc>
        <w:tc>
          <w:tcPr>
            <w:tcW w:w="988" w:type="pct"/>
            <w:shd w:val="clear" w:color="auto" w:fill="auto"/>
            <w:noWrap/>
            <w:vAlign w:val="center"/>
          </w:tcPr>
          <w:p w14:paraId="32DF5DC9">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1,267.18 </w:t>
            </w:r>
          </w:p>
        </w:tc>
        <w:tc>
          <w:tcPr>
            <w:tcW w:w="988" w:type="pct"/>
            <w:shd w:val="clear" w:color="auto" w:fill="auto"/>
            <w:noWrap/>
            <w:vAlign w:val="center"/>
          </w:tcPr>
          <w:p w14:paraId="265C0096">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1,267.18 </w:t>
            </w:r>
          </w:p>
        </w:tc>
        <w:tc>
          <w:tcPr>
            <w:tcW w:w="848" w:type="pct"/>
            <w:shd w:val="clear" w:color="auto" w:fill="auto"/>
            <w:noWrap/>
            <w:vAlign w:val="center"/>
          </w:tcPr>
          <w:p w14:paraId="2E663BC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100.00%</w:t>
            </w:r>
          </w:p>
        </w:tc>
      </w:tr>
      <w:tr w14:paraId="0ACD3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trPr>
        <w:tc>
          <w:tcPr>
            <w:tcW w:w="426" w:type="pct"/>
            <w:shd w:val="clear" w:color="auto" w:fill="auto"/>
            <w:noWrap/>
            <w:vAlign w:val="center"/>
          </w:tcPr>
          <w:p w14:paraId="77968E7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707" w:type="pct"/>
            <w:shd w:val="clear" w:color="auto" w:fill="auto"/>
            <w:vAlign w:val="center"/>
          </w:tcPr>
          <w:p w14:paraId="1C684B7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2024年7月19日</w:t>
            </w:r>
          </w:p>
        </w:tc>
        <w:tc>
          <w:tcPr>
            <w:tcW w:w="1040" w:type="pct"/>
            <w:shd w:val="clear" w:color="auto" w:fill="auto"/>
            <w:vAlign w:val="center"/>
          </w:tcPr>
          <w:p w14:paraId="43E3C9E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2024年第一季度“三位一体”管理运营费</w:t>
            </w:r>
          </w:p>
        </w:tc>
        <w:tc>
          <w:tcPr>
            <w:tcW w:w="988" w:type="pct"/>
            <w:shd w:val="clear" w:color="auto" w:fill="auto"/>
            <w:noWrap/>
            <w:vAlign w:val="center"/>
          </w:tcPr>
          <w:p w14:paraId="778B75D2">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1,082.38 </w:t>
            </w:r>
          </w:p>
        </w:tc>
        <w:tc>
          <w:tcPr>
            <w:tcW w:w="988" w:type="pct"/>
            <w:shd w:val="clear" w:color="auto" w:fill="auto"/>
            <w:noWrap/>
            <w:vAlign w:val="center"/>
          </w:tcPr>
          <w:p w14:paraId="3D05E335">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1,082.38 </w:t>
            </w:r>
          </w:p>
        </w:tc>
        <w:tc>
          <w:tcPr>
            <w:tcW w:w="848" w:type="pct"/>
            <w:shd w:val="clear" w:color="auto" w:fill="auto"/>
            <w:noWrap/>
            <w:vAlign w:val="center"/>
          </w:tcPr>
          <w:p w14:paraId="1720887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100.00%</w:t>
            </w:r>
          </w:p>
        </w:tc>
      </w:tr>
      <w:tr w14:paraId="3C367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5" w:hRule="atLeast"/>
        </w:trPr>
        <w:tc>
          <w:tcPr>
            <w:tcW w:w="426" w:type="pct"/>
            <w:shd w:val="clear" w:color="auto" w:fill="auto"/>
            <w:noWrap/>
            <w:vAlign w:val="center"/>
          </w:tcPr>
          <w:p w14:paraId="6409E8F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w:t>
            </w:r>
          </w:p>
        </w:tc>
        <w:tc>
          <w:tcPr>
            <w:tcW w:w="707" w:type="pct"/>
            <w:shd w:val="clear" w:color="auto" w:fill="auto"/>
            <w:vAlign w:val="center"/>
          </w:tcPr>
          <w:p w14:paraId="29C8E18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2024年8月31日</w:t>
            </w:r>
          </w:p>
        </w:tc>
        <w:tc>
          <w:tcPr>
            <w:tcW w:w="1040" w:type="pct"/>
            <w:shd w:val="clear" w:color="auto" w:fill="auto"/>
            <w:vAlign w:val="center"/>
          </w:tcPr>
          <w:p w14:paraId="629DAA1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2024年第一、第二季度城市管理服务</w:t>
            </w:r>
            <w:r>
              <w:rPr>
                <w:rFonts w:hint="eastAsia" w:ascii="Times New Roman" w:hAnsi="Times New Roman" w:eastAsia="仿宋" w:cs="Times New Roman"/>
                <w:i w:val="0"/>
                <w:iCs w:val="0"/>
                <w:color w:val="auto"/>
                <w:kern w:val="0"/>
                <w:sz w:val="21"/>
                <w:szCs w:val="21"/>
                <w:u w:val="none"/>
                <w:lang w:val="en-US" w:eastAsia="zh-CN" w:bidi="ar"/>
              </w:rPr>
              <w:t>“</w:t>
            </w:r>
            <w:r>
              <w:rPr>
                <w:rFonts w:hint="default" w:ascii="Times New Roman" w:hAnsi="Times New Roman" w:eastAsia="仿宋" w:cs="Times New Roman"/>
                <w:i w:val="0"/>
                <w:iCs w:val="0"/>
                <w:color w:val="auto"/>
                <w:kern w:val="0"/>
                <w:sz w:val="21"/>
                <w:szCs w:val="21"/>
                <w:u w:val="none"/>
                <w:lang w:val="en-US" w:eastAsia="zh-CN" w:bidi="ar"/>
              </w:rPr>
              <w:t>三位一体</w:t>
            </w:r>
            <w:r>
              <w:rPr>
                <w:rFonts w:hint="eastAsia" w:ascii="Times New Roman" w:hAnsi="Times New Roman" w:eastAsia="仿宋" w:cs="Times New Roman"/>
                <w:i w:val="0"/>
                <w:iCs w:val="0"/>
                <w:color w:val="auto"/>
                <w:kern w:val="0"/>
                <w:sz w:val="21"/>
                <w:szCs w:val="21"/>
                <w:u w:val="none"/>
                <w:lang w:val="en-US" w:eastAsia="zh-CN" w:bidi="ar"/>
              </w:rPr>
              <w:t>”</w:t>
            </w:r>
            <w:r>
              <w:rPr>
                <w:rFonts w:hint="default" w:ascii="Times New Roman" w:hAnsi="Times New Roman" w:eastAsia="仿宋" w:cs="Times New Roman"/>
                <w:i w:val="0"/>
                <w:iCs w:val="0"/>
                <w:color w:val="auto"/>
                <w:kern w:val="0"/>
                <w:sz w:val="21"/>
                <w:szCs w:val="21"/>
                <w:u w:val="none"/>
                <w:lang w:val="en-US" w:eastAsia="zh-CN" w:bidi="ar"/>
              </w:rPr>
              <w:t>新增道路清扫保洁及冬季除雪项目费用</w:t>
            </w:r>
          </w:p>
        </w:tc>
        <w:tc>
          <w:tcPr>
            <w:tcW w:w="988" w:type="pct"/>
            <w:shd w:val="clear" w:color="auto" w:fill="auto"/>
            <w:noWrap/>
            <w:vAlign w:val="center"/>
          </w:tcPr>
          <w:p w14:paraId="416DE7EC">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100.00 </w:t>
            </w:r>
          </w:p>
        </w:tc>
        <w:tc>
          <w:tcPr>
            <w:tcW w:w="988" w:type="pct"/>
            <w:shd w:val="clear" w:color="auto" w:fill="auto"/>
            <w:noWrap/>
            <w:vAlign w:val="center"/>
          </w:tcPr>
          <w:p w14:paraId="486CB79E">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100.00 </w:t>
            </w:r>
          </w:p>
        </w:tc>
        <w:tc>
          <w:tcPr>
            <w:tcW w:w="848" w:type="pct"/>
            <w:shd w:val="clear" w:color="auto" w:fill="auto"/>
            <w:noWrap/>
            <w:vAlign w:val="center"/>
          </w:tcPr>
          <w:p w14:paraId="5DB1D7B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100.00%</w:t>
            </w:r>
          </w:p>
        </w:tc>
      </w:tr>
      <w:tr w14:paraId="7D426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5" w:hRule="atLeast"/>
        </w:trPr>
        <w:tc>
          <w:tcPr>
            <w:tcW w:w="426" w:type="pct"/>
            <w:shd w:val="clear" w:color="auto" w:fill="auto"/>
            <w:noWrap/>
            <w:vAlign w:val="center"/>
          </w:tcPr>
          <w:p w14:paraId="73C9E16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w:t>
            </w:r>
          </w:p>
        </w:tc>
        <w:tc>
          <w:tcPr>
            <w:tcW w:w="707" w:type="pct"/>
            <w:shd w:val="clear" w:color="auto" w:fill="auto"/>
            <w:vAlign w:val="center"/>
          </w:tcPr>
          <w:p w14:paraId="4EF7F05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2024年8月31日</w:t>
            </w:r>
          </w:p>
        </w:tc>
        <w:tc>
          <w:tcPr>
            <w:tcW w:w="1040" w:type="pct"/>
            <w:shd w:val="clear" w:color="auto" w:fill="auto"/>
            <w:vAlign w:val="center"/>
          </w:tcPr>
          <w:p w14:paraId="251B6DC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2024年第二季度城市管理服务“三位一体”委托运营项目费用</w:t>
            </w:r>
          </w:p>
        </w:tc>
        <w:tc>
          <w:tcPr>
            <w:tcW w:w="988" w:type="pct"/>
            <w:shd w:val="clear" w:color="auto" w:fill="auto"/>
            <w:noWrap/>
            <w:vAlign w:val="center"/>
          </w:tcPr>
          <w:p w14:paraId="6913CD49">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1,075.33 </w:t>
            </w:r>
          </w:p>
        </w:tc>
        <w:tc>
          <w:tcPr>
            <w:tcW w:w="988" w:type="pct"/>
            <w:shd w:val="clear" w:color="auto" w:fill="auto"/>
            <w:noWrap/>
            <w:vAlign w:val="center"/>
          </w:tcPr>
          <w:p w14:paraId="51FAAD68">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1,075.33 </w:t>
            </w:r>
          </w:p>
        </w:tc>
        <w:tc>
          <w:tcPr>
            <w:tcW w:w="848" w:type="pct"/>
            <w:shd w:val="clear" w:color="auto" w:fill="auto"/>
            <w:noWrap/>
            <w:vAlign w:val="center"/>
          </w:tcPr>
          <w:p w14:paraId="7792CE4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100.00%</w:t>
            </w:r>
          </w:p>
        </w:tc>
      </w:tr>
      <w:tr w14:paraId="226C2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5" w:hRule="atLeast"/>
        </w:trPr>
        <w:tc>
          <w:tcPr>
            <w:tcW w:w="426" w:type="pct"/>
            <w:shd w:val="clear" w:color="auto" w:fill="auto"/>
            <w:noWrap/>
            <w:vAlign w:val="center"/>
          </w:tcPr>
          <w:p w14:paraId="780DA53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w:t>
            </w:r>
          </w:p>
        </w:tc>
        <w:tc>
          <w:tcPr>
            <w:tcW w:w="707" w:type="pct"/>
            <w:shd w:val="clear" w:color="auto" w:fill="auto"/>
            <w:vAlign w:val="center"/>
          </w:tcPr>
          <w:p w14:paraId="5096C9C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2024年9月30日</w:t>
            </w:r>
          </w:p>
        </w:tc>
        <w:tc>
          <w:tcPr>
            <w:tcW w:w="1040" w:type="pct"/>
            <w:shd w:val="clear" w:color="auto" w:fill="auto"/>
            <w:vAlign w:val="center"/>
          </w:tcPr>
          <w:p w14:paraId="67434AA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2024年第三季度城市管理服务“三位一体”委托运营项目费用</w:t>
            </w:r>
          </w:p>
        </w:tc>
        <w:tc>
          <w:tcPr>
            <w:tcW w:w="988" w:type="pct"/>
            <w:shd w:val="clear" w:color="auto" w:fill="auto"/>
            <w:noWrap/>
            <w:vAlign w:val="center"/>
          </w:tcPr>
          <w:p w14:paraId="0FAC268E">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300.00 </w:t>
            </w:r>
          </w:p>
        </w:tc>
        <w:tc>
          <w:tcPr>
            <w:tcW w:w="988" w:type="pct"/>
            <w:shd w:val="clear" w:color="auto" w:fill="auto"/>
            <w:noWrap/>
            <w:vAlign w:val="center"/>
          </w:tcPr>
          <w:p w14:paraId="7AFB08B1">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300.00 </w:t>
            </w:r>
          </w:p>
        </w:tc>
        <w:tc>
          <w:tcPr>
            <w:tcW w:w="848" w:type="pct"/>
            <w:shd w:val="clear" w:color="auto" w:fill="auto"/>
            <w:noWrap/>
            <w:vAlign w:val="center"/>
          </w:tcPr>
          <w:p w14:paraId="685735C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100.00%</w:t>
            </w:r>
          </w:p>
        </w:tc>
      </w:tr>
      <w:tr w14:paraId="12731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5" w:hRule="atLeast"/>
        </w:trPr>
        <w:tc>
          <w:tcPr>
            <w:tcW w:w="426" w:type="pct"/>
            <w:shd w:val="clear" w:color="auto" w:fill="auto"/>
            <w:noWrap/>
            <w:vAlign w:val="center"/>
          </w:tcPr>
          <w:p w14:paraId="72287C24">
            <w:pPr>
              <w:keepNext w:val="0"/>
              <w:keepLines w:val="0"/>
              <w:pageBreakBefore w:val="0"/>
              <w:widowControl/>
              <w:kinsoku/>
              <w:wordWrap/>
              <w:overflowPunct/>
              <w:topLinePunct w:val="0"/>
              <w:autoSpaceDE/>
              <w:autoSpaceDN/>
              <w:bidi w:val="0"/>
              <w:spacing w:line="240" w:lineRule="auto"/>
              <w:ind w:firstLine="0" w:firstLineChars="0"/>
              <w:jc w:val="center"/>
              <w:rPr>
                <w:rFonts w:hint="eastAsia" w:ascii="Times New Roman" w:hAnsi="Times New Roman" w:eastAsia="仿宋" w:cs="Times New Roman"/>
                <w:i w:val="0"/>
                <w:iCs w:val="0"/>
                <w:color w:val="auto"/>
                <w:sz w:val="21"/>
                <w:szCs w:val="21"/>
                <w:u w:val="none"/>
                <w:lang w:val="en-US" w:eastAsia="zh-CN"/>
              </w:rPr>
            </w:pPr>
            <w:r>
              <w:rPr>
                <w:rFonts w:hint="eastAsia" w:eastAsia="仿宋" w:cs="Times New Roman"/>
                <w:i w:val="0"/>
                <w:iCs w:val="0"/>
                <w:color w:val="auto"/>
                <w:sz w:val="21"/>
                <w:szCs w:val="21"/>
                <w:u w:val="none"/>
                <w:lang w:val="en-US" w:eastAsia="zh-CN"/>
              </w:rPr>
              <w:t>6</w:t>
            </w:r>
          </w:p>
        </w:tc>
        <w:tc>
          <w:tcPr>
            <w:tcW w:w="707" w:type="pct"/>
            <w:shd w:val="clear" w:color="auto" w:fill="auto"/>
            <w:vAlign w:val="center"/>
          </w:tcPr>
          <w:p w14:paraId="0DF9AF6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2024年11月19日</w:t>
            </w:r>
          </w:p>
        </w:tc>
        <w:tc>
          <w:tcPr>
            <w:tcW w:w="1040" w:type="pct"/>
            <w:shd w:val="clear" w:color="auto" w:fill="auto"/>
            <w:vAlign w:val="center"/>
          </w:tcPr>
          <w:p w14:paraId="4644BA3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2024年第三季度城市管理服务“三位一体”委托运营项目费用</w:t>
            </w:r>
          </w:p>
        </w:tc>
        <w:tc>
          <w:tcPr>
            <w:tcW w:w="988" w:type="pct"/>
            <w:shd w:val="clear" w:color="auto" w:fill="auto"/>
            <w:noWrap/>
            <w:vAlign w:val="center"/>
          </w:tcPr>
          <w:p w14:paraId="55DF0724">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781.92 </w:t>
            </w:r>
          </w:p>
        </w:tc>
        <w:tc>
          <w:tcPr>
            <w:tcW w:w="988" w:type="pct"/>
            <w:shd w:val="clear" w:color="auto" w:fill="auto"/>
            <w:noWrap/>
            <w:vAlign w:val="center"/>
          </w:tcPr>
          <w:p w14:paraId="6C044D4A">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781.92 </w:t>
            </w:r>
          </w:p>
        </w:tc>
        <w:tc>
          <w:tcPr>
            <w:tcW w:w="848" w:type="pct"/>
            <w:shd w:val="clear" w:color="auto" w:fill="auto"/>
            <w:noWrap/>
            <w:vAlign w:val="center"/>
          </w:tcPr>
          <w:p w14:paraId="410231F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100.00%</w:t>
            </w:r>
          </w:p>
        </w:tc>
      </w:tr>
      <w:tr w14:paraId="2C5D5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2173" w:type="pct"/>
            <w:gridSpan w:val="3"/>
            <w:shd w:val="clear" w:color="auto" w:fill="auto"/>
            <w:noWrap/>
            <w:vAlign w:val="center"/>
          </w:tcPr>
          <w:p w14:paraId="355ADD3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共计</w:t>
            </w:r>
          </w:p>
        </w:tc>
        <w:tc>
          <w:tcPr>
            <w:tcW w:w="988" w:type="pct"/>
            <w:shd w:val="clear" w:color="auto" w:fill="auto"/>
            <w:noWrap/>
            <w:vAlign w:val="center"/>
          </w:tcPr>
          <w:p w14:paraId="6F2E5E9B">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4,606.81 </w:t>
            </w:r>
          </w:p>
        </w:tc>
        <w:tc>
          <w:tcPr>
            <w:tcW w:w="988" w:type="pct"/>
            <w:shd w:val="clear" w:color="auto" w:fill="auto"/>
            <w:noWrap/>
            <w:vAlign w:val="center"/>
          </w:tcPr>
          <w:p w14:paraId="5E522DB4">
            <w:pPr>
              <w:keepNext w:val="0"/>
              <w:keepLines w:val="0"/>
              <w:pageBreakBefore w:val="0"/>
              <w:widowControl/>
              <w:suppressLineNumbers w:val="0"/>
              <w:kinsoku/>
              <w:wordWrap/>
              <w:overflowPunct/>
              <w:topLinePunct w:val="0"/>
              <w:autoSpaceDE/>
              <w:autoSpaceDN/>
              <w:bidi w:val="0"/>
              <w:spacing w:line="240" w:lineRule="auto"/>
              <w:ind w:firstLine="0" w:firstLineChars="0"/>
              <w:jc w:val="righ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4,606.81 </w:t>
            </w:r>
          </w:p>
        </w:tc>
        <w:tc>
          <w:tcPr>
            <w:tcW w:w="848" w:type="pct"/>
            <w:shd w:val="clear" w:color="auto" w:fill="auto"/>
            <w:noWrap/>
            <w:vAlign w:val="center"/>
          </w:tcPr>
          <w:p w14:paraId="745119A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100.00%</w:t>
            </w:r>
          </w:p>
        </w:tc>
      </w:tr>
    </w:tbl>
    <w:p w14:paraId="4461A7E0">
      <w:pPr>
        <w:rPr>
          <w:rFonts w:hint="default" w:ascii="Times New Roman" w:hAnsi="Times New Roman" w:eastAsia="黑体" w:cs="Times New Roman"/>
          <w:b w:val="0"/>
          <w:bCs w:val="0"/>
          <w:color w:val="auto"/>
          <w:lang w:val="en-US" w:eastAsia="zh-CN"/>
        </w:rPr>
      </w:pPr>
      <w:bookmarkStart w:id="102" w:name="_Toc23569"/>
      <w:bookmarkStart w:id="103" w:name="_Toc17573"/>
      <w:r>
        <w:rPr>
          <w:rFonts w:hint="default" w:ascii="Times New Roman" w:hAnsi="Times New Roman" w:eastAsia="黑体" w:cs="Times New Roman"/>
          <w:b w:val="0"/>
          <w:bCs w:val="0"/>
          <w:color w:val="auto"/>
          <w:lang w:val="en-US" w:eastAsia="zh-CN"/>
        </w:rPr>
        <w:br w:type="page"/>
      </w:r>
    </w:p>
    <w:p w14:paraId="2BA75821">
      <w:pPr>
        <w:pStyle w:val="3"/>
        <w:keepNext/>
        <w:keepLines/>
        <w:pageBreakBefore w:val="0"/>
        <w:widowControl w:val="0"/>
        <w:kinsoku/>
        <w:wordWrap/>
        <w:overflowPunct/>
        <w:topLinePunct w:val="0"/>
        <w:autoSpaceDE/>
        <w:autoSpaceDN/>
        <w:bidi w:val="0"/>
        <w:adjustRightInd w:val="0"/>
        <w:snapToGrid w:val="0"/>
        <w:spacing w:before="0" w:after="0" w:line="360" w:lineRule="auto"/>
        <w:ind w:firstLine="0" w:firstLineChars="0"/>
        <w:jc w:val="center"/>
        <w:textAlignment w:val="auto"/>
        <w:rPr>
          <w:rFonts w:hint="default" w:ascii="Times New Roman" w:hAnsi="Times New Roman" w:eastAsia="黑体" w:cs="Times New Roman"/>
          <w:b w:val="0"/>
          <w:bCs w:val="0"/>
          <w:color w:val="auto"/>
          <w:lang w:val="en-US" w:eastAsia="zh-CN"/>
        </w:rPr>
      </w:pPr>
      <w:r>
        <w:rPr>
          <w:rFonts w:hint="default" w:ascii="Times New Roman" w:hAnsi="Times New Roman" w:eastAsia="黑体" w:cs="Times New Roman"/>
          <w:b w:val="0"/>
          <w:bCs w:val="0"/>
          <w:color w:val="auto"/>
          <w:lang w:val="en-US" w:eastAsia="zh-CN"/>
        </w:rPr>
        <w:t>基础表2-2：吉木萨尔县城区道路、绿化、裸地面积汇总表</w:t>
      </w:r>
      <w:bookmarkEnd w:id="102"/>
      <w:bookmarkEnd w:id="103"/>
    </w:p>
    <w:tbl>
      <w:tblPr>
        <w:tblStyle w:val="18"/>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14"/>
        <w:gridCol w:w="1218"/>
        <w:gridCol w:w="1218"/>
        <w:gridCol w:w="1361"/>
        <w:gridCol w:w="1218"/>
        <w:gridCol w:w="1218"/>
        <w:gridCol w:w="1075"/>
      </w:tblGrid>
      <w:tr w14:paraId="6A6547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blHeader/>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8437B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路名</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79059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主路面积（㎡）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F318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绿化面积（㎡）</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330CA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人行道面积（㎡）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7D8D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辅道面积（㎡）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F2F2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裸地面积（㎡）</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44B08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b/>
                <w:bCs/>
                <w:i w:val="0"/>
                <w:iCs w:val="0"/>
                <w:color w:val="auto"/>
                <w:sz w:val="21"/>
                <w:szCs w:val="21"/>
                <w:u w:val="none"/>
              </w:rPr>
            </w:pPr>
            <w:r>
              <w:rPr>
                <w:rFonts w:hint="default" w:ascii="Times New Roman" w:hAnsi="Times New Roman" w:eastAsia="仿宋" w:cs="Times New Roman"/>
                <w:b/>
                <w:bCs/>
                <w:i w:val="0"/>
                <w:iCs w:val="0"/>
                <w:color w:val="auto"/>
                <w:kern w:val="0"/>
                <w:sz w:val="21"/>
                <w:szCs w:val="21"/>
                <w:u w:val="none"/>
                <w:lang w:val="en-US" w:eastAsia="zh-CN" w:bidi="ar"/>
              </w:rPr>
              <w:t>独立树（㎡）</w:t>
            </w:r>
          </w:p>
        </w:tc>
      </w:tr>
      <w:tr w14:paraId="00669E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41064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满城路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A201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49861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D47B7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29261</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3B61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23367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9D50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25930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47C2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17516</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94490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185</w:t>
            </w:r>
          </w:p>
        </w:tc>
      </w:tr>
      <w:tr w14:paraId="4F0133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F3D5C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天山路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54F5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52023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76D02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12199</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5D1E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7125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F5C8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4047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EC2C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1022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5AE206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E964E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孚远路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CB5F7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40354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503A0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34212</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D892E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11381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13B42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21334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14BF7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1730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6DE5E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334</w:t>
            </w:r>
          </w:p>
        </w:tc>
      </w:tr>
      <w:tr w14:paraId="2EA91D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EF399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人民西路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E529A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92216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BB9C8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96168</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2A502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5981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3083E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25751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398EE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E8055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D3FCA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4A44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文明西路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77D91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40415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D8B1D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9468</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E996D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17729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2D5BC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AECDE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1843</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196D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00756F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E2522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文化西路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57B00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50215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6A8E2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17410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9B8C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16008</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D51E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15AE3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729</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CC42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68ED06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3A948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北庭路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FDBB0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114483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7A4C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92386</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88A2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25377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223E4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24847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8CCA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16807</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083C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524</w:t>
            </w:r>
          </w:p>
        </w:tc>
      </w:tr>
      <w:tr w14:paraId="40C1BA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84550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岑参巷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A5D52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4327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EA228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3175</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F089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5483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745BC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AAD0B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7767</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94D91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2AEF12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30B4E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红畦路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F4D4F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6271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02900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8212</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9F380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4448</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D218D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59030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3046</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E65C3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146</w:t>
            </w:r>
          </w:p>
        </w:tc>
      </w:tr>
      <w:tr w14:paraId="598AB6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897D8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建国西路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588F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16185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CFF6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5626</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0981F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6499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4405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4B609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64746</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AA81F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37558C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4869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民主巷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288E6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10951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FB88E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4415</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4433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10292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68784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B018E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1628</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11A8E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80</w:t>
            </w:r>
          </w:p>
        </w:tc>
      </w:tr>
      <w:tr w14:paraId="4325F7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DA5E4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水电巷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BC2B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4703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87658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331</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5B7D9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3619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35DD3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352F9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A364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122</w:t>
            </w:r>
          </w:p>
        </w:tc>
      </w:tr>
      <w:tr w14:paraId="700478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0642B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万花西巷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CE1D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8427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0DEA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4578</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3F539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7873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DCE8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39283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8B37C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C14AE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A32A2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西域路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0E5CE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27579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A326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43321</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2D39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2C13D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16429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61D5C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15A86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D5661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C998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晓岚巷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0E5A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8979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A1515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6089</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4C9DA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5115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FDF42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72F9F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1216</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EB7DF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570B32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D905C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准噶尔西路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8E7BF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31502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E7D6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33657</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A618C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1742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C5FB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10545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3C0FF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92DF9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482</w:t>
            </w:r>
          </w:p>
        </w:tc>
      </w:tr>
      <w:tr w14:paraId="6B67F6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07DA9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老城纬三巷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6D656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5176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E630C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371</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3AA6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2257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03ACA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8ADD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A5B7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56</w:t>
            </w:r>
          </w:p>
        </w:tc>
      </w:tr>
      <w:tr w14:paraId="18C46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64E0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老仓库巷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93273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3143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F446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622</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E0A0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2119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4F7A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095B7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CB831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112</w:t>
            </w:r>
          </w:p>
        </w:tc>
      </w:tr>
      <w:tr w14:paraId="769D6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581DE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永康巷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F4B7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3715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DAA8E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559</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034C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983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D8856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7DE1D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9041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35C31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30F2C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土管局巷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754D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1591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87429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E4513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5FF52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FC40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3678</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E923B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3BF52B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79C9D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天天家园巷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05C5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2085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F4E64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289</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2947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1952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685C2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ECCF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05314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74</w:t>
            </w:r>
          </w:p>
        </w:tc>
      </w:tr>
      <w:tr w14:paraId="3FD9D7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4C43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创新巷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88FCD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4142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ADB81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186</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C2F5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3755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1B835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6168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49633</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D26B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208</w:t>
            </w:r>
          </w:p>
        </w:tc>
      </w:tr>
      <w:tr w14:paraId="06BE94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0BF2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下新区北巷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9A7C9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9196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6203B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3144</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B5448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1050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B8291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14A3F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28665</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25A1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2A176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90CF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第一商业广场巷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A8043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6554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BE44E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2706</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DD3D5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3682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925E0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83E00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77AF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0679B7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BE420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准噶尔东路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5EBE2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75583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27FE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35787</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A8A7D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15149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3A8B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11864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99B1E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77383</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1F91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980E9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DD4D7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书院街</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2BAC6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36395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0945A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50003</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B96CC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13140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59028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17133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2E43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2314</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05DD9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411</w:t>
            </w:r>
          </w:p>
        </w:tc>
      </w:tr>
      <w:tr w14:paraId="4050FD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54636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新庭路（新）</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431F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12038</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A731D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9650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4EF87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4157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7FB0F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7005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0F586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3053</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4298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25B0E9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CB66A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锦绣路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E5791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20518</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2F802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17085</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5B4A9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5749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828FD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11160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9EA77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749</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F8F40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364</w:t>
            </w:r>
          </w:p>
        </w:tc>
      </w:tr>
      <w:tr w14:paraId="338CB1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7FC6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学府路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B7668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15624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B544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8992</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83315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5214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5CC4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7103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6B60B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8C728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333</w:t>
            </w:r>
          </w:p>
        </w:tc>
      </w:tr>
      <w:tr w14:paraId="0282A9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0F50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庭州大道</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D5FE2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68422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B339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69480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CE35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7156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3A98F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9734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14482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253385</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E7BEB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0692E6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95001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育才巷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516D4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4733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A364F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3BCFA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3154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D040E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FE283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933</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C6AD5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48E0C9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50D9B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准东路（新）</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22EBD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49153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D219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18658</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02FF1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12783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9D9BF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16010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F6583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1013</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E9CD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0C4194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68CF8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沙河巷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3F72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17090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140CF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4100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CDDD0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7981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C3C40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5656B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0032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25CCE8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0CB88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老城纬五巷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727C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1630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611A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601</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0A83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1342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8B6A4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5C094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87334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67E434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CD157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老城纬三街</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BA2C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2015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0815B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E6BE9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1609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6686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9DFF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61A09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58</w:t>
            </w:r>
          </w:p>
        </w:tc>
      </w:tr>
      <w:tr w14:paraId="267939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FC1E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团结路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F54B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45865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EE8A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6226</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D04F9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20756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8104A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4841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51883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767</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60298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4B7EB7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13273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一小东路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5ED6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4228</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4DE5F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3569</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8FD1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2873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AFDF4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C3C64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F08C1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140</w:t>
            </w:r>
          </w:p>
        </w:tc>
      </w:tr>
      <w:tr w14:paraId="20F619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645F0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老城巷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BEBA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7899</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D867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2834</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DC9E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8710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5C79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F1EB3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D53D3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144</w:t>
            </w:r>
          </w:p>
        </w:tc>
      </w:tr>
      <w:tr w14:paraId="555917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45B35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苇湖巷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1BADB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8037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5E238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154</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BBFCB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7910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66B8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89B04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2237</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74C59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196</w:t>
            </w:r>
          </w:p>
        </w:tc>
      </w:tr>
      <w:tr w14:paraId="70A0F7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52D09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文明东路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1817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71542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0DCEC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41517</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5D9C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25840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BF9C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8111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DF0D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130585</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0A6C2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470</w:t>
            </w:r>
          </w:p>
        </w:tc>
      </w:tr>
      <w:tr w14:paraId="31F435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8C910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万花东巷</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85CEC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8355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AB49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2109</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7EC4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4324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37339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699E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4ACA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3AE4A6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47735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高昌路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77123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63216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791F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7778</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79637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12341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18C5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27825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39C42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1909</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0C8FE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693F1F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E2417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人民东路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C9EC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52841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FA117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16654</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2BA01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12321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535E2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18273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8764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F3529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2BAC89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33C3E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文襄路（新）</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67DFC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17858</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48B34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4937</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8DD0B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5866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FEAC7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10296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4C30A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373A0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4F7FC2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46DF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滨河路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3F4F6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14431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889A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3939</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78B2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2256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1975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6097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D884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7D8F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212C5B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3189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建国东路（新）</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CE62C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36466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8074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13582</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D85A4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17775</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74EA6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5ED3B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431218</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551F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10EA30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099C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吉北大道（新）</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2894C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157834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3DB1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375996</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E83FA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64163</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EF96A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10302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D26F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30CA7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6F3A25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BCD74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双拥路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E044F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3371</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553F5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46807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92E10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FA07F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6ED03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660D41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A8A7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中医院路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E63CA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1900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98B3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756EB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694</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63DBC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D498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6A4D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54F019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A863A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大围合路</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FD045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5186</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C2268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EFEA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1831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508E4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BC4E2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3C02BB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9EDA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合计</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2B5B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1396322</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AA74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1102036</w:t>
            </w:r>
          </w:p>
        </w:tc>
        <w:tc>
          <w:tcPr>
            <w:tcW w:w="7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CFCA3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431100</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2AEA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294637</w:t>
            </w:r>
          </w:p>
        </w:tc>
        <w:tc>
          <w:tcPr>
            <w:tcW w:w="6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C3D45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1104550</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BF3D4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4439</w:t>
            </w:r>
          </w:p>
        </w:tc>
      </w:tr>
      <w:tr w14:paraId="59E3B7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trPr>
        <w:tc>
          <w:tcPr>
            <w:tcW w:w="10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A66328">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仿宋" w:cs="Times New Roman"/>
                <w:i w:val="0"/>
                <w:iCs w:val="0"/>
                <w:color w:val="auto"/>
                <w:sz w:val="21"/>
                <w:szCs w:val="21"/>
                <w:u w:val="none"/>
              </w:rPr>
            </w:pPr>
          </w:p>
        </w:tc>
        <w:tc>
          <w:tcPr>
            <w:tcW w:w="3424" w:type="pct"/>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4EB8C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4333084</w:t>
            </w:r>
          </w:p>
        </w:tc>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512EB0">
            <w:pPr>
              <w:keepNext w:val="0"/>
              <w:keepLines w:val="0"/>
              <w:pageBreakBefore w:val="0"/>
              <w:widowControl/>
              <w:kinsoku/>
              <w:wordWrap/>
              <w:overflowPunct/>
              <w:topLinePunct w:val="0"/>
              <w:autoSpaceDE/>
              <w:autoSpaceDN/>
              <w:bidi w:val="0"/>
              <w:spacing w:line="240" w:lineRule="auto"/>
              <w:ind w:firstLine="0" w:firstLineChars="0"/>
              <w:jc w:val="center"/>
              <w:rPr>
                <w:rFonts w:hint="default" w:ascii="Times New Roman" w:hAnsi="Times New Roman" w:eastAsia="仿宋" w:cs="Times New Roman"/>
                <w:i w:val="0"/>
                <w:iCs w:val="0"/>
                <w:color w:val="auto"/>
                <w:sz w:val="21"/>
                <w:szCs w:val="21"/>
                <w:u w:val="none"/>
              </w:rPr>
            </w:pPr>
          </w:p>
        </w:tc>
      </w:tr>
    </w:tbl>
    <w:p w14:paraId="24B47F33">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p>
    <w:p w14:paraId="2952ED70">
      <w:pPr>
        <w:rPr>
          <w:rFonts w:hint="default" w:ascii="Times New Roman" w:hAnsi="Times New Roman" w:eastAsia="黑体" w:cs="Times New Roman"/>
          <w:b w:val="0"/>
          <w:bCs w:val="0"/>
          <w:color w:val="auto"/>
          <w:lang w:val="en-US" w:eastAsia="zh-CN"/>
        </w:rPr>
      </w:pPr>
      <w:r>
        <w:rPr>
          <w:rFonts w:hint="default" w:ascii="Times New Roman" w:hAnsi="Times New Roman" w:eastAsia="黑体" w:cs="Times New Roman"/>
          <w:b w:val="0"/>
          <w:bCs w:val="0"/>
          <w:color w:val="auto"/>
          <w:lang w:val="en-US" w:eastAsia="zh-CN"/>
        </w:rPr>
        <w:br w:type="page"/>
      </w:r>
    </w:p>
    <w:p w14:paraId="4A76714A">
      <w:pPr>
        <w:pStyle w:val="3"/>
        <w:spacing w:before="0" w:after="0" w:line="360" w:lineRule="auto"/>
        <w:ind w:firstLine="0" w:firstLineChars="0"/>
        <w:jc w:val="center"/>
        <w:rPr>
          <w:rFonts w:hint="default" w:ascii="Times New Roman" w:hAnsi="Times New Roman" w:eastAsia="黑体" w:cs="Times New Roman"/>
          <w:b w:val="0"/>
          <w:bCs w:val="0"/>
          <w:color w:val="auto"/>
          <w:lang w:val="en-US" w:eastAsia="zh-CN"/>
        </w:rPr>
      </w:pPr>
      <w:r>
        <w:rPr>
          <w:rFonts w:hint="default" w:ascii="Times New Roman" w:hAnsi="Times New Roman" w:eastAsia="黑体" w:cs="Times New Roman"/>
          <w:b w:val="0"/>
          <w:bCs w:val="0"/>
          <w:color w:val="auto"/>
          <w:lang w:val="en-US" w:eastAsia="zh-CN"/>
        </w:rPr>
        <w:t>基础表2-3：维护公厕台账</w:t>
      </w:r>
    </w:p>
    <w:tbl>
      <w:tblPr>
        <w:tblStyle w:val="18"/>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81"/>
        <w:gridCol w:w="3414"/>
        <w:gridCol w:w="4024"/>
      </w:tblGrid>
      <w:tr w14:paraId="02AB45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blHeader/>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CFAD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4"/>
                <w:szCs w:val="24"/>
                <w:u w:val="none"/>
              </w:rPr>
            </w:pPr>
            <w:r>
              <w:rPr>
                <w:rFonts w:hint="default" w:ascii="Times New Roman" w:hAnsi="Times New Roman" w:eastAsia="宋体" w:cs="Times New Roman"/>
                <w:b/>
                <w:bCs/>
                <w:i w:val="0"/>
                <w:iCs w:val="0"/>
                <w:color w:val="auto"/>
                <w:kern w:val="0"/>
                <w:sz w:val="24"/>
                <w:szCs w:val="24"/>
                <w:u w:val="none"/>
                <w:lang w:val="en-US" w:eastAsia="zh-CN" w:bidi="ar"/>
              </w:rPr>
              <w:t>序号</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8A07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4"/>
                <w:szCs w:val="24"/>
                <w:u w:val="none"/>
              </w:rPr>
            </w:pPr>
            <w:r>
              <w:rPr>
                <w:rFonts w:hint="default" w:ascii="Times New Roman" w:hAnsi="Times New Roman" w:eastAsia="宋体" w:cs="Times New Roman"/>
                <w:b/>
                <w:bCs/>
                <w:i w:val="0"/>
                <w:iCs w:val="0"/>
                <w:color w:val="auto"/>
                <w:kern w:val="0"/>
                <w:sz w:val="24"/>
                <w:szCs w:val="24"/>
                <w:u w:val="none"/>
                <w:lang w:val="en-US" w:eastAsia="zh-CN" w:bidi="ar"/>
              </w:rPr>
              <w:t>公厕名称</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009CA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4"/>
                <w:szCs w:val="24"/>
                <w:u w:val="none"/>
              </w:rPr>
            </w:pPr>
            <w:r>
              <w:rPr>
                <w:rFonts w:hint="default" w:ascii="Times New Roman" w:hAnsi="Times New Roman" w:eastAsia="宋体" w:cs="Times New Roman"/>
                <w:b/>
                <w:bCs/>
                <w:i w:val="0"/>
                <w:iCs w:val="0"/>
                <w:color w:val="auto"/>
                <w:kern w:val="0"/>
                <w:sz w:val="24"/>
                <w:szCs w:val="24"/>
                <w:u w:val="none"/>
                <w:lang w:val="en-US" w:eastAsia="zh-CN" w:bidi="ar"/>
              </w:rPr>
              <w:t>位置</w:t>
            </w:r>
          </w:p>
        </w:tc>
      </w:tr>
      <w:tr w14:paraId="3F44E5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0A2C8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08F5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一幼公厕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C1393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准噶尔路一幼旁</w:t>
            </w:r>
          </w:p>
        </w:tc>
      </w:tr>
      <w:tr w14:paraId="236897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AFBA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2</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8AD83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北地村公厕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EE98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北地村小区门口</w:t>
            </w:r>
          </w:p>
        </w:tc>
      </w:tr>
      <w:tr w14:paraId="441DCC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19912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3</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22F37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老城巷公厕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CC1B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老城巷与万花东巷停车场路口</w:t>
            </w:r>
          </w:p>
        </w:tc>
      </w:tr>
      <w:tr w14:paraId="7DC5F8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11D2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4</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32A98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公务员二期公厕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D8301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公务员二期斜对面一小东路</w:t>
            </w:r>
          </w:p>
        </w:tc>
      </w:tr>
      <w:tr w14:paraId="08F83F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5F0D4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5</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5F2C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大蒜市场公厕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58C1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厦门海鲜对面</w:t>
            </w:r>
          </w:p>
        </w:tc>
      </w:tr>
      <w:tr w14:paraId="709B71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80D9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6</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A4E4D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土管局公厕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DD298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国民村镇银行旁</w:t>
            </w:r>
          </w:p>
        </w:tc>
      </w:tr>
      <w:tr w14:paraId="3EA611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9343C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7</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8230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老仓库巷公厕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C34BC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老仓库巷口</w:t>
            </w:r>
          </w:p>
        </w:tc>
      </w:tr>
      <w:tr w14:paraId="25B10B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542EF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8</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8837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高速公路口新公厕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4EDAC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高速路口旁</w:t>
            </w:r>
          </w:p>
        </w:tc>
      </w:tr>
      <w:tr w14:paraId="4FDD59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C6F0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9</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F030B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三中公厕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942C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延德园内</w:t>
            </w:r>
          </w:p>
        </w:tc>
      </w:tr>
      <w:tr w14:paraId="5D65CB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5C893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10</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1DF6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神旗公厕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543D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神旗小区路口</w:t>
            </w:r>
          </w:p>
        </w:tc>
      </w:tr>
      <w:tr w14:paraId="3348BD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C7951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11</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6673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满城路社区公厕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8436C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满城路社区旁</w:t>
            </w:r>
          </w:p>
        </w:tc>
      </w:tr>
      <w:tr w14:paraId="49556E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72A2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12</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EF328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天地园公厕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2D01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天地园停车场</w:t>
            </w:r>
          </w:p>
        </w:tc>
      </w:tr>
      <w:tr w14:paraId="7A3CA0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4642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13</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4493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文博中心公厕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D0C07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四幼路口</w:t>
            </w:r>
          </w:p>
        </w:tc>
      </w:tr>
      <w:tr w14:paraId="0D3EB8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33ECA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14</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0F2CD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二粮店巷子公厕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F525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二粮店巷子清真寺路口</w:t>
            </w:r>
          </w:p>
        </w:tc>
      </w:tr>
      <w:tr w14:paraId="7F1B9F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1D299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15</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3A158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晓岚园公厕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FB0B7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晓岚园院内</w:t>
            </w:r>
          </w:p>
        </w:tc>
      </w:tr>
      <w:tr w14:paraId="532AAB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79F8F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16</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882B2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体育场公厕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D8F8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广场对面体育场入口旁</w:t>
            </w:r>
          </w:p>
        </w:tc>
      </w:tr>
      <w:tr w14:paraId="684B0C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268A3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17</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E931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财政局公厕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8406F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财政局旁</w:t>
            </w:r>
          </w:p>
        </w:tc>
      </w:tr>
      <w:tr w14:paraId="68D19D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BD114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18</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21F2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万瑞公厕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C7168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老一中游园院子旁</w:t>
            </w:r>
          </w:p>
        </w:tc>
      </w:tr>
      <w:tr w14:paraId="6D5B19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F7F74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19</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06DAD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老电影院公厕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DB578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老电影院旁</w:t>
            </w:r>
          </w:p>
        </w:tc>
      </w:tr>
      <w:tr w14:paraId="7B8385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EF68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20</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8542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军供粮店公厕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5F4D8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天景华庭小区南大门旁</w:t>
            </w:r>
          </w:p>
        </w:tc>
      </w:tr>
      <w:tr w14:paraId="5B5386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223CF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21</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FDCA1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东方世家停车场公厕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5D51E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东方世家停车场</w:t>
            </w:r>
          </w:p>
        </w:tc>
      </w:tr>
      <w:tr w14:paraId="0FBF21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5A5C3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22</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030CF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岑参园停车场公厕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CC09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岑参园停车场</w:t>
            </w:r>
          </w:p>
        </w:tc>
      </w:tr>
      <w:tr w14:paraId="78A000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4ED1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23</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845FE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诗韵园公厕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21074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公务员二期南侧</w:t>
            </w:r>
          </w:p>
        </w:tc>
      </w:tr>
      <w:tr w14:paraId="01BF23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C51A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24</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3E51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庭州湾景观大桥西侧公厕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31E7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庭州湾景观大桥西侧</w:t>
            </w:r>
          </w:p>
        </w:tc>
      </w:tr>
      <w:tr w14:paraId="26E210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DFA1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25</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7A4BD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天山路彩虹桥北侧公厕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7FEBA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天山路彩虹桥北侧</w:t>
            </w:r>
          </w:p>
        </w:tc>
      </w:tr>
      <w:tr w14:paraId="482F07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2C31E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26</w:t>
            </w:r>
          </w:p>
        </w:tc>
        <w:tc>
          <w:tcPr>
            <w:tcW w:w="2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CE721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尚都酒店南侧停车场公厕</w:t>
            </w:r>
          </w:p>
        </w:tc>
        <w:tc>
          <w:tcPr>
            <w:tcW w:w="23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0EE66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尚都酒店南侧停车场</w:t>
            </w:r>
          </w:p>
        </w:tc>
      </w:tr>
    </w:tbl>
    <w:p w14:paraId="6AA60485">
      <w:pPr>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br w:type="page"/>
      </w:r>
    </w:p>
    <w:p w14:paraId="084BC902">
      <w:pPr>
        <w:pStyle w:val="3"/>
        <w:spacing w:before="0" w:after="0" w:line="360" w:lineRule="auto"/>
        <w:ind w:firstLine="0" w:firstLineChars="0"/>
        <w:jc w:val="center"/>
        <w:rPr>
          <w:rFonts w:hint="default" w:ascii="Times New Roman" w:hAnsi="Times New Roman" w:eastAsia="黑体" w:cs="Times New Roman"/>
          <w:b w:val="0"/>
          <w:bCs w:val="0"/>
          <w:color w:val="auto"/>
          <w:lang w:val="en-US" w:eastAsia="zh-CN"/>
        </w:rPr>
      </w:pPr>
      <w:r>
        <w:rPr>
          <w:rFonts w:hint="default" w:ascii="Times New Roman" w:hAnsi="Times New Roman" w:eastAsia="黑体" w:cs="Times New Roman"/>
          <w:b w:val="0"/>
          <w:bCs w:val="0"/>
          <w:color w:val="auto"/>
          <w:lang w:val="en-US" w:eastAsia="zh-CN"/>
        </w:rPr>
        <w:t>基础表2-4：小游园明细表</w:t>
      </w:r>
    </w:p>
    <w:tbl>
      <w:tblPr>
        <w:tblStyle w:val="18"/>
        <w:tblW w:w="4994"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881"/>
        <w:gridCol w:w="1266"/>
        <w:gridCol w:w="1692"/>
        <w:gridCol w:w="1692"/>
        <w:gridCol w:w="828"/>
        <w:gridCol w:w="881"/>
        <w:gridCol w:w="1272"/>
      </w:tblGrid>
      <w:tr w14:paraId="19A816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blHeader/>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98177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序号</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FC6F7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名称</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5341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绿化面积</w:t>
            </w:r>
            <w:r>
              <w:rPr>
                <w:rFonts w:hint="default" w:ascii="Times New Roman" w:hAnsi="Times New Roman" w:eastAsia="仿宋" w:cs="Times New Roman"/>
                <w:b/>
                <w:bCs/>
                <w:i w:val="0"/>
                <w:iCs w:val="0"/>
                <w:color w:val="auto"/>
                <w:kern w:val="0"/>
                <w:sz w:val="21"/>
                <w:szCs w:val="21"/>
                <w:u w:val="none"/>
                <w:lang w:val="en-US" w:eastAsia="zh-CN" w:bidi="ar"/>
              </w:rPr>
              <w:t>（㎡）</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71225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硬化面积</w:t>
            </w:r>
            <w:r>
              <w:rPr>
                <w:rFonts w:hint="default" w:ascii="Times New Roman" w:hAnsi="Times New Roman" w:eastAsia="仿宋" w:cs="Times New Roman"/>
                <w:b/>
                <w:bCs/>
                <w:i w:val="0"/>
                <w:iCs w:val="0"/>
                <w:color w:val="auto"/>
                <w:kern w:val="0"/>
                <w:sz w:val="21"/>
                <w:szCs w:val="21"/>
                <w:u w:val="none"/>
                <w:lang w:val="en-US" w:eastAsia="zh-CN" w:bidi="ar"/>
              </w:rPr>
              <w:t>（㎡）</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DC145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水系</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36DDE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裸地</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587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总计</w:t>
            </w:r>
            <w:r>
              <w:rPr>
                <w:rFonts w:hint="default" w:ascii="Times New Roman" w:hAnsi="Times New Roman" w:eastAsia="仿宋" w:cs="Times New Roman"/>
                <w:b/>
                <w:bCs/>
                <w:i w:val="0"/>
                <w:iCs w:val="0"/>
                <w:color w:val="auto"/>
                <w:kern w:val="0"/>
                <w:sz w:val="21"/>
                <w:szCs w:val="21"/>
                <w:u w:val="none"/>
                <w:lang w:val="en-US" w:eastAsia="zh-CN" w:bidi="ar"/>
              </w:rPr>
              <w:t>（㎡）</w:t>
            </w:r>
          </w:p>
        </w:tc>
      </w:tr>
      <w:tr w14:paraId="692976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7048F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395C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博学园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FB93B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562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A1608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319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F6C9B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A7E40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B0EB3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881 </w:t>
            </w:r>
          </w:p>
        </w:tc>
      </w:tr>
      <w:tr w14:paraId="0B7EE7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505D1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08CBB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岑参园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4B7E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4,296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89019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1,326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62E02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ABE6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CF9DD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5,622 </w:t>
            </w:r>
          </w:p>
        </w:tc>
      </w:tr>
      <w:tr w14:paraId="272637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95C7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3</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812FE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阜丰园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5A150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22,609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27AC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8,040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3EADF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0C742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F14B0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30,649 </w:t>
            </w:r>
          </w:p>
        </w:tc>
      </w:tr>
      <w:tr w14:paraId="68E06D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2438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6460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弘义园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1F6C5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2,180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C666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488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F7A03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961B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8ABC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2,668 </w:t>
            </w:r>
          </w:p>
        </w:tc>
      </w:tr>
      <w:tr w14:paraId="5DC393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0A1A6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EC536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金山园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8A2B4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5,638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1D96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1,291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80E42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3B5C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8DA1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6,929 </w:t>
            </w:r>
          </w:p>
        </w:tc>
      </w:tr>
      <w:tr w14:paraId="6D5467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AAD2A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7A3DE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锦绣园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C4F5D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8,314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058E0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2,846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0157D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00405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47068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11,160 </w:t>
            </w:r>
          </w:p>
        </w:tc>
      </w:tr>
      <w:tr w14:paraId="40A5CC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76C96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7</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A7FD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孔才园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CB856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4,234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30E30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1,477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0F954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00D6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E52A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5,711 </w:t>
            </w:r>
          </w:p>
        </w:tc>
      </w:tr>
      <w:tr w14:paraId="0924AE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B2827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E74F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老交警队园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79478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3,945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327E7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1,249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88CA9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F41B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200BC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5,194 </w:t>
            </w:r>
          </w:p>
        </w:tc>
      </w:tr>
      <w:tr w14:paraId="5A1904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1D9D5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9FDE6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老一中园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2247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4,190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2D907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1,232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157CB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CE47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1F26D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5,422 </w:t>
            </w:r>
          </w:p>
        </w:tc>
      </w:tr>
      <w:tr w14:paraId="72182E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D928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3BE8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体育场</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03A49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27,878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6A2E5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22,076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D8A7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F1787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71300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49,954 </w:t>
            </w:r>
          </w:p>
        </w:tc>
      </w:tr>
      <w:tr w14:paraId="78E861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496B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11</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C861A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县政府园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AB015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7,293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EFF96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9,372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233C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1BBFB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3F94C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16,665 </w:t>
            </w:r>
          </w:p>
        </w:tc>
      </w:tr>
      <w:tr w14:paraId="3F2466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22D02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82965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晓岚园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0E934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3,673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213A3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2,347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45D0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F0DAC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556A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6,020 </w:t>
            </w:r>
          </w:p>
        </w:tc>
      </w:tr>
      <w:tr w14:paraId="1B988C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3BE78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13</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8F3C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新月园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8DFC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1,980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4E1D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3,452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9AE19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6CF1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6B3F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5,432 </w:t>
            </w:r>
          </w:p>
        </w:tc>
      </w:tr>
      <w:tr w14:paraId="573AF1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44723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14</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01E3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延德园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E506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4,530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ABBDC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1,982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6DE92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6BB56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147C0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6,512 </w:t>
            </w:r>
          </w:p>
        </w:tc>
      </w:tr>
      <w:tr w14:paraId="1A9392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F75C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7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50577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老城墙园</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D3B2D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4,122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D26F9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707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A970A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7766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   </w:t>
            </w:r>
          </w:p>
        </w:tc>
        <w:tc>
          <w:tcPr>
            <w:tcW w:w="80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13E18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 4,829 </w:t>
            </w:r>
          </w:p>
        </w:tc>
      </w:tr>
    </w:tbl>
    <w:p w14:paraId="7EF3EB6D">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rPr>
      </w:pPr>
    </w:p>
    <w:p w14:paraId="4225974F">
      <w:pPr>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br w:type="page"/>
      </w:r>
    </w:p>
    <w:p w14:paraId="3D41A9C1">
      <w:pPr>
        <w:pStyle w:val="3"/>
        <w:spacing w:before="0" w:after="0" w:line="360" w:lineRule="auto"/>
        <w:rPr>
          <w:rFonts w:hint="default" w:ascii="Times New Roman" w:hAnsi="Times New Roman" w:eastAsia="宋体" w:cs="Times New Roman"/>
          <w:color w:val="auto"/>
          <w:sz w:val="21"/>
          <w:szCs w:val="21"/>
          <w:lang w:val="en-US" w:eastAsia="zh-CN"/>
        </w:rPr>
        <w:sectPr>
          <w:footerReference r:id="rId16" w:type="default"/>
          <w:pgSz w:w="11906" w:h="16838"/>
          <w:pgMar w:top="1440" w:right="1800" w:bottom="1440" w:left="1800" w:header="851" w:footer="794" w:gutter="0"/>
          <w:pgNumType w:fmt="decimal"/>
          <w:cols w:space="425" w:num="1"/>
          <w:docGrid w:type="lines" w:linePitch="312" w:charSpace="0"/>
        </w:sectPr>
      </w:pPr>
    </w:p>
    <w:p w14:paraId="01877F43">
      <w:pPr>
        <w:pStyle w:val="3"/>
        <w:spacing w:before="0" w:after="0" w:line="360" w:lineRule="auto"/>
        <w:ind w:firstLine="0" w:firstLineChars="0"/>
        <w:jc w:val="center"/>
        <w:rPr>
          <w:rFonts w:hint="default" w:ascii="Times New Roman" w:hAnsi="Times New Roman" w:eastAsia="黑体" w:cs="Times New Roman"/>
          <w:b w:val="0"/>
          <w:bCs w:val="0"/>
          <w:color w:val="auto"/>
          <w:lang w:val="en-US" w:eastAsia="zh-CN"/>
        </w:rPr>
      </w:pPr>
      <w:r>
        <w:rPr>
          <w:rFonts w:hint="default" w:ascii="Times New Roman" w:hAnsi="Times New Roman" w:eastAsia="黑体" w:cs="Times New Roman"/>
          <w:b w:val="0"/>
          <w:bCs w:val="0"/>
          <w:color w:val="auto"/>
          <w:lang w:val="en-US" w:eastAsia="zh-CN"/>
        </w:rPr>
        <w:t>基础表2-</w:t>
      </w:r>
      <w:r>
        <w:rPr>
          <w:rFonts w:hint="eastAsia" w:ascii="Times New Roman" w:hAnsi="Times New Roman" w:eastAsia="黑体" w:cs="Times New Roman"/>
          <w:b w:val="0"/>
          <w:bCs w:val="0"/>
          <w:color w:val="auto"/>
          <w:lang w:val="en-US" w:eastAsia="zh-CN"/>
        </w:rPr>
        <w:t>5</w:t>
      </w:r>
      <w:r>
        <w:rPr>
          <w:rFonts w:hint="default" w:ascii="Times New Roman" w:hAnsi="Times New Roman" w:eastAsia="黑体" w:cs="Times New Roman"/>
          <w:b w:val="0"/>
          <w:bCs w:val="0"/>
          <w:color w:val="auto"/>
          <w:lang w:val="en-US" w:eastAsia="zh-CN"/>
        </w:rPr>
        <w:t>:2024年度泓欣环境集团有限公司吉木萨尔分公司生活垃圾收运台账</w:t>
      </w:r>
    </w:p>
    <w:p w14:paraId="7F3EB22B">
      <w:pPr>
        <w:keepNext/>
        <w:keepLines/>
        <w:pageBreakBefore w:val="0"/>
        <w:widowControl w:val="0"/>
        <w:kinsoku/>
        <w:wordWrap/>
        <w:overflowPunct/>
        <w:topLinePunct w:val="0"/>
        <w:autoSpaceDE/>
        <w:autoSpaceDN/>
        <w:bidi w:val="0"/>
        <w:adjustRightInd w:val="0"/>
        <w:snapToGrid w:val="0"/>
        <w:spacing w:before="0" w:after="0" w:line="360" w:lineRule="auto"/>
        <w:ind w:firstLine="0" w:firstLineChars="0"/>
        <w:jc w:val="right"/>
        <w:textAlignment w:val="auto"/>
        <w:outlineLvl w:val="9"/>
        <w:rPr>
          <w:rFonts w:hint="default" w:ascii="Times New Roman" w:hAnsi="Times New Roman" w:eastAsia="黑体" w:cs="Times New Roman"/>
          <w:b w:val="0"/>
          <w:bCs w:val="0"/>
          <w:color w:val="auto"/>
          <w:sz w:val="24"/>
          <w:szCs w:val="24"/>
          <w:lang w:val="en-US" w:eastAsia="zh-CN"/>
        </w:rPr>
      </w:pPr>
      <w:r>
        <w:rPr>
          <w:rFonts w:hint="default" w:ascii="Times New Roman" w:hAnsi="Times New Roman" w:eastAsia="黑体" w:cs="Times New Roman"/>
          <w:b w:val="0"/>
          <w:bCs w:val="0"/>
          <w:color w:val="auto"/>
          <w:sz w:val="24"/>
          <w:szCs w:val="24"/>
          <w:lang w:val="en-US" w:eastAsia="zh-CN"/>
        </w:rPr>
        <w:t>单位：吨</w:t>
      </w:r>
    </w:p>
    <w:tbl>
      <w:tblPr>
        <w:tblStyle w:val="18"/>
        <w:tblW w:w="1390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40" w:type="dxa"/>
          <w:left w:w="64" w:type="dxa"/>
          <w:bottom w:w="40" w:type="dxa"/>
          <w:right w:w="64" w:type="dxa"/>
        </w:tblCellMar>
      </w:tblPr>
      <w:tblGrid>
        <w:gridCol w:w="609"/>
        <w:gridCol w:w="2107"/>
        <w:gridCol w:w="854"/>
        <w:gridCol w:w="854"/>
        <w:gridCol w:w="854"/>
        <w:gridCol w:w="854"/>
        <w:gridCol w:w="854"/>
        <w:gridCol w:w="854"/>
        <w:gridCol w:w="854"/>
        <w:gridCol w:w="854"/>
        <w:gridCol w:w="854"/>
        <w:gridCol w:w="854"/>
        <w:gridCol w:w="854"/>
        <w:gridCol w:w="854"/>
        <w:gridCol w:w="945"/>
      </w:tblGrid>
      <w:tr w14:paraId="6A1B15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0" w:type="dxa"/>
            <w:left w:w="64" w:type="dxa"/>
            <w:bottom w:w="40" w:type="dxa"/>
            <w:right w:w="64" w:type="dxa"/>
          </w:tblCellMar>
        </w:tblPrEx>
        <w:trPr>
          <w:trHeight w:val="0" w:hRule="atLeast"/>
          <w:tblHeader/>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CDABC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序号</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7E7B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乡镇</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B9230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1月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B128B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2月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A26D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3月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9EDDE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4月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B477E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5月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05735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6月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FB5D5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7月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AA2AF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8月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6779E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9月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1CFA4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10月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17A65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11月</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E1DA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12月</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891F6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合计</w:t>
            </w:r>
          </w:p>
        </w:tc>
      </w:tr>
      <w:tr w14:paraId="2C65DF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E81067">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5C0A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城区（吉木萨尔镇）（吨）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A7C6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1,786.50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CE3C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1,780.11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F1F9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2,179.13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A0C6A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2,146.38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DC44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1,999.54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326E3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1,947.43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0E2D1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2,203.74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E56A9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2,204.45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26FC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2,027.20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3DD4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2,074.74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D151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2,130.43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5A35E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1,957.21</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0835D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24,436.86</w:t>
            </w:r>
          </w:p>
        </w:tc>
      </w:tr>
      <w:tr w14:paraId="56FF5B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F3AE4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7F71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北庭镇（吨）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9181C7">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73.16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D2A5F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89.22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A3AD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168.52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6026B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213.40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7065E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131.84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41EE5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100.94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B59AA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106.23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3B0C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117.50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05C4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112.32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CD2C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95.95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A095E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55.82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EFB4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39.91</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CF2F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1,304.81</w:t>
            </w:r>
          </w:p>
        </w:tc>
      </w:tr>
      <w:tr w14:paraId="71E550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03952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3</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4AD2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三台镇（吨）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B977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75.79</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DF4C1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91.48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AE05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136.14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287B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171.07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A1D7B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137.96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7FE15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125.38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8663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106.02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4087F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121.93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E851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122.99</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8F924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99.85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33260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96.77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ACE86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69.67</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C3397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1,355.05</w:t>
            </w:r>
          </w:p>
        </w:tc>
      </w:tr>
      <w:tr w14:paraId="14C38D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07F88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E9806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大有镇（吨）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2D5D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26.72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03700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24.68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3FB15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50.55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6E0F1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85.71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B0A6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82.34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9F31E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88.53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C2549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81.91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06CBC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59.38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F7F2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70.80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28A74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76.99</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8BC9E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35.23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35486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18.03</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45AE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700.87</w:t>
            </w:r>
          </w:p>
        </w:tc>
      </w:tr>
      <w:tr w14:paraId="24786B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89F50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915F9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二工镇（吨）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F417D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99.58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CFC6F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121.44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BE7A5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269.16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E8B2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377.07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05A37">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213.78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204FE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195.89</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D43F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249.28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E9C2F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210.91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0514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241.10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EF3F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207.01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380B7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17.71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A1F3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99.70</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2702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2,302.63</w:t>
            </w:r>
          </w:p>
        </w:tc>
      </w:tr>
      <w:tr w14:paraId="4FDD36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06F6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6</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2649F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庆阳湖乡（吨）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0315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51.89</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6469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45.71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641F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111.84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87E3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156.41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1DE72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128.28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D6A74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89.25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B9238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120.70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D2B31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99.45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69B4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80.12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AF99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59.74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84E49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55.60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AED20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42.88</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6E52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1,041.87</w:t>
            </w:r>
          </w:p>
        </w:tc>
      </w:tr>
      <w:tr w14:paraId="6918DE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7B81E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79B2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老台乡（吨）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C00A8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40.39</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471C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50.14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CDB97">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176.86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41087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134.20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51F4D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93.94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F7940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84.05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EBAD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126.32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E25BB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80.60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7E772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111.45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698D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90.01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5D673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30.75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FEF0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52.52</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DC78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1,071.23</w:t>
            </w:r>
          </w:p>
        </w:tc>
      </w:tr>
      <w:tr w14:paraId="45D934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B16C1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1F6C4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新地乡（吨）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D18F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7.93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6AAA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239B4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46.03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F15C1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22.98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8C928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13.57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42D62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8.02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5119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15.46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FDBC2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26.36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C4CE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19.25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C5440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3907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43.47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F6B2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13.29</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8DA23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236.49</w:t>
            </w:r>
          </w:p>
        </w:tc>
      </w:tr>
      <w:tr w14:paraId="0E916F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8DD67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CE908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泉子街镇（吨）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5ED6F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14.56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09B1B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30.02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29195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52.32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2DC31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95.75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F018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75.44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41633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106.66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DC9AA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142.17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C3338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146.35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A0266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89.95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34650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64.06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97DC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51.92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D11F5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16.43</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6CB9D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885.63</w:t>
            </w:r>
          </w:p>
        </w:tc>
      </w:tr>
      <w:tr w14:paraId="7F3DB9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A4B9C9">
            <w:pPr>
              <w:keepNext w:val="0"/>
              <w:keepLines w:val="0"/>
              <w:pageBreakBefore w:val="0"/>
              <w:widowControl/>
              <w:kinsoku/>
              <w:wordWrap/>
              <w:overflowPunct/>
              <w:topLinePunct w:val="0"/>
              <w:autoSpaceDE/>
              <w:autoSpaceDN/>
              <w:bidi w:val="0"/>
              <w:snapToGrid w:val="0"/>
              <w:spacing w:line="240" w:lineRule="auto"/>
              <w:ind w:firstLine="0" w:firstLineChars="0"/>
              <w:jc w:val="center"/>
              <w:rPr>
                <w:rFonts w:hint="default" w:ascii="Times New Roman" w:hAnsi="Times New Roman" w:eastAsia="宋体" w:cs="Times New Roman"/>
                <w:b/>
                <w:i w:val="0"/>
                <w:iCs w:val="0"/>
                <w:color w:val="000000"/>
                <w:sz w:val="18"/>
                <w:szCs w:val="18"/>
                <w:u w:val="none"/>
              </w:rPr>
            </w:pP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9DDB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小计</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6F53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2,176.52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F8238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2,242.85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1976D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3,190.55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0E3C9">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3,402.97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39FBC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2,876.69</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BD600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2,746.15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3680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3,151.83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6390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3,066.93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4C377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2,875.18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0F33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2,778.43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9123C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2,517.70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A4B9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2,309.64</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AE69D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bCs/>
                <w:i w:val="0"/>
                <w:iCs w:val="0"/>
                <w:color w:val="000000"/>
                <w:sz w:val="18"/>
                <w:szCs w:val="18"/>
                <w:u w:val="none"/>
              </w:rPr>
            </w:pPr>
            <w:r>
              <w:rPr>
                <w:rFonts w:hint="default" w:ascii="Times New Roman" w:hAnsi="Times New Roman" w:eastAsia="宋体" w:cs="Times New Roman"/>
                <w:b/>
                <w:bCs/>
                <w:i w:val="0"/>
                <w:iCs w:val="0"/>
                <w:color w:val="000000"/>
                <w:kern w:val="0"/>
                <w:sz w:val="18"/>
                <w:szCs w:val="18"/>
                <w:u w:val="none"/>
                <w:lang w:val="en-US" w:eastAsia="zh-CN" w:bidi="ar"/>
              </w:rPr>
              <w:t>33,335.44</w:t>
            </w:r>
          </w:p>
        </w:tc>
      </w:tr>
      <w:tr w14:paraId="7FF4DC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021BDF">
            <w:pPr>
              <w:keepNext w:val="0"/>
              <w:keepLines w:val="0"/>
              <w:pageBreakBefore w:val="0"/>
              <w:widowControl/>
              <w:kinsoku/>
              <w:wordWrap/>
              <w:overflowPunct/>
              <w:topLinePunct w:val="0"/>
              <w:autoSpaceDE/>
              <w:autoSpaceDN/>
              <w:bidi w:val="0"/>
              <w:snapToGrid w:val="0"/>
              <w:spacing w:line="240" w:lineRule="auto"/>
              <w:ind w:firstLine="0" w:firstLineChars="0"/>
              <w:jc w:val="center"/>
              <w:rPr>
                <w:rFonts w:hint="default" w:ascii="Times New Roman" w:hAnsi="Times New Roman" w:eastAsia="宋体" w:cs="Times New Roman"/>
                <w:i w:val="0"/>
                <w:iCs w:val="0"/>
                <w:color w:val="000000"/>
                <w:sz w:val="18"/>
                <w:szCs w:val="18"/>
                <w:u w:val="none"/>
                <w:lang w:val="en-US" w:eastAsia="zh-CN"/>
              </w:rPr>
            </w:pPr>
            <w:r>
              <w:rPr>
                <w:rFonts w:hint="default" w:ascii="Times New Roman" w:hAnsi="Times New Roman" w:eastAsia="宋体" w:cs="Times New Roman"/>
                <w:i w:val="0"/>
                <w:iCs w:val="0"/>
                <w:color w:val="000000"/>
                <w:sz w:val="18"/>
                <w:szCs w:val="18"/>
                <w:u w:val="none"/>
                <w:lang w:val="en-US" w:eastAsia="zh-CN"/>
              </w:rPr>
              <w:t>10</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6B6B7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餐厨垃圾（吨）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F933F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92.15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F29AF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74.01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93EFB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87.31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D794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90.68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69E0B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106.11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F71B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101.21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B4DA6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100.46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8DBC3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82.44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3AD0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86.10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8EFAF">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90.14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4D4D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85.06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158C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75.44</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31FC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1,071.11</w:t>
            </w:r>
          </w:p>
        </w:tc>
      </w:tr>
      <w:tr w14:paraId="167AB8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69A752">
            <w:pPr>
              <w:keepNext w:val="0"/>
              <w:keepLines w:val="0"/>
              <w:pageBreakBefore w:val="0"/>
              <w:widowControl/>
              <w:kinsoku/>
              <w:wordWrap/>
              <w:overflowPunct/>
              <w:topLinePunct w:val="0"/>
              <w:autoSpaceDE/>
              <w:autoSpaceDN/>
              <w:bidi w:val="0"/>
              <w:snapToGrid w:val="0"/>
              <w:spacing w:line="240" w:lineRule="auto"/>
              <w:ind w:firstLine="0" w:firstLineChars="0"/>
              <w:jc w:val="center"/>
              <w:rPr>
                <w:rFonts w:hint="default" w:ascii="Times New Roman" w:hAnsi="Times New Roman" w:eastAsia="宋体" w:cs="Times New Roman"/>
                <w:i w:val="0"/>
                <w:iCs w:val="0"/>
                <w:color w:val="000000"/>
                <w:sz w:val="18"/>
                <w:szCs w:val="18"/>
                <w:u w:val="none"/>
                <w:lang w:val="en-US" w:eastAsia="zh-CN"/>
              </w:rPr>
            </w:pPr>
            <w:r>
              <w:rPr>
                <w:rFonts w:hint="default" w:ascii="Times New Roman" w:hAnsi="Times New Roman" w:eastAsia="宋体" w:cs="Times New Roman"/>
                <w:i w:val="0"/>
                <w:iCs w:val="0"/>
                <w:color w:val="000000"/>
                <w:sz w:val="18"/>
                <w:szCs w:val="18"/>
                <w:u w:val="none"/>
                <w:lang w:val="en-US" w:eastAsia="zh-CN"/>
              </w:rPr>
              <w:t>11</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E9C7E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污泥（吨）</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9681E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179.23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8EEA57">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232.87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3D30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292.31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4F817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261.33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B069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294.54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5268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DD39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253.70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855E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265.35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7E58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281.45</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F708E">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175.21</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2167C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197.48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FBF38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135.24</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BD262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2,568.71</w:t>
            </w:r>
          </w:p>
        </w:tc>
      </w:tr>
      <w:tr w14:paraId="0DE71F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0AA347">
            <w:pPr>
              <w:keepNext w:val="0"/>
              <w:keepLines w:val="0"/>
              <w:pageBreakBefore w:val="0"/>
              <w:widowControl/>
              <w:kinsoku/>
              <w:wordWrap/>
              <w:overflowPunct/>
              <w:topLinePunct w:val="0"/>
              <w:autoSpaceDE/>
              <w:autoSpaceDN/>
              <w:bidi w:val="0"/>
              <w:snapToGrid w:val="0"/>
              <w:spacing w:line="240" w:lineRule="auto"/>
              <w:ind w:firstLine="0" w:firstLineChars="0"/>
              <w:jc w:val="center"/>
              <w:rPr>
                <w:rFonts w:hint="default" w:ascii="Times New Roman" w:hAnsi="Times New Roman" w:eastAsia="宋体" w:cs="Times New Roman"/>
                <w:i w:val="0"/>
                <w:iCs w:val="0"/>
                <w:color w:val="000000"/>
                <w:sz w:val="18"/>
                <w:szCs w:val="18"/>
                <w:u w:val="none"/>
                <w:lang w:val="en-US" w:eastAsia="zh-CN"/>
              </w:rPr>
            </w:pPr>
            <w:r>
              <w:rPr>
                <w:rFonts w:hint="default" w:ascii="Times New Roman" w:hAnsi="Times New Roman" w:eastAsia="宋体" w:cs="Times New Roman"/>
                <w:i w:val="0"/>
                <w:iCs w:val="0"/>
                <w:color w:val="000000"/>
                <w:sz w:val="18"/>
                <w:szCs w:val="18"/>
                <w:u w:val="none"/>
                <w:lang w:val="en-US" w:eastAsia="zh-CN"/>
              </w:rPr>
              <w:t>12</w:t>
            </w: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90CB5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农用地膜</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13241">
            <w:pPr>
              <w:keepNext w:val="0"/>
              <w:keepLines w:val="0"/>
              <w:pageBreakBefore w:val="0"/>
              <w:widowControl/>
              <w:kinsoku/>
              <w:wordWrap/>
              <w:overflowPunct/>
              <w:topLinePunct w:val="0"/>
              <w:autoSpaceDE/>
              <w:autoSpaceDN/>
              <w:bidi w:val="0"/>
              <w:snapToGrid w:val="0"/>
              <w:spacing w:line="240" w:lineRule="auto"/>
              <w:ind w:firstLine="0" w:firstLineChars="0"/>
              <w:jc w:val="right"/>
              <w:rPr>
                <w:rFonts w:hint="default" w:ascii="Times New Roman" w:hAnsi="Times New Roman" w:eastAsia="宋体" w:cs="Times New Roman"/>
                <w:i w:val="0"/>
                <w:iCs w:val="0"/>
                <w:color w:val="000000"/>
                <w:sz w:val="18"/>
                <w:szCs w:val="18"/>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0ADBE0">
            <w:pPr>
              <w:keepNext w:val="0"/>
              <w:keepLines w:val="0"/>
              <w:pageBreakBefore w:val="0"/>
              <w:widowControl/>
              <w:kinsoku/>
              <w:wordWrap/>
              <w:overflowPunct/>
              <w:topLinePunct w:val="0"/>
              <w:autoSpaceDE/>
              <w:autoSpaceDN/>
              <w:bidi w:val="0"/>
              <w:snapToGrid w:val="0"/>
              <w:spacing w:line="240" w:lineRule="auto"/>
              <w:ind w:firstLine="0" w:firstLineChars="0"/>
              <w:jc w:val="right"/>
              <w:rPr>
                <w:rFonts w:hint="default" w:ascii="Times New Roman" w:hAnsi="Times New Roman" w:eastAsia="宋体" w:cs="Times New Roman"/>
                <w:i w:val="0"/>
                <w:iCs w:val="0"/>
                <w:color w:val="000000"/>
                <w:sz w:val="18"/>
                <w:szCs w:val="18"/>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65FD69">
            <w:pPr>
              <w:keepNext w:val="0"/>
              <w:keepLines w:val="0"/>
              <w:pageBreakBefore w:val="0"/>
              <w:widowControl/>
              <w:kinsoku/>
              <w:wordWrap/>
              <w:overflowPunct/>
              <w:topLinePunct w:val="0"/>
              <w:autoSpaceDE/>
              <w:autoSpaceDN/>
              <w:bidi w:val="0"/>
              <w:snapToGrid w:val="0"/>
              <w:spacing w:line="240" w:lineRule="auto"/>
              <w:ind w:firstLine="0" w:firstLineChars="0"/>
              <w:jc w:val="right"/>
              <w:rPr>
                <w:rFonts w:hint="default" w:ascii="Times New Roman" w:hAnsi="Times New Roman" w:eastAsia="宋体" w:cs="Times New Roman"/>
                <w:i w:val="0"/>
                <w:iCs w:val="0"/>
                <w:color w:val="000000"/>
                <w:sz w:val="18"/>
                <w:szCs w:val="18"/>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24BB71">
            <w:pPr>
              <w:keepNext w:val="0"/>
              <w:keepLines w:val="0"/>
              <w:pageBreakBefore w:val="0"/>
              <w:widowControl/>
              <w:kinsoku/>
              <w:wordWrap/>
              <w:overflowPunct/>
              <w:topLinePunct w:val="0"/>
              <w:autoSpaceDE/>
              <w:autoSpaceDN/>
              <w:bidi w:val="0"/>
              <w:snapToGrid w:val="0"/>
              <w:spacing w:line="240" w:lineRule="auto"/>
              <w:ind w:firstLine="0" w:firstLineChars="0"/>
              <w:jc w:val="right"/>
              <w:rPr>
                <w:rFonts w:hint="default" w:ascii="Times New Roman" w:hAnsi="Times New Roman" w:eastAsia="宋体" w:cs="Times New Roman"/>
                <w:i w:val="0"/>
                <w:iCs w:val="0"/>
                <w:color w:val="000000"/>
                <w:sz w:val="18"/>
                <w:szCs w:val="18"/>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64D2B3">
            <w:pPr>
              <w:keepNext w:val="0"/>
              <w:keepLines w:val="0"/>
              <w:pageBreakBefore w:val="0"/>
              <w:widowControl/>
              <w:kinsoku/>
              <w:wordWrap/>
              <w:overflowPunct/>
              <w:topLinePunct w:val="0"/>
              <w:autoSpaceDE/>
              <w:autoSpaceDN/>
              <w:bidi w:val="0"/>
              <w:snapToGrid w:val="0"/>
              <w:spacing w:line="240" w:lineRule="auto"/>
              <w:ind w:firstLine="0" w:firstLineChars="0"/>
              <w:jc w:val="right"/>
              <w:rPr>
                <w:rFonts w:hint="default" w:ascii="Times New Roman" w:hAnsi="Times New Roman" w:eastAsia="宋体" w:cs="Times New Roman"/>
                <w:i w:val="0"/>
                <w:iCs w:val="0"/>
                <w:color w:val="000000"/>
                <w:sz w:val="18"/>
                <w:szCs w:val="18"/>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67FEBF">
            <w:pPr>
              <w:keepNext w:val="0"/>
              <w:keepLines w:val="0"/>
              <w:pageBreakBefore w:val="0"/>
              <w:widowControl/>
              <w:kinsoku/>
              <w:wordWrap/>
              <w:overflowPunct/>
              <w:topLinePunct w:val="0"/>
              <w:autoSpaceDE/>
              <w:autoSpaceDN/>
              <w:bidi w:val="0"/>
              <w:snapToGrid w:val="0"/>
              <w:spacing w:line="240" w:lineRule="auto"/>
              <w:ind w:firstLine="0" w:firstLineChars="0"/>
              <w:jc w:val="right"/>
              <w:rPr>
                <w:rFonts w:hint="default" w:ascii="Times New Roman" w:hAnsi="Times New Roman" w:eastAsia="宋体" w:cs="Times New Roman"/>
                <w:i w:val="0"/>
                <w:iCs w:val="0"/>
                <w:color w:val="000000"/>
                <w:sz w:val="18"/>
                <w:szCs w:val="18"/>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8A4DF">
            <w:pPr>
              <w:keepNext w:val="0"/>
              <w:keepLines w:val="0"/>
              <w:pageBreakBefore w:val="0"/>
              <w:widowControl/>
              <w:kinsoku/>
              <w:wordWrap/>
              <w:overflowPunct/>
              <w:topLinePunct w:val="0"/>
              <w:autoSpaceDE/>
              <w:autoSpaceDN/>
              <w:bidi w:val="0"/>
              <w:snapToGrid w:val="0"/>
              <w:spacing w:line="240" w:lineRule="auto"/>
              <w:ind w:firstLine="0" w:firstLineChars="0"/>
              <w:jc w:val="right"/>
              <w:rPr>
                <w:rFonts w:hint="default" w:ascii="Times New Roman" w:hAnsi="Times New Roman" w:eastAsia="宋体" w:cs="Times New Roman"/>
                <w:i w:val="0"/>
                <w:iCs w:val="0"/>
                <w:color w:val="000000"/>
                <w:sz w:val="18"/>
                <w:szCs w:val="18"/>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8F988">
            <w:pPr>
              <w:keepNext w:val="0"/>
              <w:keepLines w:val="0"/>
              <w:pageBreakBefore w:val="0"/>
              <w:widowControl/>
              <w:kinsoku/>
              <w:wordWrap/>
              <w:overflowPunct/>
              <w:topLinePunct w:val="0"/>
              <w:autoSpaceDE/>
              <w:autoSpaceDN/>
              <w:bidi w:val="0"/>
              <w:snapToGrid w:val="0"/>
              <w:spacing w:line="240" w:lineRule="auto"/>
              <w:ind w:firstLine="0" w:firstLineChars="0"/>
              <w:jc w:val="right"/>
              <w:rPr>
                <w:rFonts w:hint="default" w:ascii="Times New Roman" w:hAnsi="Times New Roman" w:eastAsia="宋体" w:cs="Times New Roman"/>
                <w:i w:val="0"/>
                <w:iCs w:val="0"/>
                <w:color w:val="000000"/>
                <w:sz w:val="18"/>
                <w:szCs w:val="18"/>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6F8582">
            <w:pPr>
              <w:keepNext w:val="0"/>
              <w:keepLines w:val="0"/>
              <w:pageBreakBefore w:val="0"/>
              <w:widowControl/>
              <w:kinsoku/>
              <w:wordWrap/>
              <w:overflowPunct/>
              <w:topLinePunct w:val="0"/>
              <w:autoSpaceDE/>
              <w:autoSpaceDN/>
              <w:bidi w:val="0"/>
              <w:snapToGrid w:val="0"/>
              <w:spacing w:line="240" w:lineRule="auto"/>
              <w:ind w:firstLine="0" w:firstLineChars="0"/>
              <w:jc w:val="right"/>
              <w:rPr>
                <w:rFonts w:hint="default" w:ascii="Times New Roman" w:hAnsi="Times New Roman" w:eastAsia="宋体" w:cs="Times New Roman"/>
                <w:i w:val="0"/>
                <w:iCs w:val="0"/>
                <w:color w:val="000000"/>
                <w:sz w:val="18"/>
                <w:szCs w:val="18"/>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C79A1">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153.64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05F0F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635.43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0B82B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2,566.71</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E3174">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3,355.78</w:t>
            </w:r>
          </w:p>
        </w:tc>
      </w:tr>
      <w:tr w14:paraId="35910B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60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96D168">
            <w:pPr>
              <w:keepNext w:val="0"/>
              <w:keepLines w:val="0"/>
              <w:pageBreakBefore w:val="0"/>
              <w:widowControl/>
              <w:kinsoku/>
              <w:wordWrap/>
              <w:overflowPunct/>
              <w:topLinePunct w:val="0"/>
              <w:autoSpaceDE/>
              <w:autoSpaceDN/>
              <w:bidi w:val="0"/>
              <w:snapToGrid w:val="0"/>
              <w:spacing w:line="240" w:lineRule="auto"/>
              <w:ind w:firstLine="0" w:firstLineChars="0"/>
              <w:jc w:val="center"/>
              <w:rPr>
                <w:rFonts w:hint="default" w:ascii="Times New Roman" w:hAnsi="Times New Roman" w:eastAsia="宋体" w:cs="Times New Roman"/>
                <w:b/>
                <w:i w:val="0"/>
                <w:iCs w:val="0"/>
                <w:color w:val="000000"/>
                <w:sz w:val="18"/>
                <w:szCs w:val="18"/>
                <w:u w:val="none"/>
              </w:rPr>
            </w:pPr>
          </w:p>
        </w:tc>
        <w:tc>
          <w:tcPr>
            <w:tcW w:w="21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B81D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center"/>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合计</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DA9045">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2,447.90</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285258">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2,549.73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351DB7">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3,570.17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81B38B">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3,754.98</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F1CAD">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3,277.34</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6BAC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2,847.36</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CA97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3,505.99</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E29810">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3,414.72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BA142">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3,242.73</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917916">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3,197.42</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9594A">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3,435.67</w:t>
            </w:r>
          </w:p>
        </w:tc>
        <w:tc>
          <w:tcPr>
            <w:tcW w:w="8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098E3">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5,087.03</w:t>
            </w:r>
          </w:p>
        </w:tc>
        <w:tc>
          <w:tcPr>
            <w:tcW w:w="9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4806C">
            <w:pPr>
              <w:keepNext w:val="0"/>
              <w:keepLines w:val="0"/>
              <w:pageBreakBefore w:val="0"/>
              <w:widowControl/>
              <w:suppressLineNumbers w:val="0"/>
              <w:kinsoku/>
              <w:wordWrap/>
              <w:overflowPunct/>
              <w:topLinePunct w:val="0"/>
              <w:autoSpaceDE/>
              <w:autoSpaceDN/>
              <w:bidi w:val="0"/>
              <w:snapToGrid w:val="0"/>
              <w:spacing w:line="240" w:lineRule="auto"/>
              <w:ind w:firstLine="0" w:firstLineChars="0"/>
              <w:jc w:val="right"/>
              <w:textAlignment w:val="center"/>
              <w:rPr>
                <w:rFonts w:hint="default" w:ascii="Times New Roman" w:hAnsi="Times New Roman" w:eastAsia="宋体" w:cs="Times New Roman"/>
                <w:b/>
                <w:i w:val="0"/>
                <w:iCs w:val="0"/>
                <w:color w:val="000000"/>
                <w:sz w:val="18"/>
                <w:szCs w:val="18"/>
                <w:u w:val="none"/>
              </w:rPr>
            </w:pPr>
            <w:r>
              <w:rPr>
                <w:rFonts w:hint="default" w:ascii="Times New Roman" w:hAnsi="Times New Roman" w:eastAsia="宋体" w:cs="Times New Roman"/>
                <w:b/>
                <w:i w:val="0"/>
                <w:iCs w:val="0"/>
                <w:color w:val="000000"/>
                <w:kern w:val="0"/>
                <w:sz w:val="18"/>
                <w:szCs w:val="18"/>
                <w:u w:val="none"/>
                <w:lang w:val="en-US" w:eastAsia="zh-CN" w:bidi="ar"/>
              </w:rPr>
              <w:t>40,331.04</w:t>
            </w:r>
          </w:p>
        </w:tc>
      </w:tr>
    </w:tbl>
    <w:p w14:paraId="1B4DF57B">
      <w:pPr>
        <w:rPr>
          <w:rFonts w:hint="default" w:ascii="Times New Roman" w:hAnsi="Times New Roman" w:cs="Times New Roman"/>
          <w:lang w:val="en-US" w:eastAsia="zh-CN"/>
        </w:rPr>
        <w:sectPr>
          <w:pgSz w:w="16838" w:h="11906" w:orient="landscape"/>
          <w:pgMar w:top="1800" w:right="1440" w:bottom="1800" w:left="1440" w:header="851" w:footer="907" w:gutter="0"/>
          <w:pgNumType w:fmt="decimal"/>
          <w:cols w:space="425" w:num="1"/>
          <w:docGrid w:type="lines" w:linePitch="312" w:charSpace="0"/>
        </w:sectPr>
      </w:pPr>
    </w:p>
    <w:p w14:paraId="5DB460A0">
      <w:pPr>
        <w:pStyle w:val="2"/>
        <w:pageBreakBefore w:val="0"/>
        <w:kinsoku/>
        <w:wordWrap/>
        <w:overflowPunct/>
        <w:topLinePunct w:val="0"/>
        <w:autoSpaceDE/>
        <w:autoSpaceDN/>
        <w:bidi w:val="0"/>
        <w:snapToGrid w:val="0"/>
        <w:spacing w:before="0" w:after="0" w:line="360" w:lineRule="auto"/>
        <w:ind w:firstLine="0" w:firstLineChars="0"/>
        <w:rPr>
          <w:rFonts w:hint="default" w:ascii="Times New Roman" w:hAnsi="Times New Roman" w:cs="Times New Roman"/>
          <w:color w:val="auto"/>
        </w:rPr>
      </w:pPr>
      <w:bookmarkStart w:id="104" w:name="_Toc29169"/>
      <w:bookmarkStart w:id="105" w:name="_Toc13189"/>
      <w:r>
        <w:rPr>
          <w:rFonts w:hint="default" w:ascii="Times New Roman" w:hAnsi="Times New Roman" w:cs="Times New Roman"/>
          <w:color w:val="auto"/>
        </w:rPr>
        <w:t>附件3：问卷调查分析报告</w:t>
      </w:r>
      <w:bookmarkEnd w:id="104"/>
      <w:bookmarkEnd w:id="105"/>
    </w:p>
    <w:p w14:paraId="4CA9FB9A">
      <w:pPr>
        <w:ind w:firstLine="422"/>
        <w:jc w:val="center"/>
        <w:rPr>
          <w:rFonts w:hint="default" w:ascii="Times New Roman" w:hAnsi="Times New Roman" w:cs="Times New Roman" w:eastAsiaTheme="minorEastAsia"/>
          <w:b/>
          <w:bCs/>
          <w:color w:val="auto"/>
          <w:lang w:val="en-US" w:eastAsia="zh-CN"/>
        </w:rPr>
      </w:pPr>
      <w:r>
        <w:rPr>
          <w:rFonts w:hint="default" w:ascii="Times New Roman" w:hAnsi="Times New Roman" w:cs="Times New Roman"/>
          <w:b/>
          <w:bCs/>
          <w:color w:val="auto"/>
        </w:rPr>
        <w:t>吉木萨尔县城市管理服务“三位一体”委托运营项目-</w:t>
      </w:r>
      <w:r>
        <w:rPr>
          <w:rFonts w:hint="default" w:ascii="Times New Roman" w:hAnsi="Times New Roman" w:cs="Times New Roman"/>
          <w:b/>
          <w:bCs/>
          <w:color w:val="auto"/>
          <w:lang w:val="en-US" w:eastAsia="zh-CN"/>
        </w:rPr>
        <w:t>社会公众</w:t>
      </w:r>
    </w:p>
    <w:p w14:paraId="76E12B8C">
      <w:pPr>
        <w:spacing w:line="360" w:lineRule="auto"/>
        <w:ind w:firstLine="420"/>
        <w:rPr>
          <w:rFonts w:hint="default" w:ascii="Times New Roman" w:hAnsi="Times New Roman" w:cs="Times New Roman"/>
          <w:color w:val="auto"/>
        </w:rPr>
      </w:pPr>
      <w:r>
        <w:rPr>
          <w:rFonts w:hint="default" w:ascii="Times New Roman" w:hAnsi="Times New Roman" w:cs="Times New Roman"/>
          <w:color w:val="auto"/>
        </w:rPr>
        <w:t>本次绩效评价的对象为吉木萨尔县城市管理服务“三位一体”委托运营项目，为客观评价该项目的社会效果，绩效评价小组依据公共支出绩效评价“为顾客服务”原理，了解</w:t>
      </w:r>
      <w:r>
        <w:rPr>
          <w:rFonts w:hint="default" w:ascii="Times New Roman" w:hAnsi="Times New Roman" w:cs="Times New Roman"/>
          <w:color w:val="auto"/>
          <w:lang w:val="en-US" w:eastAsia="zh-CN"/>
        </w:rPr>
        <w:t>学校教师</w:t>
      </w:r>
      <w:r>
        <w:rPr>
          <w:rFonts w:hint="default" w:ascii="Times New Roman" w:hAnsi="Times New Roman" w:cs="Times New Roman"/>
          <w:color w:val="auto"/>
        </w:rPr>
        <w:t>对项目的评价情况，对本项目开展满意度问卷调查。问卷调查工作情况如下：</w:t>
      </w:r>
    </w:p>
    <w:p w14:paraId="7D9E9F46">
      <w:pPr>
        <w:keepNext w:val="0"/>
        <w:keepLines w:val="0"/>
        <w:pageBreakBefore w:val="0"/>
        <w:widowControl w:val="0"/>
        <w:kinsoku/>
        <w:wordWrap/>
        <w:overflowPunct/>
        <w:topLinePunct w:val="0"/>
        <w:autoSpaceDE/>
        <w:autoSpaceDN/>
        <w:bidi w:val="0"/>
        <w:adjustRightInd w:val="0"/>
        <w:snapToGrid w:val="0"/>
        <w:spacing w:line="360" w:lineRule="auto"/>
        <w:ind w:firstLine="422"/>
        <w:textAlignment w:val="auto"/>
        <w:rPr>
          <w:rFonts w:hint="default" w:ascii="Times New Roman" w:hAnsi="Times New Roman" w:cs="Times New Roman"/>
          <w:b/>
          <w:bCs/>
          <w:color w:val="auto"/>
        </w:rPr>
      </w:pPr>
      <w:bookmarkStart w:id="106" w:name="_Toc529373321"/>
      <w:bookmarkStart w:id="107" w:name="_Toc529373554"/>
      <w:r>
        <w:rPr>
          <w:rFonts w:hint="default" w:ascii="Times New Roman" w:hAnsi="Times New Roman" w:cs="Times New Roman"/>
          <w:b/>
          <w:bCs/>
          <w:color w:val="auto"/>
        </w:rPr>
        <w:t>1.调查对象</w:t>
      </w:r>
      <w:bookmarkEnd w:id="106"/>
      <w:bookmarkEnd w:id="107"/>
    </w:p>
    <w:p w14:paraId="7AA0CDB5">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color w:val="auto"/>
        </w:rPr>
      </w:pPr>
      <w:r>
        <w:rPr>
          <w:rFonts w:hint="default" w:ascii="Times New Roman" w:hAnsi="Times New Roman" w:cs="Times New Roman"/>
          <w:color w:val="auto"/>
        </w:rPr>
        <w:t>结合对吉木萨尔县城市管理服务“三位一体”委托运营项目完成情况及实际问卷调查可操作性，本次满意度问卷旨在考察</w:t>
      </w:r>
      <w:r>
        <w:rPr>
          <w:rFonts w:hint="default" w:ascii="Times New Roman" w:hAnsi="Times New Roman" w:cs="Times New Roman"/>
          <w:color w:val="auto"/>
          <w:lang w:val="en-US" w:eastAsia="zh-CN"/>
        </w:rPr>
        <w:t>社会公众</w:t>
      </w:r>
      <w:r>
        <w:rPr>
          <w:rFonts w:hint="default" w:ascii="Times New Roman" w:hAnsi="Times New Roman" w:cs="Times New Roman"/>
          <w:color w:val="auto"/>
        </w:rPr>
        <w:t>对项目完成及实施效果方面满意度情况。因此，本次满意度调查的对象为职业教育的教师。</w:t>
      </w:r>
    </w:p>
    <w:p w14:paraId="2F6BE1D6">
      <w:pPr>
        <w:keepNext w:val="0"/>
        <w:keepLines w:val="0"/>
        <w:pageBreakBefore w:val="0"/>
        <w:widowControl w:val="0"/>
        <w:kinsoku/>
        <w:wordWrap/>
        <w:overflowPunct/>
        <w:topLinePunct w:val="0"/>
        <w:autoSpaceDE/>
        <w:autoSpaceDN/>
        <w:bidi w:val="0"/>
        <w:adjustRightInd w:val="0"/>
        <w:snapToGrid w:val="0"/>
        <w:spacing w:line="360" w:lineRule="auto"/>
        <w:ind w:firstLine="422"/>
        <w:textAlignment w:val="auto"/>
        <w:rPr>
          <w:rFonts w:hint="default" w:ascii="Times New Roman" w:hAnsi="Times New Roman" w:cs="Times New Roman"/>
          <w:b/>
          <w:bCs/>
          <w:color w:val="auto"/>
        </w:rPr>
      </w:pPr>
      <w:bookmarkStart w:id="108" w:name="_Toc529373555"/>
      <w:bookmarkStart w:id="109" w:name="_Toc529373322"/>
      <w:r>
        <w:rPr>
          <w:rFonts w:hint="default" w:ascii="Times New Roman" w:hAnsi="Times New Roman" w:cs="Times New Roman"/>
          <w:b/>
          <w:bCs/>
          <w:color w:val="auto"/>
        </w:rPr>
        <w:t>2.调查内容</w:t>
      </w:r>
      <w:bookmarkEnd w:id="108"/>
      <w:bookmarkEnd w:id="109"/>
    </w:p>
    <w:p w14:paraId="4909B84D">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color w:val="auto"/>
        </w:rPr>
      </w:pPr>
      <w:r>
        <w:rPr>
          <w:rFonts w:hint="default" w:ascii="Times New Roman" w:hAnsi="Times New Roman" w:cs="Times New Roman"/>
          <w:color w:val="auto"/>
        </w:rPr>
        <w:t>（1）对吉木萨尔县城市管理服务“三位一体”委托运营项目实施后的满意度，包括对项目实施后县城道路清洁保洁</w:t>
      </w:r>
      <w:r>
        <w:rPr>
          <w:rFonts w:hint="default" w:ascii="Times New Roman" w:hAnsi="Times New Roman" w:cs="Times New Roman"/>
          <w:color w:val="auto"/>
          <w:lang w:eastAsia="zh-CN"/>
        </w:rPr>
        <w:t>，县城绿化管理、县城公园维护、县城环卫工作的垃圾清运及时性</w:t>
      </w:r>
      <w:r>
        <w:rPr>
          <w:rFonts w:hint="default" w:ascii="Times New Roman" w:hAnsi="Times New Roman" w:cs="Times New Roman"/>
          <w:color w:val="auto"/>
          <w:lang w:val="en-US" w:eastAsia="zh-CN"/>
        </w:rPr>
        <w:t>等方面</w:t>
      </w:r>
      <w:r>
        <w:rPr>
          <w:rFonts w:hint="default" w:ascii="Times New Roman" w:hAnsi="Times New Roman" w:cs="Times New Roman"/>
          <w:color w:val="auto"/>
        </w:rPr>
        <w:t>；对项目的完成和实施是否有效和满意等。</w:t>
      </w:r>
    </w:p>
    <w:p w14:paraId="01148C73">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color w:val="auto"/>
        </w:rPr>
      </w:pPr>
      <w:r>
        <w:rPr>
          <w:rFonts w:hint="default" w:ascii="Times New Roman" w:hAnsi="Times New Roman" w:cs="Times New Roman"/>
          <w:color w:val="auto"/>
        </w:rPr>
        <w:t>（2）对吉木萨尔县城市管理服务“三位一体”委托运营项目的意见和建议，通过开放式问答收集，涵盖各个方面。</w:t>
      </w:r>
    </w:p>
    <w:p w14:paraId="1F8FC537">
      <w:pPr>
        <w:keepNext w:val="0"/>
        <w:keepLines w:val="0"/>
        <w:pageBreakBefore w:val="0"/>
        <w:widowControl w:val="0"/>
        <w:kinsoku/>
        <w:wordWrap/>
        <w:overflowPunct/>
        <w:topLinePunct w:val="0"/>
        <w:autoSpaceDE/>
        <w:autoSpaceDN/>
        <w:bidi w:val="0"/>
        <w:adjustRightInd w:val="0"/>
        <w:snapToGrid w:val="0"/>
        <w:spacing w:line="360" w:lineRule="auto"/>
        <w:ind w:firstLine="422"/>
        <w:textAlignment w:val="auto"/>
        <w:rPr>
          <w:rFonts w:hint="default" w:ascii="Times New Roman" w:hAnsi="Times New Roman" w:cs="Times New Roman"/>
          <w:b/>
          <w:bCs/>
          <w:color w:val="auto"/>
        </w:rPr>
      </w:pPr>
      <w:bookmarkStart w:id="110" w:name="_Toc529373323"/>
      <w:bookmarkStart w:id="111" w:name="_Toc529373556"/>
      <w:r>
        <w:rPr>
          <w:rFonts w:hint="default" w:ascii="Times New Roman" w:hAnsi="Times New Roman" w:cs="Times New Roman"/>
          <w:b/>
          <w:bCs/>
          <w:color w:val="auto"/>
        </w:rPr>
        <w:t>3.调查方法</w:t>
      </w:r>
      <w:bookmarkEnd w:id="110"/>
      <w:bookmarkEnd w:id="111"/>
    </w:p>
    <w:p w14:paraId="748C60D3">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color w:val="auto"/>
        </w:rPr>
      </w:pPr>
      <w:r>
        <w:rPr>
          <w:rFonts w:hint="default" w:ascii="Times New Roman" w:hAnsi="Times New Roman" w:cs="Times New Roman"/>
          <w:color w:val="auto"/>
        </w:rPr>
        <w:t>为确保问卷调查的全面性和代表性，本次问卷调查采取抽样和重点选取的方式进行，对</w:t>
      </w:r>
      <w:r>
        <w:rPr>
          <w:rFonts w:hint="default" w:ascii="Times New Roman" w:hAnsi="Times New Roman" w:cs="Times New Roman"/>
          <w:color w:val="auto"/>
          <w:lang w:val="en-US" w:eastAsia="zh-CN"/>
        </w:rPr>
        <w:t>吉木萨尔县社会公众</w:t>
      </w:r>
      <w:r>
        <w:rPr>
          <w:rFonts w:hint="default" w:ascii="Times New Roman" w:hAnsi="Times New Roman" w:cs="Times New Roman"/>
          <w:color w:val="auto"/>
        </w:rPr>
        <w:t>随机抽取</w:t>
      </w:r>
      <w:r>
        <w:rPr>
          <w:rFonts w:hint="default" w:ascii="Times New Roman" w:hAnsi="Times New Roman" w:cs="Times New Roman"/>
          <w:color w:val="auto"/>
          <w:lang w:val="en-US" w:eastAsia="zh-CN"/>
        </w:rPr>
        <w:t>444</w:t>
      </w:r>
      <w:r>
        <w:rPr>
          <w:rFonts w:hint="default" w:ascii="Times New Roman" w:hAnsi="Times New Roman" w:cs="Times New Roman"/>
          <w:color w:val="auto"/>
        </w:rPr>
        <w:t>人为样本，发放问卷</w:t>
      </w:r>
      <w:r>
        <w:rPr>
          <w:rFonts w:hint="default" w:ascii="Times New Roman" w:hAnsi="Times New Roman" w:cs="Times New Roman"/>
          <w:color w:val="auto"/>
          <w:lang w:val="en-US" w:eastAsia="zh-CN"/>
        </w:rPr>
        <w:t>444</w:t>
      </w:r>
      <w:r>
        <w:rPr>
          <w:rFonts w:hint="default" w:ascii="Times New Roman" w:hAnsi="Times New Roman" w:cs="Times New Roman"/>
          <w:color w:val="auto"/>
        </w:rPr>
        <w:t>份。</w:t>
      </w:r>
    </w:p>
    <w:p w14:paraId="0BC6DCBB">
      <w:pPr>
        <w:keepNext w:val="0"/>
        <w:keepLines w:val="0"/>
        <w:pageBreakBefore w:val="0"/>
        <w:widowControl w:val="0"/>
        <w:kinsoku/>
        <w:wordWrap/>
        <w:overflowPunct/>
        <w:topLinePunct w:val="0"/>
        <w:autoSpaceDE/>
        <w:autoSpaceDN/>
        <w:bidi w:val="0"/>
        <w:adjustRightInd w:val="0"/>
        <w:snapToGrid w:val="0"/>
        <w:spacing w:line="360" w:lineRule="auto"/>
        <w:ind w:firstLine="422"/>
        <w:textAlignment w:val="auto"/>
        <w:rPr>
          <w:rFonts w:hint="default" w:ascii="Times New Roman" w:hAnsi="Times New Roman" w:cs="Times New Roman"/>
          <w:b/>
          <w:bCs/>
          <w:color w:val="auto"/>
        </w:rPr>
      </w:pPr>
      <w:bookmarkStart w:id="112" w:name="_Toc529373325"/>
      <w:bookmarkStart w:id="113" w:name="_Toc529373558"/>
      <w:r>
        <w:rPr>
          <w:rFonts w:hint="default" w:ascii="Times New Roman" w:hAnsi="Times New Roman" w:cs="Times New Roman"/>
          <w:b/>
          <w:bCs/>
          <w:color w:val="auto"/>
        </w:rPr>
        <w:t>4.问卷的发放和回收</w:t>
      </w:r>
      <w:bookmarkEnd w:id="112"/>
      <w:bookmarkEnd w:id="113"/>
    </w:p>
    <w:p w14:paraId="13D1081D">
      <w:pPr>
        <w:keepNext w:val="0"/>
        <w:keepLines w:val="0"/>
        <w:pageBreakBefore w:val="0"/>
        <w:widowControl w:val="0"/>
        <w:kinsoku/>
        <w:wordWrap/>
        <w:overflowPunct/>
        <w:topLinePunct w:val="0"/>
        <w:autoSpaceDE/>
        <w:autoSpaceDN/>
        <w:bidi w:val="0"/>
        <w:adjustRightInd w:val="0"/>
        <w:snapToGrid w:val="0"/>
        <w:spacing w:line="360" w:lineRule="auto"/>
        <w:ind w:firstLine="420"/>
        <w:jc w:val="left"/>
        <w:textAlignment w:val="auto"/>
        <w:rPr>
          <w:rFonts w:hint="default" w:ascii="Times New Roman" w:hAnsi="Times New Roman" w:cs="Times New Roman"/>
          <w:color w:val="auto"/>
        </w:rPr>
      </w:pPr>
      <w:r>
        <w:rPr>
          <w:rFonts w:hint="default" w:ascii="Times New Roman" w:hAnsi="Times New Roman" w:cs="Times New Roman"/>
          <w:color w:val="auto"/>
        </w:rPr>
        <w:t>为充分采集调查对象的真实想法，保证问卷调查的公平性和科学性，本次问卷调查不记名，通过电子问卷的形式进行发放与回收。</w:t>
      </w:r>
    </w:p>
    <w:p w14:paraId="317E7A9E">
      <w:pPr>
        <w:keepNext w:val="0"/>
        <w:keepLines w:val="0"/>
        <w:pageBreakBefore w:val="0"/>
        <w:widowControl w:val="0"/>
        <w:kinsoku/>
        <w:wordWrap/>
        <w:overflowPunct/>
        <w:topLinePunct w:val="0"/>
        <w:autoSpaceDE/>
        <w:autoSpaceDN/>
        <w:bidi w:val="0"/>
        <w:adjustRightInd w:val="0"/>
        <w:snapToGrid w:val="0"/>
        <w:spacing w:line="360" w:lineRule="auto"/>
        <w:ind w:left="420" w:leftChars="200" w:firstLine="0" w:firstLineChars="0"/>
        <w:jc w:val="left"/>
        <w:textAlignment w:val="auto"/>
        <w:rPr>
          <w:rFonts w:hint="default" w:ascii="Times New Roman" w:hAnsi="Times New Roman" w:cs="Times New Roman"/>
          <w:b/>
          <w:bCs/>
          <w:color w:val="auto"/>
        </w:rPr>
      </w:pPr>
      <w:r>
        <w:rPr>
          <w:rFonts w:hint="default" w:ascii="Times New Roman" w:hAnsi="Times New Roman" w:cs="Times New Roman"/>
          <w:b/>
          <w:bCs/>
          <w:color w:val="auto"/>
        </w:rPr>
        <w:t>5.问卷调查分析结果</w:t>
      </w:r>
    </w:p>
    <w:p w14:paraId="4B6F017D">
      <w:pPr>
        <w:keepNext w:val="0"/>
        <w:keepLines w:val="0"/>
        <w:pageBreakBefore w:val="0"/>
        <w:widowControl w:val="0"/>
        <w:kinsoku/>
        <w:wordWrap/>
        <w:overflowPunct/>
        <w:topLinePunct w:val="0"/>
        <w:autoSpaceDE/>
        <w:autoSpaceDN/>
        <w:bidi w:val="0"/>
        <w:adjustRightInd w:val="0"/>
        <w:snapToGrid w:val="0"/>
        <w:spacing w:line="360" w:lineRule="auto"/>
        <w:ind w:firstLine="420"/>
        <w:jc w:val="left"/>
        <w:textAlignment w:val="auto"/>
        <w:rPr>
          <w:rFonts w:hint="default" w:ascii="Times New Roman" w:hAnsi="Times New Roman" w:cs="Times New Roman"/>
          <w:color w:val="auto"/>
        </w:rPr>
      </w:pPr>
      <w:r>
        <w:rPr>
          <w:rFonts w:hint="default" w:ascii="Times New Roman" w:hAnsi="Times New Roman" w:cs="Times New Roman"/>
          <w:color w:val="auto"/>
        </w:rPr>
        <w:t>本次调研过程中，评价组实际发放问卷</w:t>
      </w:r>
      <w:r>
        <w:rPr>
          <w:rFonts w:hint="default" w:ascii="Times New Roman" w:hAnsi="Times New Roman" w:cs="Times New Roman"/>
          <w:color w:val="auto"/>
          <w:lang w:val="en-US" w:eastAsia="zh-CN"/>
        </w:rPr>
        <w:t>444</w:t>
      </w:r>
      <w:r>
        <w:rPr>
          <w:rFonts w:hint="default" w:ascii="Times New Roman" w:hAnsi="Times New Roman" w:cs="Times New Roman"/>
          <w:color w:val="auto"/>
        </w:rPr>
        <w:t>份，回收问卷</w:t>
      </w:r>
      <w:r>
        <w:rPr>
          <w:rFonts w:hint="default" w:ascii="Times New Roman" w:hAnsi="Times New Roman" w:cs="Times New Roman"/>
          <w:color w:val="auto"/>
          <w:lang w:val="en-US" w:eastAsia="zh-CN"/>
        </w:rPr>
        <w:t>444</w:t>
      </w:r>
      <w:r>
        <w:rPr>
          <w:rFonts w:hint="default" w:ascii="Times New Roman" w:hAnsi="Times New Roman" w:cs="Times New Roman"/>
          <w:color w:val="auto"/>
        </w:rPr>
        <w:t>份，问卷回收率为100%，有效问卷</w:t>
      </w:r>
      <w:r>
        <w:rPr>
          <w:rFonts w:hint="default" w:ascii="Times New Roman" w:hAnsi="Times New Roman" w:cs="Times New Roman"/>
          <w:color w:val="auto"/>
          <w:lang w:val="en-US" w:eastAsia="zh-CN"/>
        </w:rPr>
        <w:t>444</w:t>
      </w:r>
      <w:r>
        <w:rPr>
          <w:rFonts w:hint="default" w:ascii="Times New Roman" w:hAnsi="Times New Roman" w:cs="Times New Roman"/>
          <w:color w:val="auto"/>
        </w:rPr>
        <w:t>份，有效回收率100%，调研问卷总体满意度为</w:t>
      </w:r>
      <w:r>
        <w:rPr>
          <w:rFonts w:hint="default" w:ascii="Times New Roman" w:hAnsi="Times New Roman" w:cs="Times New Roman"/>
          <w:color w:val="auto"/>
          <w:lang w:val="en-US" w:eastAsia="zh-CN"/>
        </w:rPr>
        <w:t>92.39</w:t>
      </w:r>
      <w:r>
        <w:rPr>
          <w:rFonts w:hint="default" w:ascii="Times New Roman" w:hAnsi="Times New Roman" w:cs="Times New Roman"/>
          <w:color w:val="auto"/>
        </w:rPr>
        <w:t>%。本次调研的具体情况如下：</w:t>
      </w:r>
    </w:p>
    <w:tbl>
      <w:tblPr>
        <w:tblStyle w:val="18"/>
        <w:tblW w:w="5000"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839"/>
        <w:gridCol w:w="2840"/>
        <w:gridCol w:w="2843"/>
      </w:tblGrid>
      <w:tr w14:paraId="0A41F2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4CA3C6">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1.对县城道路清洁保洁（如街道清扫、垃圾清运等）的满意度：</w:t>
            </w:r>
          </w:p>
        </w:tc>
      </w:tr>
      <w:tr w14:paraId="669E73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07CEF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8EB0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5E9B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68C022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D59A7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3CCEC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328</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A878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74%</w:t>
            </w:r>
          </w:p>
        </w:tc>
      </w:tr>
      <w:tr w14:paraId="402267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0275F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5474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94</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9F60C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21%</w:t>
            </w:r>
          </w:p>
        </w:tc>
      </w:tr>
      <w:tr w14:paraId="67B476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756AD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1988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18</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714D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w:t>
            </w:r>
          </w:p>
        </w:tc>
      </w:tr>
      <w:tr w14:paraId="143600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985E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6906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26D79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4ED1D3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029D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857B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C0E35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6410C8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96C02">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2.对县城绿化管理（如绿植存活率、绿化带整洁度等）的满意度：</w:t>
            </w:r>
          </w:p>
        </w:tc>
      </w:tr>
      <w:tr w14:paraId="322726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CB397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7BC4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1B56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043F52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73F82">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AB47E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319</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A6B60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72%</w:t>
            </w:r>
          </w:p>
        </w:tc>
      </w:tr>
      <w:tr w14:paraId="797703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D7102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242F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100</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98AFC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23%</w:t>
            </w:r>
          </w:p>
        </w:tc>
      </w:tr>
      <w:tr w14:paraId="47B659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4BA7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FBDE7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211E1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w:t>
            </w:r>
          </w:p>
        </w:tc>
      </w:tr>
      <w:tr w14:paraId="613B08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C1DF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74041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E5528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r>
      <w:tr w14:paraId="30EA6B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C0057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2D64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8EF1F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BF393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8284D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82285">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7EFAE">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r>
      <w:tr w14:paraId="76B16A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D6768">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3.对县城公园维护（如设施完好度、环境卫生、绿化景观等）的满意度：</w:t>
            </w:r>
          </w:p>
        </w:tc>
      </w:tr>
      <w:tr w14:paraId="66E89A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37E8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25C9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5A3C2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3202F8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A82FED">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FE7F1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319</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CC43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72%</w:t>
            </w:r>
          </w:p>
        </w:tc>
      </w:tr>
      <w:tr w14:paraId="3EF954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09F2D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CC6A7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90</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0AF5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20%</w:t>
            </w:r>
          </w:p>
        </w:tc>
      </w:tr>
      <w:tr w14:paraId="2E4A31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FF28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010D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30</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035EC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w:t>
            </w:r>
          </w:p>
        </w:tc>
      </w:tr>
      <w:tr w14:paraId="258D2F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CC3B22">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90A1F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D9BD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r>
      <w:tr w14:paraId="01B2DA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C2646">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5EEA4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39D30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34A770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4EB12">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 xml:space="preserve"> </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947FD6">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A2F90D">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r>
      <w:tr w14:paraId="7F4B3F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65368">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4.对县城公共厕所（如清洁度、设施完善性、分布合理性等）的满意度：</w:t>
            </w:r>
          </w:p>
        </w:tc>
      </w:tr>
      <w:tr w14:paraId="2A64AD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4D6A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D4EB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4507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3344F6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4E6464">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F7FA0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314</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739B8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71%</w:t>
            </w:r>
          </w:p>
        </w:tc>
      </w:tr>
      <w:tr w14:paraId="1E6184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6F94B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06F6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97</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33D81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22%</w:t>
            </w:r>
          </w:p>
        </w:tc>
      </w:tr>
      <w:tr w14:paraId="1279ED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9AD54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AA7F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25</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D60A4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w:t>
            </w:r>
          </w:p>
        </w:tc>
      </w:tr>
      <w:tr w14:paraId="243020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4F141">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23B9E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EBF5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r>
      <w:tr w14:paraId="21E3B4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1E320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4809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2344D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F640B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FC5F6">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5.对管辖居住小区物业服务（如安保、卫生清洁、公共设施维护等）的满意度：</w:t>
            </w:r>
          </w:p>
        </w:tc>
      </w:tr>
      <w:tr w14:paraId="2552D4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07AF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D605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0C5C7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679D14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1FB013">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790F4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315</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5D8C1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71%</w:t>
            </w:r>
          </w:p>
        </w:tc>
      </w:tr>
      <w:tr w14:paraId="4033C6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8B98FD">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562FE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78</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B806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18%</w:t>
            </w:r>
          </w:p>
        </w:tc>
      </w:tr>
      <w:tr w14:paraId="461A0F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7C0FD4">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7B7B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38</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A8EC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w:t>
            </w:r>
          </w:p>
        </w:tc>
      </w:tr>
      <w:tr w14:paraId="26C93C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D5463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2420C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E5C5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r>
      <w:tr w14:paraId="3CAC6C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11575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DECF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F644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5F0E57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385CB">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6.您认为县城环卫工作的垃圾清运及时性如何？</w:t>
            </w:r>
          </w:p>
        </w:tc>
      </w:tr>
      <w:tr w14:paraId="2901C2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45CF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B441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DAD32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148C1C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204C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非常及时</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8E3A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338</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CDC1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76%</w:t>
            </w:r>
          </w:p>
        </w:tc>
      </w:tr>
      <w:tr w14:paraId="7DEAB6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0128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比较及时</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41EB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73</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EAAE5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w:t>
            </w:r>
          </w:p>
        </w:tc>
      </w:tr>
      <w:tr w14:paraId="673D4B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B60D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738D5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26</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CAB8D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w:t>
            </w:r>
          </w:p>
        </w:tc>
      </w:tr>
      <w:tr w14:paraId="0DA260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1D59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不太及时</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136F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2442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r>
      <w:tr w14:paraId="4EE311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C1FC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非常不及时</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A86FC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A75C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31B27F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2F3CF6">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7.您觉得县城绿化植物的修剪和养护频率是否合适？</w:t>
            </w:r>
          </w:p>
        </w:tc>
      </w:tr>
      <w:tr w14:paraId="3093FE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A4C61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731A6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0FF01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15B62E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9D288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非常合适</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4AB6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337</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4E17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73%</w:t>
            </w:r>
          </w:p>
        </w:tc>
      </w:tr>
      <w:tr w14:paraId="0F9F1F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FE1273">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比较合适</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9C9D4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77</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6CEF7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w:t>
            </w:r>
          </w:p>
        </w:tc>
      </w:tr>
      <w:tr w14:paraId="185354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3F36E4">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86805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28</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BF5E7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w:t>
            </w:r>
          </w:p>
        </w:tc>
      </w:tr>
      <w:tr w14:paraId="13456F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C6B6D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不太合适</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8A317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B824A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5%</w:t>
            </w:r>
          </w:p>
        </w:tc>
      </w:tr>
      <w:tr w14:paraId="4AD6D3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CB5695">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非常不合适</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552CC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BC461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4AF856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57F90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8.您认为冬季县城环卫工作的清理积雪及时性如何？</w:t>
            </w:r>
          </w:p>
        </w:tc>
      </w:tr>
      <w:tr w14:paraId="3CC7D5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2E4C2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579A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A32F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057A3C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9EF053">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非常及时</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849D5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351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234B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79%</w:t>
            </w:r>
          </w:p>
        </w:tc>
      </w:tr>
      <w:tr w14:paraId="475389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289E0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比较及时</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F6821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75</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E3557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w:t>
            </w:r>
          </w:p>
        </w:tc>
      </w:tr>
      <w:tr w14:paraId="64A703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FC78F6">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63849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14</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C881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w:t>
            </w:r>
          </w:p>
        </w:tc>
      </w:tr>
      <w:tr w14:paraId="046F91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A4460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不太及时</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CE0B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D794F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r>
      <w:tr w14:paraId="746874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CF54E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非常不及时</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DD54A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A8A13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1A0D6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7BB29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9.您对冬季县城内清理积雪是否满意？</w:t>
            </w:r>
          </w:p>
        </w:tc>
      </w:tr>
      <w:tr w14:paraId="240C93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4A160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0F60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FE46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248985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AAD7B">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6D0B7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342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D6961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77%</w:t>
            </w:r>
          </w:p>
        </w:tc>
      </w:tr>
      <w:tr w14:paraId="2837D3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266E3">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630F6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E7502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18%</w:t>
            </w:r>
          </w:p>
        </w:tc>
      </w:tr>
      <w:tr w14:paraId="6E6174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25A8B4">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5CF97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E8503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w:t>
            </w:r>
          </w:p>
        </w:tc>
      </w:tr>
      <w:tr w14:paraId="3CD5BA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E9C66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40AA5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B4966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r>
      <w:tr w14:paraId="1E111C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17F60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BDBA3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6C27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2B28C0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7A632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10.您认为由泓欣环境集团管理小区物业对业主提出的问题（如维修请求、投诉等）的处理效率如何？</w:t>
            </w:r>
          </w:p>
        </w:tc>
      </w:tr>
      <w:tr w14:paraId="33EE7A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D300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11C11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36AD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3E7F87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9D546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非常高效</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23A6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308</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34ABA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69%</w:t>
            </w:r>
          </w:p>
        </w:tc>
      </w:tr>
      <w:tr w14:paraId="7A4C3B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F0E9B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比较高效</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B8067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76</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1D9D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w:t>
            </w:r>
          </w:p>
        </w:tc>
      </w:tr>
      <w:tr w14:paraId="638300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EF11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D2D2F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47</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215B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w:t>
            </w:r>
          </w:p>
        </w:tc>
      </w:tr>
      <w:tr w14:paraId="46DF56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C506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不太高效</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63EC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E8107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r>
      <w:tr w14:paraId="674254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13F0B7">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非常低效</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47932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7E7F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1655DC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CB0D5D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11.您认为目前城市环卫、绿化，提供的政府公共服务管理水平实现程度如何？</w:t>
            </w:r>
          </w:p>
        </w:tc>
      </w:tr>
      <w:tr w14:paraId="0C53B4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ECFB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E50A0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37AC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714CD0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A045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有效提升</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A323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341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F798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77%</w:t>
            </w:r>
          </w:p>
        </w:tc>
      </w:tr>
      <w:tr w14:paraId="150FCF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9D6D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有所提升</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37F61">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76</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DFD6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w:t>
            </w:r>
          </w:p>
        </w:tc>
      </w:tr>
      <w:tr w14:paraId="4C6417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6C3C4">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821C7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25</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5A46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6%</w:t>
            </w:r>
          </w:p>
        </w:tc>
      </w:tr>
      <w:tr w14:paraId="6CC661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E0E73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提升效果较小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B41F6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13D427">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418214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4893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无效果</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6831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1E3C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2D0CAD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8936A">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12.总体而言，您对县城上述公共服务的综合满意度如何？</w:t>
            </w:r>
          </w:p>
        </w:tc>
      </w:tr>
      <w:tr w14:paraId="6BD3A5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0C3B9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D6D7B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864DD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3FCAA1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05A89E">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D6AF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317</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9E0E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71%</w:t>
            </w:r>
          </w:p>
        </w:tc>
      </w:tr>
      <w:tr w14:paraId="7560F7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A4D25">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9BF40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93</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F008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21%</w:t>
            </w:r>
          </w:p>
        </w:tc>
      </w:tr>
      <w:tr w14:paraId="710665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28002">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1247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93A62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w:t>
            </w:r>
          </w:p>
        </w:tc>
      </w:tr>
      <w:tr w14:paraId="47C779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21E70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17B25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CCD4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71FF9D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844AB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非常不满意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5513E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909A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0F23EC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159180">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13.您认为在这些公共服务中，最需要改进的是哪一项？（可多选）</w:t>
            </w:r>
          </w:p>
        </w:tc>
      </w:tr>
      <w:tr w14:paraId="70A1C5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26D40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kern w:val="2"/>
                <w:sz w:val="21"/>
                <w:szCs w:val="21"/>
                <w:u w:val="none"/>
                <w:lang w:val="en-US" w:eastAsia="zh-CN" w:bidi="ar-SA"/>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39F25">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kern w:val="2"/>
                <w:sz w:val="21"/>
                <w:szCs w:val="21"/>
                <w:u w:val="none"/>
                <w:lang w:val="en-US" w:eastAsia="zh-CN" w:bidi="ar-SA"/>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5DA38C">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kern w:val="2"/>
                <w:sz w:val="21"/>
                <w:szCs w:val="21"/>
                <w:u w:val="none"/>
                <w:lang w:val="en-US" w:eastAsia="zh-CN" w:bidi="ar-SA"/>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2A5A7C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15BD3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环境卫生</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2AB23">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174</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1A58E">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r>
      <w:tr w14:paraId="50C6D8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219781">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绿化管理</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0D9ED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104</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14D944">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r>
      <w:tr w14:paraId="0606CF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1991B9">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道路养护</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14DC4">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168</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9F95EE">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r>
      <w:tr w14:paraId="5600DC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BDA5F">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公园维护</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112BB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107</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2E5EC">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r>
      <w:tr w14:paraId="4087FC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A1DA2">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公共厕所</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8AAEA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110</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D5C5BC">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r>
      <w:tr w14:paraId="55E5B4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71EDF8">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小区物业服务</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2322F">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140</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578FB1">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r>
      <w:tr w14:paraId="3DB82C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127FD">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其他（请注明：</w:t>
            </w:r>
            <w:r>
              <w:rPr>
                <w:rStyle w:val="33"/>
                <w:rFonts w:hint="default" w:ascii="Times New Roman" w:hAnsi="Times New Roman" w:eastAsia="仿宋" w:cs="Times New Roman"/>
                <w:color w:val="auto"/>
                <w:sz w:val="21"/>
                <w:szCs w:val="21"/>
                <w:lang w:val="en-US" w:eastAsia="zh-CN" w:bidi="ar"/>
              </w:rPr>
              <w:t>______</w:t>
            </w:r>
            <w:r>
              <w:rPr>
                <w:rStyle w:val="34"/>
                <w:rFonts w:hint="default" w:ascii="Times New Roman" w:hAnsi="Times New Roman" w:eastAsia="仿宋" w:cs="Times New Roman"/>
                <w:color w:val="auto"/>
                <w:sz w:val="21"/>
                <w:szCs w:val="21"/>
                <w:lang w:val="en-US" w:eastAsia="zh-CN" w:bidi="ar"/>
              </w:rPr>
              <w:t>）</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63B8B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89</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83474C">
            <w:pPr>
              <w:keepNext w:val="0"/>
              <w:keepLines w:val="0"/>
              <w:pageBreakBefore w:val="0"/>
              <w:widowControl/>
              <w:kinsoku/>
              <w:wordWrap/>
              <w:overflowPunct/>
              <w:topLinePunct w:val="0"/>
              <w:autoSpaceDE/>
              <w:autoSpaceDN/>
              <w:bidi w:val="0"/>
              <w:spacing w:line="240" w:lineRule="auto"/>
              <w:ind w:firstLine="0" w:firstLineChars="0"/>
              <w:rPr>
                <w:rFonts w:hint="default" w:ascii="Times New Roman" w:hAnsi="Times New Roman" w:eastAsia="仿宋" w:cs="Times New Roman"/>
                <w:i w:val="0"/>
                <w:iCs w:val="0"/>
                <w:color w:val="auto"/>
                <w:sz w:val="21"/>
                <w:szCs w:val="21"/>
                <w:u w:val="none"/>
              </w:rPr>
            </w:pPr>
          </w:p>
        </w:tc>
      </w:tr>
      <w:tr w14:paraId="5C887B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BB0EC">
            <w:pPr>
              <w:keepNext w:val="0"/>
              <w:keepLines w:val="0"/>
              <w:pageBreakBefore w:val="0"/>
              <w:widowControl/>
              <w:suppressLineNumbers w:val="0"/>
              <w:kinsoku/>
              <w:wordWrap/>
              <w:overflowPunct/>
              <w:topLinePunct w:val="0"/>
              <w:autoSpaceDE/>
              <w:autoSpaceDN/>
              <w:bidi w:val="0"/>
              <w:spacing w:line="240" w:lineRule="auto"/>
              <w:ind w:firstLine="0" w:firstLineChars="0"/>
              <w:jc w:val="left"/>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14.您认为提升公共服务供给效率程度如何</w:t>
            </w:r>
          </w:p>
        </w:tc>
      </w:tr>
      <w:tr w14:paraId="588E6B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6DB4B0">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选项</w:t>
            </w:r>
          </w:p>
        </w:tc>
        <w:tc>
          <w:tcPr>
            <w:tcW w:w="16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3B7C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反馈数量</w:t>
            </w:r>
          </w:p>
        </w:tc>
        <w:tc>
          <w:tcPr>
            <w:tcW w:w="16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09C2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占比</w:t>
            </w:r>
          </w:p>
        </w:tc>
      </w:tr>
      <w:tr w14:paraId="441C78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EA084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有效提升</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F6C2A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315</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A682A">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71%</w:t>
            </w:r>
          </w:p>
        </w:tc>
      </w:tr>
      <w:tr w14:paraId="508E8B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73D5A6">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有所提升</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5184D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95</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0DF78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21%</w:t>
            </w:r>
          </w:p>
        </w:tc>
      </w:tr>
      <w:tr w14:paraId="718D9F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BCEB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一般</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EBC01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31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3B5FD">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7%</w:t>
            </w:r>
          </w:p>
        </w:tc>
      </w:tr>
      <w:tr w14:paraId="50C33C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10AC2">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提升效果较小</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9A368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2</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95978">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r w14:paraId="597F00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jc w:val="center"/>
        </w:trPr>
        <w:tc>
          <w:tcPr>
            <w:tcW w:w="166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1C1AE">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无效果</w:t>
            </w:r>
          </w:p>
        </w:tc>
        <w:tc>
          <w:tcPr>
            <w:tcW w:w="16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585BB">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1</w:t>
            </w:r>
          </w:p>
        </w:tc>
        <w:tc>
          <w:tcPr>
            <w:tcW w:w="1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A5BA9">
            <w:pPr>
              <w:keepNext w:val="0"/>
              <w:keepLines w:val="0"/>
              <w:pageBreakBefore w:val="0"/>
              <w:widowControl/>
              <w:suppressLineNumbers w:val="0"/>
              <w:kinsoku/>
              <w:wordWrap/>
              <w:overflowPunct/>
              <w:topLinePunct w:val="0"/>
              <w:autoSpaceDE/>
              <w:autoSpaceDN/>
              <w:bidi w:val="0"/>
              <w:spacing w:line="240" w:lineRule="auto"/>
              <w:ind w:firstLine="0" w:firstLineChars="0"/>
              <w:jc w:val="center"/>
              <w:textAlignment w:val="center"/>
              <w:rPr>
                <w:rFonts w:hint="default" w:ascii="Times New Roman" w:hAnsi="Times New Roman" w:eastAsia="仿宋" w:cs="Times New Roman"/>
                <w:i w:val="0"/>
                <w:iCs w:val="0"/>
                <w:color w:val="auto"/>
                <w:sz w:val="21"/>
                <w:szCs w:val="21"/>
                <w:u w:val="none"/>
              </w:rPr>
            </w:pPr>
            <w:r>
              <w:rPr>
                <w:rFonts w:hint="default" w:ascii="Times New Roman" w:hAnsi="Times New Roman" w:eastAsia="仿宋" w:cs="Times New Roman"/>
                <w:i w:val="0"/>
                <w:iCs w:val="0"/>
                <w:color w:val="auto"/>
                <w:kern w:val="0"/>
                <w:sz w:val="21"/>
                <w:szCs w:val="21"/>
                <w:u w:val="none"/>
                <w:lang w:val="en-US" w:eastAsia="zh-CN" w:bidi="ar"/>
              </w:rPr>
              <w:t>0%</w:t>
            </w:r>
          </w:p>
        </w:tc>
      </w:tr>
    </w:tbl>
    <w:p w14:paraId="2D401A58">
      <w:pPr>
        <w:pageBreakBefore w:val="0"/>
        <w:kinsoku/>
        <w:wordWrap/>
        <w:overflowPunct/>
        <w:topLinePunct w:val="0"/>
        <w:autoSpaceDE/>
        <w:autoSpaceDN/>
        <w:bidi w:val="0"/>
        <w:snapToGrid w:val="0"/>
        <w:spacing w:before="0" w:after="0" w:line="360" w:lineRule="auto"/>
        <w:ind w:left="420" w:leftChars="200" w:firstLine="0" w:firstLineChars="0"/>
        <w:jc w:val="left"/>
        <w:rPr>
          <w:rFonts w:hint="default" w:ascii="Times New Roman" w:hAnsi="Times New Roman" w:cs="Times New Roman"/>
          <w:color w:val="auto"/>
        </w:rPr>
      </w:pPr>
      <w:r>
        <w:rPr>
          <w:rFonts w:hint="default" w:ascii="Times New Roman" w:hAnsi="Times New Roman" w:cs="Times New Roman"/>
          <w:color w:val="auto"/>
        </w:rPr>
        <w:br w:type="page"/>
      </w:r>
    </w:p>
    <w:p w14:paraId="5241BE36">
      <w:pPr>
        <w:ind w:firstLine="422"/>
        <w:jc w:val="center"/>
        <w:rPr>
          <w:rFonts w:hint="default" w:ascii="Times New Roman" w:hAnsi="Times New Roman" w:cs="Times New Roman"/>
          <w:b/>
          <w:bCs/>
          <w:color w:val="auto"/>
          <w:lang w:val="en-US" w:eastAsia="zh-CN"/>
        </w:rPr>
      </w:pPr>
      <w:bookmarkStart w:id="114" w:name="_Toc613"/>
      <w:bookmarkStart w:id="115" w:name="_Toc23223"/>
      <w:bookmarkStart w:id="116" w:name="_Toc32397"/>
      <w:bookmarkStart w:id="117" w:name="_Toc17928"/>
      <w:r>
        <w:rPr>
          <w:rFonts w:hint="default" w:ascii="Times New Roman" w:hAnsi="Times New Roman" w:cs="Times New Roman"/>
          <w:b/>
          <w:bCs/>
          <w:color w:val="auto"/>
        </w:rPr>
        <w:t>吉木萨尔县城市管理服务“三位一体”委托运营项目-</w:t>
      </w:r>
      <w:r>
        <w:rPr>
          <w:rFonts w:hint="default" w:ascii="Times New Roman" w:hAnsi="Times New Roman" w:cs="Times New Roman"/>
          <w:b/>
          <w:bCs/>
          <w:color w:val="auto"/>
          <w:lang w:val="en-US" w:eastAsia="zh-CN"/>
        </w:rPr>
        <w:t>购买主体</w:t>
      </w:r>
    </w:p>
    <w:p w14:paraId="5A501FD5">
      <w:pPr>
        <w:ind w:firstLine="422"/>
        <w:jc w:val="center"/>
        <w:rPr>
          <w:rFonts w:hint="default" w:ascii="Times New Roman" w:hAnsi="Times New Roman" w:cs="Times New Roman"/>
          <w:b/>
          <w:bCs/>
          <w:color w:val="auto"/>
          <w:lang w:val="en-US" w:eastAsia="zh-CN"/>
        </w:rPr>
      </w:pPr>
      <w:r>
        <w:rPr>
          <w:rFonts w:hint="default" w:ascii="Times New Roman" w:hAnsi="Times New Roman" w:cs="Times New Roman"/>
          <w:b/>
          <w:bCs/>
          <w:color w:val="auto"/>
          <w:lang w:val="en-US" w:eastAsia="zh-CN"/>
        </w:rPr>
        <w:drawing>
          <wp:anchor distT="0" distB="0" distL="114300" distR="114300" simplePos="0" relativeHeight="251662336" behindDoc="0" locked="0" layoutInCell="1" allowOverlap="1">
            <wp:simplePos x="0" y="0"/>
            <wp:positionH relativeFrom="column">
              <wp:posOffset>128270</wp:posOffset>
            </wp:positionH>
            <wp:positionV relativeFrom="paragraph">
              <wp:posOffset>198755</wp:posOffset>
            </wp:positionV>
            <wp:extent cx="5273675" cy="6828155"/>
            <wp:effectExtent l="0" t="0" r="9525" b="4445"/>
            <wp:wrapTopAndBottom/>
            <wp:docPr id="9" name="图片 9" descr="购买主体满意度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购买主体满意度_01"/>
                    <pic:cNvPicPr>
                      <a:picLocks noChangeAspect="1"/>
                    </pic:cNvPicPr>
                  </pic:nvPicPr>
                  <pic:blipFill>
                    <a:blip r:embed="rId18"/>
                    <a:stretch>
                      <a:fillRect/>
                    </a:stretch>
                  </pic:blipFill>
                  <pic:spPr>
                    <a:xfrm>
                      <a:off x="0" y="0"/>
                      <a:ext cx="5273675" cy="6828155"/>
                    </a:xfrm>
                    <a:prstGeom prst="rect">
                      <a:avLst/>
                    </a:prstGeom>
                  </pic:spPr>
                </pic:pic>
              </a:graphicData>
            </a:graphic>
          </wp:anchor>
        </w:drawing>
      </w:r>
    </w:p>
    <w:p w14:paraId="6DE70162">
      <w:pPr>
        <w:rPr>
          <w:rFonts w:hint="default" w:ascii="Times New Roman" w:hAnsi="Times New Roman" w:cs="Times New Roman"/>
          <w:color w:val="auto"/>
        </w:rPr>
      </w:pPr>
      <w:r>
        <w:rPr>
          <w:rFonts w:hint="default" w:ascii="Times New Roman" w:hAnsi="Times New Roman" w:cs="Times New Roman"/>
          <w:color w:val="auto"/>
        </w:rPr>
        <w:br w:type="page"/>
      </w:r>
    </w:p>
    <w:p w14:paraId="67C34870">
      <w:pPr>
        <w:rPr>
          <w:rFonts w:hint="default" w:ascii="Times New Roman" w:hAnsi="Times New Roman" w:cs="Times New Roman"/>
          <w:color w:val="auto"/>
        </w:rPr>
      </w:pPr>
      <w:r>
        <w:rPr>
          <w:rFonts w:hint="default" w:ascii="Times New Roman" w:hAnsi="Times New Roman" w:cs="Times New Roman"/>
          <w:b/>
          <w:bCs/>
          <w:color w:val="auto"/>
          <w:lang w:val="en-US" w:eastAsia="zh-CN"/>
        </w:rPr>
        <w:drawing>
          <wp:anchor distT="0" distB="0" distL="114300" distR="114300" simplePos="0" relativeHeight="251661312" behindDoc="0" locked="0" layoutInCell="1" allowOverlap="1">
            <wp:simplePos x="0" y="0"/>
            <wp:positionH relativeFrom="column">
              <wp:posOffset>40640</wp:posOffset>
            </wp:positionH>
            <wp:positionV relativeFrom="paragraph">
              <wp:posOffset>383540</wp:posOffset>
            </wp:positionV>
            <wp:extent cx="5273675" cy="6828155"/>
            <wp:effectExtent l="0" t="0" r="9525" b="4445"/>
            <wp:wrapSquare wrapText="bothSides"/>
            <wp:docPr id="8" name="图片 8" descr="购买主体满意度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购买主体满意度_02"/>
                    <pic:cNvPicPr>
                      <a:picLocks noChangeAspect="1"/>
                    </pic:cNvPicPr>
                  </pic:nvPicPr>
                  <pic:blipFill>
                    <a:blip r:embed="rId19"/>
                    <a:stretch>
                      <a:fillRect/>
                    </a:stretch>
                  </pic:blipFill>
                  <pic:spPr>
                    <a:xfrm>
                      <a:off x="0" y="0"/>
                      <a:ext cx="5273675" cy="6828155"/>
                    </a:xfrm>
                    <a:prstGeom prst="rect">
                      <a:avLst/>
                    </a:prstGeom>
                  </pic:spPr>
                </pic:pic>
              </a:graphicData>
            </a:graphic>
          </wp:anchor>
        </w:drawing>
      </w:r>
      <w:r>
        <w:rPr>
          <w:rFonts w:hint="default" w:ascii="Times New Roman" w:hAnsi="Times New Roman" w:cs="Times New Roman"/>
          <w:color w:val="auto"/>
        </w:rPr>
        <w:br w:type="page"/>
      </w:r>
    </w:p>
    <w:p w14:paraId="7679DF8E">
      <w:pPr>
        <w:rPr>
          <w:rFonts w:hint="default" w:ascii="Times New Roman" w:hAnsi="Times New Roman" w:cs="Times New Roman"/>
          <w:color w:val="auto"/>
        </w:rPr>
      </w:pPr>
      <w:r>
        <w:rPr>
          <w:rFonts w:hint="default" w:ascii="Times New Roman" w:hAnsi="Times New Roman" w:cs="Times New Roman"/>
          <w:b/>
          <w:bCs/>
          <w:color w:val="auto"/>
          <w:lang w:val="en-US" w:eastAsia="zh-CN"/>
        </w:rPr>
        <w:drawing>
          <wp:anchor distT="0" distB="0" distL="114300" distR="114300" simplePos="0" relativeHeight="251660288" behindDoc="0" locked="0" layoutInCell="1" allowOverlap="1">
            <wp:simplePos x="0" y="0"/>
            <wp:positionH relativeFrom="column">
              <wp:posOffset>-5080</wp:posOffset>
            </wp:positionH>
            <wp:positionV relativeFrom="paragraph">
              <wp:posOffset>387350</wp:posOffset>
            </wp:positionV>
            <wp:extent cx="5273675" cy="6828155"/>
            <wp:effectExtent l="0" t="0" r="9525" b="4445"/>
            <wp:wrapSquare wrapText="bothSides"/>
            <wp:docPr id="7" name="图片 7" descr="购买主体满意度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购买主体满意度_03"/>
                    <pic:cNvPicPr>
                      <a:picLocks noChangeAspect="1"/>
                    </pic:cNvPicPr>
                  </pic:nvPicPr>
                  <pic:blipFill>
                    <a:blip r:embed="rId20"/>
                    <a:stretch>
                      <a:fillRect/>
                    </a:stretch>
                  </pic:blipFill>
                  <pic:spPr>
                    <a:xfrm>
                      <a:off x="0" y="0"/>
                      <a:ext cx="5273675" cy="6828155"/>
                    </a:xfrm>
                    <a:prstGeom prst="rect">
                      <a:avLst/>
                    </a:prstGeom>
                  </pic:spPr>
                </pic:pic>
              </a:graphicData>
            </a:graphic>
          </wp:anchor>
        </w:drawing>
      </w:r>
      <w:r>
        <w:rPr>
          <w:rFonts w:hint="default" w:ascii="Times New Roman" w:hAnsi="Times New Roman" w:cs="Times New Roman"/>
          <w:color w:val="auto"/>
        </w:rPr>
        <w:br w:type="page"/>
      </w:r>
    </w:p>
    <w:p w14:paraId="70C97806">
      <w:pPr>
        <w:pStyle w:val="2"/>
        <w:pageBreakBefore w:val="0"/>
        <w:kinsoku/>
        <w:wordWrap/>
        <w:overflowPunct/>
        <w:topLinePunct w:val="0"/>
        <w:autoSpaceDE/>
        <w:autoSpaceDN/>
        <w:bidi w:val="0"/>
        <w:snapToGrid w:val="0"/>
        <w:spacing w:before="0" w:after="0" w:line="360" w:lineRule="auto"/>
        <w:ind w:firstLine="0" w:firstLineChars="0"/>
        <w:rPr>
          <w:rFonts w:hint="default" w:ascii="Times New Roman" w:hAnsi="Times New Roman" w:cs="Times New Roman"/>
          <w:color w:val="auto"/>
        </w:rPr>
      </w:pPr>
      <w:r>
        <w:rPr>
          <w:rFonts w:hint="default" w:ascii="Times New Roman" w:hAnsi="Times New Roman" w:cs="Times New Roman"/>
          <w:color w:val="auto"/>
        </w:rPr>
        <w:t>附件4：现场勘查照片</w:t>
      </w:r>
      <w:bookmarkEnd w:id="114"/>
      <w:bookmarkEnd w:id="115"/>
      <w:bookmarkEnd w:id="116"/>
      <w:bookmarkEnd w:id="117"/>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14:paraId="10309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2679899F">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cs="Times New Roman"/>
                <w:b/>
                <w:bCs/>
                <w:color w:val="auto"/>
                <w:highlight w:val="none"/>
                <w:vertAlign w:val="baseline"/>
                <w:lang w:val="en-US" w:eastAsia="zh-CN"/>
              </w:rPr>
            </w:pPr>
            <w:r>
              <w:rPr>
                <w:rFonts w:hint="default" w:ascii="Times New Roman" w:hAnsi="Times New Roman" w:cs="Times New Roman"/>
                <w:b/>
                <w:bCs/>
                <w:color w:val="auto"/>
                <w:highlight w:val="none"/>
                <w:vertAlign w:val="baseline"/>
                <w:lang w:val="en-US" w:eastAsia="zh-CN"/>
              </w:rPr>
              <w:t>图1-满城路道路保洁</w:t>
            </w:r>
          </w:p>
          <w:p w14:paraId="639A51EB">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cs="Times New Roman"/>
                <w:b/>
                <w:bCs/>
                <w:color w:val="auto"/>
                <w:highlight w:val="none"/>
                <w:vertAlign w:val="baseline"/>
                <w:lang w:val="en-US" w:eastAsia="zh-CN"/>
              </w:rPr>
            </w:pPr>
            <w:r>
              <w:rPr>
                <w:rFonts w:hint="default" w:ascii="Times New Roman" w:hAnsi="Times New Roman" w:cs="Times New Roman" w:eastAsiaTheme="minorEastAsia"/>
                <w:color w:val="auto"/>
                <w:highlight w:val="none"/>
                <w:vertAlign w:val="baseline"/>
                <w:lang w:eastAsia="zh-CN"/>
              </w:rPr>
              <w:drawing>
                <wp:anchor distT="0" distB="0" distL="114300" distR="114300" simplePos="0" relativeHeight="251665408" behindDoc="0" locked="0" layoutInCell="1" allowOverlap="1">
                  <wp:simplePos x="0" y="0"/>
                  <wp:positionH relativeFrom="column">
                    <wp:posOffset>1270</wp:posOffset>
                  </wp:positionH>
                  <wp:positionV relativeFrom="paragraph">
                    <wp:posOffset>32385</wp:posOffset>
                  </wp:positionV>
                  <wp:extent cx="2559685" cy="1925955"/>
                  <wp:effectExtent l="0" t="0" r="5715" b="4445"/>
                  <wp:wrapSquare wrapText="bothSides"/>
                  <wp:docPr id="5" name="图片 5" descr="ee5ec49fec0e647705aa05f3b748a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ee5ec49fec0e647705aa05f3b748a63"/>
                          <pic:cNvPicPr>
                            <a:picLocks noChangeAspect="1"/>
                          </pic:cNvPicPr>
                        </pic:nvPicPr>
                        <pic:blipFill>
                          <a:blip r:embed="rId21"/>
                          <a:stretch>
                            <a:fillRect/>
                          </a:stretch>
                        </pic:blipFill>
                        <pic:spPr>
                          <a:xfrm>
                            <a:off x="0" y="0"/>
                            <a:ext cx="2559685" cy="1925955"/>
                          </a:xfrm>
                          <a:prstGeom prst="rect">
                            <a:avLst/>
                          </a:prstGeom>
                        </pic:spPr>
                      </pic:pic>
                    </a:graphicData>
                  </a:graphic>
                </wp:anchor>
              </w:drawing>
            </w:r>
          </w:p>
        </w:tc>
        <w:tc>
          <w:tcPr>
            <w:tcW w:w="4261" w:type="dxa"/>
          </w:tcPr>
          <w:p w14:paraId="286E52C5">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cs="Times New Roman"/>
                <w:b/>
                <w:bCs/>
                <w:color w:val="auto"/>
                <w:highlight w:val="none"/>
                <w:vertAlign w:val="baseline"/>
                <w:lang w:val="en-US" w:eastAsia="zh-CN"/>
              </w:rPr>
            </w:pPr>
            <w:r>
              <w:rPr>
                <w:rFonts w:hint="default" w:ascii="Times New Roman" w:hAnsi="Times New Roman" w:cs="Times New Roman"/>
                <w:color w:val="auto"/>
                <w:lang w:val="en-US" w:eastAsia="zh-CN"/>
              </w:rPr>
              <w:drawing>
                <wp:anchor distT="0" distB="0" distL="114300" distR="114300" simplePos="0" relativeHeight="251666432" behindDoc="0" locked="0" layoutInCell="1" allowOverlap="1">
                  <wp:simplePos x="0" y="0"/>
                  <wp:positionH relativeFrom="column">
                    <wp:posOffset>65405</wp:posOffset>
                  </wp:positionH>
                  <wp:positionV relativeFrom="paragraph">
                    <wp:posOffset>294640</wp:posOffset>
                  </wp:positionV>
                  <wp:extent cx="2559685" cy="1922780"/>
                  <wp:effectExtent l="0" t="0" r="5715" b="7620"/>
                  <wp:wrapSquare wrapText="bothSides"/>
                  <wp:docPr id="6" name="图片 6" descr="1f7cd4f27af512ef30f9a1ae22d1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f7cd4f27af512ef30f9a1ae22d1627"/>
                          <pic:cNvPicPr>
                            <a:picLocks noChangeAspect="1"/>
                          </pic:cNvPicPr>
                        </pic:nvPicPr>
                        <pic:blipFill>
                          <a:blip r:embed="rId22"/>
                          <a:stretch>
                            <a:fillRect/>
                          </a:stretch>
                        </pic:blipFill>
                        <pic:spPr>
                          <a:xfrm>
                            <a:off x="0" y="0"/>
                            <a:ext cx="2559685" cy="1922780"/>
                          </a:xfrm>
                          <a:prstGeom prst="rect">
                            <a:avLst/>
                          </a:prstGeom>
                        </pic:spPr>
                      </pic:pic>
                    </a:graphicData>
                  </a:graphic>
                </wp:anchor>
              </w:drawing>
            </w:r>
            <w:r>
              <w:rPr>
                <w:rFonts w:hint="default" w:ascii="Times New Roman" w:hAnsi="Times New Roman" w:cs="Times New Roman"/>
                <w:b/>
                <w:bCs/>
                <w:color w:val="auto"/>
                <w:highlight w:val="none"/>
                <w:vertAlign w:val="baseline"/>
                <w:lang w:val="en-US" w:eastAsia="zh-CN"/>
              </w:rPr>
              <w:t>图2-北庭路道路保洁</w:t>
            </w:r>
          </w:p>
        </w:tc>
      </w:tr>
      <w:tr w14:paraId="401DAE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1" w:hRule="atLeast"/>
        </w:trPr>
        <w:tc>
          <w:tcPr>
            <w:tcW w:w="4261" w:type="dxa"/>
          </w:tcPr>
          <w:p w14:paraId="49726D45">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jc w:val="center"/>
              <w:textAlignment w:val="auto"/>
              <w:rPr>
                <w:rFonts w:hint="default" w:ascii="Times New Roman" w:hAnsi="Times New Roman" w:cs="Times New Roman"/>
                <w:b/>
                <w:bCs/>
                <w:color w:val="auto"/>
                <w:highlight w:val="none"/>
                <w:vertAlign w:val="baseline"/>
                <w:lang w:val="en-US" w:eastAsia="zh-CN"/>
              </w:rPr>
            </w:pPr>
            <w:r>
              <w:rPr>
                <w:rFonts w:hint="default" w:ascii="Times New Roman" w:hAnsi="Times New Roman" w:cs="Times New Roman"/>
                <w:b/>
                <w:bCs/>
                <w:color w:val="auto"/>
                <w:highlight w:val="none"/>
                <w:vertAlign w:val="baseline"/>
                <w:lang w:val="en-US" w:eastAsia="zh-CN"/>
              </w:rPr>
              <w:t>图3-天山路道路保洁</w:t>
            </w:r>
          </w:p>
          <w:p w14:paraId="6620A786">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jc w:val="center"/>
              <w:textAlignment w:val="auto"/>
              <w:rPr>
                <w:rFonts w:hint="default" w:ascii="Times New Roman" w:hAnsi="Times New Roman" w:cs="Times New Roman"/>
                <w:b/>
                <w:bCs/>
                <w:color w:val="auto"/>
                <w:highlight w:val="none"/>
                <w:vertAlign w:val="baseline"/>
                <w:lang w:val="en-US" w:eastAsia="zh-CN"/>
              </w:rPr>
            </w:pPr>
            <w:r>
              <w:rPr>
                <w:rFonts w:hint="default" w:ascii="Times New Roman" w:hAnsi="Times New Roman" w:cs="Times New Roman"/>
                <w:b/>
                <w:bCs/>
                <w:color w:val="auto"/>
                <w:highlight w:val="none"/>
                <w:vertAlign w:val="baseline"/>
                <w:lang w:val="en-US" w:eastAsia="zh-CN"/>
              </w:rPr>
              <w:drawing>
                <wp:anchor distT="0" distB="0" distL="114300" distR="114300" simplePos="0" relativeHeight="251667456" behindDoc="0" locked="0" layoutInCell="1" allowOverlap="1">
                  <wp:simplePos x="0" y="0"/>
                  <wp:positionH relativeFrom="column">
                    <wp:posOffset>1270</wp:posOffset>
                  </wp:positionH>
                  <wp:positionV relativeFrom="paragraph">
                    <wp:posOffset>114300</wp:posOffset>
                  </wp:positionV>
                  <wp:extent cx="2559685" cy="1918970"/>
                  <wp:effectExtent l="0" t="0" r="5715" b="11430"/>
                  <wp:wrapSquare wrapText="bothSides"/>
                  <wp:docPr id="4" name="图片 4" descr="137001da199594122bb3935bff7b1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37001da199594122bb3935bff7b16d"/>
                          <pic:cNvPicPr>
                            <a:picLocks noChangeAspect="1"/>
                          </pic:cNvPicPr>
                        </pic:nvPicPr>
                        <pic:blipFill>
                          <a:blip r:embed="rId23"/>
                          <a:stretch>
                            <a:fillRect/>
                          </a:stretch>
                        </pic:blipFill>
                        <pic:spPr>
                          <a:xfrm>
                            <a:off x="0" y="0"/>
                            <a:ext cx="2559685" cy="1918970"/>
                          </a:xfrm>
                          <a:prstGeom prst="rect">
                            <a:avLst/>
                          </a:prstGeom>
                        </pic:spPr>
                      </pic:pic>
                    </a:graphicData>
                  </a:graphic>
                </wp:anchor>
              </w:drawing>
            </w:r>
          </w:p>
        </w:tc>
        <w:tc>
          <w:tcPr>
            <w:tcW w:w="4261" w:type="dxa"/>
          </w:tcPr>
          <w:p w14:paraId="34EF7CE7">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jc w:val="center"/>
              <w:textAlignment w:val="auto"/>
              <w:rPr>
                <w:rFonts w:hint="default" w:ascii="Times New Roman" w:hAnsi="Times New Roman" w:cs="Times New Roman" w:eastAsiaTheme="minorEastAsia"/>
                <w:color w:val="auto"/>
                <w:highlight w:val="none"/>
                <w:vertAlign w:val="baseline"/>
                <w:lang w:eastAsia="zh-CN"/>
              </w:rPr>
            </w:pPr>
            <w:r>
              <w:rPr>
                <w:rFonts w:hint="default" w:ascii="Times New Roman" w:hAnsi="Times New Roman" w:cs="Times New Roman"/>
                <w:b/>
                <w:bCs/>
                <w:color w:val="auto"/>
                <w:highlight w:val="none"/>
                <w:vertAlign w:val="baseline"/>
                <w:lang w:val="en-US" w:eastAsia="zh-CN"/>
              </w:rPr>
              <w:drawing>
                <wp:anchor distT="0" distB="0" distL="114300" distR="114300" simplePos="0" relativeHeight="251668480" behindDoc="0" locked="0" layoutInCell="1" allowOverlap="1">
                  <wp:simplePos x="0" y="0"/>
                  <wp:positionH relativeFrom="column">
                    <wp:posOffset>65405</wp:posOffset>
                  </wp:positionH>
                  <wp:positionV relativeFrom="paragraph">
                    <wp:posOffset>372745</wp:posOffset>
                  </wp:positionV>
                  <wp:extent cx="2559685" cy="1919605"/>
                  <wp:effectExtent l="0" t="0" r="5715" b="10795"/>
                  <wp:wrapSquare wrapText="bothSides"/>
                  <wp:docPr id="3" name="图片 3" descr="ccc78287b11e86d39a12c82a3b109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cc78287b11e86d39a12c82a3b109077"/>
                          <pic:cNvPicPr>
                            <a:picLocks noChangeAspect="1"/>
                          </pic:cNvPicPr>
                        </pic:nvPicPr>
                        <pic:blipFill>
                          <a:blip r:embed="rId24"/>
                          <a:stretch>
                            <a:fillRect/>
                          </a:stretch>
                        </pic:blipFill>
                        <pic:spPr>
                          <a:xfrm>
                            <a:off x="0" y="0"/>
                            <a:ext cx="2559685" cy="1919605"/>
                          </a:xfrm>
                          <a:prstGeom prst="rect">
                            <a:avLst/>
                          </a:prstGeom>
                        </pic:spPr>
                      </pic:pic>
                    </a:graphicData>
                  </a:graphic>
                </wp:anchor>
              </w:drawing>
            </w:r>
            <w:r>
              <w:rPr>
                <w:rFonts w:hint="default" w:ascii="Times New Roman" w:hAnsi="Times New Roman" w:cs="Times New Roman"/>
                <w:b/>
                <w:bCs/>
                <w:color w:val="auto"/>
                <w:highlight w:val="none"/>
                <w:vertAlign w:val="baseline"/>
                <w:lang w:val="en-US" w:eastAsia="zh-CN"/>
              </w:rPr>
              <w:t>图4-填埋场</w:t>
            </w:r>
          </w:p>
        </w:tc>
      </w:tr>
      <w:tr w14:paraId="595FE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28EB1010">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cs="Times New Roman"/>
                <w:b/>
                <w:bCs/>
                <w:color w:val="auto"/>
                <w:highlight w:val="none"/>
                <w:vertAlign w:val="baseline"/>
                <w:lang w:val="en-US" w:eastAsia="zh-CN"/>
              </w:rPr>
            </w:pPr>
            <w:r>
              <w:rPr>
                <w:rFonts w:hint="default" w:ascii="Times New Roman" w:hAnsi="Times New Roman" w:cs="Times New Roman"/>
                <w:b/>
                <w:bCs/>
                <w:color w:val="auto"/>
                <w:highlight w:val="none"/>
                <w:vertAlign w:val="baseline"/>
                <w:lang w:val="en-US" w:eastAsia="zh-CN"/>
              </w:rPr>
              <w:drawing>
                <wp:anchor distT="0" distB="0" distL="114300" distR="114300" simplePos="0" relativeHeight="251669504" behindDoc="0" locked="0" layoutInCell="1" allowOverlap="1">
                  <wp:simplePos x="0" y="0"/>
                  <wp:positionH relativeFrom="column">
                    <wp:posOffset>1270</wp:posOffset>
                  </wp:positionH>
                  <wp:positionV relativeFrom="paragraph">
                    <wp:posOffset>464185</wp:posOffset>
                  </wp:positionV>
                  <wp:extent cx="2577465" cy="1918970"/>
                  <wp:effectExtent l="0" t="0" r="635" b="11430"/>
                  <wp:wrapSquare wrapText="bothSides"/>
                  <wp:docPr id="12" name="图片 12" descr="垃圾场磅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垃圾场磅房"/>
                          <pic:cNvPicPr>
                            <a:picLocks noChangeAspect="1"/>
                          </pic:cNvPicPr>
                        </pic:nvPicPr>
                        <pic:blipFill>
                          <a:blip r:embed="rId25"/>
                          <a:stretch>
                            <a:fillRect/>
                          </a:stretch>
                        </pic:blipFill>
                        <pic:spPr>
                          <a:xfrm>
                            <a:off x="0" y="0"/>
                            <a:ext cx="2577465" cy="1918970"/>
                          </a:xfrm>
                          <a:prstGeom prst="rect">
                            <a:avLst/>
                          </a:prstGeom>
                        </pic:spPr>
                      </pic:pic>
                    </a:graphicData>
                  </a:graphic>
                </wp:anchor>
              </w:drawing>
            </w:r>
            <w:r>
              <w:rPr>
                <w:rFonts w:hint="default" w:ascii="Times New Roman" w:hAnsi="Times New Roman" w:cs="Times New Roman"/>
                <w:b/>
                <w:bCs/>
                <w:color w:val="auto"/>
                <w:highlight w:val="none"/>
                <w:vertAlign w:val="baseline"/>
                <w:lang w:val="en-US" w:eastAsia="zh-CN"/>
              </w:rPr>
              <w:t>图5-填埋场办公用房</w:t>
            </w:r>
          </w:p>
        </w:tc>
        <w:tc>
          <w:tcPr>
            <w:tcW w:w="4261" w:type="dxa"/>
          </w:tcPr>
          <w:p w14:paraId="26772F67">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cs="Times New Roman"/>
                <w:b/>
                <w:bCs/>
                <w:color w:val="auto"/>
                <w:highlight w:val="none"/>
                <w:vertAlign w:val="baseline"/>
                <w:lang w:val="en-US" w:eastAsia="zh-CN"/>
              </w:rPr>
            </w:pPr>
            <w:r>
              <w:rPr>
                <w:rFonts w:hint="default" w:ascii="Times New Roman" w:hAnsi="Times New Roman" w:cs="Times New Roman"/>
                <w:b/>
                <w:bCs/>
                <w:color w:val="auto"/>
                <w:highlight w:val="none"/>
                <w:vertAlign w:val="baseline"/>
                <w:lang w:val="en-US" w:eastAsia="zh-CN"/>
              </w:rPr>
              <w:drawing>
                <wp:anchor distT="0" distB="0" distL="114300" distR="114300" simplePos="0" relativeHeight="251670528" behindDoc="0" locked="0" layoutInCell="1" allowOverlap="1">
                  <wp:simplePos x="0" y="0"/>
                  <wp:positionH relativeFrom="column">
                    <wp:posOffset>27305</wp:posOffset>
                  </wp:positionH>
                  <wp:positionV relativeFrom="paragraph">
                    <wp:posOffset>464185</wp:posOffset>
                  </wp:positionV>
                  <wp:extent cx="2604135" cy="1918970"/>
                  <wp:effectExtent l="0" t="0" r="12065" b="11430"/>
                  <wp:wrapSquare wrapText="bothSides"/>
                  <wp:docPr id="13" name="图片 13" descr="垃圾车过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垃圾车过磅"/>
                          <pic:cNvPicPr>
                            <a:picLocks noChangeAspect="1"/>
                          </pic:cNvPicPr>
                        </pic:nvPicPr>
                        <pic:blipFill>
                          <a:blip r:embed="rId26"/>
                          <a:stretch>
                            <a:fillRect/>
                          </a:stretch>
                        </pic:blipFill>
                        <pic:spPr>
                          <a:xfrm>
                            <a:off x="0" y="0"/>
                            <a:ext cx="2604135" cy="1918970"/>
                          </a:xfrm>
                          <a:prstGeom prst="rect">
                            <a:avLst/>
                          </a:prstGeom>
                        </pic:spPr>
                      </pic:pic>
                    </a:graphicData>
                  </a:graphic>
                </wp:anchor>
              </w:drawing>
            </w:r>
            <w:r>
              <w:rPr>
                <w:rFonts w:hint="default" w:ascii="Times New Roman" w:hAnsi="Times New Roman" w:cs="Times New Roman"/>
                <w:b/>
                <w:bCs/>
                <w:color w:val="auto"/>
                <w:highlight w:val="none"/>
                <w:vertAlign w:val="baseline"/>
                <w:lang w:val="en-US" w:eastAsia="zh-CN"/>
              </w:rPr>
              <w:t>图6填埋场磅房</w:t>
            </w:r>
          </w:p>
        </w:tc>
      </w:tr>
    </w:tbl>
    <w:p w14:paraId="27357BCB">
      <w:pPr>
        <w:pageBreakBefore w:val="0"/>
        <w:kinsoku/>
        <w:wordWrap/>
        <w:overflowPunct/>
        <w:topLinePunct w:val="0"/>
        <w:autoSpaceDE/>
        <w:autoSpaceDN/>
        <w:bidi w:val="0"/>
        <w:snapToGrid w:val="0"/>
        <w:spacing w:before="0" w:after="0" w:line="360" w:lineRule="auto"/>
        <w:ind w:firstLine="0" w:firstLineChars="0"/>
        <w:rPr>
          <w:rFonts w:hint="default" w:ascii="Times New Roman" w:hAnsi="Times New Roman" w:cs="Times New Roman"/>
          <w:color w:val="auto"/>
        </w:rPr>
      </w:pPr>
    </w:p>
    <w:p w14:paraId="77DDD63C">
      <w:pPr>
        <w:pageBreakBefore w:val="0"/>
        <w:kinsoku/>
        <w:wordWrap/>
        <w:overflowPunct/>
        <w:topLinePunct w:val="0"/>
        <w:autoSpaceDE/>
        <w:autoSpaceDN/>
        <w:bidi w:val="0"/>
        <w:snapToGrid w:val="0"/>
        <w:spacing w:before="0" w:after="0" w:line="360" w:lineRule="auto"/>
        <w:ind w:firstLine="0" w:firstLineChars="0"/>
        <w:jc w:val="center"/>
        <w:rPr>
          <w:rFonts w:hint="default" w:ascii="Times New Roman" w:hAnsi="Times New Roman" w:cs="Times New Roman"/>
          <w:color w:val="auto"/>
        </w:rPr>
      </w:pP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14:paraId="583917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6F1E02EE">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b/>
                <w:bCs/>
                <w:color w:val="auto"/>
                <w:vertAlign w:val="baseline"/>
                <w:lang w:val="en-US" w:eastAsia="zh-CN"/>
              </w:rPr>
            </w:pPr>
            <w:bookmarkStart w:id="118" w:name="_Toc12827"/>
            <w:bookmarkStart w:id="119" w:name="_Toc27647"/>
            <w:r>
              <w:rPr>
                <w:rFonts w:hint="default" w:ascii="Times New Roman" w:hAnsi="Times New Roman" w:cs="Times New Roman"/>
                <w:b/>
                <w:bCs/>
                <w:color w:val="auto"/>
                <w:vertAlign w:val="baseline"/>
                <w:lang w:val="en-US" w:eastAsia="zh-CN"/>
              </w:rPr>
              <w:t>图6：体育场公共厕所</w:t>
            </w:r>
          </w:p>
          <w:p w14:paraId="1F9D51A8">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cs="Times New Roman"/>
                <w:color w:val="auto"/>
                <w:vertAlign w:val="baseline"/>
                <w:lang w:val="en-US" w:eastAsia="zh-CN"/>
              </w:rPr>
            </w:pPr>
            <w:r>
              <w:rPr>
                <w:rFonts w:hint="default" w:ascii="Times New Roman" w:hAnsi="Times New Roman" w:cs="Times New Roman"/>
                <w:color w:val="auto"/>
                <w:vertAlign w:val="baseline"/>
                <w:lang w:val="en-US" w:eastAsia="zh-CN"/>
              </w:rPr>
              <w:drawing>
                <wp:anchor distT="0" distB="0" distL="114300" distR="114300" simplePos="0" relativeHeight="251663360" behindDoc="0" locked="0" layoutInCell="1" allowOverlap="1">
                  <wp:simplePos x="0" y="0"/>
                  <wp:positionH relativeFrom="column">
                    <wp:posOffset>20955</wp:posOffset>
                  </wp:positionH>
                  <wp:positionV relativeFrom="paragraph">
                    <wp:posOffset>19050</wp:posOffset>
                  </wp:positionV>
                  <wp:extent cx="2558415" cy="1918335"/>
                  <wp:effectExtent l="0" t="0" r="6985" b="12065"/>
                  <wp:wrapSquare wrapText="bothSides"/>
                  <wp:docPr id="10" name="图片 10" descr="体育场厕所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体育场厕所3"/>
                          <pic:cNvPicPr>
                            <a:picLocks noChangeAspect="1"/>
                          </pic:cNvPicPr>
                        </pic:nvPicPr>
                        <pic:blipFill>
                          <a:blip r:embed="rId27"/>
                          <a:stretch>
                            <a:fillRect/>
                          </a:stretch>
                        </pic:blipFill>
                        <pic:spPr>
                          <a:xfrm>
                            <a:off x="0" y="0"/>
                            <a:ext cx="2558415" cy="1918335"/>
                          </a:xfrm>
                          <a:prstGeom prst="rect">
                            <a:avLst/>
                          </a:prstGeom>
                        </pic:spPr>
                      </pic:pic>
                    </a:graphicData>
                  </a:graphic>
                </wp:anchor>
              </w:drawing>
            </w:r>
          </w:p>
        </w:tc>
        <w:tc>
          <w:tcPr>
            <w:tcW w:w="4261" w:type="dxa"/>
          </w:tcPr>
          <w:p w14:paraId="068AE213">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color w:val="auto"/>
                <w:vertAlign w:val="baseline"/>
                <w:lang w:val="en-US" w:eastAsia="zh-CN"/>
              </w:rPr>
            </w:pPr>
            <w:r>
              <w:rPr>
                <w:rFonts w:hint="default" w:ascii="Times New Roman" w:hAnsi="Times New Roman" w:cs="Times New Roman"/>
                <w:b/>
                <w:bCs/>
                <w:color w:val="auto"/>
                <w:vertAlign w:val="baseline"/>
                <w:lang w:val="en-US" w:eastAsia="zh-CN"/>
              </w:rPr>
              <w:drawing>
                <wp:anchor distT="0" distB="0" distL="114300" distR="114300" simplePos="0" relativeHeight="251664384" behindDoc="0" locked="0" layoutInCell="1" allowOverlap="1">
                  <wp:simplePos x="0" y="0"/>
                  <wp:positionH relativeFrom="column">
                    <wp:posOffset>50800</wp:posOffset>
                  </wp:positionH>
                  <wp:positionV relativeFrom="paragraph">
                    <wp:posOffset>278130</wp:posOffset>
                  </wp:positionV>
                  <wp:extent cx="2558415" cy="1918335"/>
                  <wp:effectExtent l="0" t="0" r="6985" b="12065"/>
                  <wp:wrapSquare wrapText="bothSides"/>
                  <wp:docPr id="11" name="图片 11" descr="天地园公用厕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天地园公用厕所"/>
                          <pic:cNvPicPr>
                            <a:picLocks noChangeAspect="1"/>
                          </pic:cNvPicPr>
                        </pic:nvPicPr>
                        <pic:blipFill>
                          <a:blip r:embed="rId28"/>
                          <a:stretch>
                            <a:fillRect/>
                          </a:stretch>
                        </pic:blipFill>
                        <pic:spPr>
                          <a:xfrm>
                            <a:off x="0" y="0"/>
                            <a:ext cx="2558415" cy="1918335"/>
                          </a:xfrm>
                          <a:prstGeom prst="rect">
                            <a:avLst/>
                          </a:prstGeom>
                        </pic:spPr>
                      </pic:pic>
                    </a:graphicData>
                  </a:graphic>
                </wp:anchor>
              </w:drawing>
            </w:r>
            <w:r>
              <w:rPr>
                <w:rFonts w:hint="default" w:ascii="Times New Roman" w:hAnsi="Times New Roman" w:cs="Times New Roman"/>
                <w:b/>
                <w:bCs/>
                <w:color w:val="auto"/>
                <w:vertAlign w:val="baseline"/>
                <w:lang w:val="en-US" w:eastAsia="zh-CN"/>
              </w:rPr>
              <w:t>图7：天地园公共厕所</w:t>
            </w:r>
          </w:p>
        </w:tc>
      </w:tr>
      <w:tr w14:paraId="67C450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39A51090">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color w:val="auto"/>
                <w:vertAlign w:val="baseline"/>
                <w:lang w:val="en-US" w:eastAsia="zh-CN"/>
              </w:rPr>
            </w:pPr>
            <w:r>
              <w:rPr>
                <w:rFonts w:hint="default" w:ascii="Times New Roman" w:hAnsi="Times New Roman" w:cs="Times New Roman"/>
                <w:color w:val="auto"/>
                <w:vertAlign w:val="baseline"/>
                <w:lang w:val="en-US" w:eastAsia="zh-CN"/>
              </w:rPr>
              <w:drawing>
                <wp:anchor distT="0" distB="0" distL="114300" distR="114300" simplePos="0" relativeHeight="251671552" behindDoc="0" locked="0" layoutInCell="1" allowOverlap="1">
                  <wp:simplePos x="0" y="0"/>
                  <wp:positionH relativeFrom="column">
                    <wp:posOffset>20955</wp:posOffset>
                  </wp:positionH>
                  <wp:positionV relativeFrom="paragraph">
                    <wp:posOffset>641350</wp:posOffset>
                  </wp:positionV>
                  <wp:extent cx="2558415" cy="1918335"/>
                  <wp:effectExtent l="0" t="0" r="6985" b="12065"/>
                  <wp:wrapSquare wrapText="bothSides"/>
                  <wp:docPr id="14" name="图片 14" descr="小游园一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小游园一中"/>
                          <pic:cNvPicPr>
                            <a:picLocks noChangeAspect="1"/>
                          </pic:cNvPicPr>
                        </pic:nvPicPr>
                        <pic:blipFill>
                          <a:blip r:embed="rId29"/>
                          <a:stretch>
                            <a:fillRect/>
                          </a:stretch>
                        </pic:blipFill>
                        <pic:spPr>
                          <a:xfrm>
                            <a:off x="0" y="0"/>
                            <a:ext cx="2558415" cy="1918335"/>
                          </a:xfrm>
                          <a:prstGeom prst="rect">
                            <a:avLst/>
                          </a:prstGeom>
                        </pic:spPr>
                      </pic:pic>
                    </a:graphicData>
                  </a:graphic>
                </wp:anchor>
              </w:drawing>
            </w:r>
            <w:r>
              <w:rPr>
                <w:rFonts w:hint="default" w:ascii="Times New Roman" w:hAnsi="Times New Roman" w:cs="Times New Roman"/>
                <w:b/>
                <w:bCs/>
                <w:color w:val="auto"/>
                <w:vertAlign w:val="baseline"/>
                <w:lang w:val="en-US" w:eastAsia="zh-CN"/>
              </w:rPr>
              <w:t>图8：小游园保洁</w:t>
            </w:r>
          </w:p>
        </w:tc>
        <w:tc>
          <w:tcPr>
            <w:tcW w:w="4261" w:type="dxa"/>
          </w:tcPr>
          <w:p w14:paraId="15EFF0E6">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eastAsiaTheme="minorEastAsia"/>
                <w:color w:val="auto"/>
                <w:vertAlign w:val="baseline"/>
                <w:lang w:val="en-US" w:eastAsia="zh-CN"/>
              </w:rPr>
            </w:pPr>
            <w:r>
              <w:rPr>
                <w:rFonts w:hint="default" w:ascii="Times New Roman" w:hAnsi="Times New Roman" w:cs="Times New Roman" w:eastAsiaTheme="minorEastAsia"/>
                <w:color w:val="auto"/>
                <w:vertAlign w:val="baseline"/>
                <w:lang w:val="en-US" w:eastAsia="zh-CN"/>
              </w:rPr>
              <w:drawing>
                <wp:anchor distT="0" distB="0" distL="114300" distR="114300" simplePos="0" relativeHeight="251672576" behindDoc="0" locked="0" layoutInCell="1" allowOverlap="1">
                  <wp:simplePos x="0" y="0"/>
                  <wp:positionH relativeFrom="column">
                    <wp:posOffset>50800</wp:posOffset>
                  </wp:positionH>
                  <wp:positionV relativeFrom="paragraph">
                    <wp:posOffset>641350</wp:posOffset>
                  </wp:positionV>
                  <wp:extent cx="2558415" cy="1918335"/>
                  <wp:effectExtent l="0" t="0" r="6985" b="12065"/>
                  <wp:wrapSquare wrapText="bothSides"/>
                  <wp:docPr id="16" name="图片 16" descr="小游园-一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小游园-一中"/>
                          <pic:cNvPicPr>
                            <a:picLocks noChangeAspect="1"/>
                          </pic:cNvPicPr>
                        </pic:nvPicPr>
                        <pic:blipFill>
                          <a:blip r:embed="rId30"/>
                          <a:stretch>
                            <a:fillRect/>
                          </a:stretch>
                        </pic:blipFill>
                        <pic:spPr>
                          <a:xfrm>
                            <a:off x="0" y="0"/>
                            <a:ext cx="2558415" cy="1918335"/>
                          </a:xfrm>
                          <a:prstGeom prst="rect">
                            <a:avLst/>
                          </a:prstGeom>
                        </pic:spPr>
                      </pic:pic>
                    </a:graphicData>
                  </a:graphic>
                </wp:anchor>
              </w:drawing>
            </w:r>
            <w:r>
              <w:rPr>
                <w:rFonts w:hint="default" w:ascii="Times New Roman" w:hAnsi="Times New Roman" w:cs="Times New Roman"/>
                <w:b/>
                <w:bCs/>
                <w:color w:val="auto"/>
                <w:vertAlign w:val="baseline"/>
                <w:lang w:val="en-US" w:eastAsia="zh-CN"/>
              </w:rPr>
              <w:t>图9：小游园保洁</w:t>
            </w:r>
          </w:p>
        </w:tc>
      </w:tr>
      <w:tr w14:paraId="31549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5DF6BBF7">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eastAsiaTheme="minorEastAsia"/>
                <w:color w:val="auto"/>
                <w:vertAlign w:val="baseline"/>
                <w:lang w:val="en-US" w:eastAsia="zh-CN"/>
              </w:rPr>
            </w:pPr>
            <w:r>
              <w:rPr>
                <w:rFonts w:hint="default" w:ascii="Times New Roman" w:hAnsi="Times New Roman" w:cs="Times New Roman" w:eastAsiaTheme="minorEastAsia"/>
                <w:color w:val="auto"/>
                <w:vertAlign w:val="baseline"/>
                <w:lang w:eastAsia="zh-CN"/>
              </w:rPr>
              <w:drawing>
                <wp:anchor distT="0" distB="0" distL="114300" distR="114300" simplePos="0" relativeHeight="251673600" behindDoc="0" locked="0" layoutInCell="1" allowOverlap="1">
                  <wp:simplePos x="0" y="0"/>
                  <wp:positionH relativeFrom="column">
                    <wp:posOffset>20955</wp:posOffset>
                  </wp:positionH>
                  <wp:positionV relativeFrom="paragraph">
                    <wp:posOffset>356235</wp:posOffset>
                  </wp:positionV>
                  <wp:extent cx="2558415" cy="1918335"/>
                  <wp:effectExtent l="0" t="0" r="6985" b="12065"/>
                  <wp:wrapSquare wrapText="bothSides"/>
                  <wp:docPr id="17" name="图片 17" descr="扫雪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扫雪车"/>
                          <pic:cNvPicPr>
                            <a:picLocks noChangeAspect="1"/>
                          </pic:cNvPicPr>
                        </pic:nvPicPr>
                        <pic:blipFill>
                          <a:blip r:embed="rId31"/>
                          <a:stretch>
                            <a:fillRect/>
                          </a:stretch>
                        </pic:blipFill>
                        <pic:spPr>
                          <a:xfrm>
                            <a:off x="0" y="0"/>
                            <a:ext cx="2558415" cy="1918335"/>
                          </a:xfrm>
                          <a:prstGeom prst="rect">
                            <a:avLst/>
                          </a:prstGeom>
                        </pic:spPr>
                      </pic:pic>
                    </a:graphicData>
                  </a:graphic>
                </wp:anchor>
              </w:drawing>
            </w:r>
            <w:r>
              <w:rPr>
                <w:rFonts w:hint="default" w:ascii="Times New Roman" w:hAnsi="Times New Roman" w:cs="Times New Roman"/>
                <w:b/>
                <w:bCs/>
                <w:color w:val="auto"/>
                <w:vertAlign w:val="baseline"/>
                <w:lang w:val="en-US" w:eastAsia="zh-CN"/>
              </w:rPr>
              <w:t>图10：扫雪车</w:t>
            </w:r>
          </w:p>
        </w:tc>
        <w:tc>
          <w:tcPr>
            <w:tcW w:w="4261" w:type="dxa"/>
          </w:tcPr>
          <w:p w14:paraId="278FAD5D">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eastAsiaTheme="minorEastAsia"/>
                <w:color w:val="auto"/>
                <w:vertAlign w:val="baseline"/>
                <w:lang w:val="en-US" w:eastAsia="zh-CN"/>
              </w:rPr>
            </w:pPr>
            <w:r>
              <w:rPr>
                <w:rFonts w:hint="default" w:ascii="Times New Roman" w:hAnsi="Times New Roman" w:cs="Times New Roman" w:eastAsiaTheme="minorEastAsia"/>
                <w:color w:val="auto"/>
                <w:vertAlign w:val="baseline"/>
                <w:lang w:val="en-US" w:eastAsia="zh-CN"/>
              </w:rPr>
              <w:drawing>
                <wp:anchor distT="0" distB="0" distL="114300" distR="114300" simplePos="0" relativeHeight="251674624" behindDoc="0" locked="0" layoutInCell="1" allowOverlap="1">
                  <wp:simplePos x="0" y="0"/>
                  <wp:positionH relativeFrom="column">
                    <wp:posOffset>50800</wp:posOffset>
                  </wp:positionH>
                  <wp:positionV relativeFrom="paragraph">
                    <wp:posOffset>356235</wp:posOffset>
                  </wp:positionV>
                  <wp:extent cx="2558415" cy="1918335"/>
                  <wp:effectExtent l="0" t="0" r="6985" b="12065"/>
                  <wp:wrapSquare wrapText="bothSides"/>
                  <wp:docPr id="18" name="图片 18" descr="洒水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洒水车"/>
                          <pic:cNvPicPr>
                            <a:picLocks noChangeAspect="1"/>
                          </pic:cNvPicPr>
                        </pic:nvPicPr>
                        <pic:blipFill>
                          <a:blip r:embed="rId32"/>
                          <a:stretch>
                            <a:fillRect/>
                          </a:stretch>
                        </pic:blipFill>
                        <pic:spPr>
                          <a:xfrm>
                            <a:off x="0" y="0"/>
                            <a:ext cx="2558415" cy="1918335"/>
                          </a:xfrm>
                          <a:prstGeom prst="rect">
                            <a:avLst/>
                          </a:prstGeom>
                        </pic:spPr>
                      </pic:pic>
                    </a:graphicData>
                  </a:graphic>
                </wp:anchor>
              </w:drawing>
            </w:r>
            <w:r>
              <w:rPr>
                <w:rFonts w:hint="default" w:ascii="Times New Roman" w:hAnsi="Times New Roman" w:cs="Times New Roman"/>
                <w:b/>
                <w:bCs/>
                <w:color w:val="auto"/>
                <w:vertAlign w:val="baseline"/>
                <w:lang w:val="en-US" w:eastAsia="zh-CN"/>
              </w:rPr>
              <w:t>图11：洒水车</w:t>
            </w:r>
          </w:p>
        </w:tc>
      </w:tr>
    </w:tbl>
    <w:p w14:paraId="7AA7AB52">
      <w:pPr>
        <w:rPr>
          <w:rFonts w:hint="default" w:ascii="Times New Roman" w:hAnsi="Times New Roman" w:cs="Times New Roman"/>
          <w:color w:val="auto"/>
        </w:rPr>
      </w:pPr>
      <w:r>
        <w:rPr>
          <w:rFonts w:hint="default" w:ascii="Times New Roman" w:hAnsi="Times New Roman" w:cs="Times New Roman"/>
          <w:color w:val="auto"/>
        </w:rPr>
        <w:br w:type="page"/>
      </w: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14:paraId="176BC9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44F038DF">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b/>
                <w:bCs/>
                <w:color w:val="auto"/>
                <w:vertAlign w:val="baseline"/>
                <w:lang w:val="en-US" w:eastAsia="zh-CN"/>
              </w:rPr>
            </w:pPr>
            <w:r>
              <w:rPr>
                <w:rFonts w:hint="default" w:ascii="Times New Roman" w:hAnsi="Times New Roman" w:cs="Times New Roman"/>
                <w:b/>
                <w:bCs/>
                <w:color w:val="auto"/>
                <w:vertAlign w:val="baseline"/>
                <w:lang w:val="en-US" w:eastAsia="zh-CN"/>
              </w:rPr>
              <w:drawing>
                <wp:anchor distT="0" distB="0" distL="114300" distR="114300" simplePos="0" relativeHeight="251675648" behindDoc="0" locked="0" layoutInCell="1" allowOverlap="1">
                  <wp:simplePos x="0" y="0"/>
                  <wp:positionH relativeFrom="column">
                    <wp:posOffset>8255</wp:posOffset>
                  </wp:positionH>
                  <wp:positionV relativeFrom="paragraph">
                    <wp:posOffset>387350</wp:posOffset>
                  </wp:positionV>
                  <wp:extent cx="2558415" cy="1918335"/>
                  <wp:effectExtent l="0" t="0" r="6985" b="12065"/>
                  <wp:wrapSquare wrapText="bothSides"/>
                  <wp:docPr id="19" name="图片 19" descr="车辆管理站用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车辆管理站用房"/>
                          <pic:cNvPicPr>
                            <a:picLocks noChangeAspect="1"/>
                          </pic:cNvPicPr>
                        </pic:nvPicPr>
                        <pic:blipFill>
                          <a:blip r:embed="rId33"/>
                          <a:stretch>
                            <a:fillRect/>
                          </a:stretch>
                        </pic:blipFill>
                        <pic:spPr>
                          <a:xfrm>
                            <a:off x="0" y="0"/>
                            <a:ext cx="2558415" cy="1918335"/>
                          </a:xfrm>
                          <a:prstGeom prst="rect">
                            <a:avLst/>
                          </a:prstGeom>
                        </pic:spPr>
                      </pic:pic>
                    </a:graphicData>
                  </a:graphic>
                </wp:anchor>
              </w:drawing>
            </w:r>
            <w:r>
              <w:rPr>
                <w:rFonts w:hint="default" w:ascii="Times New Roman" w:hAnsi="Times New Roman" w:cs="Times New Roman"/>
                <w:b/>
                <w:bCs/>
                <w:color w:val="auto"/>
                <w:vertAlign w:val="baseline"/>
                <w:lang w:val="en-US" w:eastAsia="zh-CN"/>
              </w:rPr>
              <w:t>图12：车辆管理用房</w:t>
            </w:r>
          </w:p>
          <w:p w14:paraId="43C85067">
            <w:pPr>
              <w:rPr>
                <w:rFonts w:hint="default" w:ascii="Times New Roman" w:hAnsi="Times New Roman" w:cs="Times New Roman"/>
                <w:color w:val="auto"/>
                <w:vertAlign w:val="baseline"/>
                <w:lang w:val="en-US" w:eastAsia="zh-CN"/>
              </w:rPr>
            </w:pPr>
          </w:p>
        </w:tc>
        <w:tc>
          <w:tcPr>
            <w:tcW w:w="4261" w:type="dxa"/>
          </w:tcPr>
          <w:p w14:paraId="36B50FC9">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eastAsiaTheme="minorEastAsia"/>
                <w:color w:val="auto"/>
                <w:vertAlign w:val="baseline"/>
                <w:lang w:val="en-US" w:eastAsia="zh-CN"/>
              </w:rPr>
            </w:pPr>
            <w:r>
              <w:rPr>
                <w:rFonts w:hint="default" w:ascii="Times New Roman" w:hAnsi="Times New Roman" w:cs="Times New Roman" w:eastAsiaTheme="minorEastAsia"/>
                <w:color w:val="auto"/>
                <w:vertAlign w:val="baseline"/>
                <w:lang w:val="en-US" w:eastAsia="zh-CN"/>
              </w:rPr>
              <w:drawing>
                <wp:anchor distT="0" distB="0" distL="114300" distR="114300" simplePos="0" relativeHeight="251676672" behindDoc="0" locked="0" layoutInCell="1" allowOverlap="1">
                  <wp:simplePos x="0" y="0"/>
                  <wp:positionH relativeFrom="column">
                    <wp:posOffset>-5080</wp:posOffset>
                  </wp:positionH>
                  <wp:positionV relativeFrom="paragraph">
                    <wp:posOffset>387350</wp:posOffset>
                  </wp:positionV>
                  <wp:extent cx="2558415" cy="1918335"/>
                  <wp:effectExtent l="0" t="0" r="6985" b="12065"/>
                  <wp:wrapSquare wrapText="bothSides"/>
                  <wp:docPr id="20" name="图片 20" descr="车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车棚"/>
                          <pic:cNvPicPr>
                            <a:picLocks noChangeAspect="1"/>
                          </pic:cNvPicPr>
                        </pic:nvPicPr>
                        <pic:blipFill>
                          <a:blip r:embed="rId34"/>
                          <a:stretch>
                            <a:fillRect/>
                          </a:stretch>
                        </pic:blipFill>
                        <pic:spPr>
                          <a:xfrm>
                            <a:off x="0" y="0"/>
                            <a:ext cx="2558415" cy="1918335"/>
                          </a:xfrm>
                          <a:prstGeom prst="rect">
                            <a:avLst/>
                          </a:prstGeom>
                        </pic:spPr>
                      </pic:pic>
                    </a:graphicData>
                  </a:graphic>
                </wp:anchor>
              </w:drawing>
            </w:r>
            <w:r>
              <w:rPr>
                <w:rFonts w:hint="default" w:ascii="Times New Roman" w:hAnsi="Times New Roman" w:cs="Times New Roman"/>
                <w:b/>
                <w:bCs/>
                <w:color w:val="auto"/>
                <w:vertAlign w:val="baseline"/>
                <w:lang w:val="en-US" w:eastAsia="zh-CN"/>
              </w:rPr>
              <w:t>图13：车棚</w:t>
            </w:r>
          </w:p>
        </w:tc>
      </w:tr>
      <w:tr w14:paraId="6AFA3B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3A2E0ECE">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b/>
                <w:bCs/>
                <w:color w:val="auto"/>
                <w:vertAlign w:val="baseline"/>
                <w:lang w:val="en-US" w:eastAsia="zh-CN"/>
              </w:rPr>
            </w:pPr>
            <w:r>
              <w:rPr>
                <w:rFonts w:hint="default" w:ascii="Times New Roman" w:hAnsi="Times New Roman" w:cs="Times New Roman"/>
                <w:b/>
                <w:bCs/>
                <w:color w:val="auto"/>
                <w:vertAlign w:val="baseline"/>
                <w:lang w:val="en-US" w:eastAsia="zh-CN"/>
              </w:rPr>
              <w:drawing>
                <wp:anchor distT="0" distB="0" distL="114300" distR="114300" simplePos="0" relativeHeight="251677696" behindDoc="0" locked="0" layoutInCell="1" allowOverlap="1">
                  <wp:simplePos x="0" y="0"/>
                  <wp:positionH relativeFrom="column">
                    <wp:posOffset>8255</wp:posOffset>
                  </wp:positionH>
                  <wp:positionV relativeFrom="paragraph">
                    <wp:posOffset>438150</wp:posOffset>
                  </wp:positionV>
                  <wp:extent cx="2558415" cy="1918335"/>
                  <wp:effectExtent l="0" t="0" r="6985" b="12065"/>
                  <wp:wrapSquare wrapText="bothSides"/>
                  <wp:docPr id="21" name="图片 21" descr="车辆运转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车辆运转图"/>
                          <pic:cNvPicPr>
                            <a:picLocks noChangeAspect="1"/>
                          </pic:cNvPicPr>
                        </pic:nvPicPr>
                        <pic:blipFill>
                          <a:blip r:embed="rId35"/>
                          <a:stretch>
                            <a:fillRect/>
                          </a:stretch>
                        </pic:blipFill>
                        <pic:spPr>
                          <a:xfrm>
                            <a:off x="0" y="0"/>
                            <a:ext cx="2558415" cy="1918335"/>
                          </a:xfrm>
                          <a:prstGeom prst="rect">
                            <a:avLst/>
                          </a:prstGeom>
                        </pic:spPr>
                      </pic:pic>
                    </a:graphicData>
                  </a:graphic>
                </wp:anchor>
              </w:drawing>
            </w:r>
            <w:r>
              <w:rPr>
                <w:rFonts w:hint="default" w:ascii="Times New Roman" w:hAnsi="Times New Roman" w:cs="Times New Roman"/>
                <w:b/>
                <w:bCs/>
                <w:color w:val="auto"/>
                <w:vertAlign w:val="baseline"/>
                <w:lang w:val="en-US" w:eastAsia="zh-CN"/>
              </w:rPr>
              <w:t>图14：大平台截屏</w:t>
            </w:r>
          </w:p>
          <w:p w14:paraId="765EE3E6">
            <w:pPr>
              <w:rPr>
                <w:rFonts w:hint="default" w:ascii="Times New Roman" w:hAnsi="Times New Roman" w:cs="Times New Roman"/>
                <w:color w:val="auto"/>
                <w:vertAlign w:val="baseline"/>
                <w:lang w:val="en-US" w:eastAsia="zh-CN"/>
              </w:rPr>
            </w:pPr>
          </w:p>
        </w:tc>
        <w:tc>
          <w:tcPr>
            <w:tcW w:w="4261" w:type="dxa"/>
          </w:tcPr>
          <w:p w14:paraId="6DBD92EF">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eastAsiaTheme="minorEastAsia"/>
                <w:color w:val="auto"/>
                <w:vertAlign w:val="baseline"/>
                <w:lang w:val="en-US" w:eastAsia="zh-CN"/>
              </w:rPr>
            </w:pPr>
            <w:r>
              <w:rPr>
                <w:rFonts w:hint="default" w:ascii="Times New Roman" w:hAnsi="Times New Roman" w:cs="Times New Roman" w:eastAsiaTheme="minorEastAsia"/>
                <w:color w:val="auto"/>
                <w:vertAlign w:val="baseline"/>
                <w:lang w:val="en-US" w:eastAsia="zh-CN"/>
              </w:rPr>
              <w:drawing>
                <wp:anchor distT="0" distB="0" distL="114300" distR="114300" simplePos="0" relativeHeight="251678720" behindDoc="0" locked="0" layoutInCell="1" allowOverlap="1">
                  <wp:simplePos x="0" y="0"/>
                  <wp:positionH relativeFrom="column">
                    <wp:posOffset>-5080</wp:posOffset>
                  </wp:positionH>
                  <wp:positionV relativeFrom="paragraph">
                    <wp:posOffset>438150</wp:posOffset>
                  </wp:positionV>
                  <wp:extent cx="2558415" cy="1918335"/>
                  <wp:effectExtent l="0" t="0" r="6985" b="12065"/>
                  <wp:wrapSquare wrapText="bothSides"/>
                  <wp:docPr id="22" name="图片 22" descr="清扫人员监控图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清扫人员监控图3"/>
                          <pic:cNvPicPr>
                            <a:picLocks noChangeAspect="1"/>
                          </pic:cNvPicPr>
                        </pic:nvPicPr>
                        <pic:blipFill>
                          <a:blip r:embed="rId36"/>
                          <a:stretch>
                            <a:fillRect/>
                          </a:stretch>
                        </pic:blipFill>
                        <pic:spPr>
                          <a:xfrm>
                            <a:off x="0" y="0"/>
                            <a:ext cx="2558415" cy="1918335"/>
                          </a:xfrm>
                          <a:prstGeom prst="rect">
                            <a:avLst/>
                          </a:prstGeom>
                        </pic:spPr>
                      </pic:pic>
                    </a:graphicData>
                  </a:graphic>
                </wp:anchor>
              </w:drawing>
            </w:r>
            <w:r>
              <w:rPr>
                <w:rFonts w:hint="default" w:ascii="Times New Roman" w:hAnsi="Times New Roman" w:cs="Times New Roman"/>
                <w:b/>
                <w:bCs/>
                <w:color w:val="auto"/>
                <w:vertAlign w:val="baseline"/>
                <w:lang w:val="en-US" w:eastAsia="zh-CN"/>
              </w:rPr>
              <w:t>图15：人员清扫轨迹</w:t>
            </w:r>
          </w:p>
        </w:tc>
      </w:tr>
      <w:tr w14:paraId="49020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40E9B6F6">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eastAsiaTheme="minorEastAsia"/>
                <w:color w:val="auto"/>
                <w:vertAlign w:val="baseline"/>
                <w:lang w:val="en-US" w:eastAsia="zh-CN"/>
              </w:rPr>
            </w:pPr>
            <w:r>
              <w:rPr>
                <w:rFonts w:hint="default" w:ascii="Times New Roman" w:hAnsi="Times New Roman" w:cs="Times New Roman"/>
                <w:b/>
                <w:bCs/>
                <w:color w:val="auto"/>
                <w:vertAlign w:val="baseline"/>
                <w:lang w:val="en-US" w:eastAsia="zh-CN"/>
              </w:rPr>
              <w:t>图16：垃圾车清扫轨迹</w:t>
            </w:r>
            <w:r>
              <w:rPr>
                <w:rFonts w:hint="default" w:ascii="Times New Roman" w:hAnsi="Times New Roman" w:cs="Times New Roman" w:eastAsiaTheme="minorEastAsia"/>
                <w:color w:val="auto"/>
                <w:vertAlign w:val="baseline"/>
                <w:lang w:val="en-US" w:eastAsia="zh-CN"/>
              </w:rPr>
              <w:drawing>
                <wp:anchor distT="0" distB="0" distL="114300" distR="114300" simplePos="0" relativeHeight="251679744" behindDoc="0" locked="0" layoutInCell="1" allowOverlap="1">
                  <wp:simplePos x="0" y="0"/>
                  <wp:positionH relativeFrom="column">
                    <wp:posOffset>1270</wp:posOffset>
                  </wp:positionH>
                  <wp:positionV relativeFrom="paragraph">
                    <wp:posOffset>259080</wp:posOffset>
                  </wp:positionV>
                  <wp:extent cx="2558415" cy="1918335"/>
                  <wp:effectExtent l="0" t="0" r="6985" b="12065"/>
                  <wp:wrapSquare wrapText="bothSides"/>
                  <wp:docPr id="23" name="图片 23" descr="系统显示车辆位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系统显示车辆位置"/>
                          <pic:cNvPicPr>
                            <a:picLocks noChangeAspect="1"/>
                          </pic:cNvPicPr>
                        </pic:nvPicPr>
                        <pic:blipFill>
                          <a:blip r:embed="rId37"/>
                          <a:stretch>
                            <a:fillRect/>
                          </a:stretch>
                        </pic:blipFill>
                        <pic:spPr>
                          <a:xfrm>
                            <a:off x="0" y="0"/>
                            <a:ext cx="2558415" cy="1918335"/>
                          </a:xfrm>
                          <a:prstGeom prst="rect">
                            <a:avLst/>
                          </a:prstGeom>
                        </pic:spPr>
                      </pic:pic>
                    </a:graphicData>
                  </a:graphic>
                </wp:anchor>
              </w:drawing>
            </w:r>
          </w:p>
        </w:tc>
        <w:tc>
          <w:tcPr>
            <w:tcW w:w="4261" w:type="dxa"/>
          </w:tcPr>
          <w:p w14:paraId="3DE93D7F">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eastAsiaTheme="minorEastAsia"/>
                <w:color w:val="auto"/>
                <w:vertAlign w:val="baseline"/>
                <w:lang w:val="en-US" w:eastAsia="zh-CN"/>
              </w:rPr>
            </w:pPr>
            <w:r>
              <w:rPr>
                <w:rFonts w:hint="default" w:ascii="Times New Roman" w:hAnsi="Times New Roman" w:cs="Times New Roman"/>
                <w:b/>
                <w:bCs/>
                <w:color w:val="auto"/>
                <w:vertAlign w:val="baseline"/>
                <w:lang w:val="en-US" w:eastAsia="zh-CN"/>
              </w:rPr>
              <w:t>图17：清扫车清扫轨迹</w:t>
            </w:r>
            <w:r>
              <w:rPr>
                <w:rFonts w:hint="default" w:ascii="Times New Roman" w:hAnsi="Times New Roman" w:cs="Times New Roman" w:eastAsiaTheme="minorEastAsia"/>
                <w:color w:val="auto"/>
                <w:vertAlign w:val="baseline"/>
                <w:lang w:val="en-US" w:eastAsia="zh-CN"/>
              </w:rPr>
              <w:drawing>
                <wp:anchor distT="0" distB="0" distL="114300" distR="114300" simplePos="0" relativeHeight="251680768" behindDoc="0" locked="0" layoutInCell="1" allowOverlap="1">
                  <wp:simplePos x="0" y="0"/>
                  <wp:positionH relativeFrom="column">
                    <wp:posOffset>1270</wp:posOffset>
                  </wp:positionH>
                  <wp:positionV relativeFrom="paragraph">
                    <wp:posOffset>259080</wp:posOffset>
                  </wp:positionV>
                  <wp:extent cx="2558415" cy="1918335"/>
                  <wp:effectExtent l="0" t="0" r="6985" b="12065"/>
                  <wp:wrapSquare wrapText="bothSides"/>
                  <wp:docPr id="24" name="图片 24" descr="清扫车监控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清扫车监控1"/>
                          <pic:cNvPicPr>
                            <a:picLocks noChangeAspect="1"/>
                          </pic:cNvPicPr>
                        </pic:nvPicPr>
                        <pic:blipFill>
                          <a:blip r:embed="rId38"/>
                          <a:stretch>
                            <a:fillRect/>
                          </a:stretch>
                        </pic:blipFill>
                        <pic:spPr>
                          <a:xfrm>
                            <a:off x="0" y="0"/>
                            <a:ext cx="2558415" cy="1918335"/>
                          </a:xfrm>
                          <a:prstGeom prst="rect">
                            <a:avLst/>
                          </a:prstGeom>
                        </pic:spPr>
                      </pic:pic>
                    </a:graphicData>
                  </a:graphic>
                </wp:anchor>
              </w:drawing>
            </w:r>
          </w:p>
        </w:tc>
      </w:tr>
    </w:tbl>
    <w:p w14:paraId="5DF0B940">
      <w:pPr>
        <w:rPr>
          <w:rFonts w:hint="default" w:ascii="Times New Roman" w:hAnsi="Times New Roman" w:cs="Times New Roman"/>
          <w:color w:val="auto"/>
        </w:rPr>
      </w:pPr>
      <w:r>
        <w:rPr>
          <w:rFonts w:hint="default" w:ascii="Times New Roman" w:hAnsi="Times New Roman" w:cs="Times New Roman"/>
          <w:color w:val="auto"/>
        </w:rPr>
        <w:br w:type="page"/>
      </w:r>
    </w:p>
    <w:p w14:paraId="11347F20">
      <w:pPr>
        <w:pStyle w:val="2"/>
        <w:pageBreakBefore w:val="0"/>
        <w:kinsoku/>
        <w:wordWrap/>
        <w:overflowPunct/>
        <w:topLinePunct w:val="0"/>
        <w:autoSpaceDE/>
        <w:autoSpaceDN/>
        <w:bidi w:val="0"/>
        <w:snapToGrid w:val="0"/>
        <w:spacing w:before="0" w:after="0" w:line="360" w:lineRule="auto"/>
        <w:ind w:firstLine="0" w:firstLineChars="0"/>
        <w:rPr>
          <w:rFonts w:hint="default" w:ascii="Times New Roman" w:hAnsi="Times New Roman" w:cs="Times New Roman"/>
          <w:color w:val="auto"/>
        </w:rPr>
      </w:pPr>
      <w:r>
        <w:rPr>
          <w:rFonts w:hint="eastAsia" w:ascii="Times New Roman" w:hAnsi="Times New Roman" w:eastAsia="黑体" w:cs="Times New Roman"/>
          <w:color w:val="auto"/>
          <w:lang w:eastAsia="zh-CN"/>
        </w:rPr>
        <w:drawing>
          <wp:anchor distT="0" distB="0" distL="114300" distR="114300" simplePos="0" relativeHeight="251681792" behindDoc="0" locked="0" layoutInCell="1" allowOverlap="1">
            <wp:simplePos x="0" y="0"/>
            <wp:positionH relativeFrom="column">
              <wp:posOffset>323215</wp:posOffset>
            </wp:positionH>
            <wp:positionV relativeFrom="paragraph">
              <wp:posOffset>440055</wp:posOffset>
            </wp:positionV>
            <wp:extent cx="5271135" cy="7434580"/>
            <wp:effectExtent l="0" t="0" r="12065" b="7620"/>
            <wp:wrapSquare wrapText="bothSides"/>
            <wp:docPr id="27" name="图片 27" descr="e48a52779c81fea564aebb19d37e7c9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e48a52779c81fea564aebb19d37e7c9c"/>
                    <pic:cNvPicPr>
                      <a:picLocks noChangeAspect="1"/>
                    </pic:cNvPicPr>
                  </pic:nvPicPr>
                  <pic:blipFill>
                    <a:blip r:embed="rId39"/>
                    <a:stretch>
                      <a:fillRect/>
                    </a:stretch>
                  </pic:blipFill>
                  <pic:spPr>
                    <a:xfrm>
                      <a:off x="0" y="0"/>
                      <a:ext cx="5271135" cy="7434580"/>
                    </a:xfrm>
                    <a:prstGeom prst="rect">
                      <a:avLst/>
                    </a:prstGeom>
                  </pic:spPr>
                </pic:pic>
              </a:graphicData>
            </a:graphic>
          </wp:anchor>
        </w:drawing>
      </w:r>
      <w:r>
        <w:rPr>
          <w:rFonts w:hint="default" w:ascii="Times New Roman" w:hAnsi="Times New Roman" w:cs="Times New Roman"/>
          <w:color w:val="auto"/>
        </w:rPr>
        <w:t>附件5：</w:t>
      </w:r>
      <w:bookmarkEnd w:id="118"/>
      <w:r>
        <w:rPr>
          <w:rFonts w:hint="default" w:ascii="Times New Roman" w:hAnsi="Times New Roman" w:cs="Times New Roman"/>
          <w:color w:val="auto"/>
        </w:rPr>
        <w:t>绩效评价工作沟通反馈结果</w:t>
      </w:r>
      <w:bookmarkEnd w:id="119"/>
    </w:p>
    <w:p w14:paraId="2F67D32D">
      <w:pPr>
        <w:rPr>
          <w:rFonts w:hint="default" w:ascii="Times New Roman" w:hAnsi="Times New Roman" w:eastAsia="黑体" w:cs="Times New Roman"/>
          <w:color w:val="auto"/>
        </w:rPr>
      </w:pPr>
      <w:r>
        <w:rPr>
          <w:rFonts w:hint="default" w:ascii="Times New Roman" w:hAnsi="Times New Roman" w:eastAsia="黑体" w:cs="Times New Roman"/>
          <w:color w:val="auto"/>
        </w:rPr>
        <w:br w:type="page"/>
      </w:r>
    </w:p>
    <w:p w14:paraId="46B09A48">
      <w:pPr>
        <w:pageBreakBefore w:val="0"/>
        <w:kinsoku/>
        <w:wordWrap/>
        <w:overflowPunct/>
        <w:topLinePunct w:val="0"/>
        <w:autoSpaceDE/>
        <w:autoSpaceDN/>
        <w:bidi w:val="0"/>
        <w:snapToGrid w:val="0"/>
        <w:spacing w:before="0" w:after="0" w:line="360" w:lineRule="auto"/>
        <w:ind w:firstLine="0" w:firstLineChars="0"/>
        <w:rPr>
          <w:rFonts w:hint="eastAsia" w:ascii="Times New Roman" w:hAnsi="Times New Roman" w:eastAsia="黑体" w:cs="Times New Roman"/>
          <w:color w:val="auto"/>
          <w:lang w:eastAsia="zh-CN"/>
        </w:rPr>
      </w:pPr>
      <w:bookmarkStart w:id="120" w:name="_GoBack"/>
      <w:r>
        <w:rPr>
          <w:rFonts w:hint="eastAsia" w:ascii="Times New Roman" w:hAnsi="Times New Roman" w:eastAsia="黑体" w:cs="Times New Roman"/>
          <w:color w:val="auto"/>
          <w:lang w:eastAsia="zh-CN"/>
        </w:rPr>
        <w:drawing>
          <wp:anchor distT="0" distB="0" distL="114300" distR="114300" simplePos="0" relativeHeight="251682816" behindDoc="0" locked="0" layoutInCell="1" allowOverlap="1">
            <wp:simplePos x="0" y="0"/>
            <wp:positionH relativeFrom="column">
              <wp:posOffset>6985</wp:posOffset>
            </wp:positionH>
            <wp:positionV relativeFrom="paragraph">
              <wp:posOffset>133985</wp:posOffset>
            </wp:positionV>
            <wp:extent cx="5273675" cy="7247255"/>
            <wp:effectExtent l="0" t="0" r="9525" b="4445"/>
            <wp:wrapSquare wrapText="bothSides"/>
            <wp:docPr id="29" name="图片 29" descr="绩效评价反馈表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绩效评价反馈表_01"/>
                    <pic:cNvPicPr>
                      <a:picLocks noChangeAspect="1"/>
                    </pic:cNvPicPr>
                  </pic:nvPicPr>
                  <pic:blipFill>
                    <a:blip r:embed="rId40"/>
                    <a:stretch>
                      <a:fillRect/>
                    </a:stretch>
                  </pic:blipFill>
                  <pic:spPr>
                    <a:xfrm>
                      <a:off x="0" y="0"/>
                      <a:ext cx="5273675" cy="7247255"/>
                    </a:xfrm>
                    <a:prstGeom prst="rect">
                      <a:avLst/>
                    </a:prstGeom>
                  </pic:spPr>
                </pic:pic>
              </a:graphicData>
            </a:graphic>
          </wp:anchor>
        </w:drawing>
      </w:r>
      <w:bookmarkEnd w:id="120"/>
    </w:p>
    <w:sectPr>
      <w:pgSz w:w="11906" w:h="16838"/>
      <w:pgMar w:top="1440" w:right="1800" w:bottom="1440" w:left="1800" w:header="851" w:footer="907" w:gutter="0"/>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2"/>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Arial Unicode MS">
    <w:panose1 w:val="020B0604020202020204"/>
    <w:charset w:val="86"/>
    <w:family w:val="swiss"/>
    <w:pitch w:val="default"/>
    <w:sig w:usb0="FFFFFFFF" w:usb1="E9FFFFFF" w:usb2="0000003F" w:usb3="00000000" w:csb0="603F01FF" w:csb1="FFFF0000"/>
  </w:font>
  <w:font w:name="等线">
    <w:panose1 w:val="02010600030101010101"/>
    <w:charset w:val="86"/>
    <w:family w:val="auto"/>
    <w:pitch w:val="default"/>
    <w:sig w:usb0="A00002BF" w:usb1="38CF7CFA" w:usb2="00000016" w:usb3="00000000" w:csb0="0004000F" w:csb1="0000000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CBD76A">
    <w:pPr>
      <w:pStyle w:val="11"/>
      <w:ind w:right="72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B56476">
    <w:pPr>
      <w:pStyle w:val="1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47FEA9">
    <w:pPr>
      <w:pStyle w:val="1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8D1DB8">
    <w:pPr>
      <w:pStyle w:val="11"/>
      <w:ind w:firstLine="360"/>
      <w:jc w:val="right"/>
    </w:pPr>
    <w:r>
      <mc:AlternateContent>
        <mc:Choice Requires="wps">
          <w:drawing>
            <wp:anchor distT="0" distB="0" distL="114300" distR="114300" simplePos="0" relativeHeight="251659264" behindDoc="0" locked="0" layoutInCell="1" allowOverlap="1">
              <wp:simplePos x="0" y="0"/>
              <wp:positionH relativeFrom="margin">
                <wp:posOffset>2633980</wp:posOffset>
              </wp:positionH>
              <wp:positionV relativeFrom="paragraph">
                <wp:posOffset>0</wp:posOffset>
              </wp:positionV>
              <wp:extent cx="32639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326390" cy="1828800"/>
                      </a:xfrm>
                      <a:prstGeom prst="rect">
                        <a:avLst/>
                      </a:prstGeom>
                      <a:noFill/>
                      <a:ln>
                        <a:noFill/>
                      </a:ln>
                    </wps:spPr>
                    <wps:txbx>
                      <w:txbxContent>
                        <w:p w14:paraId="63C87E4B">
                          <w:pPr>
                            <w:pStyle w:val="11"/>
                            <w:spacing w:line="240" w:lineRule="auto"/>
                            <w:ind w:firstLine="0" w:firstLineChars="0"/>
                          </w:pPr>
                          <w:r>
                            <w:fldChar w:fldCharType="begin"/>
                          </w:r>
                          <w:r>
                            <w:instrText xml:space="preserve"> PAGE  \* MERGEFORMAT </w:instrText>
                          </w:r>
                          <w:r>
                            <w:fldChar w:fldCharType="separate"/>
                          </w:r>
                          <w:r>
                            <w:t>II</w:t>
                          </w:r>
                          <w:r>
                            <w:fldChar w:fldCharType="end"/>
                          </w:r>
                        </w:p>
                      </w:txbxContent>
                    </wps:txbx>
                    <wps:bodyPr lIns="0" tIns="0" rIns="0" bIns="0">
                      <a:spAutoFit/>
                    </wps:bodyPr>
                  </wps:wsp>
                </a:graphicData>
              </a:graphic>
            </wp:anchor>
          </w:drawing>
        </mc:Choice>
        <mc:Fallback>
          <w:pict>
            <v:shape id="_x0000_s1026" o:spid="_x0000_s1026" o:spt="202" type="#_x0000_t202" style="position:absolute;left:0pt;margin-left:207.4pt;margin-top:0pt;height:144pt;width:25.7pt;mso-position-horizontal-relative:margin;z-index:251659264;mso-width-relative:page;mso-height-relative:page;" filled="f" stroked="f" coordsize="21600,21600" o:gfxdata="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zGzqn9UAAAAIAQAADwAAAAAAAAABACAAAAAiAAAAZHJzL2Rvd25yZXYueG1sUEsB&#10;AhQAFAAAAAgAh07iQAnSkgO/AQAAgAMAAA4AAAAAAAAAAQAgAAAAJAEAAGRycy9lMm9Eb2MueG1s&#10;UEsFBgAAAAAGAAYAWQEAAFUFAAAAAA==&#10;">
              <v:fill on="f" focussize="0,0"/>
              <v:stroke on="f"/>
              <v:imagedata o:title=""/>
              <o:lock v:ext="edit" aspectratio="f"/>
              <v:textbox inset="0mm,0mm,0mm,0mm" style="mso-fit-shape-to-text:t;">
                <w:txbxContent>
                  <w:p w14:paraId="63C87E4B">
                    <w:pPr>
                      <w:pStyle w:val="11"/>
                      <w:spacing w:line="240" w:lineRule="auto"/>
                      <w:ind w:firstLine="0" w:firstLineChars="0"/>
                    </w:pPr>
                    <w:r>
                      <w:fldChar w:fldCharType="begin"/>
                    </w:r>
                    <w:r>
                      <w:instrText xml:space="preserve"> PAGE  \* MERGEFORMAT </w:instrText>
                    </w:r>
                    <w:r>
                      <w:fldChar w:fldCharType="separate"/>
                    </w:r>
                    <w:r>
                      <w:t>II</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3FDF22">
    <w:pPr>
      <w:pStyle w:val="11"/>
      <w:ind w:firstLine="0" w:firstLineChars="0"/>
      <w:jc w:val="both"/>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7F4679">
    <w:pPr>
      <w:pStyle w:val="11"/>
      <w:ind w:firstLine="0" w:firstLineChars="0"/>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FE3BD8">
                          <w:pPr>
                            <w:pStyle w:val="11"/>
                            <w:spacing w:line="240" w:lineRule="auto"/>
                            <w:ind w:firstLine="0" w:firstLineChars="0"/>
                            <w:jc w:val="center"/>
                            <w:rPr>
                              <w:sz w:val="20"/>
                              <w:szCs w:val="20"/>
                            </w:rPr>
                          </w:pPr>
                          <w:r>
                            <w:rPr>
                              <w:sz w:val="20"/>
                              <w:szCs w:val="20"/>
                            </w:rPr>
                            <w:fldChar w:fldCharType="begin"/>
                          </w:r>
                          <w:r>
                            <w:rPr>
                              <w:sz w:val="20"/>
                              <w:szCs w:val="20"/>
                            </w:rPr>
                            <w:instrText xml:space="preserve"> PAGE  \* MERGEFORMAT </w:instrText>
                          </w:r>
                          <w:r>
                            <w:rPr>
                              <w:sz w:val="20"/>
                              <w:szCs w:val="20"/>
                            </w:rPr>
                            <w:fldChar w:fldCharType="separate"/>
                          </w:r>
                          <w:r>
                            <w:rPr>
                              <w:sz w:val="20"/>
                              <w:szCs w:val="20"/>
                            </w:rPr>
                            <w:t>I</w:t>
                          </w:r>
                          <w:r>
                            <w:rPr>
                              <w:sz w:val="20"/>
                              <w:szCs w:val="20"/>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uMeuo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m4x66jICAABjBAAADgAAAAAAAAABACAAAAAfAQAAZHJzL2Uyb0RvYy54bWxQSwUG&#10;AAAAAAYABgBZAQAAwwUAAAAA&#10;">
              <v:fill on="f" focussize="0,0"/>
              <v:stroke on="f" weight="0.5pt"/>
              <v:imagedata o:title=""/>
              <o:lock v:ext="edit" aspectratio="f"/>
              <v:textbox inset="0mm,0mm,0mm,0mm" style="mso-fit-shape-to-text:t;">
                <w:txbxContent>
                  <w:p w14:paraId="79FE3BD8">
                    <w:pPr>
                      <w:pStyle w:val="11"/>
                      <w:spacing w:line="240" w:lineRule="auto"/>
                      <w:ind w:firstLine="0" w:firstLineChars="0"/>
                      <w:jc w:val="center"/>
                      <w:rPr>
                        <w:sz w:val="20"/>
                        <w:szCs w:val="20"/>
                      </w:rPr>
                    </w:pPr>
                    <w:r>
                      <w:rPr>
                        <w:sz w:val="20"/>
                        <w:szCs w:val="20"/>
                      </w:rPr>
                      <w:fldChar w:fldCharType="begin"/>
                    </w:r>
                    <w:r>
                      <w:rPr>
                        <w:sz w:val="20"/>
                        <w:szCs w:val="20"/>
                      </w:rPr>
                      <w:instrText xml:space="preserve"> PAGE  \* MERGEFORMAT </w:instrText>
                    </w:r>
                    <w:r>
                      <w:rPr>
                        <w:sz w:val="20"/>
                        <w:szCs w:val="20"/>
                      </w:rPr>
                      <w:fldChar w:fldCharType="separate"/>
                    </w:r>
                    <w:r>
                      <w:rPr>
                        <w:sz w:val="20"/>
                        <w:szCs w:val="20"/>
                      </w:rPr>
                      <w:t>I</w:t>
                    </w:r>
                    <w:r>
                      <w:rPr>
                        <w:sz w:val="20"/>
                        <w:szCs w:val="20"/>
                      </w:rPr>
                      <w:fldChar w:fldCharType="end"/>
                    </w:r>
                  </w:p>
                </w:txbxContent>
              </v:textbox>
            </v:shape>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98B4EA0">
                          <w:pPr>
                            <w:ind w:firstLine="0" w:firstLineChars="0"/>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298B4EA0">
                    <w:pPr>
                      <w:ind w:firstLine="0" w:firstLineChars="0"/>
                    </w:pP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7EC062">
    <w:pPr>
      <w:pStyle w:val="11"/>
      <w:ind w:firstLine="360" w:firstLineChars="0"/>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47461972"/>
                            <w:docPartObj>
                              <w:docPartGallery w:val="autotext"/>
                            </w:docPartObj>
                          </w:sdtPr>
                          <w:sdtContent>
                            <w:p w14:paraId="362A3E18">
                              <w:pPr>
                                <w:pStyle w:val="11"/>
                                <w:spacing w:line="240" w:lineRule="auto"/>
                                <w:ind w:firstLine="0" w:firstLineChars="0"/>
                                <w:jc w:val="center"/>
                              </w:pPr>
                              <w:r>
                                <w:fldChar w:fldCharType="begin"/>
                              </w:r>
                              <w:r>
                                <w:instrText xml:space="preserve">PAGE   \* MERGEFORMAT</w:instrText>
                              </w:r>
                              <w:r>
                                <w:fldChar w:fldCharType="separate"/>
                              </w:r>
                              <w:r>
                                <w:rPr>
                                  <w:lang w:val="zh-CN"/>
                                </w:rPr>
                                <w:t>7</w:t>
                              </w:r>
                              <w:r>
                                <w:fldChar w:fldCharType="end"/>
                              </w:r>
                            </w:p>
                          </w:sdtContent>
                        </w:sdt>
                        <w:p w14:paraId="35EBA43D">
                          <w:pPr>
                            <w:spacing w:line="240" w:lineRule="auto"/>
                            <w:ind w:firstLine="0" w:firstLineChars="0"/>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sdt>
                    <w:sdtPr>
                      <w:id w:val="147461972"/>
                      <w:docPartObj>
                        <w:docPartGallery w:val="autotext"/>
                      </w:docPartObj>
                    </w:sdtPr>
                    <w:sdtContent>
                      <w:p w14:paraId="362A3E18">
                        <w:pPr>
                          <w:pStyle w:val="11"/>
                          <w:spacing w:line="240" w:lineRule="auto"/>
                          <w:ind w:firstLine="0" w:firstLineChars="0"/>
                          <w:jc w:val="center"/>
                        </w:pPr>
                        <w:r>
                          <w:fldChar w:fldCharType="begin"/>
                        </w:r>
                        <w:r>
                          <w:instrText xml:space="preserve">PAGE   \* MERGEFORMAT</w:instrText>
                        </w:r>
                        <w:r>
                          <w:fldChar w:fldCharType="separate"/>
                        </w:r>
                        <w:r>
                          <w:rPr>
                            <w:lang w:val="zh-CN"/>
                          </w:rPr>
                          <w:t>7</w:t>
                        </w:r>
                        <w:r>
                          <w:fldChar w:fldCharType="end"/>
                        </w:r>
                      </w:p>
                    </w:sdtContent>
                  </w:sdt>
                  <w:p w14:paraId="35EBA43D">
                    <w:pPr>
                      <w:spacing w:line="240" w:lineRule="auto"/>
                      <w:ind w:firstLine="0" w:firstLineChars="0"/>
                    </w:pP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35BFE7">
    <w:pPr>
      <w:pStyle w:val="11"/>
      <w:ind w:firstLine="360" w:firstLineChars="0"/>
      <w:jc w:val="cente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rPr>
                              <w:sz w:val="21"/>
                              <w:szCs w:val="21"/>
                            </w:rPr>
                            <w:id w:val="147476275"/>
                            <w:docPartObj>
                              <w:docPartGallery w:val="autotext"/>
                            </w:docPartObj>
                          </w:sdtPr>
                          <w:sdtEndPr>
                            <w:rPr>
                              <w:sz w:val="21"/>
                              <w:szCs w:val="21"/>
                            </w:rPr>
                          </w:sdtEndPr>
                          <w:sdtContent>
                            <w:p w14:paraId="7B7F19A8">
                              <w:pPr>
                                <w:pStyle w:val="11"/>
                                <w:spacing w:line="240" w:lineRule="auto"/>
                                <w:ind w:firstLine="0" w:firstLineChars="0"/>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11</w:t>
                              </w:r>
                              <w:r>
                                <w:rPr>
                                  <w:sz w:val="21"/>
                                  <w:szCs w:val="21"/>
                                </w:rPr>
                                <w:fldChar w:fldCharType="end"/>
                              </w:r>
                            </w:p>
                          </w:sdtContent>
                        </w:sdt>
                        <w:p w14:paraId="4C19960B">
                          <w:pPr>
                            <w:spacing w:line="240" w:lineRule="auto"/>
                            <w:ind w:firstLine="0" w:firstLineChars="0"/>
                            <w:rPr>
                              <w:sz w:val="24"/>
                              <w:szCs w:val="24"/>
                            </w:rPr>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xyswE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Mr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xyswEzAgAAYwQAAA4AAAAAAAAAAQAgAAAAHwEAAGRycy9lMm9Eb2MueG1sUEsF&#10;BgAAAAAGAAYAWQEAAMQFAAAAAA==&#10;">
              <v:fill on="f" focussize="0,0"/>
              <v:stroke on="f" weight="0.5pt"/>
              <v:imagedata o:title=""/>
              <o:lock v:ext="edit" aspectratio="f"/>
              <v:textbox inset="0mm,0mm,0mm,0mm" style="mso-fit-shape-to-text:t;">
                <w:txbxContent>
                  <w:sdt>
                    <w:sdtPr>
                      <w:rPr>
                        <w:sz w:val="21"/>
                        <w:szCs w:val="21"/>
                      </w:rPr>
                      <w:id w:val="147476275"/>
                      <w:docPartObj>
                        <w:docPartGallery w:val="autotext"/>
                      </w:docPartObj>
                    </w:sdtPr>
                    <w:sdtEndPr>
                      <w:rPr>
                        <w:sz w:val="21"/>
                        <w:szCs w:val="21"/>
                      </w:rPr>
                    </w:sdtEndPr>
                    <w:sdtContent>
                      <w:p w14:paraId="7B7F19A8">
                        <w:pPr>
                          <w:pStyle w:val="11"/>
                          <w:spacing w:line="240" w:lineRule="auto"/>
                          <w:ind w:firstLine="0" w:firstLineChars="0"/>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11</w:t>
                        </w:r>
                        <w:r>
                          <w:rPr>
                            <w:sz w:val="21"/>
                            <w:szCs w:val="21"/>
                          </w:rPr>
                          <w:fldChar w:fldCharType="end"/>
                        </w:r>
                      </w:p>
                    </w:sdtContent>
                  </w:sdt>
                  <w:p w14:paraId="4C19960B">
                    <w:pPr>
                      <w:spacing w:line="240" w:lineRule="auto"/>
                      <w:ind w:firstLine="0" w:firstLineChars="0"/>
                      <w:rPr>
                        <w:sz w:val="24"/>
                        <w:szCs w:val="24"/>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20"/>
      </w:pPr>
      <w:r>
        <w:separator/>
      </w:r>
    </w:p>
  </w:footnote>
  <w:footnote w:type="continuationSeparator" w:id="1">
    <w:p>
      <w:pPr>
        <w:spacing w:line="24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01C4BF">
    <w:pPr>
      <w:pStyle w:val="12"/>
      <w:pBdr>
        <w:bottom w:val="none" w:color="auto" w:sz="0" w:space="0"/>
      </w:pBdr>
      <w:adjustRightInd/>
      <w:spacing w:line="240" w:lineRule="auto"/>
      <w:ind w:firstLine="0" w:firstLineChars="0"/>
      <w:jc w:val="right"/>
      <w:rPr>
        <w:rFonts w:ascii="黑体" w:hAnsi="黑体" w:eastAsia="黑体" w:cs="黑体"/>
        <w:b/>
        <w:bCs/>
        <w:sz w:val="15"/>
        <w:szCs w:val="15"/>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1A56F">
    <w:pPr>
      <w:pStyle w:val="1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E4D4C2">
    <w:pPr>
      <w:pStyle w:val="12"/>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D355E5">
    <w:pPr>
      <w:pStyle w:val="12"/>
      <w:keepNext w:val="0"/>
      <w:keepLines w:val="0"/>
      <w:pageBreakBefore w:val="0"/>
      <w:widowControl w:val="0"/>
      <w:pBdr>
        <w:bottom w:val="single" w:color="auto" w:sz="4" w:space="0"/>
      </w:pBdr>
      <w:kinsoku/>
      <w:wordWrap/>
      <w:overflowPunct/>
      <w:topLinePunct w:val="0"/>
      <w:bidi w:val="0"/>
      <w:adjustRightInd w:val="0"/>
      <w:snapToGrid w:val="0"/>
      <w:spacing w:line="360" w:lineRule="auto"/>
      <w:ind w:firstLine="0" w:firstLineChars="0"/>
      <w:jc w:val="right"/>
      <w:textAlignment w:val="auto"/>
      <w:rPr>
        <w:rFonts w:ascii="黑体" w:hAnsi="黑体" w:eastAsia="黑体" w:cs="黑体"/>
        <w:b/>
        <w:bCs/>
        <w:color w:val="auto"/>
        <w:sz w:val="15"/>
        <w:szCs w:val="15"/>
      </w:rPr>
    </w:pPr>
    <w:r>
      <w:rPr>
        <w:rFonts w:hint="eastAsia" w:ascii="黑体" w:hAnsi="黑体" w:eastAsia="黑体" w:cs="黑体"/>
        <w:b/>
        <w:bCs/>
        <w:color w:val="auto"/>
        <w:sz w:val="15"/>
        <w:szCs w:val="15"/>
      </w:rPr>
      <w:t>吉木萨尔县城市管理服务“三位一体”委托运营项目绩效评价报告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4140925"/>
    <w:multiLevelType w:val="singleLevel"/>
    <w:tmpl w:val="04140925"/>
    <w:lvl w:ilvl="0" w:tentative="0">
      <w:start w:val="8"/>
      <w:numFmt w:val="chineseCounting"/>
      <w:suff w:val="nothing"/>
      <w:lvlText w:val="%1、"/>
      <w:lvlJc w:val="left"/>
      <w:rPr>
        <w:rFonts w:hint="eastAsia"/>
      </w:rPr>
    </w:lvl>
  </w:abstractNum>
  <w:abstractNum w:abstractNumId="1">
    <w:nsid w:val="536F7A89"/>
    <w:multiLevelType w:val="singleLevel"/>
    <w:tmpl w:val="536F7A89"/>
    <w:lvl w:ilvl="0" w:tentative="0">
      <w:start w:val="1"/>
      <w:numFmt w:val="decimal"/>
      <w:suff w:val="nothing"/>
      <w:lvlText w:val="%1."/>
      <w:lvlJc w:val="left"/>
      <w:pPr>
        <w:ind w:left="0" w:firstLine="4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cyN2QyNzY1MGQyMDA0NmQyYjYxNzZhOTdlZDU0MTgifQ=="/>
  </w:docVars>
  <w:rsids>
    <w:rsidRoot w:val="00A03703"/>
    <w:rsid w:val="00144E57"/>
    <w:rsid w:val="0020458F"/>
    <w:rsid w:val="00207014"/>
    <w:rsid w:val="00252009"/>
    <w:rsid w:val="002550B3"/>
    <w:rsid w:val="0036398D"/>
    <w:rsid w:val="0041395F"/>
    <w:rsid w:val="00426245"/>
    <w:rsid w:val="006C6562"/>
    <w:rsid w:val="00774338"/>
    <w:rsid w:val="00813149"/>
    <w:rsid w:val="00837A57"/>
    <w:rsid w:val="00A03703"/>
    <w:rsid w:val="00A15A88"/>
    <w:rsid w:val="00C32FFE"/>
    <w:rsid w:val="00C83FDF"/>
    <w:rsid w:val="00CA14B6"/>
    <w:rsid w:val="00D265A7"/>
    <w:rsid w:val="00D50A30"/>
    <w:rsid w:val="00E12696"/>
    <w:rsid w:val="00EE50F7"/>
    <w:rsid w:val="02B45E0D"/>
    <w:rsid w:val="03B14776"/>
    <w:rsid w:val="03E26F6B"/>
    <w:rsid w:val="041B0539"/>
    <w:rsid w:val="04542819"/>
    <w:rsid w:val="07E86788"/>
    <w:rsid w:val="0950746A"/>
    <w:rsid w:val="09886F9F"/>
    <w:rsid w:val="09E65C14"/>
    <w:rsid w:val="0AEE0C79"/>
    <w:rsid w:val="0C69230C"/>
    <w:rsid w:val="0E4B13F3"/>
    <w:rsid w:val="0EC86014"/>
    <w:rsid w:val="11C83272"/>
    <w:rsid w:val="12B10F0A"/>
    <w:rsid w:val="13513B8A"/>
    <w:rsid w:val="14990D94"/>
    <w:rsid w:val="15EB4733"/>
    <w:rsid w:val="170535D2"/>
    <w:rsid w:val="17604CAC"/>
    <w:rsid w:val="178025FC"/>
    <w:rsid w:val="1821504C"/>
    <w:rsid w:val="18CF3FCA"/>
    <w:rsid w:val="1B5F55D7"/>
    <w:rsid w:val="1F852F85"/>
    <w:rsid w:val="20070B5C"/>
    <w:rsid w:val="20763E80"/>
    <w:rsid w:val="208800D4"/>
    <w:rsid w:val="20A22DC5"/>
    <w:rsid w:val="20AA35EE"/>
    <w:rsid w:val="20E91BAB"/>
    <w:rsid w:val="22813D29"/>
    <w:rsid w:val="22FB1D2D"/>
    <w:rsid w:val="23B14FE2"/>
    <w:rsid w:val="25AF6319"/>
    <w:rsid w:val="25F7546A"/>
    <w:rsid w:val="263C69B2"/>
    <w:rsid w:val="28B249D2"/>
    <w:rsid w:val="29B6075C"/>
    <w:rsid w:val="2AAD1304"/>
    <w:rsid w:val="2CD07DE1"/>
    <w:rsid w:val="2D0A14EA"/>
    <w:rsid w:val="2E76670C"/>
    <w:rsid w:val="2ECD69FD"/>
    <w:rsid w:val="30BB1AA0"/>
    <w:rsid w:val="33484DD4"/>
    <w:rsid w:val="35684E2E"/>
    <w:rsid w:val="35A53AD6"/>
    <w:rsid w:val="36FA437E"/>
    <w:rsid w:val="37265173"/>
    <w:rsid w:val="372A5C55"/>
    <w:rsid w:val="37823126"/>
    <w:rsid w:val="38D1110E"/>
    <w:rsid w:val="398D26CB"/>
    <w:rsid w:val="3AEF3BB8"/>
    <w:rsid w:val="3DAF0D3F"/>
    <w:rsid w:val="3DB50D85"/>
    <w:rsid w:val="41184657"/>
    <w:rsid w:val="416D2AB8"/>
    <w:rsid w:val="42187DAE"/>
    <w:rsid w:val="42A67168"/>
    <w:rsid w:val="430E1911"/>
    <w:rsid w:val="43A6395E"/>
    <w:rsid w:val="44316F05"/>
    <w:rsid w:val="46A114CB"/>
    <w:rsid w:val="46D1728D"/>
    <w:rsid w:val="47777325"/>
    <w:rsid w:val="47D50EBA"/>
    <w:rsid w:val="47F06A69"/>
    <w:rsid w:val="49516307"/>
    <w:rsid w:val="4A15381A"/>
    <w:rsid w:val="4ADC0C46"/>
    <w:rsid w:val="4C6E6818"/>
    <w:rsid w:val="4D2646B1"/>
    <w:rsid w:val="4E543563"/>
    <w:rsid w:val="51785B18"/>
    <w:rsid w:val="52285FE8"/>
    <w:rsid w:val="53E126F6"/>
    <w:rsid w:val="54B716A8"/>
    <w:rsid w:val="56921B6A"/>
    <w:rsid w:val="579456E3"/>
    <w:rsid w:val="57C55E8A"/>
    <w:rsid w:val="58DE2219"/>
    <w:rsid w:val="593F3897"/>
    <w:rsid w:val="5A144EA7"/>
    <w:rsid w:val="5C6B645D"/>
    <w:rsid w:val="5CF54B1C"/>
    <w:rsid w:val="5D382BE7"/>
    <w:rsid w:val="5D953E89"/>
    <w:rsid w:val="5DEE6DAA"/>
    <w:rsid w:val="5DF179D9"/>
    <w:rsid w:val="5E484837"/>
    <w:rsid w:val="5E4F64AE"/>
    <w:rsid w:val="5E606702"/>
    <w:rsid w:val="5E705F80"/>
    <w:rsid w:val="5F470E2F"/>
    <w:rsid w:val="5FD312BC"/>
    <w:rsid w:val="62091FB7"/>
    <w:rsid w:val="6251055B"/>
    <w:rsid w:val="62FD472A"/>
    <w:rsid w:val="64A33A6C"/>
    <w:rsid w:val="64FF2692"/>
    <w:rsid w:val="6631134F"/>
    <w:rsid w:val="677376B1"/>
    <w:rsid w:val="67752F0C"/>
    <w:rsid w:val="68D511B8"/>
    <w:rsid w:val="68E03CCE"/>
    <w:rsid w:val="6A4D243B"/>
    <w:rsid w:val="6AAF4400"/>
    <w:rsid w:val="6B9504D1"/>
    <w:rsid w:val="6BBD1287"/>
    <w:rsid w:val="6BC05136"/>
    <w:rsid w:val="6BFB6720"/>
    <w:rsid w:val="6CA12DC9"/>
    <w:rsid w:val="6CA65E33"/>
    <w:rsid w:val="6D5E5248"/>
    <w:rsid w:val="6D8E15BD"/>
    <w:rsid w:val="6DAA1F76"/>
    <w:rsid w:val="6EA7498F"/>
    <w:rsid w:val="6F646A6B"/>
    <w:rsid w:val="704A0060"/>
    <w:rsid w:val="71F238C8"/>
    <w:rsid w:val="726C71D4"/>
    <w:rsid w:val="7363682B"/>
    <w:rsid w:val="75DC0B17"/>
    <w:rsid w:val="766B33EE"/>
    <w:rsid w:val="76C84BF7"/>
    <w:rsid w:val="774C6D2D"/>
    <w:rsid w:val="776C8B73"/>
    <w:rsid w:val="77C202CB"/>
    <w:rsid w:val="785E509D"/>
    <w:rsid w:val="78D173E0"/>
    <w:rsid w:val="78E16E3E"/>
    <w:rsid w:val="790A042B"/>
    <w:rsid w:val="7A0E2437"/>
    <w:rsid w:val="7A2D36EF"/>
    <w:rsid w:val="7A374B97"/>
    <w:rsid w:val="7BF267D8"/>
    <w:rsid w:val="7D657264"/>
    <w:rsid w:val="7FD82D8C"/>
    <w:rsid w:val="9A5E12E9"/>
    <w:rsid w:val="BF9D96C6"/>
    <w:rsid w:val="DFFBD6E3"/>
    <w:rsid w:val="F7A30022"/>
    <w:rsid w:val="F8FF193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nhideWhenUsed="0" w:uiPriority="9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uiPriority="39" w:name="toc 3"/>
    <w:lsdException w:qFormat="1" w:unhideWhenUsed="0" w:uiPriority="0" w:semiHidden="0"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qFormat="1" w:unhideWhenUsed="0" w:uiPriority="0" w:semiHidden="0"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90" w:lineRule="exact"/>
      <w:ind w:firstLine="883" w:firstLineChars="200"/>
      <w:jc w:val="both"/>
    </w:pPr>
    <w:rPr>
      <w:rFonts w:ascii="Times New Roman" w:hAnsi="Times New Roman" w:cs="Times New Roman" w:eastAsiaTheme="minorEastAsia"/>
      <w:kern w:val="2"/>
      <w:sz w:val="21"/>
      <w:szCs w:val="21"/>
      <w:lang w:val="en-US" w:eastAsia="zh-CN" w:bidi="ar-SA"/>
    </w:rPr>
  </w:style>
  <w:style w:type="paragraph" w:styleId="2">
    <w:name w:val="heading 1"/>
    <w:basedOn w:val="1"/>
    <w:next w:val="1"/>
    <w:qFormat/>
    <w:uiPriority w:val="99"/>
    <w:pPr>
      <w:keepNext/>
      <w:keepLines/>
      <w:spacing w:before="260" w:after="260"/>
      <w:outlineLvl w:val="0"/>
    </w:pPr>
    <w:rPr>
      <w:b/>
      <w:bCs/>
      <w:kern w:val="44"/>
      <w:sz w:val="24"/>
      <w:szCs w:val="44"/>
    </w:rPr>
  </w:style>
  <w:style w:type="paragraph" w:styleId="3">
    <w:name w:val="heading 2"/>
    <w:basedOn w:val="1"/>
    <w:next w:val="1"/>
    <w:qFormat/>
    <w:uiPriority w:val="0"/>
    <w:pPr>
      <w:keepNext/>
      <w:keepLines/>
      <w:spacing w:before="100" w:after="100"/>
      <w:jc w:val="left"/>
      <w:outlineLvl w:val="1"/>
    </w:pPr>
    <w:rPr>
      <w:rFonts w:ascii="Cambria" w:hAnsi="Cambria"/>
      <w:b/>
      <w:bCs/>
      <w:kern w:val="0"/>
      <w:sz w:val="24"/>
      <w:szCs w:val="32"/>
    </w:rPr>
  </w:style>
  <w:style w:type="paragraph" w:styleId="4">
    <w:name w:val="heading 3"/>
    <w:basedOn w:val="1"/>
    <w:next w:val="5"/>
    <w:qFormat/>
    <w:uiPriority w:val="99"/>
    <w:pPr>
      <w:keepNext/>
      <w:keepLines/>
      <w:outlineLvl w:val="2"/>
    </w:pPr>
    <w:rPr>
      <w:rFonts w:ascii="仿宋_GB2312" w:hAnsi="仿宋_GB2312"/>
      <w:b/>
      <w:bCs/>
      <w:kern w:val="0"/>
      <w:szCs w:val="32"/>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5">
    <w:name w:val="Normal Indent"/>
    <w:basedOn w:val="1"/>
    <w:next w:val="6"/>
    <w:qFormat/>
    <w:uiPriority w:val="0"/>
    <w:pPr>
      <w:ind w:firstLine="420"/>
    </w:pPr>
  </w:style>
  <w:style w:type="paragraph" w:styleId="6">
    <w:name w:val="toc 4"/>
    <w:basedOn w:val="1"/>
    <w:next w:val="1"/>
    <w:qFormat/>
    <w:uiPriority w:val="0"/>
    <w:pPr>
      <w:ind w:left="1260" w:leftChars="600"/>
    </w:pPr>
  </w:style>
  <w:style w:type="paragraph" w:styleId="7">
    <w:name w:val="annotation text"/>
    <w:basedOn w:val="1"/>
    <w:unhideWhenUsed/>
    <w:qFormat/>
    <w:uiPriority w:val="99"/>
    <w:rPr>
      <w:rFonts w:ascii="Calibri" w:hAnsi="Calibri" w:eastAsia="仿宋"/>
      <w:kern w:val="0"/>
      <w:sz w:val="24"/>
      <w:szCs w:val="20"/>
    </w:rPr>
  </w:style>
  <w:style w:type="paragraph" w:styleId="8">
    <w:name w:val="Body Text"/>
    <w:basedOn w:val="1"/>
    <w:qFormat/>
    <w:uiPriority w:val="0"/>
  </w:style>
  <w:style w:type="paragraph" w:styleId="9">
    <w:name w:val="Body Text Indent"/>
    <w:basedOn w:val="1"/>
    <w:qFormat/>
    <w:uiPriority w:val="0"/>
    <w:pPr>
      <w:ind w:firstLine="570"/>
    </w:pPr>
    <w:rPr>
      <w:rFonts w:eastAsia="宋体"/>
      <w:sz w:val="24"/>
    </w:rPr>
  </w:style>
  <w:style w:type="paragraph" w:styleId="10">
    <w:name w:val="Balloon Text"/>
    <w:basedOn w:val="1"/>
    <w:link w:val="32"/>
    <w:semiHidden/>
    <w:unhideWhenUsed/>
    <w:qFormat/>
    <w:uiPriority w:val="99"/>
    <w:pPr>
      <w:spacing w:line="240" w:lineRule="auto"/>
    </w:pPr>
    <w:rPr>
      <w:sz w:val="18"/>
      <w:szCs w:val="18"/>
    </w:rPr>
  </w:style>
  <w:style w:type="paragraph" w:styleId="11">
    <w:name w:val="footer"/>
    <w:basedOn w:val="1"/>
    <w:link w:val="24"/>
    <w:unhideWhenUsed/>
    <w:qFormat/>
    <w:uiPriority w:val="99"/>
    <w:pPr>
      <w:tabs>
        <w:tab w:val="center" w:pos="4153"/>
        <w:tab w:val="right" w:pos="8306"/>
      </w:tabs>
      <w:jc w:val="left"/>
    </w:pPr>
    <w:rPr>
      <w:sz w:val="18"/>
      <w:szCs w:val="18"/>
    </w:rPr>
  </w:style>
  <w:style w:type="paragraph" w:styleId="12">
    <w:name w:val="header"/>
    <w:basedOn w:val="1"/>
    <w:link w:val="23"/>
    <w:unhideWhenUsed/>
    <w:qFormat/>
    <w:uiPriority w:val="99"/>
    <w:pPr>
      <w:pBdr>
        <w:bottom w:val="single" w:color="auto" w:sz="6" w:space="1"/>
      </w:pBdr>
      <w:tabs>
        <w:tab w:val="center" w:pos="4153"/>
        <w:tab w:val="right" w:pos="8306"/>
      </w:tabs>
      <w:jc w:val="center"/>
    </w:pPr>
    <w:rPr>
      <w:sz w:val="18"/>
      <w:szCs w:val="18"/>
    </w:rPr>
  </w:style>
  <w:style w:type="paragraph" w:styleId="13">
    <w:name w:val="toc 1"/>
    <w:basedOn w:val="1"/>
    <w:next w:val="1"/>
    <w:qFormat/>
    <w:uiPriority w:val="39"/>
    <w:pPr>
      <w:tabs>
        <w:tab w:val="right" w:leader="dot" w:pos="9356"/>
      </w:tabs>
      <w:ind w:firstLine="0" w:firstLineChars="0"/>
    </w:pPr>
    <w:rPr>
      <w:rFonts w:ascii="黑体" w:hAnsi="黑体" w:cs="仿宋_GB2312"/>
      <w:bCs/>
      <w:color w:val="000000"/>
      <w:kern w:val="0"/>
      <w:sz w:val="28"/>
      <w:szCs w:val="28"/>
    </w:rPr>
  </w:style>
  <w:style w:type="paragraph" w:styleId="14">
    <w:name w:val="toc 2"/>
    <w:basedOn w:val="1"/>
    <w:next w:val="1"/>
    <w:semiHidden/>
    <w:unhideWhenUsed/>
    <w:qFormat/>
    <w:uiPriority w:val="39"/>
    <w:pPr>
      <w:ind w:firstLine="663" w:firstLineChars="150"/>
    </w:pPr>
    <w:rPr>
      <w:sz w:val="24"/>
    </w:rPr>
  </w:style>
  <w:style w:type="paragraph" w:styleId="15">
    <w:name w:val="Body Text 2"/>
    <w:basedOn w:val="1"/>
    <w:qFormat/>
    <w:uiPriority w:val="0"/>
    <w:pPr>
      <w:spacing w:after="120" w:line="480" w:lineRule="auto"/>
    </w:pPr>
    <w:rPr>
      <w:rFonts w:eastAsia="宋体"/>
    </w:rPr>
  </w:style>
  <w:style w:type="paragraph" w:styleId="16">
    <w:name w:val="Normal (Web)"/>
    <w:basedOn w:val="1"/>
    <w:qFormat/>
    <w:uiPriority w:val="0"/>
    <w:pPr>
      <w:spacing w:before="0" w:beforeAutospacing="1" w:after="0" w:afterAutospacing="1"/>
      <w:ind w:left="0" w:right="0"/>
      <w:jc w:val="left"/>
    </w:pPr>
    <w:rPr>
      <w:kern w:val="0"/>
      <w:sz w:val="24"/>
      <w:lang w:val="en-US" w:eastAsia="zh-CN" w:bidi="ar"/>
    </w:rPr>
  </w:style>
  <w:style w:type="paragraph" w:styleId="17">
    <w:name w:val="Body Text First Indent 2"/>
    <w:basedOn w:val="9"/>
    <w:qFormat/>
    <w:uiPriority w:val="0"/>
    <w:pPr>
      <w:ind w:firstLine="420"/>
    </w:pPr>
  </w:style>
  <w:style w:type="table" w:styleId="19">
    <w:name w:val="Table Grid"/>
    <w:basedOn w:val="18"/>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1">
    <w:name w:val="page number"/>
    <w:basedOn w:val="20"/>
    <w:qFormat/>
    <w:uiPriority w:val="0"/>
  </w:style>
  <w:style w:type="character" w:styleId="22">
    <w:name w:val="annotation reference"/>
    <w:basedOn w:val="20"/>
    <w:semiHidden/>
    <w:unhideWhenUsed/>
    <w:qFormat/>
    <w:uiPriority w:val="99"/>
    <w:rPr>
      <w:sz w:val="21"/>
      <w:szCs w:val="21"/>
    </w:rPr>
  </w:style>
  <w:style w:type="character" w:customStyle="1" w:styleId="23">
    <w:name w:val="页眉 Char"/>
    <w:basedOn w:val="20"/>
    <w:link w:val="12"/>
    <w:qFormat/>
    <w:uiPriority w:val="99"/>
    <w:rPr>
      <w:sz w:val="18"/>
      <w:szCs w:val="18"/>
    </w:rPr>
  </w:style>
  <w:style w:type="character" w:customStyle="1" w:styleId="24">
    <w:name w:val="页脚 Char"/>
    <w:basedOn w:val="20"/>
    <w:link w:val="11"/>
    <w:qFormat/>
    <w:uiPriority w:val="99"/>
    <w:rPr>
      <w:sz w:val="18"/>
      <w:szCs w:val="18"/>
    </w:rPr>
  </w:style>
  <w:style w:type="paragraph" w:customStyle="1" w:styleId="25">
    <w:name w:val="闻政-正文二级标题"/>
    <w:basedOn w:val="3"/>
    <w:next w:val="26"/>
    <w:qFormat/>
    <w:uiPriority w:val="3"/>
    <w:pPr>
      <w:spacing w:before="120" w:after="60" w:line="500" w:lineRule="exact"/>
      <w:ind w:left="200" w:leftChars="200" w:firstLine="0" w:firstLineChars="0"/>
    </w:pPr>
    <w:rPr>
      <w:rFonts w:ascii="Times New Roman" w:hAnsi="Times New Roman"/>
      <w:sz w:val="28"/>
    </w:rPr>
  </w:style>
  <w:style w:type="paragraph" w:customStyle="1" w:styleId="26">
    <w:name w:val="闻政-正文段落文字"/>
    <w:basedOn w:val="1"/>
    <w:qFormat/>
    <w:uiPriority w:val="3"/>
    <w:pPr>
      <w:spacing w:line="500" w:lineRule="exact"/>
      <w:ind w:firstLine="200"/>
    </w:pPr>
    <w:rPr>
      <w:kern w:val="0"/>
      <w:szCs w:val="28"/>
    </w:rPr>
  </w:style>
  <w:style w:type="paragraph" w:customStyle="1" w:styleId="27">
    <w:name w:val="闻政-正文一级标题"/>
    <w:basedOn w:val="4"/>
    <w:next w:val="26"/>
    <w:qFormat/>
    <w:uiPriority w:val="3"/>
    <w:pPr>
      <w:spacing w:before="120" w:after="60" w:line="500" w:lineRule="exact"/>
      <w:ind w:firstLine="0" w:firstLineChars="0"/>
      <w:outlineLvl w:val="0"/>
    </w:pPr>
    <w:rPr>
      <w:rFonts w:ascii="黑体" w:hAnsi="黑体" w:eastAsia="黑体"/>
      <w:sz w:val="32"/>
    </w:rPr>
  </w:style>
  <w:style w:type="paragraph" w:styleId="28">
    <w:name w:val="List Paragraph"/>
    <w:basedOn w:val="1"/>
    <w:qFormat/>
    <w:uiPriority w:val="34"/>
    <w:pPr>
      <w:ind w:firstLine="420"/>
    </w:pPr>
  </w:style>
  <w:style w:type="paragraph" w:customStyle="1" w:styleId="29">
    <w:name w:val="正文 A"/>
    <w:qFormat/>
    <w:uiPriority w:val="99"/>
    <w:pPr>
      <w:widowControl w:val="0"/>
      <w:spacing w:before="50" w:after="50" w:line="360" w:lineRule="auto"/>
    </w:pPr>
    <w:rPr>
      <w:rFonts w:ascii="Times New Roman" w:hAnsi="Arial Unicode MS" w:eastAsia="Times New Roman" w:cs="Arial Unicode MS"/>
      <w:color w:val="000000"/>
      <w:kern w:val="2"/>
      <w:sz w:val="28"/>
      <w:szCs w:val="28"/>
      <w:u w:color="000000"/>
      <w:lang w:val="en-US" w:eastAsia="zh-CN" w:bidi="ar-SA"/>
    </w:rPr>
  </w:style>
  <w:style w:type="paragraph" w:customStyle="1" w:styleId="30">
    <w:name w:val="WPSOffice手动目录 1"/>
    <w:qFormat/>
    <w:uiPriority w:val="0"/>
    <w:rPr>
      <w:rFonts w:ascii="Times New Roman" w:hAnsi="Times New Roman" w:eastAsia="宋体" w:cs="Times New Roman"/>
      <w:lang w:val="en-US" w:eastAsia="zh-CN" w:bidi="ar-SA"/>
    </w:rPr>
  </w:style>
  <w:style w:type="paragraph" w:customStyle="1" w:styleId="31">
    <w:name w:val="WPSOffice手动目录 2"/>
    <w:qFormat/>
    <w:uiPriority w:val="0"/>
    <w:pPr>
      <w:ind w:left="200" w:leftChars="200"/>
    </w:pPr>
    <w:rPr>
      <w:rFonts w:ascii="Times New Roman" w:hAnsi="Times New Roman" w:eastAsia="宋体" w:cs="Times New Roman"/>
      <w:lang w:val="en-US" w:eastAsia="zh-CN" w:bidi="ar-SA"/>
    </w:rPr>
  </w:style>
  <w:style w:type="character" w:customStyle="1" w:styleId="32">
    <w:name w:val="批注框文本 Char"/>
    <w:basedOn w:val="20"/>
    <w:link w:val="10"/>
    <w:semiHidden/>
    <w:qFormat/>
    <w:uiPriority w:val="99"/>
    <w:rPr>
      <w:rFonts w:eastAsiaTheme="minorEastAsia"/>
      <w:kern w:val="2"/>
      <w:sz w:val="18"/>
      <w:szCs w:val="18"/>
    </w:rPr>
  </w:style>
  <w:style w:type="character" w:customStyle="1" w:styleId="33">
    <w:name w:val="font21"/>
    <w:basedOn w:val="20"/>
    <w:qFormat/>
    <w:uiPriority w:val="0"/>
    <w:rPr>
      <w:rFonts w:ascii="Calibri" w:hAnsi="Calibri" w:cs="Calibri"/>
      <w:color w:val="000000"/>
      <w:sz w:val="22"/>
      <w:szCs w:val="22"/>
      <w:u w:val="none"/>
    </w:rPr>
  </w:style>
  <w:style w:type="character" w:customStyle="1" w:styleId="34">
    <w:name w:val="font01"/>
    <w:basedOn w:val="20"/>
    <w:qFormat/>
    <w:uiPriority w:val="0"/>
    <w:rPr>
      <w:rFonts w:hint="eastAsia" w:ascii="宋体" w:hAnsi="宋体" w:eastAsia="宋体" w:cs="宋体"/>
      <w:color w:val="000000"/>
      <w:sz w:val="22"/>
      <w:szCs w:val="22"/>
      <w:u w:val="none"/>
    </w:rPr>
  </w:style>
  <w:style w:type="paragraph" w:customStyle="1" w:styleId="35">
    <w:name w:val="正文文字"/>
    <w:basedOn w:val="1"/>
    <w:next w:val="1"/>
    <w:qFormat/>
    <w:uiPriority w:val="0"/>
    <w:pPr>
      <w:spacing w:after="120"/>
      <w:ind w:firstLine="0" w:firstLineChars="0"/>
    </w:pPr>
    <w:rPr>
      <w:rFonts w:ascii="Calibri" w:hAnsi="Calibri"/>
      <w:sz w:val="21"/>
      <w:szCs w:val="24"/>
    </w:rPr>
  </w:style>
  <w:style w:type="character" w:customStyle="1" w:styleId="36">
    <w:name w:val="font51"/>
    <w:basedOn w:val="20"/>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4" Type="http://schemas.openxmlformats.org/officeDocument/2006/relationships/fontTable" Target="fontTable.xml"/><Relationship Id="rId43" Type="http://schemas.openxmlformats.org/officeDocument/2006/relationships/customXml" Target="../customXml/item2.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23.jpeg"/><Relationship Id="rId4" Type="http://schemas.openxmlformats.org/officeDocument/2006/relationships/endnotes" Target="endnotes.xml"/><Relationship Id="rId39" Type="http://schemas.openxmlformats.org/officeDocument/2006/relationships/image" Target="media/image22.jpeg"/><Relationship Id="rId38" Type="http://schemas.openxmlformats.org/officeDocument/2006/relationships/image" Target="media/image21.jpeg"/><Relationship Id="rId37" Type="http://schemas.openxmlformats.org/officeDocument/2006/relationships/image" Target="media/image20.jpeg"/><Relationship Id="rId36" Type="http://schemas.openxmlformats.org/officeDocument/2006/relationships/image" Target="media/image19.jpeg"/><Relationship Id="rId35" Type="http://schemas.openxmlformats.org/officeDocument/2006/relationships/image" Target="media/image18.jpeg"/><Relationship Id="rId34" Type="http://schemas.openxmlformats.org/officeDocument/2006/relationships/image" Target="media/image17.jpeg"/><Relationship Id="rId33" Type="http://schemas.openxmlformats.org/officeDocument/2006/relationships/image" Target="media/image16.jpeg"/><Relationship Id="rId32" Type="http://schemas.openxmlformats.org/officeDocument/2006/relationships/image" Target="media/image15.jpeg"/><Relationship Id="rId31" Type="http://schemas.openxmlformats.org/officeDocument/2006/relationships/image" Target="media/image14.jpeg"/><Relationship Id="rId30" Type="http://schemas.openxmlformats.org/officeDocument/2006/relationships/image" Target="media/image13.jpeg"/><Relationship Id="rId3" Type="http://schemas.openxmlformats.org/officeDocument/2006/relationships/footnotes" Target="footnotes.xml"/><Relationship Id="rId29" Type="http://schemas.openxmlformats.org/officeDocument/2006/relationships/image" Target="media/image12.jpeg"/><Relationship Id="rId28" Type="http://schemas.openxmlformats.org/officeDocument/2006/relationships/image" Target="media/image11.jpeg"/><Relationship Id="rId27" Type="http://schemas.openxmlformats.org/officeDocument/2006/relationships/image" Target="media/image10.jpeg"/><Relationship Id="rId26" Type="http://schemas.openxmlformats.org/officeDocument/2006/relationships/image" Target="media/image9.jpeg"/><Relationship Id="rId25" Type="http://schemas.openxmlformats.org/officeDocument/2006/relationships/image" Target="media/image8.jpeg"/><Relationship Id="rId24" Type="http://schemas.openxmlformats.org/officeDocument/2006/relationships/image" Target="media/image7.jpeg"/><Relationship Id="rId23" Type="http://schemas.openxmlformats.org/officeDocument/2006/relationships/image" Target="media/image6.jpeg"/><Relationship Id="rId22" Type="http://schemas.openxmlformats.org/officeDocument/2006/relationships/image" Target="media/image5.jpeg"/><Relationship Id="rId21" Type="http://schemas.openxmlformats.org/officeDocument/2006/relationships/image" Target="media/image4.jpeg"/><Relationship Id="rId20" Type="http://schemas.openxmlformats.org/officeDocument/2006/relationships/image" Target="media/image3.jpeg"/><Relationship Id="rId2" Type="http://schemas.openxmlformats.org/officeDocument/2006/relationships/settings" Target="settings.xml"/><Relationship Id="rId19" Type="http://schemas.openxmlformats.org/officeDocument/2006/relationships/image" Target="media/image2.jpeg"/><Relationship Id="rId18" Type="http://schemas.openxmlformats.org/officeDocument/2006/relationships/image" Target="media/image1.jpeg"/><Relationship Id="rId17" Type="http://schemas.openxmlformats.org/officeDocument/2006/relationships/theme" Target="theme/theme1.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tyleName="APA" SelectedStyle="\APA.XSL"/>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C17A4AD-C8AC-4D6E-B5B8-B4766CB3F4A8}">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59</Pages>
  <Words>3854</Words>
  <Characters>4217</Characters>
  <Lines>41</Lines>
  <Paragraphs>11</Paragraphs>
  <TotalTime>5</TotalTime>
  <ScaleCrop>false</ScaleCrop>
  <LinksUpToDate>false</LinksUpToDate>
  <CharactersWithSpaces>4279</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2020-09-23T23:41:00Z</dcterms:created>
  <dc:creator>Lenovo</dc:creator>
  <cp:lastModifiedBy>HH</cp:lastModifiedBy>
  <dcterms:modified xsi:type="dcterms:W3CDTF">2025-09-10T04:37:15Z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081E7B84551146F58A947B815742A951_13</vt:lpwstr>
  </property>
  <property fmtid="{D5CDD505-2E9C-101B-9397-08002B2CF9AE}" pid="4" name="KSOTemplateDocerSaveRecord">
    <vt:lpwstr>eyJoZGlkIjoiZDU5ODI3OTZlMjJmZjZkNDhjY2NkNTZiNTU2ZmRkMGYiLCJ1c2VySWQiOiI0OTM4NDcxMDAifQ==</vt:lpwstr>
  </property>
</Properties>
</file>