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D66">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rPr>
      </w:pPr>
    </w:p>
    <w:p w14:paraId="799C5A24">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rPr>
      </w:pPr>
    </w:p>
    <w:p w14:paraId="102688E9">
      <w:pPr>
        <w:widowControl/>
        <w:pBdr>
          <w:bottom w:val="dotDotDash" w:color="auto" w:sz="24" w:space="10"/>
        </w:pBdr>
        <w:adjustRightInd/>
        <w:spacing w:before="156" w:beforeLines="50" w:after="312" w:afterLines="100" w:line="240" w:lineRule="auto"/>
        <w:ind w:firstLine="0" w:firstLineChars="0"/>
        <w:jc w:val="center"/>
        <w:textAlignment w:val="center"/>
        <w:rPr>
          <w:rFonts w:hint="eastAsia" w:eastAsia="黑体" w:cs="Times New Roman"/>
          <w:b/>
          <w:color w:val="auto"/>
          <w:sz w:val="44"/>
          <w:szCs w:val="22"/>
          <w:lang w:val="en-US" w:eastAsia="zh-CN"/>
        </w:rPr>
      </w:pPr>
      <w:r>
        <w:rPr>
          <w:rFonts w:hint="eastAsia" w:eastAsia="黑体" w:cs="Times New Roman"/>
          <w:b/>
          <w:color w:val="auto"/>
          <w:sz w:val="44"/>
          <w:szCs w:val="22"/>
          <w:lang w:val="en-US" w:eastAsia="zh-CN"/>
        </w:rPr>
        <w:t>吉木萨尔县农业农村局</w:t>
      </w:r>
    </w:p>
    <w:p w14:paraId="5FBF8F80">
      <w:pPr>
        <w:widowControl/>
        <w:pBdr>
          <w:bottom w:val="dotDotDash" w:color="auto" w:sz="24" w:space="10"/>
        </w:pBdr>
        <w:adjustRightInd/>
        <w:spacing w:before="156" w:beforeLines="50" w:after="312" w:afterLines="100" w:line="240" w:lineRule="auto"/>
        <w:ind w:firstLine="0" w:firstLineChars="0"/>
        <w:jc w:val="center"/>
        <w:textAlignment w:val="center"/>
        <w:rPr>
          <w:rFonts w:hint="default" w:ascii="Times New Roman" w:hAnsi="Times New Roman" w:eastAsia="黑体" w:cs="Times New Roman"/>
          <w:b/>
          <w:color w:val="auto"/>
          <w:sz w:val="44"/>
          <w:szCs w:val="22"/>
          <w:lang w:val="en-US" w:eastAsia="zh-CN"/>
        </w:rPr>
      </w:pPr>
      <w:r>
        <w:rPr>
          <w:rFonts w:hint="eastAsia" w:eastAsia="黑体" w:cs="Times New Roman"/>
          <w:b/>
          <w:color w:val="auto"/>
          <w:sz w:val="44"/>
          <w:szCs w:val="22"/>
          <w:lang w:val="en-US" w:eastAsia="zh-CN"/>
        </w:rPr>
        <w:t>农机购置与应用补贴项目</w:t>
      </w:r>
    </w:p>
    <w:p w14:paraId="46AF5042">
      <w:pPr>
        <w:pageBreakBefore w:val="0"/>
        <w:kinsoku/>
        <w:wordWrap/>
        <w:overflowPunct/>
        <w:topLinePunct w:val="0"/>
        <w:autoSpaceDE/>
        <w:autoSpaceDN/>
        <w:bidi w:val="0"/>
        <w:adjustRightInd/>
        <w:snapToGrid w:val="0"/>
        <w:spacing w:line="360" w:lineRule="auto"/>
        <w:ind w:firstLine="0" w:firstLineChars="0"/>
        <w:jc w:val="center"/>
        <w:rPr>
          <w:rFonts w:eastAsia="黑体"/>
          <w:color w:val="auto"/>
          <w:sz w:val="44"/>
          <w:szCs w:val="44"/>
        </w:rPr>
      </w:pPr>
      <w:r>
        <w:rPr>
          <w:rFonts w:eastAsia="黑体"/>
          <w:color w:val="auto"/>
          <w:spacing w:val="23"/>
          <w:kern w:val="0"/>
          <w:sz w:val="44"/>
          <w:szCs w:val="44"/>
          <w:fitText w:val="2872" w:id="1924366299"/>
        </w:rPr>
        <w:t>绩效评价报</w:t>
      </w:r>
      <w:r>
        <w:rPr>
          <w:rFonts w:eastAsia="黑体"/>
          <w:color w:val="auto"/>
          <w:spacing w:val="1"/>
          <w:kern w:val="0"/>
          <w:sz w:val="44"/>
          <w:szCs w:val="44"/>
          <w:fitText w:val="2872" w:id="1924366299"/>
        </w:rPr>
        <w:t>告</w:t>
      </w:r>
    </w:p>
    <w:p w14:paraId="4665743B">
      <w:pPr>
        <w:pageBreakBefore w:val="0"/>
        <w:kinsoku/>
        <w:wordWrap/>
        <w:overflowPunct/>
        <w:topLinePunct w:val="0"/>
        <w:autoSpaceDE/>
        <w:autoSpaceDN/>
        <w:bidi w:val="0"/>
        <w:adjustRightInd/>
        <w:snapToGrid w:val="0"/>
        <w:spacing w:line="360" w:lineRule="auto"/>
        <w:ind w:firstLine="0" w:firstLineChars="0"/>
        <w:jc w:val="center"/>
        <w:rPr>
          <w:color w:val="auto"/>
        </w:rPr>
      </w:pPr>
      <w:r>
        <w:rPr>
          <w:rFonts w:eastAsia="黑体"/>
          <w:color w:val="auto"/>
        </w:rPr>
        <w:t>驰天会咨字[20</w:t>
      </w:r>
      <w:r>
        <w:rPr>
          <w:rFonts w:hint="eastAsia" w:eastAsia="黑体"/>
          <w:color w:val="auto"/>
          <w:lang w:val="en-US" w:eastAsia="zh-CN"/>
        </w:rPr>
        <w:t>25</w:t>
      </w:r>
      <w:r>
        <w:rPr>
          <w:rFonts w:eastAsia="黑体"/>
          <w:color w:val="auto"/>
        </w:rPr>
        <w:t>]1-</w:t>
      </w:r>
      <w:r>
        <w:rPr>
          <w:rFonts w:hint="eastAsia" w:eastAsia="黑体"/>
          <w:color w:val="auto"/>
          <w:lang w:val="en-US" w:eastAsia="zh-CN"/>
        </w:rPr>
        <w:t>0201</w:t>
      </w:r>
      <w:r>
        <w:rPr>
          <w:rFonts w:eastAsia="黑体"/>
          <w:color w:val="auto"/>
        </w:rPr>
        <w:t>号</w:t>
      </w:r>
    </w:p>
    <w:p w14:paraId="7B01BBEE">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rPr>
      </w:pPr>
    </w:p>
    <w:p w14:paraId="7DEF80D4">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rPr>
      </w:pPr>
    </w:p>
    <w:p w14:paraId="6CDDF738">
      <w:pPr>
        <w:pageBreakBefore w:val="0"/>
        <w:kinsoku/>
        <w:wordWrap/>
        <w:overflowPunct/>
        <w:topLinePunct w:val="0"/>
        <w:autoSpaceDE/>
        <w:autoSpaceDN/>
        <w:bidi w:val="0"/>
        <w:adjustRightInd/>
        <w:snapToGrid w:val="0"/>
        <w:spacing w:line="360" w:lineRule="auto"/>
        <w:ind w:firstLine="0" w:firstLineChars="0"/>
        <w:jc w:val="both"/>
        <w:rPr>
          <w:b/>
          <w:color w:val="auto"/>
          <w:sz w:val="32"/>
          <w:szCs w:val="22"/>
        </w:rPr>
      </w:pPr>
    </w:p>
    <w:p w14:paraId="6F246074">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rPr>
      </w:pPr>
    </w:p>
    <w:p w14:paraId="0A28AE8B">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rPr>
      </w:pPr>
    </w:p>
    <w:p w14:paraId="34E93FB9">
      <w:pPr>
        <w:pageBreakBefore w:val="0"/>
        <w:kinsoku/>
        <w:wordWrap/>
        <w:overflowPunct/>
        <w:topLinePunct w:val="0"/>
        <w:autoSpaceDE/>
        <w:autoSpaceDN/>
        <w:bidi w:val="0"/>
        <w:adjustRightInd/>
        <w:snapToGrid w:val="0"/>
        <w:spacing w:line="360" w:lineRule="auto"/>
        <w:ind w:firstLine="0" w:firstLineChars="0"/>
        <w:rPr>
          <w:b/>
          <w:color w:val="auto"/>
          <w:sz w:val="32"/>
          <w:szCs w:val="22"/>
        </w:rPr>
      </w:pPr>
    </w:p>
    <w:p w14:paraId="73060623">
      <w:pPr>
        <w:pStyle w:val="9"/>
        <w:pageBreakBefore w:val="0"/>
        <w:kinsoku/>
        <w:wordWrap/>
        <w:overflowPunct/>
        <w:topLinePunct w:val="0"/>
        <w:autoSpaceDE/>
        <w:autoSpaceDN/>
        <w:bidi w:val="0"/>
        <w:snapToGrid w:val="0"/>
        <w:spacing w:line="360" w:lineRule="auto"/>
        <w:ind w:firstLine="643"/>
        <w:rPr>
          <w:b/>
          <w:color w:val="auto"/>
          <w:sz w:val="32"/>
          <w:szCs w:val="22"/>
        </w:rPr>
      </w:pPr>
    </w:p>
    <w:p w14:paraId="7227AFBE">
      <w:pPr>
        <w:pStyle w:val="10"/>
        <w:pageBreakBefore w:val="0"/>
        <w:kinsoku/>
        <w:wordWrap/>
        <w:overflowPunct/>
        <w:topLinePunct w:val="0"/>
        <w:autoSpaceDE/>
        <w:autoSpaceDN/>
        <w:bidi w:val="0"/>
        <w:snapToGrid w:val="0"/>
        <w:spacing w:line="360" w:lineRule="auto"/>
        <w:ind w:firstLine="420"/>
        <w:rPr>
          <w:color w:val="auto"/>
        </w:rPr>
      </w:pPr>
    </w:p>
    <w:p w14:paraId="569D1DFB">
      <w:pPr>
        <w:pStyle w:val="10"/>
        <w:pageBreakBefore w:val="0"/>
        <w:kinsoku/>
        <w:wordWrap/>
        <w:overflowPunct/>
        <w:topLinePunct w:val="0"/>
        <w:autoSpaceDE/>
        <w:autoSpaceDN/>
        <w:bidi w:val="0"/>
        <w:snapToGrid w:val="0"/>
        <w:spacing w:line="360" w:lineRule="auto"/>
        <w:ind w:firstLine="420"/>
        <w:rPr>
          <w:color w:val="auto"/>
        </w:rPr>
      </w:pPr>
    </w:p>
    <w:p w14:paraId="236707DD">
      <w:pPr>
        <w:pStyle w:val="10"/>
        <w:pageBreakBefore w:val="0"/>
        <w:kinsoku/>
        <w:wordWrap/>
        <w:overflowPunct/>
        <w:topLinePunct w:val="0"/>
        <w:autoSpaceDE/>
        <w:autoSpaceDN/>
        <w:bidi w:val="0"/>
        <w:snapToGrid w:val="0"/>
        <w:spacing w:line="360" w:lineRule="auto"/>
        <w:ind w:firstLine="420"/>
        <w:rPr>
          <w:color w:val="auto"/>
        </w:rPr>
      </w:pPr>
    </w:p>
    <w:p w14:paraId="68CFE28A">
      <w:pPr>
        <w:pStyle w:val="10"/>
        <w:pageBreakBefore w:val="0"/>
        <w:kinsoku/>
        <w:wordWrap/>
        <w:overflowPunct/>
        <w:topLinePunct w:val="0"/>
        <w:autoSpaceDE/>
        <w:autoSpaceDN/>
        <w:bidi w:val="0"/>
        <w:snapToGrid w:val="0"/>
        <w:spacing w:line="360" w:lineRule="auto"/>
        <w:ind w:firstLine="420"/>
        <w:rPr>
          <w:color w:val="auto"/>
        </w:rPr>
      </w:pPr>
    </w:p>
    <w:p w14:paraId="215C2F70">
      <w:pPr>
        <w:pStyle w:val="10"/>
        <w:pageBreakBefore w:val="0"/>
        <w:kinsoku/>
        <w:wordWrap/>
        <w:overflowPunct/>
        <w:topLinePunct w:val="0"/>
        <w:autoSpaceDE/>
        <w:autoSpaceDN/>
        <w:bidi w:val="0"/>
        <w:snapToGrid w:val="0"/>
        <w:spacing w:line="360" w:lineRule="auto"/>
        <w:ind w:firstLine="420"/>
        <w:rPr>
          <w:color w:val="auto"/>
        </w:rPr>
      </w:pPr>
    </w:p>
    <w:p w14:paraId="1EC68202">
      <w:pPr>
        <w:pageBreakBefore w:val="0"/>
        <w:kinsoku/>
        <w:wordWrap/>
        <w:overflowPunct/>
        <w:topLinePunct w:val="0"/>
        <w:autoSpaceDE/>
        <w:autoSpaceDN/>
        <w:bidi w:val="0"/>
        <w:adjustRightInd/>
        <w:snapToGrid w:val="0"/>
        <w:spacing w:line="360" w:lineRule="auto"/>
        <w:ind w:firstLine="0" w:firstLineChars="0"/>
        <w:jc w:val="center"/>
        <w:rPr>
          <w:b/>
          <w:color w:val="auto"/>
          <w:sz w:val="32"/>
          <w:szCs w:val="22"/>
        </w:rPr>
      </w:pPr>
      <w:r>
        <w:rPr>
          <w:b/>
          <w:color w:val="auto"/>
          <w:sz w:val="32"/>
          <w:szCs w:val="22"/>
        </w:rPr>
        <w:t>新疆驰远天合有限责任会计师事务所</w:t>
      </w:r>
    </w:p>
    <w:p w14:paraId="517D1E4B">
      <w:pPr>
        <w:pageBreakBefore w:val="0"/>
        <w:kinsoku/>
        <w:wordWrap/>
        <w:overflowPunct/>
        <w:topLinePunct w:val="0"/>
        <w:autoSpaceDE/>
        <w:autoSpaceDN/>
        <w:bidi w:val="0"/>
        <w:adjustRightInd/>
        <w:snapToGrid w:val="0"/>
        <w:spacing w:line="360" w:lineRule="auto"/>
        <w:ind w:firstLine="0" w:firstLineChars="0"/>
        <w:jc w:val="center"/>
        <w:rPr>
          <w:rFonts w:eastAsia="等线"/>
          <w:b/>
          <w:color w:val="auto"/>
          <w:sz w:val="28"/>
          <w:szCs w:val="28"/>
        </w:rPr>
      </w:pPr>
      <w:r>
        <w:rPr>
          <w:rFonts w:eastAsia="等线"/>
          <w:b/>
          <w:color w:val="auto"/>
          <w:sz w:val="28"/>
          <w:szCs w:val="28"/>
        </w:rPr>
        <w:t>XIN</w:t>
      </w:r>
      <w:r>
        <w:rPr>
          <w:rFonts w:hint="eastAsia" w:eastAsia="等线"/>
          <w:b/>
          <w:color w:val="auto"/>
          <w:sz w:val="28"/>
          <w:szCs w:val="28"/>
          <w:lang w:val="en-US" w:eastAsia="zh-CN"/>
        </w:rPr>
        <w:t xml:space="preserve"> </w:t>
      </w:r>
      <w:r>
        <w:rPr>
          <w:rFonts w:eastAsia="等线"/>
          <w:b/>
          <w:color w:val="auto"/>
          <w:sz w:val="28"/>
          <w:szCs w:val="28"/>
        </w:rPr>
        <w:t>JIANG</w:t>
      </w:r>
      <w:r>
        <w:rPr>
          <w:rFonts w:hint="eastAsia" w:eastAsia="等线"/>
          <w:b/>
          <w:color w:val="auto"/>
          <w:sz w:val="28"/>
          <w:szCs w:val="28"/>
          <w:lang w:val="en-US" w:eastAsia="zh-CN"/>
        </w:rPr>
        <w:t xml:space="preserve"> </w:t>
      </w:r>
      <w:r>
        <w:rPr>
          <w:rFonts w:eastAsia="等线"/>
          <w:b/>
          <w:color w:val="auto"/>
          <w:sz w:val="28"/>
          <w:szCs w:val="28"/>
        </w:rPr>
        <w:t>CHI</w:t>
      </w:r>
      <w:r>
        <w:rPr>
          <w:rFonts w:hint="eastAsia" w:eastAsia="等线"/>
          <w:b/>
          <w:color w:val="auto"/>
          <w:sz w:val="28"/>
          <w:szCs w:val="28"/>
          <w:lang w:val="en-US" w:eastAsia="zh-CN"/>
        </w:rPr>
        <w:t xml:space="preserve"> </w:t>
      </w:r>
      <w:r>
        <w:rPr>
          <w:rFonts w:eastAsia="等线"/>
          <w:b/>
          <w:color w:val="auto"/>
          <w:sz w:val="28"/>
          <w:szCs w:val="28"/>
        </w:rPr>
        <w:t>YUAN</w:t>
      </w:r>
      <w:r>
        <w:rPr>
          <w:rFonts w:hint="eastAsia" w:eastAsia="等线"/>
          <w:b/>
          <w:color w:val="auto"/>
          <w:sz w:val="28"/>
          <w:szCs w:val="28"/>
          <w:lang w:val="en-US" w:eastAsia="zh-CN"/>
        </w:rPr>
        <w:t xml:space="preserve"> </w:t>
      </w:r>
      <w:r>
        <w:rPr>
          <w:rFonts w:eastAsia="等线"/>
          <w:b/>
          <w:color w:val="auto"/>
          <w:sz w:val="28"/>
          <w:szCs w:val="28"/>
        </w:rPr>
        <w:t>TIAN</w:t>
      </w:r>
      <w:r>
        <w:rPr>
          <w:rFonts w:hint="eastAsia" w:eastAsia="等线"/>
          <w:b/>
          <w:color w:val="auto"/>
          <w:sz w:val="28"/>
          <w:szCs w:val="28"/>
          <w:lang w:val="en-US" w:eastAsia="zh-CN"/>
        </w:rPr>
        <w:t xml:space="preserve"> </w:t>
      </w:r>
      <w:r>
        <w:rPr>
          <w:rFonts w:eastAsia="等线"/>
          <w:b/>
          <w:color w:val="auto"/>
          <w:sz w:val="28"/>
          <w:szCs w:val="28"/>
        </w:rPr>
        <w:t>HE</w:t>
      </w:r>
    </w:p>
    <w:p w14:paraId="633CE8E1">
      <w:pPr>
        <w:pageBreakBefore w:val="0"/>
        <w:kinsoku/>
        <w:wordWrap/>
        <w:overflowPunct/>
        <w:topLinePunct w:val="0"/>
        <w:autoSpaceDE/>
        <w:autoSpaceDN/>
        <w:bidi w:val="0"/>
        <w:adjustRightInd/>
        <w:snapToGrid w:val="0"/>
        <w:spacing w:line="360" w:lineRule="auto"/>
        <w:ind w:firstLine="0" w:firstLineChars="0"/>
        <w:jc w:val="center"/>
        <w:rPr>
          <w:rFonts w:eastAsia="等线"/>
          <w:b/>
          <w:color w:val="auto"/>
        </w:rPr>
      </w:pPr>
      <w:r>
        <w:rPr>
          <w:rFonts w:eastAsia="等线"/>
          <w:b/>
          <w:color w:val="auto"/>
        </w:rPr>
        <w:t>Certified</w:t>
      </w:r>
      <w:r>
        <w:rPr>
          <w:rFonts w:hint="eastAsia" w:eastAsia="等线"/>
          <w:b/>
          <w:color w:val="auto"/>
          <w:lang w:val="en-US" w:eastAsia="zh-CN"/>
        </w:rPr>
        <w:t xml:space="preserve"> </w:t>
      </w:r>
      <w:r>
        <w:rPr>
          <w:rFonts w:eastAsia="等线"/>
          <w:b/>
          <w:color w:val="auto"/>
        </w:rPr>
        <w:t>Public</w:t>
      </w:r>
      <w:r>
        <w:rPr>
          <w:rFonts w:hint="eastAsia" w:eastAsia="等线"/>
          <w:b/>
          <w:color w:val="auto"/>
          <w:lang w:val="en-US" w:eastAsia="zh-CN"/>
        </w:rPr>
        <w:t xml:space="preserve"> </w:t>
      </w:r>
      <w:r>
        <w:rPr>
          <w:rFonts w:eastAsia="等线"/>
          <w:b/>
          <w:color w:val="auto"/>
        </w:rPr>
        <w:t>Accountants</w:t>
      </w:r>
      <w:r>
        <w:rPr>
          <w:rFonts w:hint="eastAsia" w:eastAsia="等线"/>
          <w:b/>
          <w:color w:val="auto"/>
          <w:lang w:val="en-US" w:eastAsia="zh-CN"/>
        </w:rPr>
        <w:t xml:space="preserve"> </w:t>
      </w:r>
      <w:r>
        <w:rPr>
          <w:rFonts w:eastAsia="等线"/>
          <w:b/>
          <w:color w:val="auto"/>
        </w:rPr>
        <w:t>Co.,Ltd.</w:t>
      </w:r>
    </w:p>
    <w:p w14:paraId="11CAA934">
      <w:pPr>
        <w:pageBreakBefore w:val="0"/>
        <w:kinsoku/>
        <w:wordWrap/>
        <w:overflowPunct/>
        <w:topLinePunct w:val="0"/>
        <w:autoSpaceDE/>
        <w:autoSpaceDN/>
        <w:bidi w:val="0"/>
        <w:snapToGrid w:val="0"/>
        <w:spacing w:line="360" w:lineRule="auto"/>
        <w:ind w:firstLine="0" w:firstLineChars="0"/>
        <w:rPr>
          <w:rFonts w:eastAsia="黑体"/>
          <w:bCs/>
          <w:color w:val="auto"/>
          <w:sz w:val="24"/>
          <w:szCs w:val="24"/>
        </w:rPr>
      </w:pPr>
    </w:p>
    <w:p w14:paraId="7B1C134F">
      <w:pPr>
        <w:pageBreakBefore w:val="0"/>
        <w:kinsoku/>
        <w:wordWrap/>
        <w:overflowPunct/>
        <w:topLinePunct w:val="0"/>
        <w:autoSpaceDE/>
        <w:autoSpaceDN/>
        <w:bidi w:val="0"/>
        <w:snapToGrid w:val="0"/>
        <w:spacing w:line="360" w:lineRule="auto"/>
        <w:ind w:firstLine="0" w:firstLineChars="0"/>
        <w:rPr>
          <w:rFonts w:eastAsia="黑体"/>
          <w:bCs/>
          <w:color w:val="auto"/>
          <w:sz w:val="24"/>
          <w:szCs w:val="24"/>
        </w:rPr>
      </w:pPr>
    </w:p>
    <w:p w14:paraId="546006CB">
      <w:pPr>
        <w:pageBreakBefore w:val="0"/>
        <w:kinsoku/>
        <w:wordWrap/>
        <w:overflowPunct/>
        <w:topLinePunct w:val="0"/>
        <w:autoSpaceDE/>
        <w:autoSpaceDN/>
        <w:bidi w:val="0"/>
        <w:snapToGrid w:val="0"/>
        <w:spacing w:line="360" w:lineRule="auto"/>
        <w:ind w:firstLine="0" w:firstLineChars="0"/>
        <w:rPr>
          <w:rFonts w:hint="default" w:eastAsia="黑体"/>
          <w:bCs/>
          <w:color w:val="auto"/>
          <w:sz w:val="21"/>
          <w:szCs w:val="21"/>
          <w:lang w:val="en-US" w:eastAsia="zh-CN"/>
        </w:rPr>
      </w:pPr>
      <w:r>
        <w:rPr>
          <w:rFonts w:eastAsia="黑体"/>
          <w:bCs/>
          <w:color w:val="auto"/>
          <w:sz w:val="21"/>
          <w:szCs w:val="21"/>
        </w:rPr>
        <w:t>项目名称：</w:t>
      </w:r>
      <w:r>
        <w:rPr>
          <w:rFonts w:hint="eastAsia" w:eastAsia="黑体"/>
          <w:bCs/>
          <w:color w:val="auto"/>
          <w:sz w:val="21"/>
          <w:szCs w:val="21"/>
          <w:lang w:val="en-US" w:eastAsia="zh-CN"/>
        </w:rPr>
        <w:t>农机购置与应用补贴项目</w:t>
      </w:r>
    </w:p>
    <w:p w14:paraId="49B6CAEA">
      <w:pPr>
        <w:pageBreakBefore w:val="0"/>
        <w:widowControl/>
        <w:kinsoku/>
        <w:wordWrap/>
        <w:overflowPunct/>
        <w:topLinePunct w:val="0"/>
        <w:autoSpaceDE/>
        <w:autoSpaceDN/>
        <w:bidi w:val="0"/>
        <w:snapToGrid w:val="0"/>
        <w:spacing w:line="360" w:lineRule="auto"/>
        <w:ind w:firstLine="0" w:firstLineChars="0"/>
        <w:rPr>
          <w:rFonts w:hint="default" w:eastAsia="黑体"/>
          <w:bCs/>
          <w:color w:val="auto"/>
          <w:sz w:val="21"/>
          <w:szCs w:val="21"/>
          <w:lang w:val="en-US"/>
        </w:rPr>
      </w:pPr>
      <w:r>
        <w:rPr>
          <w:rFonts w:eastAsia="黑体"/>
          <w:bCs/>
          <w:color w:val="auto"/>
          <w:sz w:val="21"/>
          <w:szCs w:val="21"/>
        </w:rPr>
        <w:t>委托单位：</w:t>
      </w:r>
      <w:r>
        <w:rPr>
          <w:rFonts w:hint="eastAsia" w:eastAsia="黑体"/>
          <w:bCs/>
          <w:color w:val="auto"/>
          <w:sz w:val="21"/>
          <w:szCs w:val="21"/>
          <w:lang w:val="en-US" w:eastAsia="zh-CN"/>
        </w:rPr>
        <w:t>吉木萨尔县财政局</w:t>
      </w:r>
    </w:p>
    <w:p w14:paraId="7282ADF0">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r>
        <w:rPr>
          <w:rFonts w:eastAsia="黑体"/>
          <w:bCs/>
          <w:color w:val="auto"/>
          <w:sz w:val="21"/>
          <w:szCs w:val="21"/>
        </w:rPr>
        <w:t>评价机构：新疆驰远天合有限责任会计师事务所</w:t>
      </w:r>
    </w:p>
    <w:p w14:paraId="3C92F776">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r>
        <w:rPr>
          <w:rFonts w:eastAsia="黑体"/>
          <w:bCs/>
          <w:color w:val="auto"/>
          <w:sz w:val="21"/>
          <w:szCs w:val="21"/>
        </w:rPr>
        <w:t>机构负责人：孙卫红</w:t>
      </w:r>
    </w:p>
    <w:p w14:paraId="24D3577E">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r>
        <w:rPr>
          <w:rFonts w:eastAsia="黑体"/>
          <w:bCs/>
          <w:color w:val="auto"/>
          <w:sz w:val="21"/>
          <w:szCs w:val="21"/>
        </w:rPr>
        <w:t>联系方式：0991-2835917、0991-2831583</w:t>
      </w:r>
    </w:p>
    <w:p w14:paraId="44F4D698">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r>
        <w:rPr>
          <w:rFonts w:eastAsia="黑体"/>
          <w:bCs/>
          <w:color w:val="auto"/>
          <w:sz w:val="21"/>
          <w:szCs w:val="21"/>
        </w:rPr>
        <w:t>通讯地址：新疆乌鲁木齐市天山区新华南路9号汇源大厦13楼</w:t>
      </w:r>
    </w:p>
    <w:p w14:paraId="1E13FA55">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r>
        <w:rPr>
          <w:rFonts w:eastAsia="黑体"/>
          <w:bCs/>
          <w:color w:val="auto"/>
          <w:sz w:val="21"/>
          <w:szCs w:val="21"/>
        </w:rPr>
        <w:t>邮政编码：830004</w:t>
      </w:r>
    </w:p>
    <w:p w14:paraId="0E6CCF16">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p>
    <w:p w14:paraId="558489F9">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p>
    <w:p w14:paraId="421A3CDC">
      <w:pPr>
        <w:pageBreakBefore w:val="0"/>
        <w:widowControl/>
        <w:kinsoku/>
        <w:wordWrap/>
        <w:overflowPunct/>
        <w:topLinePunct w:val="0"/>
        <w:autoSpaceDE/>
        <w:autoSpaceDN/>
        <w:bidi w:val="0"/>
        <w:snapToGrid w:val="0"/>
        <w:spacing w:line="360" w:lineRule="auto"/>
        <w:ind w:firstLine="0" w:firstLineChars="0"/>
        <w:rPr>
          <w:rFonts w:eastAsia="黑体"/>
          <w:bCs/>
          <w:color w:val="auto"/>
          <w:sz w:val="21"/>
          <w:szCs w:val="21"/>
        </w:rPr>
      </w:pPr>
      <w:r>
        <w:rPr>
          <w:rFonts w:eastAsia="黑体"/>
          <w:bCs/>
          <w:color w:val="auto"/>
          <w:sz w:val="21"/>
          <w:szCs w:val="21"/>
        </w:rPr>
        <w:t>项目评价小组成员：</w:t>
      </w:r>
    </w:p>
    <w:p w14:paraId="32DDAD97">
      <w:pPr>
        <w:pageBreakBefore w:val="0"/>
        <w:widowControl/>
        <w:kinsoku/>
        <w:wordWrap/>
        <w:overflowPunct/>
        <w:topLinePunct w:val="0"/>
        <w:autoSpaceDE/>
        <w:autoSpaceDN/>
        <w:bidi w:val="0"/>
        <w:snapToGrid w:val="0"/>
        <w:spacing w:line="360" w:lineRule="auto"/>
        <w:ind w:firstLine="480"/>
        <w:rPr>
          <w:rFonts w:eastAsia="黑体"/>
          <w:bCs/>
          <w:color w:val="auto"/>
          <w:sz w:val="21"/>
          <w:szCs w:val="21"/>
        </w:rPr>
      </w:pPr>
      <w:r>
        <w:rPr>
          <w:rFonts w:hint="eastAsia" w:eastAsia="黑体"/>
          <w:bCs/>
          <w:color w:val="auto"/>
          <w:sz w:val="21"/>
          <w:szCs w:val="21"/>
        </w:rPr>
        <w:t>项目</w:t>
      </w:r>
      <w:r>
        <w:rPr>
          <w:rFonts w:eastAsia="黑体"/>
          <w:bCs/>
          <w:color w:val="auto"/>
          <w:sz w:val="21"/>
          <w:szCs w:val="21"/>
        </w:rPr>
        <w:t>主评人：</w:t>
      </w:r>
      <w:r>
        <w:rPr>
          <w:rFonts w:hint="eastAsia" w:eastAsia="黑体"/>
          <w:bCs/>
          <w:color w:val="auto"/>
          <w:sz w:val="21"/>
          <w:szCs w:val="21"/>
          <w:lang w:val="en-US" w:eastAsia="zh-CN"/>
        </w:rPr>
        <w:t xml:space="preserve">冯延萍  </w:t>
      </w:r>
      <w:r>
        <w:rPr>
          <w:rFonts w:hint="eastAsia" w:eastAsia="黑体"/>
          <w:bCs/>
          <w:color w:val="auto"/>
          <w:sz w:val="21"/>
          <w:szCs w:val="21"/>
        </w:rPr>
        <w:t>注册会计师、注册评估师</w:t>
      </w:r>
    </w:p>
    <w:p w14:paraId="0EC30085">
      <w:pPr>
        <w:pageBreakBefore w:val="0"/>
        <w:widowControl/>
        <w:kinsoku/>
        <w:wordWrap/>
        <w:overflowPunct/>
        <w:topLinePunct w:val="0"/>
        <w:autoSpaceDE/>
        <w:autoSpaceDN/>
        <w:bidi w:val="0"/>
        <w:snapToGrid w:val="0"/>
        <w:spacing w:line="360" w:lineRule="auto"/>
        <w:ind w:firstLine="480"/>
        <w:rPr>
          <w:rFonts w:hint="default" w:eastAsia="黑体"/>
          <w:bCs/>
          <w:color w:val="auto"/>
          <w:sz w:val="21"/>
          <w:szCs w:val="21"/>
          <w:lang w:val="en-US" w:eastAsia="zh-CN"/>
        </w:rPr>
      </w:pPr>
      <w:r>
        <w:rPr>
          <w:rFonts w:hint="eastAsia" w:eastAsia="黑体"/>
          <w:bCs/>
          <w:color w:val="auto"/>
          <w:sz w:val="21"/>
          <w:szCs w:val="21"/>
          <w:lang w:val="en-US" w:eastAsia="zh-CN"/>
        </w:rPr>
        <w:t>报告</w:t>
      </w:r>
      <w:r>
        <w:rPr>
          <w:rFonts w:eastAsia="黑体"/>
          <w:bCs/>
          <w:color w:val="auto"/>
          <w:sz w:val="21"/>
          <w:szCs w:val="21"/>
        </w:rPr>
        <w:t>复核人：</w:t>
      </w:r>
      <w:r>
        <w:rPr>
          <w:rFonts w:hint="eastAsia" w:eastAsia="黑体"/>
          <w:bCs/>
          <w:color w:val="auto"/>
          <w:sz w:val="21"/>
          <w:szCs w:val="21"/>
          <w:lang w:val="en-US" w:eastAsia="zh-CN"/>
        </w:rPr>
        <w:t>腊晓林  咨询工程师</w:t>
      </w:r>
    </w:p>
    <w:p w14:paraId="64829144">
      <w:pPr>
        <w:pageBreakBefore w:val="0"/>
        <w:widowControl/>
        <w:kinsoku/>
        <w:wordWrap/>
        <w:overflowPunct/>
        <w:topLinePunct w:val="0"/>
        <w:autoSpaceDE/>
        <w:autoSpaceDN/>
        <w:bidi w:val="0"/>
        <w:snapToGrid w:val="0"/>
        <w:spacing w:line="360" w:lineRule="auto"/>
        <w:rPr>
          <w:rFonts w:hint="eastAsia" w:eastAsia="黑体"/>
          <w:bCs/>
          <w:color w:val="auto"/>
          <w:sz w:val="21"/>
          <w:szCs w:val="21"/>
          <w:lang w:val="en-US" w:eastAsia="zh-CN"/>
        </w:rPr>
      </w:pPr>
      <w:r>
        <w:rPr>
          <w:rFonts w:hint="eastAsia" w:eastAsia="黑体"/>
          <w:bCs/>
          <w:color w:val="auto"/>
          <w:sz w:val="21"/>
          <w:szCs w:val="21"/>
        </w:rPr>
        <w:t>项目负责人</w:t>
      </w:r>
      <w:r>
        <w:rPr>
          <w:rFonts w:eastAsia="黑体"/>
          <w:bCs/>
          <w:color w:val="auto"/>
          <w:sz w:val="21"/>
          <w:szCs w:val="21"/>
        </w:rPr>
        <w:t>：</w:t>
      </w:r>
      <w:r>
        <w:rPr>
          <w:rFonts w:hint="eastAsia" w:eastAsia="黑体"/>
          <w:bCs/>
          <w:color w:val="auto"/>
          <w:sz w:val="21"/>
          <w:szCs w:val="21"/>
          <w:lang w:val="en-US" w:eastAsia="zh-CN"/>
        </w:rPr>
        <w:t>郝  欢</w:t>
      </w:r>
    </w:p>
    <w:p w14:paraId="5C03C374">
      <w:pPr>
        <w:pageBreakBefore w:val="0"/>
        <w:widowControl/>
        <w:kinsoku/>
        <w:wordWrap/>
        <w:overflowPunct/>
        <w:topLinePunct w:val="0"/>
        <w:autoSpaceDE/>
        <w:autoSpaceDN/>
        <w:bidi w:val="0"/>
        <w:snapToGrid w:val="0"/>
        <w:spacing w:line="360" w:lineRule="auto"/>
        <w:ind w:firstLine="480"/>
        <w:rPr>
          <w:rFonts w:hint="eastAsia" w:eastAsia="黑体"/>
          <w:bCs/>
          <w:color w:val="auto"/>
          <w:sz w:val="21"/>
          <w:szCs w:val="21"/>
          <w:lang w:val="en-US" w:eastAsia="zh-CN"/>
        </w:rPr>
      </w:pPr>
      <w:r>
        <w:rPr>
          <w:rFonts w:hint="eastAsia" w:eastAsia="黑体"/>
          <w:bCs/>
          <w:color w:val="auto"/>
          <w:sz w:val="21"/>
          <w:szCs w:val="21"/>
        </w:rPr>
        <w:t>项目组成员</w:t>
      </w:r>
      <w:r>
        <w:rPr>
          <w:rFonts w:eastAsia="黑体"/>
          <w:bCs/>
          <w:color w:val="auto"/>
          <w:sz w:val="21"/>
          <w:szCs w:val="21"/>
        </w:rPr>
        <w:t>：</w:t>
      </w:r>
      <w:r>
        <w:rPr>
          <w:rFonts w:hint="eastAsia" w:eastAsia="黑体"/>
          <w:bCs/>
          <w:color w:val="auto"/>
          <w:sz w:val="21"/>
          <w:szCs w:val="21"/>
          <w:lang w:val="en-US" w:eastAsia="zh-CN"/>
        </w:rPr>
        <w:t>石俊宇</w:t>
      </w:r>
    </w:p>
    <w:p w14:paraId="3E9FAEF7">
      <w:pPr>
        <w:pageBreakBefore w:val="0"/>
        <w:widowControl/>
        <w:kinsoku/>
        <w:wordWrap/>
        <w:overflowPunct/>
        <w:topLinePunct w:val="0"/>
        <w:autoSpaceDE/>
        <w:autoSpaceDN/>
        <w:bidi w:val="0"/>
        <w:snapToGrid w:val="0"/>
        <w:spacing w:line="360" w:lineRule="auto"/>
        <w:ind w:firstLine="1680" w:firstLineChars="800"/>
        <w:rPr>
          <w:rFonts w:hint="default" w:eastAsia="黑体"/>
          <w:bCs/>
          <w:color w:val="auto"/>
          <w:sz w:val="21"/>
          <w:szCs w:val="21"/>
          <w:lang w:val="en-US" w:eastAsia="zh-CN"/>
        </w:rPr>
      </w:pPr>
      <w:r>
        <w:rPr>
          <w:rFonts w:hint="eastAsia" w:eastAsia="黑体"/>
          <w:bCs/>
          <w:color w:val="auto"/>
          <w:sz w:val="21"/>
          <w:szCs w:val="21"/>
          <w:lang w:val="en-US" w:eastAsia="zh-CN"/>
        </w:rPr>
        <w:t>马红伟</w:t>
      </w:r>
    </w:p>
    <w:p w14:paraId="631B3D5E">
      <w:pPr>
        <w:pageBreakBefore w:val="0"/>
        <w:widowControl/>
        <w:kinsoku/>
        <w:wordWrap/>
        <w:overflowPunct/>
        <w:topLinePunct w:val="0"/>
        <w:autoSpaceDE/>
        <w:autoSpaceDN/>
        <w:bidi w:val="0"/>
        <w:snapToGrid w:val="0"/>
        <w:spacing w:line="360" w:lineRule="auto"/>
        <w:ind w:firstLine="480"/>
        <w:rPr>
          <w:rFonts w:hint="default" w:eastAsia="黑体"/>
          <w:bCs/>
          <w:color w:val="auto"/>
          <w:sz w:val="24"/>
          <w:szCs w:val="24"/>
          <w:lang w:val="en-US" w:eastAsia="zh-CN"/>
        </w:rPr>
      </w:pPr>
      <w:r>
        <w:rPr>
          <w:rFonts w:hint="eastAsia" w:eastAsia="黑体"/>
          <w:bCs/>
          <w:color w:val="auto"/>
          <w:sz w:val="24"/>
          <w:szCs w:val="24"/>
          <w:lang w:val="en-US" w:eastAsia="zh-CN"/>
        </w:rPr>
        <w:t xml:space="preserve">            </w:t>
      </w:r>
    </w:p>
    <w:p w14:paraId="15B65D0C">
      <w:pPr>
        <w:keepNext/>
        <w:keepLines/>
        <w:pageBreakBefore w:val="0"/>
        <w:kinsoku/>
        <w:wordWrap/>
        <w:overflowPunct/>
        <w:topLinePunct w:val="0"/>
        <w:autoSpaceDE/>
        <w:autoSpaceDN/>
        <w:bidi w:val="0"/>
        <w:adjustRightInd/>
        <w:snapToGrid w:val="0"/>
        <w:spacing w:line="360" w:lineRule="auto"/>
        <w:ind w:firstLine="0" w:firstLineChars="0"/>
        <w:rPr>
          <w:rFonts w:eastAsia="黑体"/>
          <w:bCs/>
          <w:color w:val="auto"/>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NumType w:fmt="upperRoman" w:start="1"/>
          <w:cols w:space="720" w:num="1"/>
          <w:docGrid w:type="lines" w:linePitch="312" w:charSpace="0"/>
        </w:sectPr>
      </w:pPr>
    </w:p>
    <w:p w14:paraId="4C4BBAD0">
      <w:pPr>
        <w:pStyle w:val="2"/>
        <w:keepNext/>
        <w:keepLines/>
        <w:pageBreakBefore w:val="0"/>
        <w:widowControl w:val="0"/>
        <w:kinsoku/>
        <w:wordWrap/>
        <w:overflowPunct/>
        <w:topLinePunct w:val="0"/>
        <w:autoSpaceDE/>
        <w:autoSpaceDN/>
        <w:bidi w:val="0"/>
        <w:adjustRightInd w:val="0"/>
        <w:snapToGrid w:val="0"/>
        <w:spacing w:before="0" w:after="0" w:line="360" w:lineRule="auto"/>
        <w:ind w:firstLine="0" w:firstLineChars="0"/>
        <w:jc w:val="center"/>
        <w:textAlignment w:val="auto"/>
        <w:rPr>
          <w:color w:val="auto"/>
        </w:rPr>
      </w:pPr>
      <w:bookmarkStart w:id="0" w:name="_Toc10292"/>
      <w:bookmarkStart w:id="1" w:name="_Toc27606"/>
      <w:bookmarkStart w:id="2" w:name="_Toc13486"/>
      <w:bookmarkStart w:id="3" w:name="_Toc9680"/>
      <w:bookmarkStart w:id="4" w:name="_Toc16666"/>
      <w:bookmarkStart w:id="5" w:name="_Toc19751"/>
      <w:bookmarkStart w:id="6" w:name="_Toc11899"/>
      <w:bookmarkStart w:id="7" w:name="_Toc17859"/>
      <w:bookmarkStart w:id="8" w:name="_Toc26712"/>
      <w:bookmarkStart w:id="9" w:name="_Toc1890963630"/>
      <w:bookmarkStart w:id="10" w:name="_Toc17457"/>
      <w:bookmarkStart w:id="11" w:name="_Toc930682738"/>
      <w:r>
        <w:rPr>
          <w:color w:val="auto"/>
          <w:szCs w:val="32"/>
        </w:rPr>
        <w:t>报告摘要</w:t>
      </w:r>
      <w:bookmarkEnd w:id="0"/>
      <w:bookmarkEnd w:id="1"/>
      <w:bookmarkEnd w:id="2"/>
      <w:bookmarkEnd w:id="3"/>
      <w:bookmarkEnd w:id="4"/>
      <w:bookmarkEnd w:id="5"/>
      <w:bookmarkEnd w:id="6"/>
      <w:bookmarkEnd w:id="7"/>
      <w:bookmarkEnd w:id="8"/>
      <w:bookmarkEnd w:id="9"/>
      <w:bookmarkEnd w:id="10"/>
      <w:bookmarkEnd w:id="11"/>
    </w:p>
    <w:p w14:paraId="3FA28312">
      <w:pPr>
        <w:pageBreakBefore w:val="0"/>
        <w:kinsoku/>
        <w:wordWrap/>
        <w:overflowPunct/>
        <w:topLinePunct w:val="0"/>
        <w:autoSpaceDE/>
        <w:autoSpaceDN/>
        <w:bidi w:val="0"/>
        <w:snapToGrid w:val="0"/>
        <w:spacing w:line="360" w:lineRule="auto"/>
        <w:ind w:firstLine="420"/>
        <w:rPr>
          <w:color w:val="auto"/>
        </w:rPr>
      </w:pPr>
      <w:r>
        <w:rPr>
          <w:color w:val="auto"/>
        </w:rPr>
        <w:t>受</w:t>
      </w:r>
      <w:r>
        <w:rPr>
          <w:rFonts w:hint="eastAsia"/>
          <w:color w:val="auto"/>
          <w:lang w:val="en-US" w:eastAsia="zh-CN"/>
        </w:rPr>
        <w:t>吉木萨尔县财政局</w:t>
      </w:r>
      <w:r>
        <w:rPr>
          <w:color w:val="auto"/>
        </w:rPr>
        <w:t>委托，新疆驰远天合有限责任会计师事务所以第三方社会评价机构的身份，对</w:t>
      </w:r>
      <w:r>
        <w:rPr>
          <w:rFonts w:hint="eastAsia"/>
          <w:color w:val="auto"/>
          <w:lang w:val="en-US" w:eastAsia="zh-CN"/>
        </w:rPr>
        <w:t>2024</w:t>
      </w:r>
      <w:r>
        <w:rPr>
          <w:color w:val="auto"/>
        </w:rPr>
        <w:t>年度</w:t>
      </w:r>
      <w:r>
        <w:rPr>
          <w:rFonts w:hint="eastAsia"/>
          <w:color w:val="auto"/>
          <w:lang w:val="en-US" w:eastAsia="zh-CN"/>
        </w:rPr>
        <w:t>吉木萨尔县农业农村局</w:t>
      </w:r>
      <w:r>
        <w:rPr>
          <w:color w:val="auto"/>
        </w:rPr>
        <w:t>实施的</w:t>
      </w:r>
      <w:r>
        <w:rPr>
          <w:rFonts w:hint="eastAsia"/>
          <w:color w:val="auto"/>
          <w:lang w:eastAsia="zh-CN"/>
        </w:rPr>
        <w:t>农机购置与应用补贴项目</w:t>
      </w:r>
      <w:r>
        <w:rPr>
          <w:color w:val="auto"/>
        </w:rPr>
        <w:t>开展了绩效评价工作并形成绩效评价报告，评价情况如下：</w:t>
      </w:r>
    </w:p>
    <w:p w14:paraId="770AD5BE">
      <w:pPr>
        <w:pageBreakBefore w:val="0"/>
        <w:kinsoku/>
        <w:wordWrap/>
        <w:overflowPunct/>
        <w:topLinePunct w:val="0"/>
        <w:autoSpaceDE/>
        <w:autoSpaceDN/>
        <w:bidi w:val="0"/>
        <w:snapToGrid w:val="0"/>
        <w:spacing w:line="360" w:lineRule="auto"/>
        <w:ind w:firstLine="482"/>
        <w:rPr>
          <w:b/>
          <w:bCs/>
          <w:color w:val="auto"/>
          <w:sz w:val="24"/>
          <w:szCs w:val="28"/>
        </w:rPr>
      </w:pPr>
      <w:r>
        <w:rPr>
          <w:b/>
          <w:bCs/>
          <w:color w:val="auto"/>
          <w:sz w:val="24"/>
          <w:szCs w:val="28"/>
        </w:rPr>
        <w:t>一、基本情况</w:t>
      </w:r>
    </w:p>
    <w:p w14:paraId="23895353">
      <w:pPr>
        <w:pageBreakBefore w:val="0"/>
        <w:kinsoku/>
        <w:wordWrap/>
        <w:overflowPunct/>
        <w:topLinePunct w:val="0"/>
        <w:autoSpaceDE/>
        <w:autoSpaceDN/>
        <w:bidi w:val="0"/>
        <w:snapToGrid w:val="0"/>
        <w:spacing w:line="360" w:lineRule="auto"/>
        <w:ind w:firstLine="422"/>
        <w:rPr>
          <w:b/>
          <w:bCs/>
          <w:color w:val="auto"/>
          <w:sz w:val="24"/>
          <w:szCs w:val="28"/>
        </w:rPr>
      </w:pPr>
      <w:r>
        <w:rPr>
          <w:b/>
          <w:bCs/>
          <w:color w:val="auto"/>
          <w:sz w:val="24"/>
          <w:szCs w:val="28"/>
        </w:rPr>
        <w:t>（一）项目背景</w:t>
      </w:r>
    </w:p>
    <w:p w14:paraId="2C21599E">
      <w:pPr>
        <w:pageBreakBefore w:val="0"/>
        <w:kinsoku/>
        <w:wordWrap/>
        <w:overflowPunct/>
        <w:topLinePunct w:val="0"/>
        <w:autoSpaceDE/>
        <w:autoSpaceDN/>
        <w:bidi w:val="0"/>
        <w:snapToGrid w:val="0"/>
        <w:spacing w:line="360" w:lineRule="auto"/>
        <w:ind w:firstLine="420"/>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为贯彻落实</w:t>
      </w:r>
      <w:r>
        <w:rPr>
          <w:rFonts w:hint="eastAsia" w:ascii="Times New Roman" w:hAnsi="Times New Roman" w:eastAsia="宋体" w:cs="Times New Roman"/>
          <w:lang w:val="en-US" w:eastAsia="zh-CN"/>
        </w:rPr>
        <w:t>农业农村部办公厅财政部办公厅联合印发</w:t>
      </w:r>
      <w:r>
        <w:rPr>
          <w:rFonts w:hint="default" w:ascii="Times New Roman" w:hAnsi="Times New Roman" w:eastAsia="宋体" w:cs="Times New Roman"/>
          <w:lang w:val="en-US" w:eastAsia="zh-CN"/>
        </w:rPr>
        <w:t>《2024—2026年农机购置与应用补贴实施意见》</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农办机〔2024〕3 号</w:t>
      </w:r>
      <w:r>
        <w:rPr>
          <w:rFonts w:hint="eastAsia" w:ascii="Times New Roman" w:hAnsi="Times New Roman" w:eastAsia="宋体" w:cs="Times New Roman"/>
          <w:lang w:val="en-US" w:eastAsia="zh-CN"/>
        </w:rPr>
        <w:t>）</w:t>
      </w:r>
      <w:r>
        <w:rPr>
          <w:rFonts w:hint="eastAsia" w:ascii="Times New Roman" w:hAnsi="Times New Roman" w:cs="Times New Roman"/>
          <w:color w:val="auto"/>
          <w:lang w:val="en-US" w:eastAsia="zh-CN"/>
        </w:rPr>
        <w:t>文件精神，更好满足农民群众农业生产购机需求，提升粮食安全能力，保障农业生产社会化服务水平稳步提升，</w:t>
      </w:r>
      <w:r>
        <w:rPr>
          <w:rFonts w:hint="eastAsia" w:cs="Times New Roman"/>
          <w:color w:val="auto"/>
          <w:lang w:val="en-US" w:eastAsia="zh-CN"/>
        </w:rPr>
        <w:t>自治区农业农村厅和自治区财政厅联合制定印发</w:t>
      </w:r>
      <w:r>
        <w:rPr>
          <w:rFonts w:hint="eastAsia" w:ascii="Times New Roman" w:hAnsi="Times New Roman" w:cs="Times New Roman"/>
          <w:color w:val="auto"/>
          <w:lang w:val="en-US" w:eastAsia="zh-CN"/>
        </w:rPr>
        <w:t>《新疆维吾尔自治区2024-2026年农机购置与应用补贴实施方案》，</w:t>
      </w:r>
      <w:r>
        <w:rPr>
          <w:rFonts w:hint="eastAsia" w:cs="Times New Roman"/>
          <w:color w:val="auto"/>
          <w:lang w:val="en-US" w:eastAsia="zh-CN"/>
        </w:rPr>
        <w:t>全面落实党中央、国务院关于“三农”工作的决策部署和自治区党委、人民政府工作安排，稳定实施农机购置与应用补贴政策，按照“缩范围、控定额、调标准、重实效”的总要求，坚持“有进有出”“优机优补”，重点支持分流式整地机、高性能播种机、吊杆式喷雾机、残膜回收机等有助于促进粮棉油等主要作物大面积单产提升等生产急需的农业机械推广应用</w:t>
      </w:r>
      <w:r>
        <w:rPr>
          <w:rFonts w:hint="eastAsia" w:ascii="Times New Roman" w:hAnsi="Times New Roman" w:cs="Times New Roman"/>
          <w:color w:val="auto"/>
          <w:lang w:val="en-US" w:eastAsia="zh-CN"/>
        </w:rPr>
        <w:t>，以满足广大农牧民对机械化生产的需要为目标，以稳定实施政策、最大限度发挥政策效益为主线，支持引导农民购置使用先进适用的农业机械，引领推动农业机械化向全程全面高质高效发展，为实施乡村振兴战略、推进农业农村现代化提供坚实支撑。</w:t>
      </w:r>
    </w:p>
    <w:p w14:paraId="2DFD6E96">
      <w:pPr>
        <w:pageBreakBefore w:val="0"/>
        <w:kinsoku/>
        <w:wordWrap/>
        <w:overflowPunct/>
        <w:topLinePunct w:val="0"/>
        <w:autoSpaceDE/>
        <w:autoSpaceDN/>
        <w:bidi w:val="0"/>
        <w:snapToGrid w:val="0"/>
        <w:spacing w:line="360" w:lineRule="auto"/>
        <w:ind w:firstLine="422"/>
        <w:rPr>
          <w:b/>
          <w:bCs/>
          <w:color w:val="auto"/>
          <w:sz w:val="24"/>
          <w:szCs w:val="28"/>
        </w:rPr>
      </w:pPr>
      <w:r>
        <w:rPr>
          <w:b/>
          <w:bCs/>
          <w:color w:val="auto"/>
          <w:sz w:val="24"/>
          <w:szCs w:val="28"/>
        </w:rPr>
        <w:t>（二）项目概况</w:t>
      </w:r>
    </w:p>
    <w:p w14:paraId="511C52BA">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szCs w:val="21"/>
        </w:rPr>
      </w:pPr>
      <w:r>
        <w:rPr>
          <w:rFonts w:hint="eastAsia" w:ascii="Times New Roman" w:hAnsi="Times New Roman" w:cs="Times New Roman"/>
          <w:color w:val="auto"/>
          <w:highlight w:val="none"/>
        </w:rPr>
        <w:t>项目名称：</w:t>
      </w:r>
      <w:r>
        <w:rPr>
          <w:rFonts w:hint="eastAsia" w:cs="Times New Roman"/>
          <w:lang w:eastAsia="zh-CN"/>
        </w:rPr>
        <w:t>农机购置与应用补贴项目</w:t>
      </w:r>
      <w:r>
        <w:rPr>
          <w:rFonts w:hint="default" w:ascii="Times New Roman" w:hAnsi="Times New Roman" w:cs="Times New Roman"/>
          <w:szCs w:val="21"/>
        </w:rPr>
        <w:t>（以下简称“该项目”或“项目”）</w:t>
      </w:r>
    </w:p>
    <w:p w14:paraId="4B82CA7A">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rPr>
        <w:t>项目</w:t>
      </w:r>
      <w:r>
        <w:rPr>
          <w:rFonts w:hint="eastAsia" w:cs="Times New Roman"/>
          <w:color w:val="auto"/>
          <w:highlight w:val="none"/>
          <w:lang w:val="en-US" w:eastAsia="zh-CN"/>
        </w:rPr>
        <w:t>实施单位</w:t>
      </w:r>
      <w:r>
        <w:rPr>
          <w:rFonts w:hint="eastAsia" w:ascii="Times New Roman" w:hAnsi="Times New Roman" w:cs="Times New Roman"/>
          <w:color w:val="auto"/>
          <w:highlight w:val="none"/>
        </w:rPr>
        <w:t>：</w:t>
      </w:r>
      <w:r>
        <w:rPr>
          <w:rFonts w:hint="eastAsia" w:cs="Times New Roman"/>
          <w:color w:val="auto"/>
          <w:highlight w:val="none"/>
          <w:lang w:eastAsia="zh-CN"/>
        </w:rPr>
        <w:t>吉木萨尔县农业农村局</w:t>
      </w:r>
      <w:r>
        <w:rPr>
          <w:rFonts w:hint="default" w:ascii="Times New Roman" w:hAnsi="Times New Roman" w:cs="Times New Roman"/>
          <w:szCs w:val="21"/>
        </w:rPr>
        <w:t>（以下简称“</w:t>
      </w:r>
      <w:r>
        <w:rPr>
          <w:rFonts w:hint="eastAsia" w:cs="Times New Roman"/>
          <w:color w:val="auto"/>
          <w:highlight w:val="none"/>
          <w:lang w:eastAsia="zh-CN"/>
        </w:rPr>
        <w:t>县农业农村局</w:t>
      </w:r>
      <w:r>
        <w:rPr>
          <w:rFonts w:hint="default" w:ascii="Times New Roman" w:hAnsi="Times New Roman" w:cs="Times New Roman"/>
          <w:szCs w:val="21"/>
        </w:rPr>
        <w:t>”）</w:t>
      </w:r>
      <w:r>
        <w:rPr>
          <w:rFonts w:hint="eastAsia" w:cs="Times New Roman"/>
          <w:color w:val="auto"/>
          <w:highlight w:val="none"/>
          <w:lang w:eastAsia="zh-CN"/>
        </w:rPr>
        <w:t>。</w:t>
      </w:r>
    </w:p>
    <w:p w14:paraId="79BD38C5">
      <w:pPr>
        <w:bidi w:val="0"/>
        <w:adjustRightInd w:val="0"/>
        <w:snapToGrid w:val="0"/>
        <w:ind w:firstLine="420" w:firstLineChars="200"/>
        <w:rPr>
          <w:rFonts w:hint="eastAsia" w:ascii="Times New Roman" w:hAnsi="Times New Roman" w:cs="Times New Roman"/>
          <w:color w:val="auto"/>
          <w:highlight w:val="none"/>
        </w:rPr>
      </w:pPr>
      <w:r>
        <w:rPr>
          <w:rFonts w:hint="eastAsia" w:ascii="Times New Roman" w:hAnsi="Times New Roman" w:cs="Times New Roman"/>
          <w:color w:val="auto"/>
          <w:highlight w:val="none"/>
        </w:rPr>
        <w:t>项目实施内容：</w:t>
      </w:r>
    </w:p>
    <w:p w14:paraId="050156CF">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ascii="宋体" w:hAnsi="宋体" w:eastAsia="宋体" w:cs="宋体"/>
          <w:szCs w:val="21"/>
          <w:lang w:val="en-US" w:eastAsia="zh-CN"/>
        </w:rPr>
      </w:pPr>
      <w:r>
        <w:rPr>
          <w:rFonts w:hint="eastAsia" w:cs="Times New Roman"/>
          <w:color w:val="auto"/>
          <w:highlight w:val="none"/>
          <w:lang w:val="en-US" w:eastAsia="zh-CN"/>
        </w:rPr>
        <w:t>计划对</w:t>
      </w:r>
      <w:r>
        <w:rPr>
          <w:rFonts w:hint="eastAsia" w:ascii="宋体" w:hAnsi="宋体" w:eastAsia="宋体" w:cs="宋体"/>
          <w:szCs w:val="21"/>
          <w:lang w:val="en-US" w:eastAsia="zh-CN"/>
        </w:rPr>
        <w:t>从事农业生产的个人和农业生产经营组织</w:t>
      </w:r>
      <w:r>
        <w:rPr>
          <w:rFonts w:hint="eastAsia" w:ascii="宋体" w:hAnsi="宋体" w:cs="宋体"/>
          <w:szCs w:val="21"/>
          <w:lang w:val="en-US" w:eastAsia="zh-CN"/>
        </w:rPr>
        <w:t>（</w:t>
      </w:r>
      <w:r>
        <w:rPr>
          <w:rFonts w:hint="eastAsia" w:ascii="宋体" w:hAnsi="宋体" w:eastAsia="宋体" w:cs="宋体"/>
          <w:szCs w:val="21"/>
          <w:lang w:val="en-US" w:eastAsia="zh-CN"/>
        </w:rPr>
        <w:t>以下简称“购机者”</w:t>
      </w:r>
      <w:r>
        <w:rPr>
          <w:rFonts w:hint="eastAsia" w:ascii="宋体" w:hAnsi="宋体" w:cs="宋体"/>
          <w:szCs w:val="21"/>
          <w:lang w:val="en-US" w:eastAsia="zh-CN"/>
        </w:rPr>
        <w:t>）</w:t>
      </w:r>
      <w:r>
        <w:rPr>
          <w:rFonts w:hint="eastAsia" w:cs="Times New Roman"/>
          <w:color w:val="auto"/>
          <w:highlight w:val="none"/>
          <w:lang w:val="en-US" w:eastAsia="zh-CN"/>
        </w:rPr>
        <w:t>已</w:t>
      </w:r>
      <w:r>
        <w:rPr>
          <w:rFonts w:hint="eastAsia" w:ascii="宋体" w:hAnsi="宋体" w:cs="宋体"/>
          <w:szCs w:val="21"/>
          <w:lang w:val="en-US" w:eastAsia="zh-CN"/>
        </w:rPr>
        <w:t>申请</w:t>
      </w:r>
      <w:r>
        <w:rPr>
          <w:rFonts w:hint="eastAsia" w:cs="Times New Roman"/>
          <w:color w:val="auto"/>
          <w:highlight w:val="none"/>
          <w:lang w:val="en-US" w:eastAsia="zh-CN"/>
        </w:rPr>
        <w:t>录入《新疆维吾尔自治区农机购置与应用补贴申请办理服务系统》并审核通过的</w:t>
      </w:r>
      <w:r>
        <w:rPr>
          <w:rFonts w:hint="eastAsia" w:ascii="Times New Roman" w:hAnsi="Times New Roman" w:eastAsia="宋体" w:cs="Times New Roman"/>
          <w:color w:val="auto"/>
          <w:highlight w:val="none"/>
        </w:rPr>
        <w:t>各类新机具959台（</w:t>
      </w:r>
      <w:r>
        <w:rPr>
          <w:rFonts w:hint="eastAsia" w:ascii="Times New Roman" w:hAnsi="Times New Roman" w:eastAsia="宋体" w:cs="Times New Roman"/>
          <w:color w:val="auto"/>
          <w:highlight w:val="none"/>
          <w:lang w:val="en-US" w:eastAsia="zh-CN"/>
        </w:rPr>
        <w:t>套</w:t>
      </w:r>
      <w:r>
        <w:rPr>
          <w:rFonts w:hint="eastAsia" w:ascii="Times New Roman" w:hAnsi="Times New Roman" w:eastAsia="宋体" w:cs="Times New Roman"/>
          <w:color w:val="auto"/>
          <w:highlight w:val="none"/>
        </w:rPr>
        <w:t>）</w:t>
      </w:r>
      <w:r>
        <w:rPr>
          <w:rFonts w:hint="eastAsia" w:cs="Times New Roman"/>
          <w:color w:val="auto"/>
          <w:highlight w:val="none"/>
          <w:lang w:val="en-US" w:eastAsia="zh-CN"/>
        </w:rPr>
        <w:t>实施</w:t>
      </w:r>
      <w:r>
        <w:rPr>
          <w:rFonts w:hint="eastAsia" w:ascii="Times New Roman" w:hAnsi="Times New Roman" w:eastAsia="宋体" w:cs="Times New Roman"/>
          <w:color w:val="auto"/>
          <w:highlight w:val="none"/>
          <w:lang w:val="en-US" w:eastAsia="zh-CN"/>
        </w:rPr>
        <w:t>农机购置补贴</w:t>
      </w:r>
      <w:r>
        <w:rPr>
          <w:rFonts w:hint="eastAsia" w:ascii="Times New Roman" w:hAnsi="Times New Roman" w:eastAsia="宋体" w:cs="Times New Roman"/>
          <w:color w:val="auto"/>
          <w:highlight w:val="none"/>
          <w:lang w:eastAsia="zh-CN"/>
        </w:rPr>
        <w:t>；</w:t>
      </w:r>
      <w:r>
        <w:rPr>
          <w:rFonts w:hint="eastAsia" w:ascii="宋体" w:hAnsi="宋体" w:eastAsia="宋体" w:cs="宋体"/>
          <w:szCs w:val="21"/>
          <w:lang w:val="en-US" w:eastAsia="zh-CN"/>
        </w:rPr>
        <w:t>中央财政农机购置补贴实行定额补贴，即同一种类、同一档次农业机械实行统一的补贴标准。其中，通用类机具补贴额不超过农业农村部发布的最高补贴额。</w:t>
      </w:r>
    </w:p>
    <w:p w14:paraId="0160B55D">
      <w:pPr>
        <w:keepNext w:val="0"/>
        <w:keepLines w:val="0"/>
        <w:pageBreakBefore w:val="0"/>
        <w:widowControl w:val="0"/>
        <w:kinsoku/>
        <w:wordWrap/>
        <w:overflowPunct/>
        <w:topLinePunct w:val="0"/>
        <w:autoSpaceDE/>
        <w:autoSpaceDN/>
        <w:bidi w:val="0"/>
        <w:adjustRightInd w:val="0"/>
        <w:snapToGrid w:val="0"/>
        <w:ind w:firstLine="420" w:firstLineChars="200"/>
        <w:textAlignment w:val="auto"/>
        <w:rPr>
          <w:rFonts w:hint="eastAsia" w:ascii="宋体" w:hAnsi="宋体" w:eastAsia="宋体" w:cs="宋体"/>
          <w:sz w:val="21"/>
          <w:szCs w:val="21"/>
          <w:lang w:val="en-US" w:eastAsia="zh-CN"/>
        </w:rPr>
      </w:pPr>
      <w:r>
        <w:rPr>
          <w:rFonts w:hint="eastAsia" w:cs="Times New Roman"/>
          <w:color w:val="auto"/>
          <w:highlight w:val="none"/>
          <w:lang w:val="en-US" w:eastAsia="zh-CN"/>
        </w:rPr>
        <w:t>计划对</w:t>
      </w:r>
      <w:r>
        <w:rPr>
          <w:rFonts w:hint="eastAsia" w:ascii="宋体" w:hAnsi="宋体" w:eastAsia="宋体" w:cs="宋体"/>
          <w:szCs w:val="21"/>
          <w:lang w:val="en-US" w:eastAsia="zh-CN"/>
        </w:rPr>
        <w:t>从事农业生产的个人和农业生产经营组织</w:t>
      </w:r>
      <w:r>
        <w:rPr>
          <w:rFonts w:hint="eastAsia" w:cs="Times New Roman"/>
          <w:color w:val="auto"/>
          <w:highlight w:val="none"/>
          <w:lang w:val="en-US" w:eastAsia="zh-CN"/>
        </w:rPr>
        <w:t>已申请录入《新疆维吾尔自治区农机报废补贴辅助管理系统》并审核通过的2台农机具实施报废补贴；</w:t>
      </w:r>
      <w:r>
        <w:rPr>
          <w:rFonts w:hint="eastAsia" w:ascii="宋体" w:hAnsi="宋体" w:eastAsia="宋体" w:cs="宋体"/>
          <w:szCs w:val="21"/>
          <w:lang w:val="en-US" w:eastAsia="zh-CN"/>
        </w:rPr>
        <w:t>报废部分补贴实行定额补贴，拖拉机、联合收割机报废补贴额按农业农村部发布的最高补贴额确定</w:t>
      </w:r>
      <w:r>
        <w:rPr>
          <w:rFonts w:hint="eastAsia" w:ascii="宋体" w:hAnsi="宋体" w:cs="宋体"/>
          <w:szCs w:val="21"/>
          <w:lang w:val="en-US" w:eastAsia="zh-CN"/>
        </w:rPr>
        <w:t>，</w:t>
      </w:r>
      <w:r>
        <w:rPr>
          <w:rFonts w:hint="eastAsia" w:ascii="宋体" w:hAnsi="宋体" w:eastAsia="宋体" w:cs="宋体"/>
          <w:szCs w:val="21"/>
          <w:lang w:val="en-US" w:eastAsia="zh-CN"/>
        </w:rPr>
        <w:t>其他农机报废额</w:t>
      </w:r>
      <w:r>
        <w:rPr>
          <w:rFonts w:hint="eastAsia" w:ascii="宋体" w:hAnsi="宋体" w:eastAsia="宋体" w:cs="宋体"/>
          <w:sz w:val="21"/>
          <w:szCs w:val="21"/>
          <w:lang w:val="en-US" w:eastAsia="zh-CN"/>
        </w:rPr>
        <w:t>按同类型农机购置补贴额的30%测算。单台农业机械报废补贴额原则上不超过2万元。</w:t>
      </w:r>
    </w:p>
    <w:p w14:paraId="670A3FC2">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评价项目周期：</w:t>
      </w:r>
      <w:r>
        <w:rPr>
          <w:rFonts w:hint="eastAsia" w:ascii="Times New Roman" w:hAnsi="Times New Roman" w:cs="Times New Roman"/>
          <w:color w:val="auto"/>
          <w:highlight w:val="none"/>
          <w:lang w:eastAsia="zh-CN"/>
        </w:rPr>
        <w:t>2024年</w:t>
      </w:r>
      <w:r>
        <w:rPr>
          <w:rFonts w:hint="eastAsia" w:cs="Times New Roman"/>
          <w:color w:val="auto"/>
          <w:highlight w:val="none"/>
          <w:lang w:val="en-US" w:eastAsia="zh-CN"/>
        </w:rPr>
        <w:t>1月-2024年12月</w:t>
      </w:r>
    </w:p>
    <w:p w14:paraId="65D86CA4">
      <w:pPr>
        <w:pageBreakBefore w:val="0"/>
        <w:kinsoku/>
        <w:wordWrap/>
        <w:overflowPunct/>
        <w:topLinePunct w:val="0"/>
        <w:autoSpaceDE/>
        <w:autoSpaceDN/>
        <w:bidi w:val="0"/>
        <w:snapToGrid w:val="0"/>
        <w:spacing w:line="360" w:lineRule="auto"/>
        <w:ind w:firstLine="422"/>
        <w:rPr>
          <w:b/>
          <w:bCs/>
          <w:color w:val="auto"/>
          <w:sz w:val="24"/>
          <w:szCs w:val="28"/>
        </w:rPr>
      </w:pPr>
      <w:r>
        <w:rPr>
          <w:b/>
          <w:bCs/>
          <w:color w:val="auto"/>
          <w:sz w:val="24"/>
          <w:szCs w:val="28"/>
        </w:rPr>
        <w:t>（三）资金使用情况</w:t>
      </w:r>
    </w:p>
    <w:p w14:paraId="045084C5">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rPr>
        <w:t>该项目</w:t>
      </w:r>
      <w:r>
        <w:rPr>
          <w:rFonts w:hint="eastAsia" w:ascii="Times New Roman" w:hAnsi="Times New Roman" w:cs="Times New Roman"/>
          <w:color w:val="auto"/>
          <w:highlight w:val="none"/>
          <w:lang w:eastAsia="zh-CN"/>
        </w:rPr>
        <w:t>2024年</w:t>
      </w:r>
      <w:r>
        <w:rPr>
          <w:rFonts w:hint="eastAsia" w:ascii="Times New Roman" w:hAnsi="Times New Roman" w:cs="Times New Roman"/>
          <w:color w:val="auto"/>
          <w:highlight w:val="none"/>
        </w:rPr>
        <w:t>预算</w:t>
      </w:r>
      <w:r>
        <w:rPr>
          <w:rFonts w:hint="eastAsia" w:cs="Times New Roman"/>
          <w:color w:val="auto"/>
          <w:highlight w:val="none"/>
          <w:lang w:val="en-US" w:eastAsia="zh-CN"/>
        </w:rPr>
        <w:t>总额</w:t>
      </w:r>
      <w:r>
        <w:rPr>
          <w:rFonts w:hint="eastAsia" w:ascii="Times New Roman" w:hAnsi="Times New Roman" w:cs="Times New Roman"/>
          <w:color w:val="auto"/>
          <w:highlight w:val="none"/>
        </w:rPr>
        <w:t>为</w:t>
      </w:r>
      <w:r>
        <w:rPr>
          <w:rFonts w:hint="eastAsia" w:cs="Times New Roman"/>
          <w:i w:val="0"/>
          <w:iCs w:val="0"/>
          <w:color w:val="auto"/>
          <w:kern w:val="0"/>
          <w:sz w:val="21"/>
          <w:szCs w:val="21"/>
          <w:u w:val="none"/>
          <w:lang w:val="en-US" w:eastAsia="zh-CN" w:bidi="ar"/>
        </w:rPr>
        <w:t>1,299.00</w:t>
      </w:r>
      <w:r>
        <w:rPr>
          <w:rFonts w:hint="eastAsia" w:ascii="Times New Roman" w:hAnsi="Times New Roman" w:cs="Times New Roman"/>
          <w:color w:val="auto"/>
          <w:highlight w:val="none"/>
        </w:rPr>
        <w:t>万元，</w:t>
      </w:r>
      <w:r>
        <w:rPr>
          <w:rFonts w:hint="eastAsia" w:cs="Times New Roman"/>
          <w:color w:val="auto"/>
          <w:highlight w:val="none"/>
          <w:lang w:val="en-US" w:eastAsia="zh-CN"/>
        </w:rPr>
        <w:t>资金来源于中央农业产业发展资金以及自治区农机购置与应用补贴资金。</w:t>
      </w:r>
      <w:r>
        <w:rPr>
          <w:rFonts w:hint="default" w:ascii="Times New Roman" w:hAnsi="Times New Roman" w:cs="Times New Roman"/>
          <w:color w:val="auto"/>
          <w:highlight w:val="none"/>
        </w:rPr>
        <w:t>截至202</w:t>
      </w:r>
      <w:r>
        <w:rPr>
          <w:rFonts w:hint="eastAsia" w:ascii="Times New Roman" w:hAnsi="Times New Roman" w:cs="Times New Roman"/>
          <w:color w:val="auto"/>
          <w:highlight w:val="none"/>
        </w:rPr>
        <w:t>4</w:t>
      </w:r>
      <w:r>
        <w:rPr>
          <w:rFonts w:hint="default" w:ascii="Times New Roman" w:hAnsi="Times New Roman" w:cs="Times New Roman"/>
          <w:color w:val="auto"/>
          <w:highlight w:val="none"/>
        </w:rPr>
        <w:t>年</w:t>
      </w:r>
      <w:r>
        <w:rPr>
          <w:rFonts w:hint="eastAsia" w:cs="Times New Roman"/>
          <w:color w:val="auto"/>
          <w:highlight w:val="none"/>
          <w:lang w:val="en-US" w:eastAsia="zh-CN"/>
        </w:rPr>
        <w:t>12</w:t>
      </w:r>
      <w:r>
        <w:rPr>
          <w:rFonts w:hint="eastAsia" w:ascii="Times New Roman" w:hAnsi="Times New Roman" w:cs="Times New Roman"/>
          <w:color w:val="auto"/>
          <w:highlight w:val="none"/>
        </w:rPr>
        <w:t>月</w:t>
      </w:r>
      <w:r>
        <w:rPr>
          <w:rFonts w:hint="eastAsia" w:cs="Times New Roman"/>
          <w:color w:val="auto"/>
          <w:highlight w:val="none"/>
          <w:lang w:val="en-US" w:eastAsia="zh-CN"/>
        </w:rPr>
        <w:t>31日</w:t>
      </w:r>
      <w:r>
        <w:rPr>
          <w:rFonts w:hint="default" w:ascii="Times New Roman" w:hAnsi="Times New Roman" w:cs="Times New Roman"/>
          <w:color w:val="auto"/>
          <w:highlight w:val="none"/>
        </w:rPr>
        <w:t>，</w:t>
      </w:r>
      <w:r>
        <w:rPr>
          <w:rFonts w:hint="eastAsia" w:ascii="Times New Roman" w:hAnsi="Times New Roman" w:cs="Times New Roman"/>
          <w:color w:val="auto"/>
          <w:highlight w:val="none"/>
        </w:rPr>
        <w:t>该项目实际到位资金</w:t>
      </w:r>
      <w:r>
        <w:rPr>
          <w:rFonts w:hint="eastAsia" w:cs="Times New Roman"/>
          <w:i w:val="0"/>
          <w:iCs w:val="0"/>
          <w:color w:val="auto"/>
          <w:kern w:val="0"/>
          <w:sz w:val="21"/>
          <w:szCs w:val="21"/>
          <w:u w:val="none"/>
          <w:lang w:val="en-US" w:eastAsia="zh-CN" w:bidi="ar"/>
        </w:rPr>
        <w:t>1,299.00</w:t>
      </w:r>
      <w:r>
        <w:rPr>
          <w:rFonts w:hint="eastAsia" w:ascii="Times New Roman" w:hAnsi="Times New Roman" w:cs="Times New Roman"/>
          <w:color w:val="auto"/>
          <w:highlight w:val="none"/>
        </w:rPr>
        <w:t>万元，其中：</w:t>
      </w:r>
      <w:r>
        <w:rPr>
          <w:rFonts w:hint="eastAsia" w:cs="Times New Roman"/>
          <w:color w:val="auto"/>
          <w:highlight w:val="none"/>
          <w:lang w:val="en-US" w:eastAsia="zh-CN"/>
        </w:rPr>
        <w:t>中央农业产业发展资金1,258.00万元，自治区农机购置与应用补贴资金41.00万元，</w:t>
      </w:r>
      <w:r>
        <w:rPr>
          <w:rFonts w:hint="default" w:ascii="Times New Roman" w:hAnsi="Times New Roman" w:cs="Times New Roman"/>
          <w:color w:val="auto"/>
          <w:highlight w:val="none"/>
        </w:rPr>
        <w:t>资金到位率</w:t>
      </w:r>
      <w:r>
        <w:rPr>
          <w:rFonts w:hint="eastAsia" w:cs="Times New Roman"/>
          <w:color w:val="auto"/>
          <w:highlight w:val="none"/>
          <w:lang w:val="en-US" w:eastAsia="zh-CN"/>
        </w:rPr>
        <w:t>100.00</w:t>
      </w:r>
      <w:r>
        <w:rPr>
          <w:rFonts w:hint="default" w:ascii="Times New Roman" w:hAnsi="Times New Roman" w:cs="Times New Roman"/>
          <w:color w:val="auto"/>
          <w:highlight w:val="none"/>
        </w:rPr>
        <w:t>%</w:t>
      </w:r>
      <w:r>
        <w:rPr>
          <w:rFonts w:hint="eastAsia" w:ascii="Times New Roman" w:hAnsi="Times New Roman" w:cs="Times New Roman"/>
          <w:color w:val="auto"/>
          <w:highlight w:val="none"/>
        </w:rPr>
        <w:t>。</w:t>
      </w:r>
    </w:p>
    <w:p w14:paraId="3E978885">
      <w:pPr>
        <w:pageBreakBefore w:val="0"/>
        <w:kinsoku/>
        <w:wordWrap/>
        <w:overflowPunct/>
        <w:topLinePunct w:val="0"/>
        <w:autoSpaceDE/>
        <w:autoSpaceDN/>
        <w:bidi w:val="0"/>
        <w:snapToGrid w:val="0"/>
        <w:spacing w:line="360" w:lineRule="auto"/>
        <w:ind w:firstLine="420"/>
        <w:rPr>
          <w:rFonts w:hint="eastAsia" w:ascii="Times New Roman" w:hAnsi="Times New Roman" w:cs="Times New Roman"/>
          <w:color w:val="auto"/>
          <w:lang w:val="en-US" w:eastAsia="zh-CN"/>
        </w:rPr>
      </w:pPr>
      <w:r>
        <w:rPr>
          <w:rFonts w:hint="default" w:ascii="Times New Roman" w:hAnsi="Times New Roman" w:cs="Times New Roman"/>
          <w:color w:val="auto"/>
          <w:highlight w:val="none"/>
        </w:rPr>
        <w:t>截至2024年</w:t>
      </w:r>
      <w:r>
        <w:rPr>
          <w:rFonts w:hint="eastAsia" w:cs="Times New Roman"/>
          <w:color w:val="auto"/>
          <w:highlight w:val="none"/>
          <w:lang w:val="en-US" w:eastAsia="zh-CN"/>
        </w:rPr>
        <w:t>12</w:t>
      </w:r>
      <w:r>
        <w:rPr>
          <w:rFonts w:hint="default" w:ascii="Times New Roman" w:hAnsi="Times New Roman" w:cs="Times New Roman"/>
          <w:color w:val="auto"/>
          <w:highlight w:val="none"/>
        </w:rPr>
        <w:t>月</w:t>
      </w:r>
      <w:r>
        <w:rPr>
          <w:rFonts w:hint="eastAsia" w:cs="Times New Roman"/>
          <w:color w:val="auto"/>
          <w:highlight w:val="none"/>
          <w:lang w:val="en-US" w:eastAsia="zh-CN"/>
        </w:rPr>
        <w:t>31日，</w:t>
      </w:r>
      <w:r>
        <w:rPr>
          <w:rFonts w:hint="eastAsia" w:ascii="Times New Roman" w:hAnsi="Times New Roman" w:cs="Times New Roman"/>
          <w:color w:val="auto"/>
          <w:highlight w:val="none"/>
        </w:rPr>
        <w:t>实际支出资金</w:t>
      </w:r>
      <w:r>
        <w:rPr>
          <w:rFonts w:hint="eastAsia" w:cs="Times New Roman"/>
          <w:i w:val="0"/>
          <w:iCs w:val="0"/>
          <w:color w:val="auto"/>
          <w:kern w:val="0"/>
          <w:sz w:val="21"/>
          <w:szCs w:val="21"/>
          <w:u w:val="none"/>
          <w:lang w:val="en-US" w:eastAsia="zh-CN" w:bidi="ar"/>
        </w:rPr>
        <w:t>1,298.94</w:t>
      </w:r>
      <w:r>
        <w:rPr>
          <w:rFonts w:hint="eastAsia" w:ascii="Times New Roman" w:hAnsi="Times New Roman" w:cs="Times New Roman"/>
          <w:color w:val="auto"/>
          <w:highlight w:val="none"/>
        </w:rPr>
        <w:t>万元，</w:t>
      </w:r>
      <w:r>
        <w:rPr>
          <w:rFonts w:hint="default" w:ascii="Times New Roman" w:hAnsi="Times New Roman" w:eastAsia="宋体" w:cs="Times New Roman"/>
          <w:color w:val="auto"/>
          <w:highlight w:val="none"/>
          <w:lang w:val="en-US" w:eastAsia="zh-CN"/>
        </w:rPr>
        <w:t>资金</w:t>
      </w:r>
      <w:r>
        <w:rPr>
          <w:rFonts w:hint="default" w:ascii="Times New Roman" w:hAnsi="Times New Roman" w:cs="Times New Roman"/>
          <w:color w:val="auto"/>
          <w:highlight w:val="none"/>
        </w:rPr>
        <w:t>执行率为</w:t>
      </w:r>
      <w:r>
        <w:rPr>
          <w:rFonts w:hint="eastAsia" w:cs="Times New Roman"/>
          <w:color w:val="auto"/>
          <w:highlight w:val="none"/>
          <w:lang w:val="en-US" w:eastAsia="zh-CN"/>
        </w:rPr>
        <w:t>99.99</w:t>
      </w:r>
      <w:r>
        <w:rPr>
          <w:rFonts w:hint="eastAsia" w:ascii="Times New Roman" w:hAnsi="Times New Roman" w:cs="Times New Roman"/>
          <w:color w:val="auto"/>
          <w:highlight w:val="none"/>
        </w:rPr>
        <w:t>%</w:t>
      </w:r>
      <w:r>
        <w:rPr>
          <w:rFonts w:hint="default" w:ascii="Times New Roman" w:hAnsi="Times New Roman" w:cs="Times New Roman"/>
          <w:color w:val="auto"/>
          <w:highlight w:val="none"/>
        </w:rPr>
        <w:t>。</w:t>
      </w:r>
      <w:r>
        <w:rPr>
          <w:rFonts w:hint="eastAsia" w:ascii="Times New Roman" w:hAnsi="Times New Roman" w:cs="Times New Roman"/>
          <w:color w:val="auto"/>
          <w:highlight w:val="none"/>
        </w:rPr>
        <w:t>其中：</w:t>
      </w:r>
      <w:r>
        <w:rPr>
          <w:rFonts w:hint="eastAsia" w:cs="Times New Roman"/>
          <w:color w:val="auto"/>
          <w:highlight w:val="none"/>
          <w:lang w:val="en-US" w:eastAsia="zh-CN"/>
        </w:rPr>
        <w:t>中央农业产业发展资金1,257.94万元，</w:t>
      </w:r>
      <w:r>
        <w:rPr>
          <w:rFonts w:hint="default" w:ascii="Times New Roman" w:hAnsi="Times New Roman" w:eastAsia="宋体" w:cs="Times New Roman"/>
          <w:color w:val="auto"/>
          <w:highlight w:val="none"/>
          <w:lang w:val="en-US" w:eastAsia="zh-CN"/>
        </w:rPr>
        <w:t>资金</w:t>
      </w:r>
      <w:r>
        <w:rPr>
          <w:rFonts w:hint="default" w:ascii="Times New Roman" w:hAnsi="Times New Roman" w:cs="Times New Roman"/>
          <w:color w:val="auto"/>
          <w:highlight w:val="none"/>
        </w:rPr>
        <w:t>执行率为</w:t>
      </w:r>
      <w:r>
        <w:rPr>
          <w:rFonts w:hint="eastAsia" w:cs="Times New Roman"/>
          <w:color w:val="auto"/>
          <w:highlight w:val="none"/>
          <w:lang w:val="en-US" w:eastAsia="zh-CN"/>
        </w:rPr>
        <w:t>99.99</w:t>
      </w:r>
      <w:r>
        <w:rPr>
          <w:rFonts w:hint="eastAsia" w:ascii="Times New Roman" w:hAnsi="Times New Roman" w:cs="Times New Roman"/>
          <w:color w:val="auto"/>
          <w:highlight w:val="none"/>
        </w:rPr>
        <w:t>%</w:t>
      </w:r>
      <w:r>
        <w:rPr>
          <w:rFonts w:hint="default" w:ascii="Times New Roman" w:hAnsi="Times New Roman" w:cs="Times New Roman"/>
          <w:color w:val="auto"/>
          <w:highlight w:val="none"/>
        </w:rPr>
        <w:t>；</w:t>
      </w:r>
      <w:r>
        <w:rPr>
          <w:rFonts w:hint="eastAsia" w:cs="Times New Roman"/>
          <w:color w:val="auto"/>
          <w:highlight w:val="none"/>
          <w:lang w:val="en-US" w:eastAsia="zh-CN"/>
        </w:rPr>
        <w:t>自治区农机购置与应用补贴资金41.00万元，</w:t>
      </w:r>
      <w:r>
        <w:rPr>
          <w:rFonts w:hint="default" w:ascii="Times New Roman" w:hAnsi="Times New Roman" w:eastAsia="宋体" w:cs="Times New Roman"/>
          <w:color w:val="auto"/>
          <w:highlight w:val="none"/>
          <w:lang w:val="en-US" w:eastAsia="zh-CN"/>
        </w:rPr>
        <w:t>资金</w:t>
      </w:r>
      <w:r>
        <w:rPr>
          <w:rFonts w:hint="default" w:ascii="Times New Roman" w:hAnsi="Times New Roman" w:cs="Times New Roman"/>
          <w:color w:val="auto"/>
          <w:highlight w:val="none"/>
        </w:rPr>
        <w:t>执行率为</w:t>
      </w:r>
      <w:r>
        <w:rPr>
          <w:rFonts w:hint="eastAsia" w:cs="Times New Roman"/>
          <w:color w:val="auto"/>
          <w:highlight w:val="none"/>
          <w:lang w:val="en-US" w:eastAsia="zh-CN"/>
        </w:rPr>
        <w:t>100.00</w:t>
      </w:r>
      <w:r>
        <w:rPr>
          <w:rFonts w:hint="eastAsia" w:ascii="Times New Roman" w:hAnsi="Times New Roman" w:cs="Times New Roman"/>
          <w:color w:val="auto"/>
          <w:highlight w:val="none"/>
        </w:rPr>
        <w:t>%</w:t>
      </w:r>
      <w:r>
        <w:rPr>
          <w:rFonts w:hint="default" w:ascii="Times New Roman" w:hAnsi="Times New Roman" w:cs="Times New Roman"/>
          <w:color w:val="auto"/>
          <w:highlight w:val="none"/>
        </w:rPr>
        <w:t>。</w:t>
      </w:r>
    </w:p>
    <w:p w14:paraId="163FF204">
      <w:pPr>
        <w:pageBreakBefore w:val="0"/>
        <w:kinsoku/>
        <w:wordWrap/>
        <w:overflowPunct/>
        <w:topLinePunct w:val="0"/>
        <w:autoSpaceDE/>
        <w:autoSpaceDN/>
        <w:bidi w:val="0"/>
        <w:snapToGrid w:val="0"/>
        <w:spacing w:line="360" w:lineRule="auto"/>
        <w:ind w:firstLine="422"/>
        <w:rPr>
          <w:b/>
          <w:bCs/>
          <w:color w:val="auto"/>
        </w:rPr>
      </w:pPr>
      <w:r>
        <w:rPr>
          <w:rFonts w:hint="eastAsia"/>
          <w:b/>
          <w:bCs/>
          <w:color w:val="auto"/>
          <w:sz w:val="24"/>
          <w:szCs w:val="28"/>
          <w:lang w:val="en-US" w:eastAsia="zh-CN"/>
        </w:rPr>
        <w:t>二</w:t>
      </w:r>
      <w:r>
        <w:rPr>
          <w:b/>
          <w:bCs/>
          <w:color w:val="auto"/>
          <w:sz w:val="24"/>
          <w:szCs w:val="28"/>
        </w:rPr>
        <w:t>、评价结论</w:t>
      </w:r>
    </w:p>
    <w:p w14:paraId="1ABD9866">
      <w:pPr>
        <w:pageBreakBefore w:val="0"/>
        <w:kinsoku/>
        <w:wordWrap/>
        <w:overflowPunct/>
        <w:topLinePunct w:val="0"/>
        <w:autoSpaceDE/>
        <w:autoSpaceDN/>
        <w:bidi w:val="0"/>
        <w:snapToGrid w:val="0"/>
        <w:spacing w:before="0" w:after="0" w:line="360" w:lineRule="auto"/>
        <w:ind w:firstLine="420"/>
        <w:rPr>
          <w:color w:val="auto"/>
        </w:rPr>
      </w:pPr>
      <w:r>
        <w:rPr>
          <w:color w:val="auto"/>
          <w:lang w:val="zh-TW" w:eastAsia="zh-TW"/>
        </w:rPr>
        <w:t>通过调研、数据分析、访谈等方式，根据工作方案确定的指标体系及评分标准，对“</w:t>
      </w:r>
      <w:r>
        <w:rPr>
          <w:rFonts w:hint="eastAsia"/>
          <w:color w:val="auto"/>
          <w:lang w:val="zh-TW" w:eastAsia="zh-TW"/>
        </w:rPr>
        <w:t>农机购置与应用补贴项目</w:t>
      </w:r>
      <w:r>
        <w:rPr>
          <w:color w:val="auto"/>
          <w:lang w:val="zh-TW" w:eastAsia="zh-TW"/>
        </w:rPr>
        <w:t>”绩效进行客观评价</w:t>
      </w:r>
      <w:r>
        <w:rPr>
          <w:color w:val="auto"/>
        </w:rPr>
        <w:t>，</w:t>
      </w:r>
      <w:r>
        <w:rPr>
          <w:rFonts w:hint="eastAsia"/>
          <w:color w:val="auto"/>
          <w:lang w:val="en-US" w:eastAsia="zh-CN"/>
        </w:rPr>
        <w:t>该</w:t>
      </w:r>
      <w:r>
        <w:rPr>
          <w:color w:val="auto"/>
        </w:rPr>
        <w:t>项目最终得分为</w:t>
      </w:r>
      <w:r>
        <w:rPr>
          <w:rFonts w:hint="eastAsia"/>
          <w:color w:val="auto"/>
          <w:lang w:val="en-US" w:eastAsia="zh-CN"/>
        </w:rPr>
        <w:t>92.49</w:t>
      </w:r>
      <w:r>
        <w:rPr>
          <w:color w:val="auto"/>
        </w:rPr>
        <w:t>分，评价级别属于“</w:t>
      </w:r>
      <w:r>
        <w:rPr>
          <w:rFonts w:hint="eastAsia"/>
          <w:color w:val="auto"/>
          <w:lang w:val="en-US" w:eastAsia="zh-CN"/>
        </w:rPr>
        <w:t>优</w:t>
      </w:r>
      <w:r>
        <w:rPr>
          <w:color w:val="auto"/>
        </w:rPr>
        <w:t>”。</w:t>
      </w:r>
      <w:r>
        <w:rPr>
          <w:rFonts w:hint="eastAsia"/>
          <w:color w:val="auto"/>
        </w:rPr>
        <w:t>各部分权重和绩效分值如下表：</w:t>
      </w:r>
    </w:p>
    <w:p w14:paraId="2FB3457E">
      <w:pPr>
        <w:ind w:firstLine="0" w:firstLineChars="0"/>
        <w:jc w:val="center"/>
        <w:rPr>
          <w:rFonts w:hint="eastAsia" w:ascii="Times New Roman" w:hAnsi="Times New Roman" w:eastAsia="宋体" w:cs="Times New Roman"/>
          <w:b/>
          <w:bCs/>
          <w:color w:val="auto"/>
          <w:kern w:val="0"/>
          <w:lang w:bidi="ar"/>
        </w:rPr>
      </w:pPr>
      <w:r>
        <w:rPr>
          <w:rFonts w:hint="eastAsia" w:ascii="Times New Roman" w:hAnsi="Times New Roman" w:eastAsia="宋体" w:cs="Times New Roman"/>
          <w:b/>
          <w:bCs/>
          <w:color w:val="auto"/>
          <w:kern w:val="0"/>
          <w:lang w:val="en-US" w:eastAsia="zh-CN" w:bidi="ar"/>
        </w:rPr>
        <w:t>表</w:t>
      </w:r>
      <w:r>
        <w:rPr>
          <w:rFonts w:hint="eastAsia" w:cs="Times New Roman"/>
          <w:b/>
          <w:bCs/>
          <w:color w:val="auto"/>
          <w:kern w:val="0"/>
          <w:lang w:val="en-US" w:eastAsia="zh-CN" w:bidi="ar"/>
        </w:rPr>
        <w:t>1:</w:t>
      </w:r>
      <w:r>
        <w:rPr>
          <w:rFonts w:hint="eastAsia" w:ascii="Times New Roman" w:hAnsi="Times New Roman" w:eastAsia="宋体" w:cs="Times New Roman"/>
          <w:b/>
          <w:bCs/>
          <w:color w:val="auto"/>
          <w:kern w:val="0"/>
          <w:lang w:val="en-US" w:eastAsia="zh-CN" w:bidi="ar"/>
        </w:rPr>
        <w:t>2024年农机购置与应用补贴项目</w:t>
      </w:r>
      <w:r>
        <w:rPr>
          <w:rFonts w:hint="eastAsia" w:ascii="Times New Roman" w:hAnsi="Times New Roman" w:eastAsia="宋体" w:cs="Times New Roman"/>
          <w:b/>
          <w:bCs/>
          <w:color w:val="auto"/>
          <w:kern w:val="0"/>
          <w:lang w:val="zh-TW" w:eastAsia="zh-CN" w:bidi="ar"/>
        </w:rPr>
        <w:t>得分表</w:t>
      </w:r>
    </w:p>
    <w:tbl>
      <w:tblPr>
        <w:tblStyle w:val="2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2"/>
        <w:gridCol w:w="1614"/>
        <w:gridCol w:w="1614"/>
        <w:gridCol w:w="1614"/>
        <w:gridCol w:w="1614"/>
        <w:gridCol w:w="1131"/>
      </w:tblGrid>
      <w:tr w14:paraId="1C2EBD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1E44759">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F15B568">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5AFC9CF">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0E61291">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0DAA3CE3">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7"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01EB245">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14:paraId="1C76D7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3463187">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7F62D9D">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10.00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0F5BD30">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25.00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BFA0458">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30.00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6A85F2A">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35.00 </w:t>
            </w:r>
          </w:p>
        </w:tc>
        <w:tc>
          <w:tcPr>
            <w:tcW w:w="113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4BEEA50">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100.00 </w:t>
            </w:r>
          </w:p>
        </w:tc>
      </w:tr>
      <w:tr w14:paraId="25E10F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20987DC">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B492BE9">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10.00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4DD80938">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25.00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116F244">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23.70 </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CF43586">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33.79 </w:t>
            </w:r>
          </w:p>
        </w:tc>
        <w:tc>
          <w:tcPr>
            <w:tcW w:w="113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8BEEADB">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92.49 </w:t>
            </w:r>
          </w:p>
        </w:tc>
      </w:tr>
      <w:tr w14:paraId="5D27D0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FFAA7F2">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3E01ACF">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100.00%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ADD6F8E">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100.00%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39DD13">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79.01%</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C4A6356">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96.54%</w:t>
            </w:r>
          </w:p>
        </w:tc>
        <w:tc>
          <w:tcPr>
            <w:tcW w:w="1131"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558476C">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92.49%</w:t>
            </w:r>
          </w:p>
        </w:tc>
      </w:tr>
    </w:tbl>
    <w:p w14:paraId="2A72C540">
      <w:pPr>
        <w:pageBreakBefore w:val="0"/>
        <w:kinsoku/>
        <w:wordWrap/>
        <w:overflowPunct/>
        <w:topLinePunct w:val="0"/>
        <w:autoSpaceDE/>
        <w:autoSpaceDN/>
        <w:bidi w:val="0"/>
        <w:snapToGrid w:val="0"/>
        <w:spacing w:line="360" w:lineRule="auto"/>
        <w:ind w:firstLine="422"/>
        <w:rPr>
          <w:b/>
          <w:bCs/>
          <w:color w:val="auto"/>
          <w:lang w:val="zh-TW"/>
        </w:rPr>
      </w:pPr>
    </w:p>
    <w:p w14:paraId="13F90668">
      <w:pPr>
        <w:pageBreakBefore w:val="0"/>
        <w:kinsoku/>
        <w:wordWrap/>
        <w:overflowPunct/>
        <w:topLinePunct w:val="0"/>
        <w:autoSpaceDE/>
        <w:autoSpaceDN/>
        <w:bidi w:val="0"/>
        <w:snapToGrid w:val="0"/>
        <w:spacing w:line="360" w:lineRule="auto"/>
        <w:ind w:firstLine="482"/>
        <w:rPr>
          <w:color w:val="auto"/>
          <w:sz w:val="24"/>
          <w:szCs w:val="28"/>
        </w:rPr>
      </w:pPr>
      <w:r>
        <w:rPr>
          <w:rFonts w:hint="eastAsia"/>
          <w:b/>
          <w:bCs/>
          <w:color w:val="auto"/>
          <w:sz w:val="24"/>
          <w:szCs w:val="28"/>
          <w:lang w:val="en-US" w:eastAsia="zh-CN"/>
        </w:rPr>
        <w:t>三</w:t>
      </w:r>
      <w:r>
        <w:rPr>
          <w:b/>
          <w:bCs/>
          <w:color w:val="auto"/>
          <w:sz w:val="24"/>
          <w:szCs w:val="28"/>
        </w:rPr>
        <w:t>、取得的业绩、存在的问题和改进的建议</w:t>
      </w:r>
    </w:p>
    <w:p w14:paraId="6DC69897">
      <w:pPr>
        <w:pageBreakBefore w:val="0"/>
        <w:kinsoku/>
        <w:wordWrap/>
        <w:overflowPunct/>
        <w:topLinePunct w:val="0"/>
        <w:autoSpaceDE/>
        <w:autoSpaceDN/>
        <w:bidi w:val="0"/>
        <w:snapToGrid w:val="0"/>
        <w:spacing w:line="360" w:lineRule="auto"/>
        <w:ind w:firstLine="422"/>
        <w:rPr>
          <w:b/>
          <w:bCs/>
          <w:color w:val="auto"/>
          <w:sz w:val="24"/>
          <w:szCs w:val="28"/>
        </w:rPr>
      </w:pPr>
      <w:r>
        <w:rPr>
          <w:b/>
          <w:bCs/>
          <w:color w:val="auto"/>
          <w:sz w:val="24"/>
          <w:szCs w:val="28"/>
        </w:rPr>
        <w:t>（一）主要经验及做法</w:t>
      </w:r>
    </w:p>
    <w:p w14:paraId="4EF5D040">
      <w:pPr>
        <w:pageBreakBefore w:val="0"/>
        <w:kinsoku/>
        <w:wordWrap/>
        <w:overflowPunct/>
        <w:topLinePunct w:val="0"/>
        <w:autoSpaceDE/>
        <w:autoSpaceDN/>
        <w:bidi w:val="0"/>
        <w:snapToGrid w:val="0"/>
        <w:spacing w:line="360" w:lineRule="auto"/>
        <w:ind w:firstLine="420"/>
        <w:rPr>
          <w:rFonts w:hint="default" w:ascii="Times New Roman" w:hAnsi="Times New Roman" w:eastAsia="宋体" w:cs="Times New Roman"/>
          <w:color w:val="auto"/>
          <w:highlight w:val="yellow"/>
          <w:lang w:eastAsia="zh-CN"/>
        </w:rPr>
      </w:pPr>
      <w:r>
        <w:rPr>
          <w:rFonts w:hint="default" w:ascii="Times New Roman" w:hAnsi="Times New Roman" w:cs="Times New Roman"/>
          <w:color w:val="auto"/>
          <w:highlight w:val="none"/>
          <w:lang w:val="en-US" w:eastAsia="zh-CN"/>
        </w:rPr>
        <w:t>项目实施过程遵循自治区</w:t>
      </w:r>
      <w:r>
        <w:rPr>
          <w:rFonts w:hint="eastAsia" w:ascii="Times New Roman" w:hAnsi="Times New Roman" w:cs="Times New Roman"/>
          <w:color w:val="auto"/>
          <w:highlight w:val="none"/>
          <w:lang w:val="en-US" w:eastAsia="zh-CN"/>
        </w:rPr>
        <w:t>农业农村局</w:t>
      </w:r>
      <w:r>
        <w:rPr>
          <w:rFonts w:hint="default" w:ascii="Times New Roman" w:hAnsi="Times New Roman" w:cs="Times New Roman"/>
          <w:color w:val="auto"/>
          <w:highlight w:val="none"/>
          <w:lang w:val="en-US" w:eastAsia="zh-CN"/>
        </w:rPr>
        <w:t>部署工作要求编制《</w:t>
      </w:r>
      <w:r>
        <w:rPr>
          <w:rFonts w:hint="eastAsia" w:ascii="Times New Roman" w:hAnsi="Times New Roman" w:cs="Times New Roman"/>
          <w:color w:val="auto"/>
          <w:highlight w:val="none"/>
          <w:lang w:val="en-US" w:eastAsia="zh-CN"/>
        </w:rPr>
        <w:t>吉木萨尔县</w:t>
      </w:r>
      <w:r>
        <w:rPr>
          <w:rFonts w:hint="default" w:ascii="Times New Roman" w:hAnsi="Times New Roman" w:cs="Times New Roman"/>
          <w:color w:val="auto"/>
          <w:highlight w:val="none"/>
          <w:lang w:val="en-US" w:eastAsia="zh-CN"/>
        </w:rPr>
        <w:t>2021-2023年农机购置补贴实施方案》《</w:t>
      </w:r>
      <w:r>
        <w:rPr>
          <w:rFonts w:hint="eastAsia" w:ascii="Times New Roman" w:hAnsi="Times New Roman" w:cs="Times New Roman"/>
          <w:color w:val="auto"/>
          <w:highlight w:val="none"/>
          <w:lang w:val="en-US" w:eastAsia="zh-CN"/>
        </w:rPr>
        <w:t>吉木萨尔县</w:t>
      </w:r>
      <w:r>
        <w:rPr>
          <w:rFonts w:hint="default" w:ascii="Times New Roman" w:hAnsi="Times New Roman" w:cs="Times New Roman"/>
          <w:color w:val="auto"/>
          <w:highlight w:val="none"/>
          <w:lang w:val="en-US" w:eastAsia="zh-CN"/>
        </w:rPr>
        <w:t>2024年</w:t>
      </w:r>
      <w:r>
        <w:rPr>
          <w:rFonts w:hint="eastAsia" w:ascii="Times New Roman" w:hAnsi="Times New Roman" w:cs="Times New Roman"/>
          <w:color w:val="auto"/>
          <w:highlight w:val="none"/>
          <w:lang w:val="en-US" w:eastAsia="zh-CN"/>
        </w:rPr>
        <w:t>-2026年</w:t>
      </w:r>
      <w:r>
        <w:rPr>
          <w:rFonts w:hint="default" w:ascii="Times New Roman" w:hAnsi="Times New Roman" w:cs="Times New Roman"/>
          <w:color w:val="auto"/>
          <w:highlight w:val="none"/>
          <w:lang w:val="en-US" w:eastAsia="zh-CN"/>
        </w:rPr>
        <w:t>农机购置补贴实施方案》</w:t>
      </w:r>
      <w:r>
        <w:rPr>
          <w:rFonts w:hint="eastAsia" w:cs="Times New Roman"/>
          <w:color w:val="auto"/>
          <w:lang w:val="en-US" w:eastAsia="zh-CN"/>
        </w:rPr>
        <w:t>《吉木萨尔县2024年农业机械报废更新补贴政策实施方案》等</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通过</w:t>
      </w:r>
      <w:r>
        <w:rPr>
          <w:rFonts w:hint="eastAsia"/>
          <w:color w:val="auto"/>
          <w:highlight w:val="none"/>
          <w:lang w:val="en-US" w:eastAsia="zh-CN"/>
        </w:rPr>
        <w:t>新疆维吾尔自治区农机购置与应用补贴申请办理服务系统、农机报废补贴辅助管理系统提升办理效率，</w:t>
      </w:r>
      <w:r>
        <w:rPr>
          <w:rFonts w:hint="eastAsia"/>
        </w:rPr>
        <w:t>有效带动</w:t>
      </w:r>
      <w:r>
        <w:rPr>
          <w:rFonts w:hint="eastAsia"/>
          <w:lang w:val="en-US" w:eastAsia="zh-CN"/>
        </w:rPr>
        <w:t>吉木萨尔</w:t>
      </w:r>
      <w:r>
        <w:rPr>
          <w:rFonts w:hint="eastAsia"/>
        </w:rPr>
        <w:t>农机作业水平不断提高，截止202</w:t>
      </w:r>
      <w:r>
        <w:rPr>
          <w:rFonts w:hint="eastAsia"/>
          <w:lang w:val="en-US" w:eastAsia="zh-CN"/>
        </w:rPr>
        <w:t>4</w:t>
      </w:r>
      <w:r>
        <w:rPr>
          <w:rFonts w:hint="eastAsia"/>
        </w:rPr>
        <w:t>年底农作物耕种收综合机械化率达到了</w:t>
      </w:r>
      <w:r>
        <w:rPr>
          <w:rFonts w:hint="eastAsia"/>
          <w:lang w:val="en-US" w:eastAsia="zh-CN"/>
        </w:rPr>
        <w:t>97.87</w:t>
      </w:r>
      <w:r>
        <w:rPr>
          <w:rFonts w:hint="eastAsia"/>
        </w:rPr>
        <w:t>%。</w:t>
      </w:r>
      <w:r>
        <w:rPr>
          <w:rFonts w:hint="eastAsia" w:ascii="Times New Roman" w:hAnsi="Times New Roman" w:cs="Times New Roman"/>
          <w:color w:val="auto"/>
          <w:highlight w:val="none"/>
          <w:lang w:val="en-US" w:eastAsia="zh-CN"/>
        </w:rPr>
        <w:t>有效激发农户购机积极性，推动全县农业现代化发展</w:t>
      </w:r>
      <w:r>
        <w:rPr>
          <w:rFonts w:hint="default" w:ascii="Times New Roman" w:hAnsi="Times New Roman" w:cs="Times New Roman"/>
          <w:color w:val="auto"/>
          <w:highlight w:val="none"/>
          <w:lang w:eastAsia="zh-CN"/>
        </w:rPr>
        <w:t>。</w:t>
      </w:r>
    </w:p>
    <w:p w14:paraId="2E01C27E">
      <w:pPr>
        <w:pageBreakBefore w:val="0"/>
        <w:kinsoku/>
        <w:wordWrap/>
        <w:overflowPunct/>
        <w:topLinePunct w:val="0"/>
        <w:autoSpaceDE/>
        <w:autoSpaceDN/>
        <w:bidi w:val="0"/>
        <w:snapToGrid w:val="0"/>
        <w:spacing w:line="360" w:lineRule="auto"/>
        <w:ind w:firstLine="422"/>
        <w:rPr>
          <w:b/>
          <w:bCs/>
          <w:color w:val="auto"/>
          <w:sz w:val="24"/>
          <w:szCs w:val="28"/>
          <w:highlight w:val="none"/>
        </w:rPr>
      </w:pPr>
      <w:r>
        <w:rPr>
          <w:b/>
          <w:bCs/>
          <w:color w:val="auto"/>
          <w:sz w:val="24"/>
          <w:szCs w:val="28"/>
          <w:highlight w:val="none"/>
        </w:rPr>
        <w:t>（二）存在的问题</w:t>
      </w:r>
    </w:p>
    <w:p w14:paraId="2FD46081">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b/>
          <w:bCs/>
          <w:lang w:val="en-US" w:eastAsia="zh-CN"/>
        </w:rPr>
      </w:pPr>
      <w:r>
        <w:rPr>
          <w:rFonts w:hint="eastAsia" w:ascii="Times New Roman" w:hAnsi="Times New Roman" w:cs="Times New Roman"/>
          <w:b/>
          <w:bCs/>
          <w:lang w:val="en-US" w:eastAsia="zh-CN"/>
        </w:rPr>
        <w:t>1.</w:t>
      </w:r>
      <w:r>
        <w:rPr>
          <w:rFonts w:hint="default" w:ascii="Times New Roman" w:hAnsi="Times New Roman" w:cs="Times New Roman"/>
          <w:b/>
          <w:bCs/>
          <w:color w:val="auto"/>
        </w:rPr>
        <w:t>机具补贴</w:t>
      </w:r>
      <w:r>
        <w:rPr>
          <w:rFonts w:hint="eastAsia" w:cs="Times New Roman"/>
          <w:b/>
          <w:bCs/>
          <w:color w:val="auto"/>
          <w:lang w:val="en-US" w:eastAsia="zh-CN"/>
        </w:rPr>
        <w:t>核验时限超时</w:t>
      </w:r>
    </w:p>
    <w:p w14:paraId="663C343E">
      <w:pPr>
        <w:keepNext w:val="0"/>
        <w:keepLines w:val="0"/>
        <w:pageBreakBefore w:val="0"/>
        <w:kinsoku/>
        <w:wordWrap/>
        <w:overflowPunct/>
        <w:topLinePunct w:val="0"/>
        <w:autoSpaceDE/>
        <w:autoSpaceDN/>
        <w:bidi w:val="0"/>
        <w:adjustRightInd w:val="0"/>
        <w:snapToGrid w:val="0"/>
        <w:ind w:firstLine="422"/>
        <w:textAlignment w:val="auto"/>
        <w:rPr>
          <w:rFonts w:hint="eastAsia" w:ascii="Times New Roman" w:hAnsi="Times New Roman" w:cs="Times New Roman"/>
          <w:b/>
          <w:bCs/>
          <w:lang w:val="en-US" w:eastAsia="zh-CN"/>
        </w:rPr>
      </w:pPr>
      <w:r>
        <w:rPr>
          <w:rFonts w:hint="eastAsia"/>
          <w:color w:val="auto"/>
          <w:highlight w:val="none"/>
          <w:lang w:val="en-US" w:eastAsia="zh-CN"/>
        </w:rPr>
        <w:t>根</w:t>
      </w:r>
      <w:r>
        <w:rPr>
          <w:rFonts w:hint="eastAsia" w:ascii="Times New Roman" w:hAnsi="Times New Roman" w:cs="Times New Roman"/>
          <w:lang w:val="en-US" w:eastAsia="zh-CN"/>
        </w:rPr>
        <w:t>据</w:t>
      </w:r>
      <w:r>
        <w:rPr>
          <w:rFonts w:hint="eastAsia" w:ascii="Times New Roman" w:hAnsi="Times New Roman" w:cs="Times New Roman"/>
          <w:lang w:eastAsia="zh-CN"/>
        </w:rPr>
        <w:t>新疆维吾尔自治区农机购置与应用补贴申请办理服务系统</w:t>
      </w:r>
      <w:r>
        <w:rPr>
          <w:rFonts w:hint="eastAsia" w:ascii="Times New Roman" w:hAnsi="Times New Roman" w:cs="Times New Roman"/>
          <w:lang w:val="en-US" w:eastAsia="zh-CN"/>
        </w:rPr>
        <w:t>中导出2024年实际补贴农机具资金申请时间及核验时间</w:t>
      </w:r>
      <w:r>
        <w:rPr>
          <w:rFonts w:hint="eastAsia" w:cs="Times New Roman"/>
          <w:lang w:val="en-US" w:eastAsia="zh-CN"/>
        </w:rPr>
        <w:t>比较分析</w:t>
      </w:r>
      <w:r>
        <w:rPr>
          <w:rFonts w:hint="eastAsia" w:ascii="Times New Roman" w:hAnsi="Times New Roman" w:cs="Times New Roman"/>
          <w:lang w:val="en-US" w:eastAsia="zh-CN"/>
        </w:rPr>
        <w:t>，2024年实际发放农机具补贴申请受理核查时限平均为</w:t>
      </w:r>
      <w:r>
        <w:rPr>
          <w:rFonts w:hint="eastAsia" w:cs="Times New Roman"/>
          <w:lang w:val="en-US" w:eastAsia="zh-CN"/>
        </w:rPr>
        <w:t>30</w:t>
      </w:r>
      <w:r>
        <w:rPr>
          <w:rFonts w:hint="eastAsia" w:ascii="Times New Roman" w:hAnsi="Times New Roman" w:cs="Times New Roman"/>
          <w:lang w:val="en-US" w:eastAsia="zh-CN"/>
        </w:rPr>
        <w:t>个工作日（其中</w:t>
      </w:r>
      <w:r>
        <w:rPr>
          <w:rFonts w:hint="eastAsia" w:cs="Times New Roman"/>
          <w:lang w:val="en-US" w:eastAsia="zh-CN"/>
        </w:rPr>
        <w:t>2021年</w:t>
      </w:r>
      <w:r>
        <w:rPr>
          <w:rFonts w:hint="eastAsia" w:ascii="Times New Roman" w:hAnsi="Times New Roman" w:cs="Times New Roman"/>
          <w:lang w:val="en-US" w:eastAsia="zh-CN"/>
        </w:rPr>
        <w:t>录入</w:t>
      </w:r>
      <w:r>
        <w:rPr>
          <w:rFonts w:hint="eastAsia" w:cs="Times New Roman"/>
          <w:lang w:val="en-US" w:eastAsia="zh-CN"/>
        </w:rPr>
        <w:t>5</w:t>
      </w:r>
      <w:r>
        <w:rPr>
          <w:rFonts w:hint="eastAsia" w:ascii="Times New Roman" w:hAnsi="Times New Roman" w:cs="Times New Roman"/>
          <w:lang w:val="en-US" w:eastAsia="zh-CN"/>
        </w:rPr>
        <w:t>台农机具平均申请受理核查时限为2个工作日</w:t>
      </w:r>
      <w:r>
        <w:rPr>
          <w:rFonts w:hint="eastAsia" w:cs="Times New Roman"/>
          <w:lang w:val="en-US" w:eastAsia="zh-CN"/>
        </w:rPr>
        <w:t>，</w:t>
      </w:r>
      <w:r>
        <w:rPr>
          <w:rFonts w:hint="eastAsia" w:ascii="Times New Roman" w:hAnsi="Times New Roman" w:cs="Times New Roman"/>
          <w:lang w:val="en-US" w:eastAsia="zh-CN"/>
        </w:rPr>
        <w:t>2022年录入</w:t>
      </w:r>
      <w:r>
        <w:rPr>
          <w:rFonts w:hint="eastAsia" w:cs="Times New Roman"/>
          <w:lang w:val="en-US" w:eastAsia="zh-CN"/>
        </w:rPr>
        <w:t>150</w:t>
      </w:r>
      <w:r>
        <w:rPr>
          <w:rFonts w:hint="eastAsia" w:ascii="Times New Roman" w:hAnsi="Times New Roman" w:cs="Times New Roman"/>
          <w:lang w:val="en-US" w:eastAsia="zh-CN"/>
        </w:rPr>
        <w:t>台农机具平均申请受理核查时限为</w:t>
      </w:r>
      <w:r>
        <w:rPr>
          <w:rFonts w:hint="eastAsia" w:cs="Times New Roman"/>
          <w:lang w:val="en-US" w:eastAsia="zh-CN"/>
        </w:rPr>
        <w:t>15.56</w:t>
      </w:r>
      <w:r>
        <w:rPr>
          <w:rFonts w:hint="eastAsia" w:ascii="Times New Roman" w:hAnsi="Times New Roman" w:cs="Times New Roman"/>
          <w:lang w:val="en-US" w:eastAsia="zh-CN"/>
        </w:rPr>
        <w:t>个工作日，2023年录入</w:t>
      </w:r>
      <w:r>
        <w:rPr>
          <w:rFonts w:hint="eastAsia" w:cs="Times New Roman"/>
          <w:lang w:val="en-US" w:eastAsia="zh-CN"/>
        </w:rPr>
        <w:t>636</w:t>
      </w:r>
      <w:r>
        <w:rPr>
          <w:rFonts w:hint="eastAsia" w:ascii="Times New Roman" w:hAnsi="Times New Roman" w:cs="Times New Roman"/>
          <w:lang w:val="en-US" w:eastAsia="zh-CN"/>
        </w:rPr>
        <w:t>台农机具平均申请受理核查时限为</w:t>
      </w:r>
      <w:r>
        <w:rPr>
          <w:rFonts w:hint="eastAsia" w:cs="Times New Roman"/>
          <w:lang w:val="en-US" w:eastAsia="zh-CN"/>
        </w:rPr>
        <w:t>33</w:t>
      </w:r>
      <w:r>
        <w:rPr>
          <w:rFonts w:hint="eastAsia" w:ascii="Times New Roman" w:hAnsi="Times New Roman" w:cs="Times New Roman"/>
          <w:lang w:val="en-US" w:eastAsia="zh-CN"/>
        </w:rPr>
        <w:t>个工作日，2024年录入农机具</w:t>
      </w:r>
      <w:r>
        <w:rPr>
          <w:rFonts w:hint="eastAsia" w:cs="Times New Roman"/>
          <w:lang w:val="en-US" w:eastAsia="zh-CN"/>
        </w:rPr>
        <w:t>168</w:t>
      </w:r>
      <w:r>
        <w:rPr>
          <w:rFonts w:hint="eastAsia" w:ascii="Times New Roman" w:hAnsi="Times New Roman" w:cs="Times New Roman"/>
          <w:lang w:val="en-US" w:eastAsia="zh-CN"/>
        </w:rPr>
        <w:t>台平均申请受理核查时限为</w:t>
      </w:r>
      <w:r>
        <w:rPr>
          <w:rFonts w:hint="eastAsia" w:cs="Times New Roman"/>
          <w:lang w:val="en-US" w:eastAsia="zh-CN"/>
        </w:rPr>
        <w:t>35</w:t>
      </w:r>
      <w:r>
        <w:rPr>
          <w:rFonts w:hint="eastAsia" w:ascii="Times New Roman" w:hAnsi="Times New Roman" w:cs="Times New Roman"/>
          <w:lang w:val="en-US" w:eastAsia="zh-CN"/>
        </w:rPr>
        <w:t>个工作日）。机具补贴申请受理核查时限</w:t>
      </w:r>
      <w:r>
        <w:rPr>
          <w:rFonts w:hint="eastAsia" w:cs="Times New Roman"/>
          <w:lang w:val="en-US" w:eastAsia="zh-CN"/>
        </w:rPr>
        <w:t>超过15个工作日的共计398台，该部分机具补贴申请受理核查时限与《新疆维吾尔自治区2021-2023年农机购置与应用补贴实施方案》要求不符</w:t>
      </w:r>
      <w:r>
        <w:rPr>
          <w:rFonts w:hint="eastAsia" w:ascii="Times New Roman" w:hAnsi="Times New Roman" w:cs="Times New Roman"/>
          <w:lang w:val="en-US" w:eastAsia="zh-CN"/>
        </w:rPr>
        <w:t>。</w:t>
      </w:r>
    </w:p>
    <w:p w14:paraId="7A01297B">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b/>
          <w:bCs/>
          <w:lang w:val="en-US" w:eastAsia="zh-CN"/>
        </w:rPr>
      </w:pPr>
      <w:r>
        <w:rPr>
          <w:rFonts w:hint="eastAsia" w:cs="Times New Roman"/>
          <w:b/>
          <w:bCs/>
          <w:lang w:val="en-US" w:eastAsia="zh-CN"/>
        </w:rPr>
        <w:t>2.</w:t>
      </w:r>
      <w:r>
        <w:rPr>
          <w:rFonts w:hint="eastAsia" w:cs="Times New Roman"/>
          <w:b/>
          <w:bCs/>
          <w:color w:val="auto"/>
          <w:highlight w:val="none"/>
          <w:lang w:val="en-US" w:eastAsia="zh-CN"/>
        </w:rPr>
        <w:t>农机购置补贴受益户满意度有待提升</w:t>
      </w:r>
    </w:p>
    <w:p w14:paraId="6773898C">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lang w:val="en-US" w:eastAsia="zh-Hans"/>
        </w:rPr>
      </w:pPr>
      <w:r>
        <w:rPr>
          <w:rFonts w:hint="eastAsia"/>
          <w:color w:val="auto"/>
          <w:highlight w:val="none"/>
          <w:lang w:val="en-US" w:eastAsia="zh-CN"/>
        </w:rPr>
        <w:t>本次调研评价通过向</w:t>
      </w:r>
      <w:r>
        <w:rPr>
          <w:rFonts w:hint="eastAsia" w:cs="Times New Roman"/>
          <w:color w:val="auto"/>
          <w:highlight w:val="none"/>
          <w:lang w:val="en-US" w:eastAsia="zh-CN"/>
        </w:rPr>
        <w:t>受益农户</w:t>
      </w:r>
      <w:r>
        <w:rPr>
          <w:rFonts w:hint="eastAsia"/>
          <w:color w:val="auto"/>
          <w:highlight w:val="none"/>
          <w:lang w:val="en-US" w:eastAsia="zh-CN"/>
        </w:rPr>
        <w:t>发放并收回调查问卷199份，根据调研数据统计情况分析得出，购机者</w:t>
      </w:r>
      <w:r>
        <w:rPr>
          <w:rFonts w:hint="eastAsia" w:cs="Times New Roman"/>
          <w:color w:val="auto"/>
          <w:highlight w:val="none"/>
          <w:lang w:val="en-US" w:eastAsia="zh-CN"/>
        </w:rPr>
        <w:t>受益户</w:t>
      </w:r>
      <w:r>
        <w:rPr>
          <w:rFonts w:hint="eastAsia"/>
          <w:color w:val="auto"/>
          <w:highlight w:val="none"/>
          <w:lang w:val="en-US" w:eastAsia="zh-CN"/>
        </w:rPr>
        <w:t>对项目实施综合满意度还有待提高，经调研了解主要原因</w:t>
      </w:r>
      <w:r>
        <w:rPr>
          <w:rFonts w:hint="eastAsia" w:ascii="Times New Roman" w:hAnsi="Times New Roman" w:eastAsia="宋体" w:cs="Times New Roman"/>
          <w:lang w:val="en-US" w:eastAsia="zh-CN"/>
        </w:rPr>
        <w:t>是补贴发放时间太长</w:t>
      </w:r>
      <w:r>
        <w:rPr>
          <w:rFonts w:hint="eastAsia" w:cs="Times New Roman"/>
          <w:lang w:val="en-US" w:eastAsia="zh-CN"/>
        </w:rPr>
        <w:t>，</w:t>
      </w:r>
      <w:r>
        <w:rPr>
          <w:rFonts w:hint="eastAsia" w:ascii="Times New Roman" w:hAnsi="Times New Roman" w:eastAsia="宋体" w:cs="Times New Roman"/>
          <w:lang w:val="en-US" w:eastAsia="zh-CN"/>
        </w:rPr>
        <w:t>系统不是很稳定及提交缓慢</w:t>
      </w:r>
      <w:r>
        <w:rPr>
          <w:rFonts w:hint="default" w:ascii="Times New Roman" w:hAnsi="Times New Roman" w:eastAsia="宋体" w:cs="Times New Roman"/>
          <w:lang w:val="en-US" w:eastAsia="zh-Hans"/>
        </w:rPr>
        <w:t>。</w:t>
      </w:r>
    </w:p>
    <w:p w14:paraId="7338EA12">
      <w:pPr>
        <w:pageBreakBefore w:val="0"/>
        <w:kinsoku/>
        <w:wordWrap/>
        <w:overflowPunct/>
        <w:topLinePunct w:val="0"/>
        <w:autoSpaceDE/>
        <w:autoSpaceDN/>
        <w:bidi w:val="0"/>
        <w:snapToGrid w:val="0"/>
        <w:spacing w:line="360" w:lineRule="auto"/>
        <w:ind w:firstLine="422"/>
        <w:rPr>
          <w:rFonts w:ascii="Times New Roman" w:hAnsi="Times New Roman" w:cs="Times New Roman"/>
          <w:b/>
          <w:bCs/>
          <w:color w:val="auto"/>
          <w:sz w:val="24"/>
          <w:szCs w:val="28"/>
        </w:rPr>
      </w:pPr>
      <w:r>
        <w:rPr>
          <w:rFonts w:ascii="Times New Roman" w:hAnsi="Times New Roman" w:cs="Times New Roman"/>
          <w:b/>
          <w:bCs/>
          <w:color w:val="auto"/>
          <w:sz w:val="24"/>
          <w:szCs w:val="28"/>
        </w:rPr>
        <w:t>（三）有关建议</w:t>
      </w:r>
    </w:p>
    <w:p w14:paraId="43DC3A17">
      <w:pPr>
        <w:keepNext w:val="0"/>
        <w:keepLines w:val="0"/>
        <w:pageBreakBefore w:val="0"/>
        <w:kinsoku/>
        <w:wordWrap/>
        <w:overflowPunct/>
        <w:topLinePunct w:val="0"/>
        <w:autoSpaceDE/>
        <w:autoSpaceDN/>
        <w:bidi w:val="0"/>
        <w:adjustRightInd w:val="0"/>
        <w:snapToGrid w:val="0"/>
        <w:textAlignment w:val="auto"/>
        <w:rPr>
          <w:rFonts w:hint="eastAsia" w:cs="Times New Roman"/>
          <w:b/>
          <w:bCs/>
          <w:lang w:val="en-US" w:eastAsia="zh-CN"/>
        </w:rPr>
      </w:pPr>
      <w:r>
        <w:rPr>
          <w:rFonts w:hint="eastAsia" w:ascii="Times New Roman" w:hAnsi="Times New Roman" w:cs="Times New Roman"/>
          <w:b/>
          <w:bCs/>
          <w:lang w:val="en-US" w:eastAsia="zh-CN"/>
        </w:rPr>
        <w:t>1.</w:t>
      </w:r>
      <w:r>
        <w:rPr>
          <w:rFonts w:hint="eastAsia" w:cs="Times New Roman"/>
          <w:b/>
          <w:bCs/>
          <w:lang w:val="en-US" w:eastAsia="zh-CN"/>
        </w:rPr>
        <w:t>严格按照政策文件落实补助发放工作，加强项目执行管理，确保项目精准施策</w:t>
      </w:r>
    </w:p>
    <w:p w14:paraId="06ABFE5C">
      <w:pPr>
        <w:keepNext w:val="0"/>
        <w:keepLines w:val="0"/>
        <w:pageBreakBefore w:val="0"/>
        <w:kinsoku/>
        <w:wordWrap/>
        <w:overflowPunct/>
        <w:topLinePunct w:val="0"/>
        <w:autoSpaceDE/>
        <w:autoSpaceDN/>
        <w:bidi w:val="0"/>
        <w:adjustRightInd w:val="0"/>
        <w:snapToGrid w:val="0"/>
        <w:textAlignment w:val="auto"/>
        <w:rPr>
          <w:rFonts w:hint="eastAsia" w:cs="Times New Roman"/>
          <w:color w:val="auto"/>
          <w:highlight w:val="none"/>
          <w:lang w:val="en-US" w:eastAsia="zh-CN"/>
        </w:rPr>
      </w:pPr>
      <w:r>
        <w:rPr>
          <w:rFonts w:hint="eastAsia" w:cs="Times New Roman"/>
          <w:color w:val="auto"/>
          <w:highlight w:val="none"/>
          <w:lang w:val="en-US" w:eastAsia="zh-CN"/>
        </w:rPr>
        <w:t>建议项目单位联合各级部门单位针对补贴政策执行的难点和痛点，认真总结经验，按照自治区更新的</w:t>
      </w:r>
      <w:r>
        <w:rPr>
          <w:rFonts w:hint="eastAsia" w:cs="Times New Roman"/>
          <w:color w:val="auto"/>
          <w:szCs w:val="21"/>
          <w:lang w:eastAsia="zh-CN"/>
        </w:rPr>
        <w:t>《</w:t>
      </w:r>
      <w:r>
        <w:rPr>
          <w:rFonts w:hint="default" w:ascii="Times New Roman" w:hAnsi="Times New Roman" w:cs="Times New Roman"/>
          <w:color w:val="auto"/>
          <w:szCs w:val="21"/>
        </w:rPr>
        <w:t>关于印发</w:t>
      </w:r>
      <w:r>
        <w:rPr>
          <w:rFonts w:hint="eastAsia" w:cs="Times New Roman"/>
          <w:color w:val="auto"/>
          <w:szCs w:val="21"/>
          <w:lang w:val="en-US" w:eastAsia="zh-CN"/>
        </w:rPr>
        <w:t>&lt;</w:t>
      </w:r>
      <w:r>
        <w:rPr>
          <w:rFonts w:hint="default" w:ascii="Times New Roman" w:hAnsi="Times New Roman" w:cs="Times New Roman"/>
          <w:color w:val="auto"/>
          <w:szCs w:val="21"/>
        </w:rPr>
        <w:t>新疆维吾尔自治区2024-2026年农机购置与应用补贴实施方案</w:t>
      </w:r>
      <w:r>
        <w:rPr>
          <w:rFonts w:hint="eastAsia" w:cs="Times New Roman"/>
          <w:color w:val="auto"/>
          <w:szCs w:val="21"/>
          <w:lang w:val="en-US" w:eastAsia="zh-CN"/>
        </w:rPr>
        <w:t>&gt;</w:t>
      </w:r>
      <w:r>
        <w:rPr>
          <w:rFonts w:hint="default" w:ascii="Times New Roman" w:hAnsi="Times New Roman" w:cs="Times New Roman"/>
          <w:color w:val="auto"/>
          <w:szCs w:val="21"/>
        </w:rPr>
        <w:t>的通知</w:t>
      </w:r>
      <w:r>
        <w:rPr>
          <w:rFonts w:hint="eastAsia" w:cs="Times New Roman"/>
          <w:color w:val="auto"/>
          <w:szCs w:val="21"/>
          <w:lang w:eastAsia="zh-CN"/>
        </w:rPr>
        <w:t>》（</w:t>
      </w:r>
      <w:r>
        <w:rPr>
          <w:rFonts w:hint="default" w:ascii="Times New Roman" w:hAnsi="Times New Roman" w:cs="Times New Roman"/>
          <w:color w:val="auto"/>
          <w:szCs w:val="21"/>
        </w:rPr>
        <w:t>新农机函</w:t>
      </w:r>
      <w:r>
        <w:rPr>
          <w:rFonts w:hint="eastAsia" w:ascii="宋体" w:hAnsi="宋体" w:eastAsia="宋体" w:cs="宋体"/>
          <w:color w:val="auto"/>
          <w:szCs w:val="21"/>
        </w:rPr>
        <w:t>〔</w:t>
      </w:r>
      <w:r>
        <w:rPr>
          <w:rFonts w:hint="default" w:ascii="Times New Roman" w:hAnsi="Times New Roman" w:cs="Times New Roman"/>
          <w:color w:val="auto"/>
          <w:szCs w:val="21"/>
        </w:rPr>
        <w:t>2024</w:t>
      </w:r>
      <w:r>
        <w:rPr>
          <w:rFonts w:hint="eastAsia" w:ascii="宋体" w:hAnsi="宋体" w:eastAsia="宋体" w:cs="宋体"/>
          <w:color w:val="auto"/>
          <w:szCs w:val="21"/>
        </w:rPr>
        <w:t>〕</w:t>
      </w:r>
      <w:r>
        <w:rPr>
          <w:rFonts w:hint="default" w:ascii="Times New Roman" w:hAnsi="Times New Roman" w:cs="Times New Roman"/>
          <w:color w:val="auto"/>
          <w:szCs w:val="21"/>
        </w:rPr>
        <w:t>740号</w:t>
      </w:r>
      <w:r>
        <w:rPr>
          <w:rFonts w:hint="eastAsia" w:cs="Times New Roman"/>
          <w:color w:val="auto"/>
          <w:szCs w:val="21"/>
          <w:lang w:eastAsia="zh-CN"/>
        </w:rPr>
        <w:t>）</w:t>
      </w:r>
      <w:r>
        <w:rPr>
          <w:rFonts w:hint="eastAsia" w:cs="Times New Roman"/>
          <w:color w:val="auto"/>
          <w:highlight w:val="none"/>
          <w:lang w:val="en-US" w:eastAsia="zh-CN"/>
        </w:rPr>
        <w:t>等政策文件要求，落实好今后农机购置与应用补贴的政策执行力度，加强对录入农机具核验过程的监督管理，提高信息审核的准确性，结合新疆维吾尔自治区农机购置与应用补贴申请办理服务系统对机具补贴申请受理核查时限、机具补贴兑付时限的超时预警，加强对办理时限的把控，提升受理审核及补贴兑付的工作效率，确保项目精准施策。</w:t>
      </w:r>
    </w:p>
    <w:p w14:paraId="70D519BF">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b/>
          <w:bCs/>
          <w:lang w:val="en-US" w:eastAsia="zh-CN"/>
        </w:rPr>
      </w:pPr>
      <w:r>
        <w:rPr>
          <w:rFonts w:hint="eastAsia" w:ascii="Times New Roman" w:hAnsi="Times New Roman" w:cs="Times New Roman"/>
          <w:b/>
          <w:bCs/>
          <w:lang w:val="en-US" w:eastAsia="zh-CN"/>
        </w:rPr>
        <w:t>2.</w:t>
      </w:r>
      <w:r>
        <w:rPr>
          <w:rFonts w:hint="default" w:ascii="Times New Roman" w:hAnsi="Times New Roman" w:cs="Times New Roman"/>
          <w:b/>
          <w:bCs/>
          <w:lang w:eastAsia="zh-Hans"/>
        </w:rPr>
        <w:t>加强政策宣传</w:t>
      </w:r>
      <w:r>
        <w:rPr>
          <w:rFonts w:hint="eastAsia" w:ascii="Times New Roman" w:hAnsi="Times New Roman" w:cs="Times New Roman"/>
          <w:b/>
          <w:bCs/>
          <w:lang w:eastAsia="zh-CN"/>
        </w:rPr>
        <w:t>，</w:t>
      </w:r>
      <w:r>
        <w:rPr>
          <w:rFonts w:hint="eastAsia" w:ascii="Times New Roman" w:hAnsi="Times New Roman" w:cs="Times New Roman"/>
          <w:b/>
          <w:bCs/>
          <w:lang w:val="en-US" w:eastAsia="zh-CN"/>
        </w:rPr>
        <w:t>提高公开透明度</w:t>
      </w:r>
    </w:p>
    <w:p w14:paraId="6D859E09">
      <w:pPr>
        <w:keepNext w:val="0"/>
        <w:keepLines w:val="0"/>
        <w:pageBreakBefore w:val="0"/>
        <w:kinsoku/>
        <w:wordWrap/>
        <w:overflowPunct/>
        <w:topLinePunct w:val="0"/>
        <w:autoSpaceDE/>
        <w:autoSpaceDN/>
        <w:bidi w:val="0"/>
        <w:adjustRightInd w:val="0"/>
        <w:snapToGrid w:val="0"/>
        <w:ind w:firstLine="420" w:firstLineChars="200"/>
        <w:textAlignment w:val="auto"/>
        <w:rPr>
          <w:rFonts w:hint="default" w:ascii="Times New Roman" w:hAnsi="Times New Roman" w:cs="Times New Roman"/>
          <w:lang w:eastAsia="zh-CN"/>
        </w:rPr>
      </w:pPr>
      <w:r>
        <w:rPr>
          <w:rFonts w:hint="eastAsia" w:ascii="Times New Roman" w:hAnsi="Times New Roman" w:cs="Times New Roman"/>
          <w:lang w:val="en-US" w:eastAsia="zh-CN"/>
        </w:rPr>
        <w:t>建议</w:t>
      </w:r>
      <w:r>
        <w:rPr>
          <w:rFonts w:hint="default" w:ascii="Times New Roman" w:hAnsi="Times New Roman" w:cs="Times New Roman"/>
          <w:lang w:eastAsia="zh-Hans"/>
        </w:rPr>
        <w:t>项目</w:t>
      </w:r>
      <w:r>
        <w:rPr>
          <w:rFonts w:hint="default" w:ascii="Times New Roman" w:hAnsi="Times New Roman" w:cs="Times New Roman"/>
          <w:lang w:val="en-US" w:eastAsia="zh-CN"/>
        </w:rPr>
        <w:t>实施</w:t>
      </w:r>
      <w:r>
        <w:rPr>
          <w:rFonts w:hint="default" w:ascii="Times New Roman" w:hAnsi="Times New Roman" w:cs="Times New Roman"/>
          <w:lang w:eastAsia="zh-Hans"/>
        </w:rPr>
        <w:t>单位应通过门户网站、微信公众号以及电话一对一沟通等方式传达相关政策，提高各部门及农户对政策的知晓度，</w:t>
      </w:r>
      <w:r>
        <w:rPr>
          <w:rFonts w:hint="eastAsia" w:ascii="Times New Roman" w:hAnsi="Times New Roman" w:cs="Times New Roman"/>
          <w:lang w:val="en-US" w:eastAsia="zh-CN"/>
        </w:rPr>
        <w:t>促使</w:t>
      </w:r>
      <w:r>
        <w:rPr>
          <w:rFonts w:hint="default" w:ascii="Times New Roman" w:hAnsi="Times New Roman" w:cs="Times New Roman"/>
          <w:lang w:eastAsia="zh-Hans"/>
        </w:rPr>
        <w:t>符合条件的农户都能</w:t>
      </w:r>
      <w:r>
        <w:rPr>
          <w:rFonts w:hint="eastAsia" w:ascii="Times New Roman" w:hAnsi="Times New Roman" w:cs="Times New Roman"/>
          <w:lang w:val="en-US" w:eastAsia="zh-CN"/>
        </w:rPr>
        <w:t>及时了解</w:t>
      </w:r>
      <w:r>
        <w:rPr>
          <w:rFonts w:hint="default" w:ascii="Times New Roman" w:hAnsi="Times New Roman" w:cs="Times New Roman"/>
          <w:lang w:eastAsia="zh-Hans"/>
        </w:rPr>
        <w:t>政策</w:t>
      </w:r>
      <w:r>
        <w:rPr>
          <w:rFonts w:hint="eastAsia" w:ascii="Times New Roman" w:hAnsi="Times New Roman" w:cs="Times New Roman"/>
          <w:lang w:val="en-US" w:eastAsia="zh-CN"/>
        </w:rPr>
        <w:t>并按时申报</w:t>
      </w:r>
      <w:r>
        <w:rPr>
          <w:rFonts w:hint="eastAsia"/>
        </w:rPr>
        <w:t>。</w:t>
      </w:r>
    </w:p>
    <w:p w14:paraId="378E9DB8">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eastAsia" w:ascii="Times New Roman" w:hAnsi="Times New Roman" w:cs="Times New Roman"/>
          <w:color w:val="auto"/>
          <w:lang w:val="en-US" w:eastAsia="zh-CN"/>
        </w:rPr>
      </w:pPr>
    </w:p>
    <w:p w14:paraId="590C4B17">
      <w:pPr>
        <w:pStyle w:val="16"/>
        <w:pageBreakBefore w:val="0"/>
        <w:tabs>
          <w:tab w:val="right" w:leader="dot" w:pos="8879"/>
          <w:tab w:val="clear" w:pos="9356"/>
        </w:tabs>
        <w:kinsoku/>
        <w:wordWrap/>
        <w:overflowPunct/>
        <w:topLinePunct w:val="0"/>
        <w:autoSpaceDE/>
        <w:autoSpaceDN/>
        <w:bidi w:val="0"/>
        <w:snapToGrid w:val="0"/>
        <w:spacing w:line="360" w:lineRule="auto"/>
        <w:rPr>
          <w:rFonts w:ascii="Times New Roman" w:hAnsi="Times New Roman" w:cs="Times New Roman"/>
          <w:color w:val="auto"/>
        </w:rPr>
      </w:pPr>
    </w:p>
    <w:p w14:paraId="3F5FD461">
      <w:pPr>
        <w:rPr>
          <w:color w:val="auto"/>
        </w:rPr>
        <w:sectPr>
          <w:headerReference r:id="rId11" w:type="default"/>
          <w:footerReference r:id="rId12" w:type="default"/>
          <w:pgSz w:w="11906" w:h="16838"/>
          <w:pgMar w:top="1440" w:right="1797" w:bottom="1440" w:left="1797" w:header="851" w:footer="992" w:gutter="0"/>
          <w:pgNumType w:fmt="upperRoman" w:start="1"/>
          <w:cols w:space="720" w:num="1"/>
          <w:docGrid w:type="lines" w:linePitch="312" w:charSpace="0"/>
        </w:sectPr>
      </w:pPr>
    </w:p>
    <w:sdt>
      <w:sdtPr>
        <w:rPr>
          <w:rFonts w:ascii="Toppan Bunkyu Gothic" w:hAnsi="Toppan Bunkyu Gothic" w:eastAsia="宋体" w:cs="Times New Roman"/>
          <w:bCs w:val="0"/>
          <w:color w:val="auto"/>
          <w:sz w:val="28"/>
          <w:szCs w:val="28"/>
        </w:rPr>
        <w:id w:val="147469479"/>
        <w:docPartObj>
          <w:docPartGallery w:val="Table of Contents"/>
          <w:docPartUnique/>
        </w:docPartObj>
      </w:sdtPr>
      <w:sdtEndPr>
        <w:rPr>
          <w:rFonts w:ascii="Toppan Bunkyu Gothic" w:hAnsi="Toppan Bunkyu Gothic" w:eastAsia="宋体" w:cs="Times New Roman"/>
          <w:b/>
          <w:bCs w:val="0"/>
          <w:color w:val="auto"/>
          <w:sz w:val="21"/>
          <w:szCs w:val="21"/>
        </w:rPr>
      </w:sdtEndPr>
      <w:sdtContent>
        <w:p w14:paraId="15503307">
          <w:pPr>
            <w:keepNext w:val="0"/>
            <w:keepLines w:val="0"/>
            <w:pageBreakBefore w:val="0"/>
            <w:widowControl w:val="0"/>
            <w:kinsoku/>
            <w:wordWrap/>
            <w:overflowPunct/>
            <w:topLinePunct w:val="0"/>
            <w:autoSpaceDE/>
            <w:autoSpaceDN/>
            <w:bidi w:val="0"/>
            <w:adjustRightInd w:val="0"/>
            <w:snapToGrid w:val="0"/>
            <w:spacing w:line="380" w:lineRule="exact"/>
            <w:ind w:firstLine="0" w:firstLineChars="0"/>
            <w:jc w:val="center"/>
            <w:textAlignment w:val="auto"/>
            <w:rPr>
              <w:rFonts w:ascii="Toppan Bunkyu Gothic" w:hAnsi="Toppan Bunkyu Gothic" w:eastAsia="宋体" w:cs="Times New Roman"/>
              <w:b/>
              <w:bCs w:val="0"/>
              <w:color w:val="auto"/>
              <w:kern w:val="2"/>
              <w:sz w:val="21"/>
              <w:szCs w:val="21"/>
              <w:lang w:val="en-US" w:eastAsia="zh-CN" w:bidi="ar-SA"/>
            </w:rPr>
          </w:pPr>
          <w:r>
            <w:rPr>
              <w:rFonts w:ascii="Toppan Bunkyu Gothic" w:hAnsi="Toppan Bunkyu Gothic" w:eastAsia="宋体" w:cs="Times New Roman"/>
              <w:b/>
              <w:bCs w:val="0"/>
              <w:color w:val="auto"/>
              <w:sz w:val="28"/>
              <w:szCs w:val="28"/>
            </w:rPr>
            <w:t>目录</w:t>
          </w:r>
          <w:r>
            <w:rPr>
              <w:rFonts w:ascii="Toppan Bunkyu Gothic" w:hAnsi="Toppan Bunkyu Gothic" w:eastAsia="宋体" w:cs="Times New Roman"/>
              <w:bCs w:val="0"/>
              <w:color w:val="auto"/>
              <w:sz w:val="21"/>
              <w:szCs w:val="21"/>
            </w:rPr>
            <w:fldChar w:fldCharType="begin"/>
          </w:r>
          <w:r>
            <w:rPr>
              <w:rFonts w:ascii="Toppan Bunkyu Gothic" w:hAnsi="Toppan Bunkyu Gothic" w:eastAsia="宋体" w:cs="Times New Roman"/>
              <w:bCs w:val="0"/>
              <w:color w:val="auto"/>
              <w:sz w:val="21"/>
              <w:szCs w:val="21"/>
            </w:rPr>
            <w:instrText xml:space="preserve">TOC \o "1-2" \h \u </w:instrText>
          </w:r>
          <w:r>
            <w:rPr>
              <w:rFonts w:ascii="Toppan Bunkyu Gothic" w:hAnsi="Toppan Bunkyu Gothic" w:eastAsia="宋体" w:cs="Times New Roman"/>
              <w:bCs w:val="0"/>
              <w:color w:val="auto"/>
              <w:sz w:val="21"/>
              <w:szCs w:val="21"/>
            </w:rPr>
            <w:fldChar w:fldCharType="separate"/>
          </w:r>
        </w:p>
        <w:p w14:paraId="72205150">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_Toc11573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lang w:val="en-US" w:eastAsia="zh-CN"/>
            </w:rPr>
            <w:t>一、基本情况</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_Toc11573 \h </w:instrText>
          </w:r>
          <w:r>
            <w:rPr>
              <w:rFonts w:ascii="Times New Roman" w:hAnsi="Times New Roman" w:cs="Times New Roman"/>
              <w:sz w:val="21"/>
              <w:szCs w:val="21"/>
            </w:rPr>
            <w:fldChar w:fldCharType="separate"/>
          </w:r>
          <w:r>
            <w:rPr>
              <w:rFonts w:ascii="Times New Roman" w:hAnsi="Times New Roman" w:cs="Times New Roman"/>
              <w:sz w:val="21"/>
              <w:szCs w:val="21"/>
            </w:rPr>
            <w:t>1</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290D2275">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_Toc4138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highlight w:val="none"/>
            </w:rPr>
            <w:t>（一）</w:t>
          </w:r>
          <w:r>
            <w:rPr>
              <w:rFonts w:hint="default" w:ascii="Times New Roman" w:hAnsi="Times New Roman" w:cs="Times New Roman"/>
              <w:sz w:val="21"/>
              <w:szCs w:val="21"/>
              <w:highlight w:val="none"/>
              <w:lang w:val="en-US" w:eastAsia="zh-CN"/>
            </w:rPr>
            <w:t>项目概况</w:t>
          </w:r>
          <w:r>
            <w:rPr>
              <w:sz w:val="21"/>
              <w:szCs w:val="21"/>
            </w:rPr>
            <w:tab/>
          </w:r>
          <w:r>
            <w:rPr>
              <w:sz w:val="21"/>
              <w:szCs w:val="21"/>
            </w:rPr>
            <w:fldChar w:fldCharType="begin"/>
          </w:r>
          <w:r>
            <w:rPr>
              <w:sz w:val="21"/>
              <w:szCs w:val="21"/>
            </w:rPr>
            <w:instrText xml:space="preserve"> PAGEREF _Toc4138 \h </w:instrText>
          </w:r>
          <w:r>
            <w:rPr>
              <w:sz w:val="21"/>
              <w:szCs w:val="21"/>
            </w:rPr>
            <w:fldChar w:fldCharType="separate"/>
          </w:r>
          <w:r>
            <w:rPr>
              <w:sz w:val="21"/>
              <w:szCs w:val="21"/>
            </w:rPr>
            <w:t>1</w:t>
          </w:r>
          <w:r>
            <w:rPr>
              <w:sz w:val="21"/>
              <w:szCs w:val="21"/>
            </w:rPr>
            <w:fldChar w:fldCharType="end"/>
          </w:r>
          <w:r>
            <w:rPr>
              <w:rFonts w:ascii="Times New Roman" w:hAnsi="Times New Roman" w:eastAsia="宋体" w:cs="Times New Roman"/>
              <w:bCs w:val="0"/>
              <w:color w:val="auto"/>
              <w:sz w:val="21"/>
              <w:szCs w:val="21"/>
            </w:rPr>
            <w:fldChar w:fldCharType="end"/>
          </w:r>
        </w:p>
        <w:p w14:paraId="2A337479">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_Toc6769 </w:instrText>
          </w:r>
          <w:r>
            <w:rPr>
              <w:rFonts w:ascii="Times New Roman" w:hAnsi="Times New Roman" w:eastAsia="宋体" w:cs="Times New Roman"/>
              <w:bCs w:val="0"/>
              <w:sz w:val="21"/>
              <w:szCs w:val="21"/>
            </w:rPr>
            <w:fldChar w:fldCharType="separate"/>
          </w:r>
          <w:r>
            <w:rPr>
              <w:rFonts w:hint="default"/>
              <w:sz w:val="21"/>
              <w:szCs w:val="21"/>
            </w:rPr>
            <w:t>（二）</w:t>
          </w:r>
          <w:r>
            <w:rPr>
              <w:sz w:val="21"/>
              <w:szCs w:val="21"/>
            </w:rPr>
            <w:t>资金投入和使用情况</w:t>
          </w:r>
          <w:r>
            <w:rPr>
              <w:sz w:val="21"/>
              <w:szCs w:val="21"/>
            </w:rPr>
            <w:tab/>
          </w:r>
          <w:r>
            <w:rPr>
              <w:sz w:val="21"/>
              <w:szCs w:val="21"/>
            </w:rPr>
            <w:fldChar w:fldCharType="begin"/>
          </w:r>
          <w:r>
            <w:rPr>
              <w:sz w:val="21"/>
              <w:szCs w:val="21"/>
            </w:rPr>
            <w:instrText xml:space="preserve"> PAGEREF _Toc6769 \h </w:instrText>
          </w:r>
          <w:r>
            <w:rPr>
              <w:sz w:val="21"/>
              <w:szCs w:val="21"/>
            </w:rPr>
            <w:fldChar w:fldCharType="separate"/>
          </w:r>
          <w:r>
            <w:rPr>
              <w:sz w:val="21"/>
              <w:szCs w:val="21"/>
            </w:rPr>
            <w:t>2</w:t>
          </w:r>
          <w:r>
            <w:rPr>
              <w:sz w:val="21"/>
              <w:szCs w:val="21"/>
            </w:rPr>
            <w:fldChar w:fldCharType="end"/>
          </w:r>
          <w:r>
            <w:rPr>
              <w:rFonts w:ascii="Times New Roman" w:hAnsi="Times New Roman" w:eastAsia="宋体" w:cs="Times New Roman"/>
              <w:bCs w:val="0"/>
              <w:color w:val="auto"/>
              <w:sz w:val="21"/>
              <w:szCs w:val="21"/>
            </w:rPr>
            <w:fldChar w:fldCharType="end"/>
          </w:r>
        </w:p>
        <w:p w14:paraId="4F5C21F7">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_Toc32601 </w:instrText>
          </w:r>
          <w:r>
            <w:rPr>
              <w:rFonts w:ascii="Times New Roman" w:hAnsi="Times New Roman" w:eastAsia="宋体" w:cs="Times New Roman"/>
              <w:bCs w:val="0"/>
              <w:sz w:val="21"/>
              <w:szCs w:val="21"/>
            </w:rPr>
            <w:fldChar w:fldCharType="separate"/>
          </w:r>
          <w:r>
            <w:rPr>
              <w:rFonts w:hint="default"/>
              <w:sz w:val="21"/>
              <w:szCs w:val="21"/>
            </w:rPr>
            <w:t>（三）</w:t>
          </w:r>
          <w:r>
            <w:rPr>
              <w:sz w:val="21"/>
              <w:szCs w:val="21"/>
            </w:rPr>
            <w:t>项目实施情况</w:t>
          </w:r>
          <w:r>
            <w:rPr>
              <w:sz w:val="21"/>
              <w:szCs w:val="21"/>
            </w:rPr>
            <w:tab/>
          </w:r>
          <w:r>
            <w:rPr>
              <w:sz w:val="21"/>
              <w:szCs w:val="21"/>
            </w:rPr>
            <w:fldChar w:fldCharType="begin"/>
          </w:r>
          <w:r>
            <w:rPr>
              <w:sz w:val="21"/>
              <w:szCs w:val="21"/>
            </w:rPr>
            <w:instrText xml:space="preserve"> PAGEREF _Toc32601 \h </w:instrText>
          </w:r>
          <w:r>
            <w:rPr>
              <w:sz w:val="21"/>
              <w:szCs w:val="21"/>
            </w:rPr>
            <w:fldChar w:fldCharType="separate"/>
          </w:r>
          <w:r>
            <w:rPr>
              <w:sz w:val="21"/>
              <w:szCs w:val="21"/>
            </w:rPr>
            <w:t>2</w:t>
          </w:r>
          <w:r>
            <w:rPr>
              <w:sz w:val="21"/>
              <w:szCs w:val="21"/>
            </w:rPr>
            <w:fldChar w:fldCharType="end"/>
          </w:r>
          <w:r>
            <w:rPr>
              <w:rFonts w:ascii="Times New Roman" w:hAnsi="Times New Roman" w:eastAsia="宋体" w:cs="Times New Roman"/>
              <w:bCs w:val="0"/>
              <w:color w:val="auto"/>
              <w:sz w:val="21"/>
              <w:szCs w:val="21"/>
            </w:rPr>
            <w:fldChar w:fldCharType="end"/>
          </w:r>
        </w:p>
        <w:p w14:paraId="023D48ED">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_Toc11731 </w:instrText>
          </w:r>
          <w:r>
            <w:rPr>
              <w:rFonts w:ascii="Times New Roman" w:hAnsi="Times New Roman" w:eastAsia="宋体" w:cs="Times New Roman"/>
              <w:bCs w:val="0"/>
              <w:sz w:val="21"/>
              <w:szCs w:val="21"/>
            </w:rPr>
            <w:fldChar w:fldCharType="separate"/>
          </w:r>
          <w:r>
            <w:rPr>
              <w:rFonts w:hint="default"/>
              <w:sz w:val="21"/>
              <w:szCs w:val="21"/>
            </w:rPr>
            <w:t>（四）</w:t>
          </w:r>
          <w:r>
            <w:rPr>
              <w:sz w:val="21"/>
              <w:szCs w:val="21"/>
            </w:rPr>
            <w:t>项目组织管理</w:t>
          </w:r>
          <w:r>
            <w:rPr>
              <w:sz w:val="21"/>
              <w:szCs w:val="21"/>
            </w:rPr>
            <w:tab/>
          </w:r>
          <w:r>
            <w:rPr>
              <w:sz w:val="21"/>
              <w:szCs w:val="21"/>
            </w:rPr>
            <w:fldChar w:fldCharType="begin"/>
          </w:r>
          <w:r>
            <w:rPr>
              <w:sz w:val="21"/>
              <w:szCs w:val="21"/>
            </w:rPr>
            <w:instrText xml:space="preserve"> PAGEREF _Toc11731 \h </w:instrText>
          </w:r>
          <w:r>
            <w:rPr>
              <w:sz w:val="21"/>
              <w:szCs w:val="21"/>
            </w:rPr>
            <w:fldChar w:fldCharType="separate"/>
          </w:r>
          <w:r>
            <w:rPr>
              <w:sz w:val="21"/>
              <w:szCs w:val="21"/>
            </w:rPr>
            <w:t>3</w:t>
          </w:r>
          <w:r>
            <w:rPr>
              <w:sz w:val="21"/>
              <w:szCs w:val="21"/>
            </w:rPr>
            <w:fldChar w:fldCharType="end"/>
          </w:r>
          <w:r>
            <w:rPr>
              <w:rFonts w:ascii="Times New Roman" w:hAnsi="Times New Roman" w:eastAsia="宋体" w:cs="Times New Roman"/>
              <w:bCs w:val="0"/>
              <w:color w:val="auto"/>
              <w:sz w:val="21"/>
              <w:szCs w:val="21"/>
            </w:rPr>
            <w:fldChar w:fldCharType="end"/>
          </w:r>
        </w:p>
        <w:p w14:paraId="17832931">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_Toc4479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二、</w:t>
          </w:r>
          <w:r>
            <w:rPr>
              <w:rFonts w:ascii="Times New Roman" w:hAnsi="Times New Roman" w:cs="Times New Roman"/>
              <w:sz w:val="21"/>
              <w:szCs w:val="21"/>
            </w:rPr>
            <w:t>项目绩效目标</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_Toc4479 \h </w:instrText>
          </w:r>
          <w:r>
            <w:rPr>
              <w:rFonts w:ascii="Times New Roman" w:hAnsi="Times New Roman" w:cs="Times New Roman"/>
              <w:sz w:val="21"/>
              <w:szCs w:val="21"/>
            </w:rPr>
            <w:fldChar w:fldCharType="separate"/>
          </w:r>
          <w:r>
            <w:rPr>
              <w:rFonts w:ascii="Times New Roman" w:hAnsi="Times New Roman" w:cs="Times New Roman"/>
              <w:sz w:val="21"/>
              <w:szCs w:val="21"/>
            </w:rPr>
            <w:t>4</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2DADB679">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_Toc17693 </w:instrText>
          </w:r>
          <w:r>
            <w:rPr>
              <w:rFonts w:ascii="Times New Roman" w:hAnsi="Times New Roman" w:eastAsia="宋体" w:cs="Times New Roman"/>
              <w:bCs w:val="0"/>
              <w:sz w:val="21"/>
              <w:szCs w:val="21"/>
            </w:rPr>
            <w:fldChar w:fldCharType="separate"/>
          </w:r>
          <w:r>
            <w:rPr>
              <w:rFonts w:hint="default"/>
              <w:sz w:val="21"/>
              <w:szCs w:val="21"/>
            </w:rPr>
            <w:t>（一）</w:t>
          </w:r>
          <w:r>
            <w:rPr>
              <w:sz w:val="21"/>
              <w:szCs w:val="21"/>
            </w:rPr>
            <w:t>项目绩效总目标</w:t>
          </w:r>
          <w:r>
            <w:rPr>
              <w:sz w:val="21"/>
              <w:szCs w:val="21"/>
            </w:rPr>
            <w:tab/>
          </w:r>
          <w:r>
            <w:rPr>
              <w:sz w:val="21"/>
              <w:szCs w:val="21"/>
            </w:rPr>
            <w:fldChar w:fldCharType="begin"/>
          </w:r>
          <w:r>
            <w:rPr>
              <w:sz w:val="21"/>
              <w:szCs w:val="21"/>
            </w:rPr>
            <w:instrText xml:space="preserve"> PAGEREF _Toc17693 \h </w:instrText>
          </w:r>
          <w:r>
            <w:rPr>
              <w:sz w:val="21"/>
              <w:szCs w:val="21"/>
            </w:rPr>
            <w:fldChar w:fldCharType="separate"/>
          </w:r>
          <w:r>
            <w:rPr>
              <w:sz w:val="21"/>
              <w:szCs w:val="21"/>
            </w:rPr>
            <w:t>4</w:t>
          </w:r>
          <w:r>
            <w:rPr>
              <w:sz w:val="21"/>
              <w:szCs w:val="21"/>
            </w:rPr>
            <w:fldChar w:fldCharType="end"/>
          </w:r>
          <w:r>
            <w:rPr>
              <w:rFonts w:ascii="Times New Roman" w:hAnsi="Times New Roman" w:eastAsia="宋体" w:cs="Times New Roman"/>
              <w:bCs w:val="0"/>
              <w:color w:val="auto"/>
              <w:sz w:val="21"/>
              <w:szCs w:val="21"/>
            </w:rPr>
            <w:fldChar w:fldCharType="end"/>
          </w:r>
        </w:p>
        <w:p w14:paraId="31128E26">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_Toc19087 </w:instrText>
          </w:r>
          <w:r>
            <w:rPr>
              <w:rFonts w:ascii="Times New Roman" w:hAnsi="Times New Roman" w:eastAsia="宋体" w:cs="Times New Roman"/>
              <w:bCs w:val="0"/>
              <w:sz w:val="21"/>
              <w:szCs w:val="21"/>
            </w:rPr>
            <w:fldChar w:fldCharType="separate"/>
          </w:r>
          <w:r>
            <w:rPr>
              <w:rFonts w:hint="default"/>
              <w:sz w:val="21"/>
              <w:szCs w:val="21"/>
            </w:rPr>
            <w:t>（二）年度绩效</w:t>
          </w:r>
          <w:r>
            <w:rPr>
              <w:sz w:val="21"/>
              <w:szCs w:val="21"/>
            </w:rPr>
            <w:t>目标</w:t>
          </w:r>
          <w:r>
            <w:rPr>
              <w:sz w:val="21"/>
              <w:szCs w:val="21"/>
            </w:rPr>
            <w:tab/>
          </w:r>
          <w:r>
            <w:rPr>
              <w:sz w:val="21"/>
              <w:szCs w:val="21"/>
            </w:rPr>
            <w:fldChar w:fldCharType="begin"/>
          </w:r>
          <w:r>
            <w:rPr>
              <w:sz w:val="21"/>
              <w:szCs w:val="21"/>
            </w:rPr>
            <w:instrText xml:space="preserve"> PAGEREF _Toc19087 \h </w:instrText>
          </w:r>
          <w:r>
            <w:rPr>
              <w:sz w:val="21"/>
              <w:szCs w:val="21"/>
            </w:rPr>
            <w:fldChar w:fldCharType="separate"/>
          </w:r>
          <w:r>
            <w:rPr>
              <w:sz w:val="21"/>
              <w:szCs w:val="21"/>
            </w:rPr>
            <w:t>4</w:t>
          </w:r>
          <w:r>
            <w:rPr>
              <w:sz w:val="21"/>
              <w:szCs w:val="21"/>
            </w:rPr>
            <w:fldChar w:fldCharType="end"/>
          </w:r>
          <w:r>
            <w:rPr>
              <w:rFonts w:ascii="Times New Roman" w:hAnsi="Times New Roman" w:eastAsia="宋体" w:cs="Times New Roman"/>
              <w:bCs w:val="0"/>
              <w:color w:val="auto"/>
              <w:sz w:val="21"/>
              <w:szCs w:val="21"/>
            </w:rPr>
            <w:fldChar w:fldCharType="end"/>
          </w:r>
        </w:p>
        <w:p w14:paraId="5E68A11C">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_Toc25797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三</w:t>
          </w:r>
          <w:r>
            <w:rPr>
              <w:rFonts w:ascii="Times New Roman" w:hAnsi="Times New Roman" w:cs="Times New Roman"/>
              <w:sz w:val="21"/>
              <w:szCs w:val="21"/>
            </w:rPr>
            <w:t>、绩效评价工作开展情况</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_Toc25797 \h </w:instrText>
          </w:r>
          <w:r>
            <w:rPr>
              <w:rFonts w:ascii="Times New Roman" w:hAnsi="Times New Roman" w:cs="Times New Roman"/>
              <w:sz w:val="21"/>
              <w:szCs w:val="21"/>
            </w:rPr>
            <w:fldChar w:fldCharType="separate"/>
          </w:r>
          <w:r>
            <w:rPr>
              <w:rFonts w:ascii="Times New Roman" w:hAnsi="Times New Roman" w:cs="Times New Roman"/>
              <w:sz w:val="21"/>
              <w:szCs w:val="21"/>
            </w:rPr>
            <w:t>5</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388D122F">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_Toc13361 </w:instrText>
          </w:r>
          <w:r>
            <w:rPr>
              <w:rFonts w:ascii="Times New Roman" w:hAnsi="Times New Roman" w:eastAsia="宋体" w:cs="Times New Roman"/>
              <w:bCs w:val="0"/>
              <w:sz w:val="21"/>
              <w:szCs w:val="21"/>
            </w:rPr>
            <w:fldChar w:fldCharType="separate"/>
          </w:r>
          <w:r>
            <w:rPr>
              <w:rFonts w:hint="default" w:ascii="Times New Roman" w:hAnsi="Times New Roman"/>
              <w:sz w:val="21"/>
              <w:szCs w:val="21"/>
            </w:rPr>
            <w:t>（一</w:t>
          </w:r>
          <w:r>
            <w:rPr>
              <w:rFonts w:ascii="Times New Roman" w:hAnsi="Times New Roman"/>
              <w:sz w:val="21"/>
              <w:szCs w:val="21"/>
            </w:rPr>
            <w:t>）绩效评价</w:t>
          </w:r>
          <w:r>
            <w:rPr>
              <w:rFonts w:hint="default" w:ascii="Times New Roman" w:hAnsi="Times New Roman"/>
              <w:sz w:val="21"/>
              <w:szCs w:val="21"/>
            </w:rPr>
            <w:t>依据</w:t>
          </w:r>
          <w:r>
            <w:rPr>
              <w:sz w:val="21"/>
              <w:szCs w:val="21"/>
            </w:rPr>
            <w:tab/>
          </w:r>
          <w:r>
            <w:rPr>
              <w:sz w:val="21"/>
              <w:szCs w:val="21"/>
            </w:rPr>
            <w:fldChar w:fldCharType="begin"/>
          </w:r>
          <w:r>
            <w:rPr>
              <w:sz w:val="21"/>
              <w:szCs w:val="21"/>
            </w:rPr>
            <w:instrText xml:space="preserve"> PAGEREF _Toc13361 \h </w:instrText>
          </w:r>
          <w:r>
            <w:rPr>
              <w:sz w:val="21"/>
              <w:szCs w:val="21"/>
            </w:rPr>
            <w:fldChar w:fldCharType="separate"/>
          </w:r>
          <w:r>
            <w:rPr>
              <w:sz w:val="21"/>
              <w:szCs w:val="21"/>
            </w:rPr>
            <w:t>5</w:t>
          </w:r>
          <w:r>
            <w:rPr>
              <w:sz w:val="21"/>
              <w:szCs w:val="21"/>
            </w:rPr>
            <w:fldChar w:fldCharType="end"/>
          </w:r>
          <w:r>
            <w:rPr>
              <w:rFonts w:ascii="Times New Roman" w:hAnsi="Times New Roman" w:eastAsia="宋体" w:cs="Times New Roman"/>
              <w:bCs w:val="0"/>
              <w:color w:val="auto"/>
              <w:sz w:val="21"/>
              <w:szCs w:val="21"/>
            </w:rPr>
            <w:fldChar w:fldCharType="end"/>
          </w:r>
        </w:p>
        <w:p w14:paraId="25EEAB6B">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_Toc21175 </w:instrText>
          </w:r>
          <w:r>
            <w:rPr>
              <w:rFonts w:ascii="Times New Roman" w:hAnsi="Times New Roman" w:eastAsia="宋体" w:cs="Times New Roman"/>
              <w:bCs w:val="0"/>
              <w:sz w:val="21"/>
              <w:szCs w:val="21"/>
            </w:rPr>
            <w:fldChar w:fldCharType="separate"/>
          </w:r>
          <w:r>
            <w:rPr>
              <w:rFonts w:ascii="Times New Roman" w:hAnsi="Times New Roman"/>
              <w:sz w:val="21"/>
              <w:szCs w:val="21"/>
            </w:rPr>
            <w:t>（</w:t>
          </w:r>
          <w:r>
            <w:rPr>
              <w:rFonts w:hint="default" w:ascii="Times New Roman" w:hAnsi="Times New Roman"/>
              <w:sz w:val="21"/>
              <w:szCs w:val="21"/>
            </w:rPr>
            <w:t>二</w:t>
          </w:r>
          <w:r>
            <w:rPr>
              <w:rFonts w:ascii="Times New Roman" w:hAnsi="Times New Roman"/>
              <w:sz w:val="21"/>
              <w:szCs w:val="21"/>
            </w:rPr>
            <w:t>）绩效评价目的、对象和范围</w:t>
          </w:r>
          <w:r>
            <w:rPr>
              <w:sz w:val="21"/>
              <w:szCs w:val="21"/>
            </w:rPr>
            <w:tab/>
          </w:r>
          <w:r>
            <w:rPr>
              <w:sz w:val="21"/>
              <w:szCs w:val="21"/>
            </w:rPr>
            <w:fldChar w:fldCharType="begin"/>
          </w:r>
          <w:r>
            <w:rPr>
              <w:sz w:val="21"/>
              <w:szCs w:val="21"/>
            </w:rPr>
            <w:instrText xml:space="preserve"> PAGEREF _Toc21175 \h </w:instrText>
          </w:r>
          <w:r>
            <w:rPr>
              <w:sz w:val="21"/>
              <w:szCs w:val="21"/>
            </w:rPr>
            <w:fldChar w:fldCharType="separate"/>
          </w:r>
          <w:r>
            <w:rPr>
              <w:sz w:val="21"/>
              <w:szCs w:val="21"/>
            </w:rPr>
            <w:t>6</w:t>
          </w:r>
          <w:r>
            <w:rPr>
              <w:sz w:val="21"/>
              <w:szCs w:val="21"/>
            </w:rPr>
            <w:fldChar w:fldCharType="end"/>
          </w:r>
          <w:r>
            <w:rPr>
              <w:rFonts w:ascii="Times New Roman" w:hAnsi="Times New Roman" w:eastAsia="宋体" w:cs="Times New Roman"/>
              <w:bCs w:val="0"/>
              <w:color w:val="auto"/>
              <w:sz w:val="21"/>
              <w:szCs w:val="21"/>
            </w:rPr>
            <w:fldChar w:fldCharType="end"/>
          </w:r>
        </w:p>
        <w:p w14:paraId="4EEE3E51">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_Toc23545 </w:instrText>
          </w:r>
          <w:r>
            <w:rPr>
              <w:rFonts w:ascii="Times New Roman" w:hAnsi="Times New Roman" w:eastAsia="宋体" w:cs="Times New Roman"/>
              <w:bCs w:val="0"/>
              <w:sz w:val="21"/>
              <w:szCs w:val="21"/>
            </w:rPr>
            <w:fldChar w:fldCharType="separate"/>
          </w:r>
          <w:r>
            <w:rPr>
              <w:rFonts w:ascii="Times New Roman" w:hAnsi="Times New Roman"/>
              <w:sz w:val="21"/>
              <w:szCs w:val="21"/>
            </w:rPr>
            <w:t>（</w:t>
          </w:r>
          <w:r>
            <w:rPr>
              <w:rFonts w:hint="default" w:ascii="Times New Roman" w:hAnsi="Times New Roman"/>
              <w:sz w:val="21"/>
              <w:szCs w:val="21"/>
            </w:rPr>
            <w:t>三</w:t>
          </w:r>
          <w:r>
            <w:rPr>
              <w:rFonts w:ascii="Times New Roman" w:hAnsi="Times New Roman"/>
              <w:sz w:val="21"/>
              <w:szCs w:val="21"/>
            </w:rPr>
            <w:t>）绩效评价原则</w:t>
          </w:r>
          <w:r>
            <w:rPr>
              <w:sz w:val="21"/>
              <w:szCs w:val="21"/>
            </w:rPr>
            <w:tab/>
          </w:r>
          <w:r>
            <w:rPr>
              <w:sz w:val="21"/>
              <w:szCs w:val="21"/>
            </w:rPr>
            <w:fldChar w:fldCharType="begin"/>
          </w:r>
          <w:r>
            <w:rPr>
              <w:sz w:val="21"/>
              <w:szCs w:val="21"/>
            </w:rPr>
            <w:instrText xml:space="preserve"> PAGEREF _Toc23545 \h </w:instrText>
          </w:r>
          <w:r>
            <w:rPr>
              <w:sz w:val="21"/>
              <w:szCs w:val="21"/>
            </w:rPr>
            <w:fldChar w:fldCharType="separate"/>
          </w:r>
          <w:r>
            <w:rPr>
              <w:sz w:val="21"/>
              <w:szCs w:val="21"/>
            </w:rPr>
            <w:t>6</w:t>
          </w:r>
          <w:r>
            <w:rPr>
              <w:sz w:val="21"/>
              <w:szCs w:val="21"/>
            </w:rPr>
            <w:fldChar w:fldCharType="end"/>
          </w:r>
          <w:r>
            <w:rPr>
              <w:rFonts w:ascii="Times New Roman" w:hAnsi="Times New Roman" w:eastAsia="宋体" w:cs="Times New Roman"/>
              <w:bCs w:val="0"/>
              <w:color w:val="auto"/>
              <w:sz w:val="21"/>
              <w:szCs w:val="21"/>
            </w:rPr>
            <w:fldChar w:fldCharType="end"/>
          </w:r>
        </w:p>
        <w:p w14:paraId="157C031E">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_Toc12323 </w:instrText>
          </w:r>
          <w:r>
            <w:rPr>
              <w:rFonts w:ascii="Times New Roman" w:hAnsi="Times New Roman" w:eastAsia="宋体" w:cs="Times New Roman"/>
              <w:bCs w:val="0"/>
              <w:sz w:val="21"/>
              <w:szCs w:val="21"/>
            </w:rPr>
            <w:fldChar w:fldCharType="separate"/>
          </w:r>
          <w:r>
            <w:rPr>
              <w:rFonts w:hint="default"/>
              <w:bCs/>
              <w:sz w:val="21"/>
              <w:szCs w:val="21"/>
              <w:highlight w:val="none"/>
              <w:lang w:eastAsia="zh-CN"/>
            </w:rPr>
            <w:t>（</w:t>
          </w:r>
          <w:r>
            <w:rPr>
              <w:rFonts w:hint="default"/>
              <w:bCs/>
              <w:sz w:val="21"/>
              <w:szCs w:val="21"/>
              <w:highlight w:val="none"/>
              <w:lang w:val="en-US" w:eastAsia="zh-CN"/>
            </w:rPr>
            <w:t>四</w:t>
          </w:r>
          <w:r>
            <w:rPr>
              <w:rFonts w:hint="default"/>
              <w:sz w:val="21"/>
              <w:szCs w:val="21"/>
              <w:highlight w:val="none"/>
              <w:lang w:eastAsia="zh-CN"/>
            </w:rPr>
            <w:t>）</w:t>
          </w:r>
          <w:r>
            <w:rPr>
              <w:rFonts w:hint="default"/>
              <w:sz w:val="21"/>
              <w:szCs w:val="21"/>
              <w:highlight w:val="none"/>
              <w:lang w:val="en-US" w:eastAsia="zh-CN"/>
            </w:rPr>
            <w:t>绩效评价标准</w:t>
          </w:r>
          <w:r>
            <w:rPr>
              <w:sz w:val="21"/>
              <w:szCs w:val="21"/>
            </w:rPr>
            <w:tab/>
          </w:r>
          <w:r>
            <w:rPr>
              <w:sz w:val="21"/>
              <w:szCs w:val="21"/>
            </w:rPr>
            <w:fldChar w:fldCharType="begin"/>
          </w:r>
          <w:r>
            <w:rPr>
              <w:sz w:val="21"/>
              <w:szCs w:val="21"/>
            </w:rPr>
            <w:instrText xml:space="preserve"> PAGEREF _Toc12323 \h </w:instrText>
          </w:r>
          <w:r>
            <w:rPr>
              <w:sz w:val="21"/>
              <w:szCs w:val="21"/>
            </w:rPr>
            <w:fldChar w:fldCharType="separate"/>
          </w:r>
          <w:r>
            <w:rPr>
              <w:sz w:val="21"/>
              <w:szCs w:val="21"/>
            </w:rPr>
            <w:t>6</w:t>
          </w:r>
          <w:r>
            <w:rPr>
              <w:sz w:val="21"/>
              <w:szCs w:val="21"/>
            </w:rPr>
            <w:fldChar w:fldCharType="end"/>
          </w:r>
          <w:r>
            <w:rPr>
              <w:rFonts w:ascii="Times New Roman" w:hAnsi="Times New Roman" w:eastAsia="宋体" w:cs="Times New Roman"/>
              <w:bCs w:val="0"/>
              <w:color w:val="auto"/>
              <w:sz w:val="21"/>
              <w:szCs w:val="21"/>
            </w:rPr>
            <w:fldChar w:fldCharType="end"/>
          </w:r>
        </w:p>
        <w:p w14:paraId="4AD9A071">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_Toc18562 </w:instrText>
          </w:r>
          <w:r>
            <w:rPr>
              <w:rFonts w:ascii="Times New Roman" w:hAnsi="Times New Roman" w:eastAsia="宋体" w:cs="Times New Roman"/>
              <w:bCs w:val="0"/>
              <w:sz w:val="21"/>
              <w:szCs w:val="21"/>
            </w:rPr>
            <w:fldChar w:fldCharType="separate"/>
          </w:r>
          <w:r>
            <w:rPr>
              <w:rFonts w:hint="default"/>
              <w:sz w:val="21"/>
              <w:szCs w:val="21"/>
            </w:rPr>
            <w:t>（</w:t>
          </w:r>
          <w:r>
            <w:rPr>
              <w:rFonts w:hint="default"/>
              <w:sz w:val="21"/>
              <w:szCs w:val="21"/>
              <w:lang w:val="en-US" w:eastAsia="zh-CN"/>
            </w:rPr>
            <w:t>五</w:t>
          </w:r>
          <w:r>
            <w:rPr>
              <w:rFonts w:hint="default"/>
              <w:sz w:val="21"/>
              <w:szCs w:val="21"/>
            </w:rPr>
            <w:t>）</w:t>
          </w:r>
          <w:r>
            <w:rPr>
              <w:sz w:val="21"/>
              <w:szCs w:val="21"/>
            </w:rPr>
            <w:t>绩效评价</w:t>
          </w:r>
          <w:r>
            <w:rPr>
              <w:rFonts w:hint="default"/>
              <w:sz w:val="21"/>
              <w:szCs w:val="21"/>
            </w:rPr>
            <w:t>方法</w:t>
          </w:r>
          <w:r>
            <w:rPr>
              <w:sz w:val="21"/>
              <w:szCs w:val="21"/>
            </w:rPr>
            <w:tab/>
          </w:r>
          <w:r>
            <w:rPr>
              <w:sz w:val="21"/>
              <w:szCs w:val="21"/>
            </w:rPr>
            <w:fldChar w:fldCharType="begin"/>
          </w:r>
          <w:r>
            <w:rPr>
              <w:sz w:val="21"/>
              <w:szCs w:val="21"/>
            </w:rPr>
            <w:instrText xml:space="preserve"> PAGEREF _Toc18562 \h </w:instrText>
          </w:r>
          <w:r>
            <w:rPr>
              <w:sz w:val="21"/>
              <w:szCs w:val="21"/>
            </w:rPr>
            <w:fldChar w:fldCharType="separate"/>
          </w:r>
          <w:r>
            <w:rPr>
              <w:sz w:val="21"/>
              <w:szCs w:val="21"/>
            </w:rPr>
            <w:t>6</w:t>
          </w:r>
          <w:r>
            <w:rPr>
              <w:sz w:val="21"/>
              <w:szCs w:val="21"/>
            </w:rPr>
            <w:fldChar w:fldCharType="end"/>
          </w:r>
          <w:r>
            <w:rPr>
              <w:rFonts w:ascii="Times New Roman" w:hAnsi="Times New Roman" w:eastAsia="宋体" w:cs="Times New Roman"/>
              <w:bCs w:val="0"/>
              <w:color w:val="auto"/>
              <w:sz w:val="21"/>
              <w:szCs w:val="21"/>
            </w:rPr>
            <w:fldChar w:fldCharType="end"/>
          </w:r>
        </w:p>
        <w:p w14:paraId="2565C3E4">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_Toc21186 </w:instrText>
          </w:r>
          <w:r>
            <w:rPr>
              <w:rFonts w:ascii="Times New Roman" w:hAnsi="Times New Roman" w:eastAsia="宋体" w:cs="Times New Roman"/>
              <w:bCs w:val="0"/>
              <w:sz w:val="21"/>
              <w:szCs w:val="21"/>
            </w:rPr>
            <w:fldChar w:fldCharType="separate"/>
          </w:r>
          <w:r>
            <w:rPr>
              <w:rFonts w:hint="default"/>
              <w:sz w:val="21"/>
              <w:szCs w:val="21"/>
            </w:rPr>
            <w:t>（</w:t>
          </w:r>
          <w:r>
            <w:rPr>
              <w:rFonts w:hint="default"/>
              <w:sz w:val="21"/>
              <w:szCs w:val="21"/>
              <w:lang w:val="en-US" w:eastAsia="zh-CN"/>
            </w:rPr>
            <w:t>六</w:t>
          </w:r>
          <w:r>
            <w:rPr>
              <w:rFonts w:hint="default"/>
              <w:sz w:val="21"/>
              <w:szCs w:val="21"/>
            </w:rPr>
            <w:t>）</w:t>
          </w:r>
          <w:r>
            <w:rPr>
              <w:sz w:val="21"/>
              <w:szCs w:val="21"/>
            </w:rPr>
            <w:t>绩效评价指标体系</w:t>
          </w:r>
          <w:r>
            <w:rPr>
              <w:rFonts w:hint="default"/>
              <w:sz w:val="21"/>
              <w:szCs w:val="21"/>
            </w:rPr>
            <w:t>设计</w:t>
          </w:r>
          <w:r>
            <w:rPr>
              <w:sz w:val="21"/>
              <w:szCs w:val="21"/>
            </w:rPr>
            <w:tab/>
          </w:r>
          <w:r>
            <w:rPr>
              <w:sz w:val="21"/>
              <w:szCs w:val="21"/>
            </w:rPr>
            <w:fldChar w:fldCharType="begin"/>
          </w:r>
          <w:r>
            <w:rPr>
              <w:sz w:val="21"/>
              <w:szCs w:val="21"/>
            </w:rPr>
            <w:instrText xml:space="preserve"> PAGEREF _Toc21186 \h </w:instrText>
          </w:r>
          <w:r>
            <w:rPr>
              <w:sz w:val="21"/>
              <w:szCs w:val="21"/>
            </w:rPr>
            <w:fldChar w:fldCharType="separate"/>
          </w:r>
          <w:r>
            <w:rPr>
              <w:sz w:val="21"/>
              <w:szCs w:val="21"/>
            </w:rPr>
            <w:t>9</w:t>
          </w:r>
          <w:r>
            <w:rPr>
              <w:sz w:val="21"/>
              <w:szCs w:val="21"/>
            </w:rPr>
            <w:fldChar w:fldCharType="end"/>
          </w:r>
          <w:r>
            <w:rPr>
              <w:rFonts w:ascii="Times New Roman" w:hAnsi="Times New Roman" w:eastAsia="宋体" w:cs="Times New Roman"/>
              <w:bCs w:val="0"/>
              <w:color w:val="auto"/>
              <w:sz w:val="21"/>
              <w:szCs w:val="21"/>
            </w:rPr>
            <w:fldChar w:fldCharType="end"/>
          </w:r>
        </w:p>
        <w:p w14:paraId="4ED4427C">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_Toc17434 </w:instrText>
          </w:r>
          <w:r>
            <w:rPr>
              <w:rFonts w:ascii="Times New Roman" w:hAnsi="Times New Roman" w:eastAsia="宋体" w:cs="Times New Roman"/>
              <w:bCs w:val="0"/>
              <w:sz w:val="21"/>
              <w:szCs w:val="21"/>
            </w:rPr>
            <w:fldChar w:fldCharType="separate"/>
          </w:r>
          <w:r>
            <w:rPr>
              <w:rFonts w:hint="default" w:cs="Times New Roman"/>
              <w:sz w:val="21"/>
              <w:szCs w:val="21"/>
              <w:lang w:val="en-US" w:eastAsia="zh-CN"/>
            </w:rPr>
            <w:t>（七）绩效评价工作过程</w:t>
          </w:r>
          <w:r>
            <w:rPr>
              <w:sz w:val="21"/>
              <w:szCs w:val="21"/>
            </w:rPr>
            <w:tab/>
          </w:r>
          <w:r>
            <w:rPr>
              <w:sz w:val="21"/>
              <w:szCs w:val="21"/>
            </w:rPr>
            <w:fldChar w:fldCharType="begin"/>
          </w:r>
          <w:r>
            <w:rPr>
              <w:sz w:val="21"/>
              <w:szCs w:val="21"/>
            </w:rPr>
            <w:instrText xml:space="preserve"> PAGEREF _Toc17434 \h </w:instrText>
          </w:r>
          <w:r>
            <w:rPr>
              <w:sz w:val="21"/>
              <w:szCs w:val="21"/>
            </w:rPr>
            <w:fldChar w:fldCharType="separate"/>
          </w:r>
          <w:r>
            <w:rPr>
              <w:sz w:val="21"/>
              <w:szCs w:val="21"/>
            </w:rPr>
            <w:t>9</w:t>
          </w:r>
          <w:r>
            <w:rPr>
              <w:sz w:val="21"/>
              <w:szCs w:val="21"/>
            </w:rPr>
            <w:fldChar w:fldCharType="end"/>
          </w:r>
          <w:r>
            <w:rPr>
              <w:rFonts w:ascii="Times New Roman" w:hAnsi="Times New Roman" w:eastAsia="宋体" w:cs="Times New Roman"/>
              <w:bCs w:val="0"/>
              <w:color w:val="auto"/>
              <w:sz w:val="21"/>
              <w:szCs w:val="21"/>
            </w:rPr>
            <w:fldChar w:fldCharType="end"/>
          </w:r>
        </w:p>
        <w:p w14:paraId="39D34BBB">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_Toc24886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四</w:t>
          </w:r>
          <w:r>
            <w:rPr>
              <w:rFonts w:ascii="Times New Roman" w:hAnsi="Times New Roman" w:cs="Times New Roman"/>
              <w:sz w:val="21"/>
              <w:szCs w:val="21"/>
            </w:rPr>
            <w:t>、综合评价情况及评价结论</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_Toc24886 \h </w:instrText>
          </w:r>
          <w:r>
            <w:rPr>
              <w:rFonts w:ascii="Times New Roman" w:hAnsi="Times New Roman" w:cs="Times New Roman"/>
              <w:sz w:val="21"/>
              <w:szCs w:val="21"/>
            </w:rPr>
            <w:fldChar w:fldCharType="separate"/>
          </w:r>
          <w:r>
            <w:rPr>
              <w:rFonts w:ascii="Times New Roman" w:hAnsi="Times New Roman" w:cs="Times New Roman"/>
              <w:sz w:val="21"/>
              <w:szCs w:val="21"/>
            </w:rPr>
            <w:t>11</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759B5A43">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_Toc4648 </w:instrText>
          </w:r>
          <w:r>
            <w:rPr>
              <w:rFonts w:ascii="Times New Roman" w:hAnsi="Times New Roman" w:eastAsia="宋体" w:cs="Times New Roman"/>
              <w:bCs w:val="0"/>
              <w:sz w:val="21"/>
              <w:szCs w:val="21"/>
            </w:rPr>
            <w:fldChar w:fldCharType="separate"/>
          </w:r>
          <w:r>
            <w:rPr>
              <w:rFonts w:hint="default" w:ascii="Times New Roman" w:hAnsi="Times New Roman"/>
              <w:sz w:val="21"/>
              <w:szCs w:val="21"/>
            </w:rPr>
            <w:t>（一）评价得分情况</w:t>
          </w:r>
          <w:r>
            <w:rPr>
              <w:sz w:val="21"/>
              <w:szCs w:val="21"/>
            </w:rPr>
            <w:tab/>
          </w:r>
          <w:r>
            <w:rPr>
              <w:sz w:val="21"/>
              <w:szCs w:val="21"/>
            </w:rPr>
            <w:fldChar w:fldCharType="begin"/>
          </w:r>
          <w:r>
            <w:rPr>
              <w:sz w:val="21"/>
              <w:szCs w:val="21"/>
            </w:rPr>
            <w:instrText xml:space="preserve"> PAGEREF _Toc4648 \h </w:instrText>
          </w:r>
          <w:r>
            <w:rPr>
              <w:sz w:val="21"/>
              <w:szCs w:val="21"/>
            </w:rPr>
            <w:fldChar w:fldCharType="separate"/>
          </w:r>
          <w:r>
            <w:rPr>
              <w:sz w:val="21"/>
              <w:szCs w:val="21"/>
            </w:rPr>
            <w:t>11</w:t>
          </w:r>
          <w:r>
            <w:rPr>
              <w:sz w:val="21"/>
              <w:szCs w:val="21"/>
            </w:rPr>
            <w:fldChar w:fldCharType="end"/>
          </w:r>
          <w:r>
            <w:rPr>
              <w:rFonts w:ascii="Times New Roman" w:hAnsi="Times New Roman" w:eastAsia="宋体" w:cs="Times New Roman"/>
              <w:bCs w:val="0"/>
              <w:color w:val="auto"/>
              <w:sz w:val="21"/>
              <w:szCs w:val="21"/>
            </w:rPr>
            <w:fldChar w:fldCharType="end"/>
          </w:r>
        </w:p>
        <w:p w14:paraId="22962B12">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_Toc4974 </w:instrText>
          </w:r>
          <w:r>
            <w:rPr>
              <w:rFonts w:ascii="Times New Roman" w:hAnsi="Times New Roman" w:eastAsia="宋体" w:cs="Times New Roman"/>
              <w:bCs w:val="0"/>
              <w:sz w:val="21"/>
              <w:szCs w:val="21"/>
            </w:rPr>
            <w:fldChar w:fldCharType="separate"/>
          </w:r>
          <w:r>
            <w:rPr>
              <w:rFonts w:hint="default" w:ascii="Times New Roman" w:hAnsi="Times New Roman" w:eastAsia="宋体" w:cs="Times New Roman"/>
              <w:sz w:val="21"/>
              <w:szCs w:val="21"/>
            </w:rPr>
            <w:t>（二）综合评价结论</w:t>
          </w:r>
          <w:r>
            <w:rPr>
              <w:sz w:val="21"/>
              <w:szCs w:val="21"/>
            </w:rPr>
            <w:tab/>
          </w:r>
          <w:r>
            <w:rPr>
              <w:sz w:val="21"/>
              <w:szCs w:val="21"/>
            </w:rPr>
            <w:fldChar w:fldCharType="begin"/>
          </w:r>
          <w:r>
            <w:rPr>
              <w:sz w:val="21"/>
              <w:szCs w:val="21"/>
            </w:rPr>
            <w:instrText xml:space="preserve"> PAGEREF _Toc4974 \h </w:instrText>
          </w:r>
          <w:r>
            <w:rPr>
              <w:sz w:val="21"/>
              <w:szCs w:val="21"/>
            </w:rPr>
            <w:fldChar w:fldCharType="separate"/>
          </w:r>
          <w:r>
            <w:rPr>
              <w:sz w:val="21"/>
              <w:szCs w:val="21"/>
            </w:rPr>
            <w:t>11</w:t>
          </w:r>
          <w:r>
            <w:rPr>
              <w:sz w:val="21"/>
              <w:szCs w:val="21"/>
            </w:rPr>
            <w:fldChar w:fldCharType="end"/>
          </w:r>
          <w:r>
            <w:rPr>
              <w:rFonts w:ascii="Times New Roman" w:hAnsi="Times New Roman" w:eastAsia="宋体" w:cs="Times New Roman"/>
              <w:bCs w:val="0"/>
              <w:color w:val="auto"/>
              <w:sz w:val="21"/>
              <w:szCs w:val="21"/>
            </w:rPr>
            <w:fldChar w:fldCharType="end"/>
          </w:r>
        </w:p>
        <w:p w14:paraId="198E0105">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_Toc3192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五</w:t>
          </w:r>
          <w:r>
            <w:rPr>
              <w:rFonts w:ascii="Times New Roman" w:hAnsi="Times New Roman" w:cs="Times New Roman"/>
              <w:sz w:val="21"/>
              <w:szCs w:val="21"/>
            </w:rPr>
            <w:t>、绩效评价指标分析</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_Toc3192 \h </w:instrText>
          </w:r>
          <w:r>
            <w:rPr>
              <w:rFonts w:ascii="Times New Roman" w:hAnsi="Times New Roman" w:cs="Times New Roman"/>
              <w:sz w:val="21"/>
              <w:szCs w:val="21"/>
            </w:rPr>
            <w:fldChar w:fldCharType="separate"/>
          </w:r>
          <w:r>
            <w:rPr>
              <w:rFonts w:ascii="Times New Roman" w:hAnsi="Times New Roman" w:cs="Times New Roman"/>
              <w:sz w:val="21"/>
              <w:szCs w:val="21"/>
            </w:rPr>
            <w:t>12</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782EEF76">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_Toc16186 </w:instrText>
          </w:r>
          <w:r>
            <w:rPr>
              <w:rFonts w:ascii="Times New Roman" w:hAnsi="Times New Roman" w:eastAsia="宋体" w:cs="Times New Roman"/>
              <w:bCs w:val="0"/>
              <w:sz w:val="21"/>
              <w:szCs w:val="21"/>
            </w:rPr>
            <w:fldChar w:fldCharType="separate"/>
          </w:r>
          <w:r>
            <w:rPr>
              <w:rFonts w:ascii="Times New Roman" w:hAnsi="Times New Roman"/>
              <w:sz w:val="21"/>
              <w:szCs w:val="21"/>
            </w:rPr>
            <w:t>（一）项目决策情况</w:t>
          </w:r>
          <w:r>
            <w:rPr>
              <w:sz w:val="21"/>
              <w:szCs w:val="21"/>
            </w:rPr>
            <w:tab/>
          </w:r>
          <w:r>
            <w:rPr>
              <w:sz w:val="21"/>
              <w:szCs w:val="21"/>
            </w:rPr>
            <w:fldChar w:fldCharType="begin"/>
          </w:r>
          <w:r>
            <w:rPr>
              <w:sz w:val="21"/>
              <w:szCs w:val="21"/>
            </w:rPr>
            <w:instrText xml:space="preserve"> PAGEREF _Toc16186 \h </w:instrText>
          </w:r>
          <w:r>
            <w:rPr>
              <w:sz w:val="21"/>
              <w:szCs w:val="21"/>
            </w:rPr>
            <w:fldChar w:fldCharType="separate"/>
          </w:r>
          <w:r>
            <w:rPr>
              <w:sz w:val="21"/>
              <w:szCs w:val="21"/>
            </w:rPr>
            <w:t>12</w:t>
          </w:r>
          <w:r>
            <w:rPr>
              <w:sz w:val="21"/>
              <w:szCs w:val="21"/>
            </w:rPr>
            <w:fldChar w:fldCharType="end"/>
          </w:r>
          <w:r>
            <w:rPr>
              <w:rFonts w:ascii="Times New Roman" w:hAnsi="Times New Roman" w:eastAsia="宋体" w:cs="Times New Roman"/>
              <w:bCs w:val="0"/>
              <w:color w:val="auto"/>
              <w:sz w:val="21"/>
              <w:szCs w:val="21"/>
            </w:rPr>
            <w:fldChar w:fldCharType="end"/>
          </w:r>
        </w:p>
        <w:p w14:paraId="0366EDE6">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_Toc20481 </w:instrText>
          </w:r>
          <w:r>
            <w:rPr>
              <w:rFonts w:ascii="Times New Roman" w:hAnsi="Times New Roman" w:eastAsia="宋体" w:cs="Times New Roman"/>
              <w:bCs w:val="0"/>
              <w:sz w:val="21"/>
              <w:szCs w:val="21"/>
            </w:rPr>
            <w:fldChar w:fldCharType="separate"/>
          </w:r>
          <w:r>
            <w:rPr>
              <w:rFonts w:ascii="Times New Roman" w:hAnsi="Times New Roman"/>
              <w:sz w:val="21"/>
              <w:szCs w:val="21"/>
            </w:rPr>
            <w:t>（二）项目过程情况</w:t>
          </w:r>
          <w:r>
            <w:rPr>
              <w:sz w:val="21"/>
              <w:szCs w:val="21"/>
            </w:rPr>
            <w:tab/>
          </w:r>
          <w:r>
            <w:rPr>
              <w:sz w:val="21"/>
              <w:szCs w:val="21"/>
            </w:rPr>
            <w:fldChar w:fldCharType="begin"/>
          </w:r>
          <w:r>
            <w:rPr>
              <w:sz w:val="21"/>
              <w:szCs w:val="21"/>
            </w:rPr>
            <w:instrText xml:space="preserve"> PAGEREF _Toc20481 \h </w:instrText>
          </w:r>
          <w:r>
            <w:rPr>
              <w:sz w:val="21"/>
              <w:szCs w:val="21"/>
            </w:rPr>
            <w:fldChar w:fldCharType="separate"/>
          </w:r>
          <w:r>
            <w:rPr>
              <w:sz w:val="21"/>
              <w:szCs w:val="21"/>
            </w:rPr>
            <w:t>14</w:t>
          </w:r>
          <w:r>
            <w:rPr>
              <w:sz w:val="21"/>
              <w:szCs w:val="21"/>
            </w:rPr>
            <w:fldChar w:fldCharType="end"/>
          </w:r>
          <w:r>
            <w:rPr>
              <w:rFonts w:ascii="Times New Roman" w:hAnsi="Times New Roman" w:eastAsia="宋体" w:cs="Times New Roman"/>
              <w:bCs w:val="0"/>
              <w:color w:val="auto"/>
              <w:sz w:val="21"/>
              <w:szCs w:val="21"/>
            </w:rPr>
            <w:fldChar w:fldCharType="end"/>
          </w:r>
        </w:p>
        <w:p w14:paraId="7E65CAE5">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_Toc23156 </w:instrText>
          </w:r>
          <w:r>
            <w:rPr>
              <w:rFonts w:ascii="Times New Roman" w:hAnsi="Times New Roman" w:eastAsia="宋体" w:cs="Times New Roman"/>
              <w:bCs w:val="0"/>
              <w:sz w:val="21"/>
              <w:szCs w:val="21"/>
            </w:rPr>
            <w:fldChar w:fldCharType="separate"/>
          </w:r>
          <w:r>
            <w:rPr>
              <w:rFonts w:ascii="Times New Roman" w:hAnsi="Times New Roman"/>
              <w:sz w:val="21"/>
              <w:szCs w:val="21"/>
            </w:rPr>
            <w:t>（三）项目产出情况</w:t>
          </w:r>
          <w:r>
            <w:rPr>
              <w:sz w:val="21"/>
              <w:szCs w:val="21"/>
            </w:rPr>
            <w:tab/>
          </w:r>
          <w:r>
            <w:rPr>
              <w:sz w:val="21"/>
              <w:szCs w:val="21"/>
            </w:rPr>
            <w:fldChar w:fldCharType="begin"/>
          </w:r>
          <w:r>
            <w:rPr>
              <w:sz w:val="21"/>
              <w:szCs w:val="21"/>
            </w:rPr>
            <w:instrText xml:space="preserve"> PAGEREF _Toc23156 \h </w:instrText>
          </w:r>
          <w:r>
            <w:rPr>
              <w:sz w:val="21"/>
              <w:szCs w:val="21"/>
            </w:rPr>
            <w:fldChar w:fldCharType="separate"/>
          </w:r>
          <w:r>
            <w:rPr>
              <w:sz w:val="21"/>
              <w:szCs w:val="21"/>
            </w:rPr>
            <w:t>17</w:t>
          </w:r>
          <w:r>
            <w:rPr>
              <w:sz w:val="21"/>
              <w:szCs w:val="21"/>
            </w:rPr>
            <w:fldChar w:fldCharType="end"/>
          </w:r>
          <w:r>
            <w:rPr>
              <w:rFonts w:ascii="Times New Roman" w:hAnsi="Times New Roman" w:eastAsia="宋体" w:cs="Times New Roman"/>
              <w:bCs w:val="0"/>
              <w:color w:val="auto"/>
              <w:sz w:val="21"/>
              <w:szCs w:val="21"/>
            </w:rPr>
            <w:fldChar w:fldCharType="end"/>
          </w:r>
        </w:p>
        <w:p w14:paraId="3866E3B4">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_Toc7410 </w:instrText>
          </w:r>
          <w:r>
            <w:rPr>
              <w:rFonts w:ascii="Times New Roman" w:hAnsi="Times New Roman" w:eastAsia="宋体" w:cs="Times New Roman"/>
              <w:bCs w:val="0"/>
              <w:sz w:val="21"/>
              <w:szCs w:val="21"/>
            </w:rPr>
            <w:fldChar w:fldCharType="separate"/>
          </w:r>
          <w:r>
            <w:rPr>
              <w:rFonts w:ascii="Times New Roman" w:hAnsi="Times New Roman"/>
              <w:sz w:val="21"/>
              <w:szCs w:val="21"/>
            </w:rPr>
            <w:t>（四）项目效益情况</w:t>
          </w:r>
          <w:r>
            <w:rPr>
              <w:sz w:val="21"/>
              <w:szCs w:val="21"/>
            </w:rPr>
            <w:tab/>
          </w:r>
          <w:r>
            <w:rPr>
              <w:sz w:val="21"/>
              <w:szCs w:val="21"/>
            </w:rPr>
            <w:fldChar w:fldCharType="begin"/>
          </w:r>
          <w:r>
            <w:rPr>
              <w:sz w:val="21"/>
              <w:szCs w:val="21"/>
            </w:rPr>
            <w:instrText xml:space="preserve"> PAGEREF _Toc7410 \h </w:instrText>
          </w:r>
          <w:r>
            <w:rPr>
              <w:sz w:val="21"/>
              <w:szCs w:val="21"/>
            </w:rPr>
            <w:fldChar w:fldCharType="separate"/>
          </w:r>
          <w:r>
            <w:rPr>
              <w:sz w:val="21"/>
              <w:szCs w:val="21"/>
            </w:rPr>
            <w:t>19</w:t>
          </w:r>
          <w:r>
            <w:rPr>
              <w:sz w:val="21"/>
              <w:szCs w:val="21"/>
            </w:rPr>
            <w:fldChar w:fldCharType="end"/>
          </w:r>
          <w:r>
            <w:rPr>
              <w:rFonts w:ascii="Times New Roman" w:hAnsi="Times New Roman" w:eastAsia="宋体" w:cs="Times New Roman"/>
              <w:bCs w:val="0"/>
              <w:color w:val="auto"/>
              <w:sz w:val="21"/>
              <w:szCs w:val="21"/>
            </w:rPr>
            <w:fldChar w:fldCharType="end"/>
          </w:r>
        </w:p>
        <w:p w14:paraId="20BACD14">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_Toc10082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六</w:t>
          </w:r>
          <w:r>
            <w:rPr>
              <w:rFonts w:ascii="Times New Roman" w:hAnsi="Times New Roman" w:cs="Times New Roman"/>
              <w:sz w:val="21"/>
              <w:szCs w:val="21"/>
            </w:rPr>
            <w:t>、主要经验及</w:t>
          </w:r>
          <w:r>
            <w:rPr>
              <w:rFonts w:hint="default" w:ascii="Times New Roman" w:hAnsi="Times New Roman" w:cs="Times New Roman"/>
              <w:sz w:val="21"/>
              <w:szCs w:val="21"/>
            </w:rPr>
            <w:t>做法</w:t>
          </w:r>
          <w:r>
            <w:rPr>
              <w:rFonts w:ascii="Times New Roman" w:hAnsi="Times New Roman" w:cs="Times New Roman"/>
              <w:sz w:val="21"/>
              <w:szCs w:val="21"/>
            </w:rPr>
            <w:t>、存在的问题及原因分析</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_Toc10082 \h </w:instrText>
          </w:r>
          <w:r>
            <w:rPr>
              <w:rFonts w:ascii="Times New Roman" w:hAnsi="Times New Roman" w:cs="Times New Roman"/>
              <w:sz w:val="21"/>
              <w:szCs w:val="21"/>
            </w:rPr>
            <w:fldChar w:fldCharType="separate"/>
          </w:r>
          <w:r>
            <w:rPr>
              <w:rFonts w:ascii="Times New Roman" w:hAnsi="Times New Roman" w:cs="Times New Roman"/>
              <w:sz w:val="21"/>
              <w:szCs w:val="21"/>
            </w:rPr>
            <w:t>21</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6E10441E">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_Toc27651 </w:instrText>
          </w:r>
          <w:r>
            <w:rPr>
              <w:rFonts w:ascii="Times New Roman" w:hAnsi="Times New Roman" w:eastAsia="宋体" w:cs="Times New Roman"/>
              <w:bCs w:val="0"/>
              <w:sz w:val="21"/>
              <w:szCs w:val="21"/>
            </w:rPr>
            <w:fldChar w:fldCharType="separate"/>
          </w:r>
          <w:r>
            <w:rPr>
              <w:sz w:val="21"/>
              <w:szCs w:val="21"/>
            </w:rPr>
            <w:t>（一）主要经验及</w:t>
          </w:r>
          <w:r>
            <w:rPr>
              <w:rFonts w:ascii="Times New Roman" w:hAnsi="Times New Roman" w:cs="Times New Roman"/>
              <w:sz w:val="21"/>
              <w:szCs w:val="21"/>
            </w:rPr>
            <w:t>做法</w:t>
          </w:r>
          <w:r>
            <w:rPr>
              <w:sz w:val="21"/>
              <w:szCs w:val="21"/>
            </w:rPr>
            <w:tab/>
          </w:r>
          <w:r>
            <w:rPr>
              <w:sz w:val="21"/>
              <w:szCs w:val="21"/>
            </w:rPr>
            <w:fldChar w:fldCharType="begin"/>
          </w:r>
          <w:r>
            <w:rPr>
              <w:sz w:val="21"/>
              <w:szCs w:val="21"/>
            </w:rPr>
            <w:instrText xml:space="preserve"> PAGEREF _Toc27651 \h </w:instrText>
          </w:r>
          <w:r>
            <w:rPr>
              <w:sz w:val="21"/>
              <w:szCs w:val="21"/>
            </w:rPr>
            <w:fldChar w:fldCharType="separate"/>
          </w:r>
          <w:r>
            <w:rPr>
              <w:sz w:val="21"/>
              <w:szCs w:val="21"/>
            </w:rPr>
            <w:t>21</w:t>
          </w:r>
          <w:r>
            <w:rPr>
              <w:sz w:val="21"/>
              <w:szCs w:val="21"/>
            </w:rPr>
            <w:fldChar w:fldCharType="end"/>
          </w:r>
          <w:r>
            <w:rPr>
              <w:rFonts w:ascii="Times New Roman" w:hAnsi="Times New Roman" w:eastAsia="宋体" w:cs="Times New Roman"/>
              <w:bCs w:val="0"/>
              <w:color w:val="auto"/>
              <w:sz w:val="21"/>
              <w:szCs w:val="21"/>
            </w:rPr>
            <w:fldChar w:fldCharType="end"/>
          </w:r>
        </w:p>
        <w:p w14:paraId="03E90E27">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_Toc9538 </w:instrText>
          </w:r>
          <w:r>
            <w:rPr>
              <w:rFonts w:ascii="Times New Roman" w:hAnsi="Times New Roman" w:eastAsia="宋体" w:cs="Times New Roman"/>
              <w:bCs w:val="0"/>
              <w:sz w:val="21"/>
              <w:szCs w:val="21"/>
            </w:rPr>
            <w:fldChar w:fldCharType="separate"/>
          </w:r>
          <w:r>
            <w:rPr>
              <w:rFonts w:ascii="Times New Roman" w:hAnsi="Times New Roman"/>
              <w:sz w:val="21"/>
              <w:szCs w:val="21"/>
            </w:rPr>
            <w:t>（二）存在的问题</w:t>
          </w:r>
          <w:r>
            <w:rPr>
              <w:sz w:val="21"/>
              <w:szCs w:val="21"/>
            </w:rPr>
            <w:tab/>
          </w:r>
          <w:r>
            <w:rPr>
              <w:sz w:val="21"/>
              <w:szCs w:val="21"/>
            </w:rPr>
            <w:fldChar w:fldCharType="begin"/>
          </w:r>
          <w:r>
            <w:rPr>
              <w:sz w:val="21"/>
              <w:szCs w:val="21"/>
            </w:rPr>
            <w:instrText xml:space="preserve"> PAGEREF _Toc9538 \h </w:instrText>
          </w:r>
          <w:r>
            <w:rPr>
              <w:sz w:val="21"/>
              <w:szCs w:val="21"/>
            </w:rPr>
            <w:fldChar w:fldCharType="separate"/>
          </w:r>
          <w:r>
            <w:rPr>
              <w:sz w:val="21"/>
              <w:szCs w:val="21"/>
            </w:rPr>
            <w:t>21</w:t>
          </w:r>
          <w:r>
            <w:rPr>
              <w:sz w:val="21"/>
              <w:szCs w:val="21"/>
            </w:rPr>
            <w:fldChar w:fldCharType="end"/>
          </w:r>
          <w:r>
            <w:rPr>
              <w:rFonts w:ascii="Times New Roman" w:hAnsi="Times New Roman" w:eastAsia="宋体" w:cs="Times New Roman"/>
              <w:bCs w:val="0"/>
              <w:color w:val="auto"/>
              <w:sz w:val="21"/>
              <w:szCs w:val="21"/>
            </w:rPr>
            <w:fldChar w:fldCharType="end"/>
          </w:r>
        </w:p>
        <w:p w14:paraId="24B99463">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_Toc2900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七</w:t>
          </w:r>
          <w:r>
            <w:rPr>
              <w:rFonts w:ascii="Times New Roman" w:hAnsi="Times New Roman" w:cs="Times New Roman"/>
              <w:sz w:val="21"/>
              <w:szCs w:val="21"/>
            </w:rPr>
            <w:t>、有</w:t>
          </w:r>
          <w:r>
            <w:rPr>
              <w:rFonts w:ascii="Times New Roman" w:hAnsi="Times New Roman" w:cs="Times New Roman"/>
              <w:sz w:val="21"/>
              <w:szCs w:val="21"/>
              <w:lang w:val="en-US" w:eastAsia="zh-CN"/>
            </w:rPr>
            <w:t>关</w:t>
          </w:r>
          <w:r>
            <w:rPr>
              <w:rFonts w:hint="default" w:ascii="Times New Roman" w:hAnsi="Times New Roman" w:cs="Times New Roman"/>
              <w:sz w:val="21"/>
              <w:szCs w:val="21"/>
              <w:lang w:val="en-US" w:eastAsia="zh-CN"/>
            </w:rPr>
            <w:t>建议</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_Toc2900 \h </w:instrText>
          </w:r>
          <w:r>
            <w:rPr>
              <w:rFonts w:ascii="Times New Roman" w:hAnsi="Times New Roman" w:cs="Times New Roman"/>
              <w:sz w:val="21"/>
              <w:szCs w:val="21"/>
            </w:rPr>
            <w:fldChar w:fldCharType="separate"/>
          </w:r>
          <w:r>
            <w:rPr>
              <w:rFonts w:ascii="Times New Roman" w:hAnsi="Times New Roman" w:cs="Times New Roman"/>
              <w:sz w:val="21"/>
              <w:szCs w:val="21"/>
            </w:rPr>
            <w:t>22</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00ECF481">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_Toc28189 </w:instrText>
          </w:r>
          <w:r>
            <w:rPr>
              <w:rFonts w:ascii="Times New Roman" w:hAnsi="Times New Roman" w:eastAsia="宋体" w:cs="Times New Roman"/>
              <w:bCs w:val="0"/>
              <w:sz w:val="21"/>
              <w:szCs w:val="21"/>
            </w:rPr>
            <w:fldChar w:fldCharType="separate"/>
          </w:r>
          <w:r>
            <w:rPr>
              <w:rFonts w:hint="default" w:ascii="Times New Roman" w:hAnsi="Times New Roman" w:eastAsia="宋体" w:cs="Times New Roman"/>
              <w:bCs/>
              <w:kern w:val="44"/>
              <w:sz w:val="21"/>
              <w:szCs w:val="21"/>
              <w:lang w:val="en-US" w:eastAsia="zh-CN" w:bidi="ar-SA"/>
            </w:rPr>
            <w:t>八、 绩效评价结果应用建议</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_Toc28189 \h </w:instrText>
          </w:r>
          <w:r>
            <w:rPr>
              <w:rFonts w:ascii="Times New Roman" w:hAnsi="Times New Roman" w:cs="Times New Roman"/>
              <w:sz w:val="21"/>
              <w:szCs w:val="21"/>
            </w:rPr>
            <w:fldChar w:fldCharType="separate"/>
          </w:r>
          <w:r>
            <w:rPr>
              <w:rFonts w:ascii="Times New Roman" w:hAnsi="Times New Roman" w:cs="Times New Roman"/>
              <w:sz w:val="21"/>
              <w:szCs w:val="21"/>
            </w:rPr>
            <w:t>22</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315B7F1C">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_Toc26482 </w:instrText>
          </w:r>
          <w:r>
            <w:rPr>
              <w:rFonts w:ascii="Times New Roman" w:hAnsi="Times New Roman" w:eastAsia="宋体" w:cs="Times New Roman"/>
              <w:bCs w:val="0"/>
              <w:sz w:val="21"/>
              <w:szCs w:val="21"/>
            </w:rPr>
            <w:fldChar w:fldCharType="separate"/>
          </w:r>
          <w:r>
            <w:rPr>
              <w:rFonts w:hint="default" w:ascii="Times New Roman" w:hAnsi="Times New Roman"/>
              <w:bCs/>
              <w:sz w:val="21"/>
              <w:szCs w:val="21"/>
              <w:lang w:val="en-US" w:eastAsia="zh-CN"/>
            </w:rPr>
            <w:t>（一）绩效结果挂钩次年预算资金安排</w:t>
          </w:r>
          <w:r>
            <w:rPr>
              <w:sz w:val="21"/>
              <w:szCs w:val="21"/>
            </w:rPr>
            <w:tab/>
          </w:r>
          <w:r>
            <w:rPr>
              <w:sz w:val="21"/>
              <w:szCs w:val="21"/>
            </w:rPr>
            <w:fldChar w:fldCharType="begin"/>
          </w:r>
          <w:r>
            <w:rPr>
              <w:sz w:val="21"/>
              <w:szCs w:val="21"/>
            </w:rPr>
            <w:instrText xml:space="preserve"> PAGEREF _Toc26482 \h </w:instrText>
          </w:r>
          <w:r>
            <w:rPr>
              <w:sz w:val="21"/>
              <w:szCs w:val="21"/>
            </w:rPr>
            <w:fldChar w:fldCharType="separate"/>
          </w:r>
          <w:r>
            <w:rPr>
              <w:sz w:val="21"/>
              <w:szCs w:val="21"/>
            </w:rPr>
            <w:t>22</w:t>
          </w:r>
          <w:r>
            <w:rPr>
              <w:sz w:val="21"/>
              <w:szCs w:val="21"/>
            </w:rPr>
            <w:fldChar w:fldCharType="end"/>
          </w:r>
          <w:r>
            <w:rPr>
              <w:rFonts w:ascii="Times New Roman" w:hAnsi="Times New Roman" w:eastAsia="宋体" w:cs="Times New Roman"/>
              <w:bCs w:val="0"/>
              <w:color w:val="auto"/>
              <w:sz w:val="21"/>
              <w:szCs w:val="21"/>
            </w:rPr>
            <w:fldChar w:fldCharType="end"/>
          </w:r>
        </w:p>
        <w:p w14:paraId="1466E02D">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_Toc13400 </w:instrText>
          </w:r>
          <w:r>
            <w:rPr>
              <w:rFonts w:ascii="Times New Roman" w:hAnsi="Times New Roman" w:eastAsia="宋体" w:cs="Times New Roman"/>
              <w:bCs w:val="0"/>
              <w:sz w:val="21"/>
              <w:szCs w:val="21"/>
            </w:rPr>
            <w:fldChar w:fldCharType="separate"/>
          </w:r>
          <w:r>
            <w:rPr>
              <w:rFonts w:hint="default" w:ascii="Times New Roman" w:hAnsi="Times New Roman"/>
              <w:bCs/>
              <w:sz w:val="21"/>
              <w:szCs w:val="21"/>
              <w:lang w:val="en-US" w:eastAsia="zh-CN"/>
            </w:rPr>
            <w:t>（二）绩效结果挂钩整改措施</w:t>
          </w:r>
          <w:r>
            <w:rPr>
              <w:sz w:val="21"/>
              <w:szCs w:val="21"/>
            </w:rPr>
            <w:tab/>
          </w:r>
          <w:r>
            <w:rPr>
              <w:sz w:val="21"/>
              <w:szCs w:val="21"/>
            </w:rPr>
            <w:fldChar w:fldCharType="begin"/>
          </w:r>
          <w:r>
            <w:rPr>
              <w:sz w:val="21"/>
              <w:szCs w:val="21"/>
            </w:rPr>
            <w:instrText xml:space="preserve"> PAGEREF _Toc13400 \h </w:instrText>
          </w:r>
          <w:r>
            <w:rPr>
              <w:sz w:val="21"/>
              <w:szCs w:val="21"/>
            </w:rPr>
            <w:fldChar w:fldCharType="separate"/>
          </w:r>
          <w:r>
            <w:rPr>
              <w:sz w:val="21"/>
              <w:szCs w:val="21"/>
            </w:rPr>
            <w:t>22</w:t>
          </w:r>
          <w:r>
            <w:rPr>
              <w:sz w:val="21"/>
              <w:szCs w:val="21"/>
            </w:rPr>
            <w:fldChar w:fldCharType="end"/>
          </w:r>
          <w:r>
            <w:rPr>
              <w:rFonts w:ascii="Times New Roman" w:hAnsi="Times New Roman" w:eastAsia="宋体" w:cs="Times New Roman"/>
              <w:bCs w:val="0"/>
              <w:color w:val="auto"/>
              <w:sz w:val="21"/>
              <w:szCs w:val="21"/>
            </w:rPr>
            <w:fldChar w:fldCharType="end"/>
          </w:r>
        </w:p>
        <w:p w14:paraId="24FA7957">
          <w:pPr>
            <w:pStyle w:val="18"/>
            <w:keepNext w:val="0"/>
            <w:keepLines w:val="0"/>
            <w:pageBreakBefore w:val="0"/>
            <w:widowControl w:val="0"/>
            <w:tabs>
              <w:tab w:val="right" w:leader="dot" w:pos="8306"/>
            </w:tabs>
            <w:kinsoku/>
            <w:wordWrap/>
            <w:overflowPunct/>
            <w:topLinePunct w:val="0"/>
            <w:autoSpaceDE/>
            <w:autoSpaceDN/>
            <w:bidi w:val="0"/>
            <w:adjustRightInd w:val="0"/>
            <w:snapToGrid w:val="0"/>
            <w:spacing w:line="312" w:lineRule="auto"/>
            <w:textAlignment w:val="auto"/>
            <w:rPr>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_Toc2345 </w:instrText>
          </w:r>
          <w:r>
            <w:rPr>
              <w:rFonts w:ascii="Times New Roman" w:hAnsi="Times New Roman" w:eastAsia="宋体" w:cs="Times New Roman"/>
              <w:bCs w:val="0"/>
              <w:sz w:val="21"/>
              <w:szCs w:val="21"/>
            </w:rPr>
            <w:fldChar w:fldCharType="separate"/>
          </w:r>
          <w:r>
            <w:rPr>
              <w:rFonts w:hint="default" w:ascii="Times New Roman" w:hAnsi="Times New Roman"/>
              <w:bCs/>
              <w:sz w:val="21"/>
              <w:szCs w:val="21"/>
              <w:lang w:val="en-US" w:eastAsia="zh-CN"/>
            </w:rPr>
            <w:t>（三）绩效结果挂钩报告公开</w:t>
          </w:r>
          <w:r>
            <w:rPr>
              <w:sz w:val="21"/>
              <w:szCs w:val="21"/>
            </w:rPr>
            <w:tab/>
          </w:r>
          <w:r>
            <w:rPr>
              <w:sz w:val="21"/>
              <w:szCs w:val="21"/>
            </w:rPr>
            <w:fldChar w:fldCharType="begin"/>
          </w:r>
          <w:r>
            <w:rPr>
              <w:sz w:val="21"/>
              <w:szCs w:val="21"/>
            </w:rPr>
            <w:instrText xml:space="preserve"> PAGEREF _Toc2345 \h </w:instrText>
          </w:r>
          <w:r>
            <w:rPr>
              <w:sz w:val="21"/>
              <w:szCs w:val="21"/>
            </w:rPr>
            <w:fldChar w:fldCharType="separate"/>
          </w:r>
          <w:r>
            <w:rPr>
              <w:sz w:val="21"/>
              <w:szCs w:val="21"/>
            </w:rPr>
            <w:t>22</w:t>
          </w:r>
          <w:r>
            <w:rPr>
              <w:sz w:val="21"/>
              <w:szCs w:val="21"/>
            </w:rPr>
            <w:fldChar w:fldCharType="end"/>
          </w:r>
          <w:r>
            <w:rPr>
              <w:rFonts w:ascii="Times New Roman" w:hAnsi="Times New Roman" w:eastAsia="宋体" w:cs="Times New Roman"/>
              <w:bCs w:val="0"/>
              <w:color w:val="auto"/>
              <w:sz w:val="21"/>
              <w:szCs w:val="21"/>
            </w:rPr>
            <w:fldChar w:fldCharType="end"/>
          </w:r>
        </w:p>
        <w:p w14:paraId="141147D9">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_Toc26008 </w:instrText>
          </w:r>
          <w:r>
            <w:rPr>
              <w:rFonts w:ascii="Times New Roman" w:hAnsi="Times New Roman" w:eastAsia="宋体" w:cs="Times New Roman"/>
              <w:bCs w:val="0"/>
              <w:sz w:val="21"/>
              <w:szCs w:val="21"/>
            </w:rPr>
            <w:fldChar w:fldCharType="separate"/>
          </w:r>
          <w:r>
            <w:rPr>
              <w:rFonts w:hint="default" w:ascii="Times New Roman" w:hAnsi="Times New Roman" w:cs="Times New Roman"/>
              <w:sz w:val="21"/>
              <w:szCs w:val="21"/>
            </w:rPr>
            <w:t>九、 其他需要说明的问题</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_Toc26008 \h </w:instrText>
          </w:r>
          <w:r>
            <w:rPr>
              <w:rFonts w:ascii="Times New Roman" w:hAnsi="Times New Roman" w:cs="Times New Roman"/>
              <w:sz w:val="21"/>
              <w:szCs w:val="21"/>
            </w:rPr>
            <w:fldChar w:fldCharType="separate"/>
          </w:r>
          <w:r>
            <w:rPr>
              <w:rFonts w:ascii="Times New Roman" w:hAnsi="Times New Roman" w:cs="Times New Roman"/>
              <w:sz w:val="21"/>
              <w:szCs w:val="21"/>
            </w:rPr>
            <w:t>22</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010FE18D">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_Toc22357 </w:instrText>
          </w:r>
          <w:r>
            <w:rPr>
              <w:rFonts w:ascii="Times New Roman" w:hAnsi="Times New Roman" w:eastAsia="宋体" w:cs="Times New Roman"/>
              <w:bCs w:val="0"/>
              <w:sz w:val="21"/>
              <w:szCs w:val="21"/>
            </w:rPr>
            <w:fldChar w:fldCharType="separate"/>
          </w:r>
          <w:r>
            <w:rPr>
              <w:rFonts w:ascii="Times New Roman" w:hAnsi="Times New Roman" w:cs="Times New Roman"/>
              <w:sz w:val="21"/>
              <w:szCs w:val="21"/>
            </w:rPr>
            <w:t>附件1：绩效评价指标体系及综合评价表</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_Toc22357 \h </w:instrText>
          </w:r>
          <w:r>
            <w:rPr>
              <w:rFonts w:ascii="Times New Roman" w:hAnsi="Times New Roman" w:cs="Times New Roman"/>
              <w:sz w:val="21"/>
              <w:szCs w:val="21"/>
            </w:rPr>
            <w:fldChar w:fldCharType="separate"/>
          </w:r>
          <w:r>
            <w:rPr>
              <w:rFonts w:ascii="Times New Roman" w:hAnsi="Times New Roman" w:cs="Times New Roman"/>
              <w:sz w:val="21"/>
              <w:szCs w:val="21"/>
            </w:rPr>
            <w:t>23</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6222D006">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_Toc26098 </w:instrText>
          </w:r>
          <w:r>
            <w:rPr>
              <w:rFonts w:ascii="Times New Roman" w:hAnsi="Times New Roman" w:eastAsia="宋体" w:cs="Times New Roman"/>
              <w:bCs w:val="0"/>
              <w:sz w:val="21"/>
              <w:szCs w:val="21"/>
            </w:rPr>
            <w:fldChar w:fldCharType="separate"/>
          </w:r>
          <w:r>
            <w:rPr>
              <w:rFonts w:ascii="Times New Roman" w:hAnsi="Times New Roman" w:cs="Times New Roman"/>
              <w:sz w:val="21"/>
              <w:szCs w:val="21"/>
            </w:rPr>
            <w:t>附件2：基础表</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_Toc26098 \h </w:instrText>
          </w:r>
          <w:r>
            <w:rPr>
              <w:rFonts w:ascii="Times New Roman" w:hAnsi="Times New Roman" w:cs="Times New Roman"/>
              <w:sz w:val="21"/>
              <w:szCs w:val="21"/>
            </w:rPr>
            <w:fldChar w:fldCharType="separate"/>
          </w:r>
          <w:r>
            <w:rPr>
              <w:rFonts w:ascii="Times New Roman" w:hAnsi="Times New Roman" w:cs="Times New Roman"/>
              <w:sz w:val="21"/>
              <w:szCs w:val="21"/>
            </w:rPr>
            <w:t>23</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47E0C726">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_Toc25553 </w:instrText>
          </w:r>
          <w:r>
            <w:rPr>
              <w:rFonts w:ascii="Times New Roman" w:hAnsi="Times New Roman" w:eastAsia="宋体" w:cs="Times New Roman"/>
              <w:bCs w:val="0"/>
              <w:sz w:val="21"/>
              <w:szCs w:val="21"/>
            </w:rPr>
            <w:fldChar w:fldCharType="separate"/>
          </w:r>
          <w:r>
            <w:rPr>
              <w:rFonts w:ascii="Times New Roman" w:hAnsi="Times New Roman" w:cs="Times New Roman"/>
              <w:sz w:val="21"/>
              <w:szCs w:val="21"/>
            </w:rPr>
            <w:t>附件3：问卷调查分析报告</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_Toc25553 \h </w:instrText>
          </w:r>
          <w:r>
            <w:rPr>
              <w:rFonts w:ascii="Times New Roman" w:hAnsi="Times New Roman" w:cs="Times New Roman"/>
              <w:sz w:val="21"/>
              <w:szCs w:val="21"/>
            </w:rPr>
            <w:fldChar w:fldCharType="separate"/>
          </w:r>
          <w:r>
            <w:rPr>
              <w:rFonts w:ascii="Times New Roman" w:hAnsi="Times New Roman" w:cs="Times New Roman"/>
              <w:sz w:val="21"/>
              <w:szCs w:val="21"/>
            </w:rPr>
            <w:t>30</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134DBA8C">
          <w:pPr>
            <w:pStyle w:val="16"/>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12" w:lineRule="auto"/>
            <w:textAlignment w:val="auto"/>
            <w:rPr>
              <w:rFonts w:ascii="Times New Roman" w:hAnsi="Times New Roman" w:cs="Times New Roman"/>
              <w:sz w:val="21"/>
              <w:szCs w:val="21"/>
            </w:rPr>
          </w:pPr>
          <w:r>
            <w:rPr>
              <w:rFonts w:ascii="Times New Roman" w:hAnsi="Times New Roman" w:eastAsia="宋体" w:cs="Times New Roman"/>
              <w:bCs w:val="0"/>
              <w:color w:val="auto"/>
              <w:sz w:val="21"/>
              <w:szCs w:val="21"/>
            </w:rPr>
            <w:fldChar w:fldCharType="begin"/>
          </w:r>
          <w:r>
            <w:rPr>
              <w:rFonts w:ascii="Times New Roman" w:hAnsi="Times New Roman" w:eastAsia="宋体" w:cs="Times New Roman"/>
              <w:bCs w:val="0"/>
              <w:sz w:val="21"/>
              <w:szCs w:val="21"/>
            </w:rPr>
            <w:instrText xml:space="preserve"> HYPERLINK \l _Toc11652 </w:instrText>
          </w:r>
          <w:r>
            <w:rPr>
              <w:rFonts w:ascii="Times New Roman" w:hAnsi="Times New Roman" w:eastAsia="宋体" w:cs="Times New Roman"/>
              <w:bCs w:val="0"/>
              <w:sz w:val="21"/>
              <w:szCs w:val="21"/>
            </w:rPr>
            <w:fldChar w:fldCharType="separate"/>
          </w:r>
          <w:r>
            <w:rPr>
              <w:rFonts w:ascii="Times New Roman" w:hAnsi="Times New Roman" w:cs="Times New Roman"/>
              <w:sz w:val="21"/>
              <w:szCs w:val="21"/>
            </w:rPr>
            <w:t>附件</w:t>
          </w:r>
          <w:r>
            <w:rPr>
              <w:rFonts w:hint="default" w:ascii="Times New Roman" w:hAnsi="Times New Roman" w:cs="Times New Roman"/>
              <w:sz w:val="21"/>
              <w:szCs w:val="21"/>
              <w:lang w:val="en-US" w:eastAsia="zh-CN"/>
            </w:rPr>
            <w:t>4</w:t>
          </w:r>
          <w:r>
            <w:rPr>
              <w:rFonts w:ascii="Times New Roman" w:hAnsi="Times New Roman" w:cs="Times New Roman"/>
              <w:sz w:val="21"/>
              <w:szCs w:val="21"/>
            </w:rPr>
            <w:t>：绩效评价</w:t>
          </w:r>
          <w:r>
            <w:rPr>
              <w:rFonts w:hint="default" w:ascii="Times New Roman" w:hAnsi="Times New Roman" w:cs="Times New Roman"/>
              <w:sz w:val="21"/>
              <w:szCs w:val="21"/>
            </w:rPr>
            <w:t>工作沟通</w:t>
          </w:r>
          <w:r>
            <w:rPr>
              <w:rFonts w:ascii="Times New Roman" w:hAnsi="Times New Roman" w:cs="Times New Roman"/>
              <w:sz w:val="21"/>
              <w:szCs w:val="21"/>
            </w:rPr>
            <w:t>反馈</w:t>
          </w:r>
          <w:r>
            <w:rPr>
              <w:rFonts w:hint="default" w:ascii="Times New Roman" w:hAnsi="Times New Roman" w:cs="Times New Roman"/>
              <w:sz w:val="21"/>
              <w:szCs w:val="21"/>
            </w:rPr>
            <w:t>结果</w:t>
          </w:r>
          <w:r>
            <w:rPr>
              <w:rFonts w:ascii="Times New Roman" w:hAnsi="Times New Roman" w:cs="Times New Roman"/>
              <w:sz w:val="21"/>
              <w:szCs w:val="21"/>
            </w:rPr>
            <w:tab/>
          </w: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PAGEREF _Toc11652 \h </w:instrText>
          </w:r>
          <w:r>
            <w:rPr>
              <w:rFonts w:ascii="Times New Roman" w:hAnsi="Times New Roman" w:cs="Times New Roman"/>
              <w:sz w:val="21"/>
              <w:szCs w:val="21"/>
            </w:rPr>
            <w:fldChar w:fldCharType="separate"/>
          </w:r>
          <w:r>
            <w:rPr>
              <w:rFonts w:ascii="Times New Roman" w:hAnsi="Times New Roman" w:cs="Times New Roman"/>
              <w:sz w:val="21"/>
              <w:szCs w:val="21"/>
            </w:rPr>
            <w:t>32</w:t>
          </w:r>
          <w:r>
            <w:rPr>
              <w:rFonts w:ascii="Times New Roman" w:hAnsi="Times New Roman" w:cs="Times New Roman"/>
              <w:sz w:val="21"/>
              <w:szCs w:val="21"/>
            </w:rPr>
            <w:fldChar w:fldCharType="end"/>
          </w:r>
          <w:r>
            <w:rPr>
              <w:rFonts w:ascii="Times New Roman" w:hAnsi="Times New Roman" w:eastAsia="宋体" w:cs="Times New Roman"/>
              <w:bCs w:val="0"/>
              <w:color w:val="auto"/>
              <w:sz w:val="21"/>
              <w:szCs w:val="21"/>
            </w:rPr>
            <w:fldChar w:fldCharType="end"/>
          </w:r>
        </w:p>
        <w:p w14:paraId="21D01172">
          <w:pPr>
            <w:keepNext w:val="0"/>
            <w:keepLines w:val="0"/>
            <w:pageBreakBefore w:val="0"/>
            <w:widowControl w:val="0"/>
            <w:kinsoku/>
            <w:wordWrap/>
            <w:overflowPunct/>
            <w:topLinePunct w:val="0"/>
            <w:autoSpaceDE/>
            <w:autoSpaceDN/>
            <w:bidi w:val="0"/>
            <w:adjustRightInd w:val="0"/>
            <w:snapToGrid w:val="0"/>
            <w:spacing w:line="380" w:lineRule="exact"/>
            <w:ind w:firstLine="0" w:firstLineChars="0"/>
            <w:jc w:val="center"/>
            <w:textAlignment w:val="auto"/>
            <w:rPr>
              <w:rFonts w:eastAsia="宋体"/>
              <w:color w:val="auto"/>
            </w:rPr>
          </w:pPr>
          <w:r>
            <w:rPr>
              <w:rFonts w:ascii="Toppan Bunkyu Gothic" w:hAnsi="Toppan Bunkyu Gothic" w:eastAsia="宋体" w:cs="Times New Roman"/>
              <w:b/>
              <w:bCs w:val="0"/>
              <w:color w:val="auto"/>
              <w:sz w:val="21"/>
              <w:szCs w:val="21"/>
            </w:rPr>
            <w:fldChar w:fldCharType="end"/>
          </w:r>
        </w:p>
      </w:sdtContent>
    </w:sdt>
    <w:p w14:paraId="24C1013E">
      <w:pPr>
        <w:pageBreakBefore w:val="0"/>
        <w:kinsoku/>
        <w:wordWrap/>
        <w:overflowPunct/>
        <w:topLinePunct w:val="0"/>
        <w:autoSpaceDE/>
        <w:autoSpaceDN/>
        <w:bidi w:val="0"/>
        <w:snapToGrid w:val="0"/>
        <w:spacing w:line="360" w:lineRule="auto"/>
        <w:ind w:firstLine="0" w:firstLineChars="0"/>
        <w:rPr>
          <w:rFonts w:eastAsia="宋体"/>
          <w:color w:val="auto"/>
        </w:rPr>
        <w:sectPr>
          <w:footerReference r:id="rId13" w:type="default"/>
          <w:pgSz w:w="11906" w:h="16838"/>
          <w:pgMar w:top="1440" w:right="1800" w:bottom="1440" w:left="1800" w:header="851" w:footer="907" w:gutter="0"/>
          <w:pgNumType w:start="1"/>
          <w:cols w:space="425" w:num="1"/>
          <w:docGrid w:type="lines" w:linePitch="312" w:charSpace="0"/>
        </w:sectPr>
      </w:pPr>
    </w:p>
    <w:p w14:paraId="34C186FD">
      <w:pPr>
        <w:pageBreakBefore w:val="0"/>
        <w:kinsoku/>
        <w:wordWrap/>
        <w:overflowPunct/>
        <w:topLinePunct w:val="0"/>
        <w:autoSpaceDE/>
        <w:autoSpaceDN/>
        <w:bidi w:val="0"/>
        <w:adjustRightInd/>
        <w:snapToGrid w:val="0"/>
        <w:spacing w:line="360" w:lineRule="auto"/>
        <w:ind w:left="-178" w:leftChars="-85" w:firstLine="0" w:firstLineChars="0"/>
        <w:jc w:val="center"/>
        <w:outlineLvl w:val="0"/>
        <w:rPr>
          <w:rFonts w:eastAsia="楷体_GB2312"/>
          <w:b/>
          <w:color w:val="auto"/>
          <w:sz w:val="48"/>
          <w:szCs w:val="48"/>
        </w:rPr>
      </w:pPr>
      <w:bookmarkStart w:id="12" w:name="_Toc25179"/>
      <w:bookmarkStart w:id="13" w:name="_Toc5622"/>
      <w:bookmarkStart w:id="14" w:name="_Toc1861376465"/>
      <w:bookmarkStart w:id="15" w:name="_Toc815237457"/>
      <w:bookmarkStart w:id="16" w:name="_Toc26455"/>
      <w:bookmarkStart w:id="17" w:name="_Toc8170"/>
      <w:bookmarkStart w:id="18" w:name="_Toc17971"/>
      <w:bookmarkStart w:id="19" w:name="_Toc7700"/>
      <w:bookmarkStart w:id="20" w:name="_Toc25378"/>
      <w:r>
        <w:rPr>
          <w:rFonts w:eastAsia="仿宋_GB2312"/>
          <w:b/>
          <w:color w:val="auto"/>
          <w:sz w:val="48"/>
          <w:szCs w:val="48"/>
        </w:rPr>
        <w:t>新疆驰远天合有限责任会计师事务所</w:t>
      </w:r>
      <w:bookmarkEnd w:id="12"/>
      <w:bookmarkEnd w:id="13"/>
      <w:bookmarkEnd w:id="14"/>
      <w:bookmarkEnd w:id="15"/>
      <w:bookmarkEnd w:id="16"/>
      <w:bookmarkEnd w:id="17"/>
      <w:bookmarkEnd w:id="18"/>
      <w:bookmarkEnd w:id="19"/>
      <w:bookmarkEnd w:id="20"/>
    </w:p>
    <w:p w14:paraId="409B0B44">
      <w:pPr>
        <w:pageBreakBefore w:val="0"/>
        <w:kinsoku/>
        <w:wordWrap/>
        <w:overflowPunct/>
        <w:topLinePunct w:val="0"/>
        <w:autoSpaceDE/>
        <w:autoSpaceDN/>
        <w:bidi w:val="0"/>
        <w:adjustRightInd/>
        <w:snapToGrid w:val="0"/>
        <w:spacing w:line="360" w:lineRule="auto"/>
        <w:ind w:firstLine="0" w:firstLineChars="0"/>
        <w:jc w:val="center"/>
        <w:rPr>
          <w:rFonts w:eastAsia="宋体"/>
          <w:color w:val="auto"/>
          <w:sz w:val="24"/>
          <w:szCs w:val="24"/>
        </w:rPr>
      </w:pPr>
      <w:r>
        <w:rPr>
          <w:rFonts w:eastAsia="宋体"/>
          <w:color w:val="auto"/>
          <w:sz w:val="24"/>
          <w:szCs w:val="24"/>
        </w:rPr>
        <w:t>XinjiangChiyuantianheCertifiedPublicAccountantsCo.,Ltd.</w:t>
      </w:r>
    </w:p>
    <w:p w14:paraId="2B0C9F46">
      <w:pPr>
        <w:pageBreakBefore w:val="0"/>
        <w:kinsoku/>
        <w:wordWrap/>
        <w:overflowPunct/>
        <w:topLinePunct w:val="0"/>
        <w:autoSpaceDE/>
        <w:autoSpaceDN/>
        <w:bidi w:val="0"/>
        <w:adjustRightInd/>
        <w:snapToGrid w:val="0"/>
        <w:spacing w:line="360" w:lineRule="auto"/>
        <w:ind w:firstLine="0" w:firstLineChars="0"/>
        <w:jc w:val="center"/>
        <w:outlineLvl w:val="0"/>
        <w:rPr>
          <w:rFonts w:eastAsia="宋体"/>
          <w:color w:val="auto"/>
        </w:rPr>
      </w:pPr>
      <w:bookmarkStart w:id="21" w:name="_Toc2615"/>
      <w:bookmarkStart w:id="22" w:name="_Toc23718"/>
      <w:bookmarkStart w:id="23" w:name="_Toc11722"/>
      <w:bookmarkStart w:id="24" w:name="_Toc1759961406"/>
      <w:bookmarkStart w:id="25" w:name="_Toc21607"/>
      <w:bookmarkStart w:id="26" w:name="_Toc17733"/>
      <w:bookmarkStart w:id="27" w:name="_Toc19508"/>
      <w:bookmarkStart w:id="28" w:name="_Toc4177"/>
      <w:bookmarkStart w:id="29" w:name="_Toc750271939"/>
      <w:r>
        <w:rPr>
          <w:rFonts w:eastAsia="宋体"/>
          <w:b/>
          <w:color w:val="auto"/>
          <w:spacing w:val="66"/>
          <w:kern w:val="0"/>
          <w:sz w:val="44"/>
          <w:szCs w:val="44"/>
          <w:fitText w:val="3300" w:id="1424759405"/>
        </w:rPr>
        <w:t>绩效评价报</w:t>
      </w:r>
      <w:r>
        <w:rPr>
          <w:rFonts w:eastAsia="宋体"/>
          <w:b/>
          <w:color w:val="auto"/>
          <w:spacing w:val="0"/>
          <w:kern w:val="0"/>
          <w:sz w:val="44"/>
          <w:szCs w:val="44"/>
          <w:fitText w:val="3300" w:id="1424759405"/>
        </w:rPr>
        <w:t>告</w:t>
      </w:r>
      <w:bookmarkEnd w:id="21"/>
      <w:bookmarkEnd w:id="22"/>
      <w:bookmarkEnd w:id="23"/>
      <w:bookmarkEnd w:id="24"/>
      <w:bookmarkEnd w:id="25"/>
      <w:bookmarkEnd w:id="26"/>
      <w:bookmarkEnd w:id="27"/>
      <w:bookmarkEnd w:id="28"/>
      <w:bookmarkEnd w:id="29"/>
    </w:p>
    <w:p w14:paraId="28823909">
      <w:pPr>
        <w:pageBreakBefore w:val="0"/>
        <w:kinsoku/>
        <w:wordWrap/>
        <w:overflowPunct/>
        <w:topLinePunct w:val="0"/>
        <w:autoSpaceDE/>
        <w:autoSpaceDN/>
        <w:bidi w:val="0"/>
        <w:adjustRightInd/>
        <w:snapToGrid w:val="0"/>
        <w:spacing w:line="360" w:lineRule="auto"/>
        <w:ind w:firstLine="0" w:firstLineChars="0"/>
        <w:jc w:val="center"/>
        <w:outlineLvl w:val="0"/>
        <w:rPr>
          <w:rFonts w:eastAsia="宋体"/>
          <w:color w:val="auto"/>
        </w:rPr>
      </w:pPr>
      <w:bookmarkStart w:id="30" w:name="_Toc1943987236"/>
      <w:bookmarkStart w:id="31" w:name="_Toc3967"/>
      <w:bookmarkStart w:id="32" w:name="_Toc29732"/>
      <w:bookmarkStart w:id="33" w:name="_Toc29637"/>
      <w:bookmarkStart w:id="34" w:name="_Toc11541"/>
      <w:bookmarkStart w:id="35" w:name="_Toc2662"/>
      <w:bookmarkStart w:id="36" w:name="_Toc22944"/>
      <w:bookmarkStart w:id="37" w:name="_Toc231596864"/>
      <w:bookmarkStart w:id="38" w:name="_Toc29279"/>
      <w:r>
        <w:rPr>
          <w:rFonts w:eastAsia="宋体"/>
          <w:color w:val="auto"/>
        </w:rPr>
        <w:t>驰天会咨字[20</w:t>
      </w:r>
      <w:r>
        <w:rPr>
          <w:rFonts w:hint="eastAsia" w:eastAsia="宋体"/>
          <w:color w:val="auto"/>
          <w:lang w:val="en-US" w:eastAsia="zh-CN"/>
        </w:rPr>
        <w:t>25</w:t>
      </w:r>
      <w:r>
        <w:rPr>
          <w:rFonts w:eastAsia="宋体"/>
          <w:color w:val="auto"/>
        </w:rPr>
        <w:t>]1-</w:t>
      </w:r>
      <w:r>
        <w:rPr>
          <w:rFonts w:hint="eastAsia" w:eastAsia="宋体"/>
          <w:color w:val="auto"/>
          <w:lang w:val="en-US" w:eastAsia="zh-CN"/>
        </w:rPr>
        <w:t>0</w:t>
      </w:r>
      <w:r>
        <w:rPr>
          <w:rFonts w:hint="eastAsia"/>
          <w:color w:val="auto"/>
          <w:lang w:val="en-US" w:eastAsia="zh-CN"/>
        </w:rPr>
        <w:t>201</w:t>
      </w:r>
      <w:r>
        <w:rPr>
          <w:rFonts w:eastAsia="宋体"/>
          <w:color w:val="auto"/>
        </w:rPr>
        <w:t>号</w:t>
      </w:r>
      <w:bookmarkEnd w:id="30"/>
      <w:bookmarkEnd w:id="31"/>
      <w:bookmarkEnd w:id="32"/>
      <w:bookmarkEnd w:id="33"/>
      <w:bookmarkEnd w:id="34"/>
      <w:bookmarkEnd w:id="35"/>
      <w:bookmarkEnd w:id="36"/>
      <w:bookmarkEnd w:id="37"/>
      <w:bookmarkEnd w:id="38"/>
    </w:p>
    <w:p w14:paraId="2031D7B2">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eastAsia"/>
          <w:color w:val="auto"/>
          <w:lang w:val="en-US" w:eastAsia="zh-CN"/>
        </w:rPr>
      </w:pPr>
    </w:p>
    <w:p w14:paraId="6D958C1F">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textAlignment w:val="auto"/>
        <w:rPr>
          <w:rFonts w:hint="default" w:ascii="Times New Roman" w:hAnsi="Times New Roman" w:cs="Times New Roman"/>
          <w:color w:val="auto"/>
          <w:highlight w:val="none"/>
        </w:rPr>
      </w:pPr>
      <w:r>
        <w:rPr>
          <w:rFonts w:hint="eastAsia"/>
          <w:color w:val="auto"/>
          <w:lang w:val="en-US" w:eastAsia="zh-CN"/>
        </w:rPr>
        <w:t>吉木萨尔县财政局</w:t>
      </w:r>
      <w:r>
        <w:rPr>
          <w:rFonts w:hint="default" w:ascii="Times New Roman" w:hAnsi="Times New Roman" w:cs="Times New Roman"/>
          <w:color w:val="auto"/>
          <w:highlight w:val="none"/>
        </w:rPr>
        <w:t>：</w:t>
      </w:r>
    </w:p>
    <w:p w14:paraId="4458A1F5">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eastAsia" w:ascii="Times New Roman" w:hAnsi="Times New Roman"/>
          <w:color w:val="auto"/>
          <w:lang w:val="en-US" w:eastAsia="zh-CN"/>
        </w:rPr>
      </w:pPr>
      <w:r>
        <w:rPr>
          <w:rFonts w:hint="default" w:ascii="Times New Roman" w:hAnsi="Times New Roman" w:cs="Times New Roman"/>
          <w:color w:val="auto"/>
          <w:highlight w:val="none"/>
        </w:rPr>
        <w:t>为贯彻落实全面推进预算绩效管理工作的要求，完善部门预算管理，强化预算支出责任，提高</w:t>
      </w:r>
      <w:r>
        <w:rPr>
          <w:rFonts w:hint="eastAsia" w:cs="Times New Roman"/>
          <w:color w:val="auto"/>
          <w:highlight w:val="none"/>
          <w:lang w:eastAsia="zh-CN"/>
        </w:rPr>
        <w:t>财政资金使用</w:t>
      </w:r>
      <w:r>
        <w:rPr>
          <w:rFonts w:hint="default" w:ascii="Times New Roman" w:hAnsi="Times New Roman" w:cs="Times New Roman"/>
          <w:color w:val="auto"/>
          <w:highlight w:val="none"/>
        </w:rPr>
        <w:t>效益，根据《</w:t>
      </w:r>
      <w:r>
        <w:rPr>
          <w:rFonts w:hint="eastAsia" w:cs="Times New Roman"/>
          <w:color w:val="auto"/>
          <w:highlight w:val="none"/>
          <w:lang w:eastAsia="zh-CN"/>
        </w:rPr>
        <w:t>中共中央、国务院</w:t>
      </w:r>
      <w:r>
        <w:rPr>
          <w:rFonts w:hint="default" w:ascii="Times New Roman" w:hAnsi="Times New Roman" w:cs="Times New Roman"/>
          <w:color w:val="auto"/>
          <w:highlight w:val="none"/>
        </w:rPr>
        <w:t>关于全面实施预算绩效管理的意见》（中发〔2018〕34号）、《项目支出绩效评价管理办法》（财预〔2020〕10号）、《关于进一步加强和规范第三方机构参与预算绩效管理的通知》（新财预〔2021〕49号）等系列文件的要求，受</w:t>
      </w:r>
      <w:r>
        <w:rPr>
          <w:rFonts w:hint="eastAsia"/>
          <w:color w:val="auto"/>
          <w:lang w:val="en-US" w:eastAsia="zh-CN"/>
        </w:rPr>
        <w:t>吉木萨尔县财政局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eastAsia"/>
          <w:color w:val="auto"/>
          <w:lang w:eastAsia="zh-CN"/>
        </w:rPr>
        <w:t>农机购置与应用补贴项目</w:t>
      </w:r>
      <w:r>
        <w:rPr>
          <w:rFonts w:hint="default" w:ascii="Times New Roman" w:hAnsi="Times New Roman" w:cs="Times New Roman"/>
          <w:color w:val="auto"/>
          <w:highlight w:val="none"/>
        </w:rPr>
        <w:t>的绩效评价工作并形成绩效评价报告</w:t>
      </w:r>
      <w:r>
        <w:rPr>
          <w:rFonts w:hint="eastAsia" w:cs="Times New Roman"/>
          <w:color w:val="auto"/>
          <w:highlight w:val="none"/>
          <w:lang w:eastAsia="zh-CN"/>
        </w:rPr>
        <w:t>，</w:t>
      </w:r>
      <w:r>
        <w:rPr>
          <w:rFonts w:hint="eastAsia"/>
          <w:color w:val="auto"/>
          <w:lang w:val="en-US" w:eastAsia="zh-CN"/>
        </w:rPr>
        <w:t>吉木萨尔县农业农村局</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p>
    <w:p w14:paraId="3FDA7063">
      <w:pPr>
        <w:pStyle w:val="2"/>
        <w:keepNext/>
        <w:keepLines/>
        <w:pageBreakBefore w:val="0"/>
        <w:widowControl w:val="0"/>
        <w:kinsoku/>
        <w:wordWrap/>
        <w:overflowPunct/>
        <w:topLinePunct w:val="0"/>
        <w:autoSpaceDE/>
        <w:autoSpaceDN/>
        <w:bidi w:val="0"/>
        <w:adjustRightInd w:val="0"/>
        <w:snapToGrid w:val="0"/>
        <w:spacing w:before="0" w:after="0" w:line="360" w:lineRule="auto"/>
        <w:textAlignment w:val="auto"/>
        <w:rPr>
          <w:rFonts w:hint="eastAsia"/>
          <w:color w:val="auto"/>
          <w:lang w:eastAsia="zh-CN"/>
        </w:rPr>
      </w:pPr>
      <w:bookmarkStart w:id="39" w:name="_Toc11573"/>
      <w:r>
        <w:rPr>
          <w:rFonts w:hint="eastAsia"/>
          <w:color w:val="auto"/>
          <w:lang w:val="en-US" w:eastAsia="zh-CN"/>
        </w:rPr>
        <w:t>一、基本情况</w:t>
      </w:r>
      <w:bookmarkEnd w:id="39"/>
    </w:p>
    <w:p w14:paraId="23627638">
      <w:pPr>
        <w:pStyle w:val="3"/>
        <w:pageBreakBefore w:val="0"/>
        <w:widowControl w:val="0"/>
        <w:kinsoku/>
        <w:wordWrap/>
        <w:overflowPunct/>
        <w:topLinePunct w:val="0"/>
        <w:autoSpaceDE/>
        <w:autoSpaceDN/>
        <w:bidi w:val="0"/>
        <w:adjustRightInd w:val="0"/>
        <w:snapToGrid w:val="0"/>
        <w:spacing w:before="0" w:after="0" w:line="360" w:lineRule="auto"/>
        <w:ind w:firstLine="667"/>
        <w:textAlignment w:val="auto"/>
        <w:rPr>
          <w:rFonts w:hint="default" w:ascii="Times New Roman" w:hAnsi="Times New Roman" w:cs="Times New Roman"/>
          <w:color w:val="auto"/>
          <w:highlight w:val="none"/>
        </w:rPr>
      </w:pPr>
      <w:bookmarkStart w:id="40" w:name="_Toc4138"/>
      <w:bookmarkStart w:id="41" w:name="_Toc327"/>
      <w:bookmarkStart w:id="42" w:name="_Toc19237"/>
      <w:bookmarkStart w:id="43" w:name="_Toc5761"/>
      <w:r>
        <w:rPr>
          <w:rFonts w:hint="default" w:ascii="Times New Roman" w:hAnsi="Times New Roman" w:cs="Times New Roman"/>
          <w:color w:val="auto"/>
          <w:highlight w:val="none"/>
        </w:rPr>
        <w:t>（一）</w:t>
      </w:r>
      <w:r>
        <w:rPr>
          <w:rFonts w:hint="default" w:ascii="Times New Roman" w:hAnsi="Times New Roman" w:cs="Times New Roman"/>
          <w:color w:val="auto"/>
          <w:highlight w:val="none"/>
          <w:lang w:val="en-US" w:eastAsia="zh-CN"/>
        </w:rPr>
        <w:t>项目概况</w:t>
      </w:r>
      <w:bookmarkEnd w:id="40"/>
      <w:bookmarkEnd w:id="41"/>
      <w:bookmarkEnd w:id="42"/>
      <w:bookmarkEnd w:id="43"/>
    </w:p>
    <w:p w14:paraId="5965819C">
      <w:pPr>
        <w:pStyle w:val="4"/>
        <w:ind w:firstLine="422"/>
        <w:rPr>
          <w:rFonts w:hint="default"/>
          <w:b/>
          <w:bCs/>
          <w:color w:val="auto"/>
          <w:lang w:val="en-US" w:eastAsia="zh-CN"/>
        </w:rPr>
      </w:pPr>
      <w:r>
        <w:rPr>
          <w:rFonts w:hint="default"/>
          <w:b/>
          <w:bCs/>
          <w:color w:val="auto"/>
        </w:rPr>
        <w:t>1.</w:t>
      </w:r>
      <w:r>
        <w:rPr>
          <w:rFonts w:hint="default"/>
          <w:b/>
          <w:bCs/>
          <w:color w:val="auto"/>
          <w:lang w:val="en-US" w:eastAsia="zh-CN"/>
        </w:rPr>
        <w:t>项目立项背景及</w:t>
      </w:r>
      <w:r>
        <w:rPr>
          <w:rFonts w:hint="default" w:ascii="Times New Roman" w:hAnsi="Times New Roman" w:cs="Times New Roman"/>
          <w:color w:val="auto"/>
          <w:lang w:val="en-US" w:eastAsia="zh-CN"/>
        </w:rPr>
        <w:t>目的</w:t>
      </w:r>
    </w:p>
    <w:p w14:paraId="5BBED55F">
      <w:pPr>
        <w:bidi w:val="0"/>
        <w:adjustRightInd w:val="0"/>
        <w:snapToGrid w:val="0"/>
        <w:rPr>
          <w:rFonts w:hint="default" w:ascii="Times New Roman" w:hAnsi="Times New Roman" w:cs="Times New Roman"/>
        </w:rPr>
      </w:pPr>
      <w:r>
        <w:rPr>
          <w:rFonts w:hint="default" w:ascii="Times New Roman" w:hAnsi="Times New Roman" w:eastAsia="宋体" w:cs="Times New Roman"/>
          <w:lang w:val="en-US" w:eastAsia="zh-CN"/>
        </w:rPr>
        <w:t>为贯彻落实农业农村部办公厅财政部办公厅联合印发《2024—2026年农机购置与应用补贴实施意见》（农办机〔2024〕3 号）文件精神，更好满足农民群众农业生产购机需求，提升粮食安全能力，保障农业生产社会化服务水平稳步提升，自治区农业农村厅和自治区财政厅联合制定印发《新疆维吾尔自治区2024-2026年农机购置与应用补贴实施方案》，全面落实党中央、国务院关于“三农”工</w:t>
      </w:r>
      <w:r>
        <w:rPr>
          <w:rFonts w:hint="eastAsia" w:cs="Times New Roman"/>
          <w:lang w:val="en-US" w:eastAsia="zh-CN"/>
        </w:rPr>
        <w:t>作的</w:t>
      </w:r>
      <w:r>
        <w:rPr>
          <w:rFonts w:hint="default" w:ascii="Times New Roman" w:hAnsi="Times New Roman" w:eastAsia="宋体" w:cs="Times New Roman"/>
          <w:lang w:val="en-US" w:eastAsia="zh-CN"/>
        </w:rPr>
        <w:t>决策部署和自治区党委、人民政府工作安排，稳定实施农机购置与应用补贴政策，按照“缩范围、控定额、调标准、重实效”的总要求，坚持“有进有出</w:t>
      </w:r>
      <w:r>
        <w:rPr>
          <w:rFonts w:hint="eastAsia" w:cs="Times New Roman"/>
          <w:lang w:val="en-US" w:eastAsia="zh-CN"/>
        </w:rPr>
        <w:t>”“</w:t>
      </w:r>
      <w:r>
        <w:rPr>
          <w:rFonts w:hint="default" w:ascii="Times New Roman" w:hAnsi="Times New Roman" w:eastAsia="宋体" w:cs="Times New Roman"/>
          <w:lang w:val="en-US" w:eastAsia="zh-CN"/>
        </w:rPr>
        <w:t>优机优补”，重点支持分流式整地机、高性能播种机、吊杆式喷雾机、残膜回收机等有助于促进粮棉油等主要作物大面积单产提升等生产急需的农业机械推广应用，以满足广大农牧民对机械化生产的需要为目标，以稳定实施政策、最大限度发挥政策效益为主线，支持引导农民购置使用先进适用的农业机械，引领推动农业机械化向全程全面高质高效发展，为实施乡村振兴战略、推进农业农村现代化提供坚实支撑。</w:t>
      </w:r>
    </w:p>
    <w:p w14:paraId="482BE626">
      <w:pPr>
        <w:pStyle w:val="4"/>
        <w:ind w:firstLine="422"/>
        <w:rPr>
          <w:rFonts w:hint="default"/>
          <w:b/>
          <w:bCs/>
          <w:color w:val="auto"/>
          <w:lang w:val="en-US" w:eastAsia="zh-CN"/>
        </w:rPr>
      </w:pPr>
      <w:r>
        <w:rPr>
          <w:rFonts w:hint="default"/>
          <w:b/>
          <w:bCs/>
          <w:color w:val="auto"/>
          <w:lang w:val="en-US" w:eastAsia="zh-CN"/>
        </w:rPr>
        <w:t>2</w:t>
      </w:r>
      <w:r>
        <w:rPr>
          <w:rFonts w:hint="default"/>
          <w:b/>
          <w:bCs/>
          <w:color w:val="auto"/>
        </w:rPr>
        <w:t>.</w:t>
      </w:r>
      <w:r>
        <w:rPr>
          <w:rFonts w:hint="default"/>
          <w:b/>
          <w:bCs/>
          <w:color w:val="auto"/>
          <w:lang w:val="en-US" w:eastAsia="zh-CN"/>
        </w:rPr>
        <w:t>项目基本</w:t>
      </w:r>
      <w:r>
        <w:rPr>
          <w:rFonts w:hint="default" w:ascii="Times New Roman" w:hAnsi="Times New Roman" w:cs="Times New Roman"/>
          <w:color w:val="auto"/>
          <w:lang w:val="en-US" w:eastAsia="zh-CN"/>
        </w:rPr>
        <w:t>情况</w:t>
      </w:r>
    </w:p>
    <w:p w14:paraId="4E6B52A1">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szCs w:val="21"/>
        </w:rPr>
      </w:pPr>
      <w:r>
        <w:rPr>
          <w:rFonts w:hint="eastAsia" w:ascii="Times New Roman" w:hAnsi="Times New Roman" w:cs="Times New Roman"/>
          <w:color w:val="auto"/>
          <w:highlight w:val="none"/>
        </w:rPr>
        <w:t>项目名称：</w:t>
      </w:r>
      <w:r>
        <w:rPr>
          <w:rFonts w:hint="eastAsia" w:cs="Times New Roman"/>
          <w:lang w:eastAsia="zh-CN"/>
        </w:rPr>
        <w:t>农机购置与应用补贴项目</w:t>
      </w:r>
      <w:r>
        <w:rPr>
          <w:rFonts w:hint="default" w:ascii="Times New Roman" w:hAnsi="Times New Roman" w:cs="Times New Roman"/>
          <w:szCs w:val="21"/>
        </w:rPr>
        <w:t>（以下简称“该项目”或“项目”）</w:t>
      </w:r>
    </w:p>
    <w:p w14:paraId="6CB4BA84">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rPr>
        <w:t>项目</w:t>
      </w:r>
      <w:r>
        <w:rPr>
          <w:rFonts w:hint="eastAsia" w:cs="Times New Roman"/>
          <w:color w:val="auto"/>
          <w:highlight w:val="none"/>
          <w:lang w:val="en-US" w:eastAsia="zh-CN"/>
        </w:rPr>
        <w:t>实施单位</w:t>
      </w:r>
      <w:r>
        <w:rPr>
          <w:rFonts w:hint="eastAsia" w:ascii="Times New Roman" w:hAnsi="Times New Roman" w:cs="Times New Roman"/>
          <w:color w:val="auto"/>
          <w:highlight w:val="none"/>
        </w:rPr>
        <w:t>：</w:t>
      </w:r>
      <w:r>
        <w:rPr>
          <w:rFonts w:hint="eastAsia" w:cs="Times New Roman"/>
          <w:color w:val="auto"/>
          <w:highlight w:val="none"/>
          <w:lang w:eastAsia="zh-CN"/>
        </w:rPr>
        <w:t>吉木萨尔县农业农村局</w:t>
      </w:r>
      <w:r>
        <w:rPr>
          <w:rFonts w:hint="default" w:ascii="Times New Roman" w:hAnsi="Times New Roman" w:cs="Times New Roman"/>
          <w:szCs w:val="21"/>
        </w:rPr>
        <w:t>（以下简称“</w:t>
      </w:r>
      <w:r>
        <w:rPr>
          <w:rFonts w:hint="eastAsia" w:ascii="Times New Roman" w:hAnsi="Times New Roman" w:cs="Times New Roman"/>
          <w:szCs w:val="21"/>
          <w:lang w:val="en-US" w:eastAsia="zh-CN"/>
        </w:rPr>
        <w:t>县</w:t>
      </w:r>
      <w:r>
        <w:rPr>
          <w:rFonts w:hint="eastAsia" w:cs="Times New Roman"/>
          <w:szCs w:val="21"/>
          <w:lang w:val="en-US" w:eastAsia="zh-CN"/>
        </w:rPr>
        <w:t>农业农村局</w:t>
      </w:r>
      <w:r>
        <w:rPr>
          <w:rFonts w:hint="default" w:ascii="Times New Roman" w:hAnsi="Times New Roman" w:cs="Times New Roman"/>
          <w:szCs w:val="21"/>
        </w:rPr>
        <w:t>”）</w:t>
      </w:r>
      <w:r>
        <w:rPr>
          <w:rFonts w:hint="eastAsia" w:cs="Times New Roman"/>
          <w:color w:val="auto"/>
          <w:highlight w:val="none"/>
          <w:lang w:eastAsia="zh-CN"/>
        </w:rPr>
        <w:t>。</w:t>
      </w:r>
    </w:p>
    <w:p w14:paraId="1E2E8506">
      <w:pPr>
        <w:bidi w:val="0"/>
        <w:adjustRightInd w:val="0"/>
        <w:snapToGrid w:val="0"/>
        <w:ind w:firstLine="420" w:firstLineChars="200"/>
        <w:rPr>
          <w:rFonts w:hint="eastAsia"/>
        </w:rPr>
      </w:pPr>
      <w:r>
        <w:rPr>
          <w:rFonts w:hint="eastAsia" w:ascii="Times New Roman" w:hAnsi="Times New Roman" w:cs="Times New Roman"/>
          <w:color w:val="auto"/>
          <w:highlight w:val="none"/>
        </w:rPr>
        <w:t>项目实施内容：</w:t>
      </w:r>
      <w:r>
        <w:rPr>
          <w:rFonts w:hint="eastAsia"/>
        </w:rPr>
        <w:t>计划对从事农业生产的个人和农业生产经营组织（以下简称“购机者”）已申请录入《新疆维吾尔自治区农机购置与应用补贴申请办理服务系统》并审核通过的各类新机具959台（套）实施农机购置补贴；中央财政农机购置补贴实行定额补贴，即同一种类、同一档次农业机械实行统一的补贴标准。其中，通用类机具补贴额不超过农业农村部发布的最高补贴额。</w:t>
      </w:r>
    </w:p>
    <w:p w14:paraId="6E4EE8E7">
      <w:pPr>
        <w:bidi w:val="0"/>
        <w:adjustRightInd w:val="0"/>
        <w:snapToGrid w:val="0"/>
        <w:ind w:firstLine="420" w:firstLineChars="200"/>
        <w:rPr>
          <w:rFonts w:hint="default" w:ascii="Times New Roman" w:hAnsi="Times New Roman" w:eastAsia="宋体" w:cs="Times New Roman"/>
          <w:lang w:val="en-US" w:eastAsia="zh-CN"/>
        </w:rPr>
      </w:pPr>
      <w:r>
        <w:rPr>
          <w:rFonts w:hint="eastAsia"/>
        </w:rPr>
        <w:t>计划对从事农业生产的个人和农业生产经营组织已申请录入《新疆维吾尔自治区农机报废补贴辅助管理系统》并审</w:t>
      </w:r>
      <w:r>
        <w:rPr>
          <w:rFonts w:hint="eastAsia"/>
          <w:lang w:eastAsia="zh-CN"/>
        </w:rPr>
        <w:t>核通</w:t>
      </w:r>
      <w:r>
        <w:rPr>
          <w:rFonts w:hint="eastAsia"/>
        </w:rPr>
        <w:t>过的2台农机具实施报废补贴；报废部分补贴实行定额补贴，拖拉机、联合收割机报废补贴额按农业农村部发布的最高补贴额确定，其他农机报废额按同类型农机购置补贴额的30%测算。单台农业机械报废补贴额原则上不超过2万元。</w:t>
      </w:r>
    </w:p>
    <w:p w14:paraId="5D1A0C25">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eastAsia="宋体" w:cs="Times New Roman"/>
          <w:color w:val="auto"/>
          <w:highlight w:val="none"/>
          <w:lang w:val="en-US" w:eastAsia="zh-CN"/>
        </w:rPr>
      </w:pPr>
      <w:r>
        <w:rPr>
          <w:rFonts w:hint="default" w:ascii="Times New Roman" w:hAnsi="Times New Roman" w:cs="Times New Roman"/>
          <w:color w:val="auto"/>
          <w:highlight w:val="none"/>
        </w:rPr>
        <w:t>评价项目周期：</w:t>
      </w:r>
      <w:r>
        <w:rPr>
          <w:rFonts w:hint="eastAsia" w:ascii="Times New Roman" w:hAnsi="Times New Roman" w:cs="Times New Roman"/>
          <w:color w:val="auto"/>
          <w:highlight w:val="none"/>
          <w:lang w:eastAsia="zh-CN"/>
        </w:rPr>
        <w:t>2024年</w:t>
      </w:r>
      <w:r>
        <w:rPr>
          <w:rFonts w:hint="eastAsia" w:cs="Times New Roman"/>
          <w:color w:val="auto"/>
          <w:highlight w:val="none"/>
          <w:lang w:val="en-US" w:eastAsia="zh-CN"/>
        </w:rPr>
        <w:t>1月-2024年12月</w:t>
      </w:r>
    </w:p>
    <w:p w14:paraId="64C8900C">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44" w:name="_Toc6769"/>
      <w:r>
        <w:rPr>
          <w:rFonts w:hint="eastAsia"/>
          <w:color w:val="auto"/>
        </w:rPr>
        <w:t>（二）</w:t>
      </w:r>
      <w:r>
        <w:rPr>
          <w:color w:val="auto"/>
        </w:rPr>
        <w:t>资金投入和使用情况</w:t>
      </w:r>
      <w:bookmarkEnd w:id="44"/>
    </w:p>
    <w:p w14:paraId="33665631">
      <w:pPr>
        <w:pageBreakBefore w:val="0"/>
        <w:widowControl w:val="0"/>
        <w:kinsoku/>
        <w:wordWrap/>
        <w:overflowPunct/>
        <w:topLinePunct w:val="0"/>
        <w:autoSpaceDE/>
        <w:autoSpaceDN/>
        <w:bidi w:val="0"/>
        <w:adjustRightInd w:val="0"/>
        <w:snapToGrid w:val="0"/>
        <w:spacing w:line="360" w:lineRule="auto"/>
        <w:textAlignment w:val="auto"/>
        <w:rPr>
          <w:rFonts w:hint="eastAsia"/>
          <w:b/>
          <w:bCs/>
          <w:color w:val="auto"/>
        </w:rPr>
      </w:pPr>
      <w:r>
        <w:rPr>
          <w:rFonts w:hint="eastAsia"/>
          <w:b/>
          <w:bCs/>
          <w:color w:val="auto"/>
        </w:rPr>
        <w:t>1.预算安排情况</w:t>
      </w:r>
    </w:p>
    <w:p w14:paraId="5AB135C8">
      <w:pPr>
        <w:keepNext w:val="0"/>
        <w:keepLines w:val="0"/>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rPr>
        <w:t>该项目</w:t>
      </w:r>
      <w:r>
        <w:rPr>
          <w:rFonts w:hint="eastAsia" w:ascii="Times New Roman" w:hAnsi="Times New Roman" w:cs="Times New Roman"/>
          <w:color w:val="auto"/>
          <w:highlight w:val="none"/>
          <w:lang w:eastAsia="zh-CN"/>
        </w:rPr>
        <w:t>2024年</w:t>
      </w:r>
      <w:r>
        <w:rPr>
          <w:rFonts w:hint="eastAsia" w:ascii="Times New Roman" w:hAnsi="Times New Roman" w:cs="Times New Roman"/>
          <w:color w:val="auto"/>
          <w:highlight w:val="none"/>
        </w:rPr>
        <w:t>预算</w:t>
      </w:r>
      <w:r>
        <w:rPr>
          <w:rFonts w:hint="eastAsia" w:cs="Times New Roman"/>
          <w:color w:val="auto"/>
          <w:highlight w:val="none"/>
          <w:lang w:val="en-US" w:eastAsia="zh-CN"/>
        </w:rPr>
        <w:t>总额</w:t>
      </w:r>
      <w:r>
        <w:rPr>
          <w:rFonts w:hint="eastAsia" w:ascii="Times New Roman" w:hAnsi="Times New Roman" w:cs="Times New Roman"/>
          <w:color w:val="auto"/>
          <w:highlight w:val="none"/>
        </w:rPr>
        <w:t>为</w:t>
      </w:r>
      <w:r>
        <w:rPr>
          <w:rFonts w:hint="eastAsia" w:cs="Times New Roman"/>
          <w:i w:val="0"/>
          <w:iCs w:val="0"/>
          <w:color w:val="auto"/>
          <w:kern w:val="0"/>
          <w:sz w:val="21"/>
          <w:szCs w:val="21"/>
          <w:u w:val="none"/>
          <w:lang w:val="en-US" w:eastAsia="zh-CN" w:bidi="ar"/>
        </w:rPr>
        <w:t>1,299.00</w:t>
      </w:r>
      <w:r>
        <w:rPr>
          <w:rFonts w:hint="eastAsia" w:ascii="Times New Roman" w:hAnsi="Times New Roman" w:cs="Times New Roman"/>
          <w:color w:val="auto"/>
          <w:highlight w:val="none"/>
        </w:rPr>
        <w:t>万元，</w:t>
      </w:r>
      <w:r>
        <w:rPr>
          <w:rFonts w:hint="eastAsia" w:cs="Times New Roman"/>
          <w:color w:val="auto"/>
          <w:highlight w:val="none"/>
          <w:lang w:val="en-US" w:eastAsia="zh-CN"/>
        </w:rPr>
        <w:t>资金来源于中央农业产业发展资金以及自治区农机购置与应用补贴资金。</w:t>
      </w:r>
      <w:r>
        <w:rPr>
          <w:rFonts w:hint="default" w:ascii="Times New Roman" w:hAnsi="Times New Roman" w:cs="Times New Roman"/>
          <w:color w:val="auto"/>
          <w:highlight w:val="none"/>
        </w:rPr>
        <w:t>截至202</w:t>
      </w:r>
      <w:r>
        <w:rPr>
          <w:rFonts w:hint="eastAsia" w:ascii="Times New Roman" w:hAnsi="Times New Roman" w:cs="Times New Roman"/>
          <w:color w:val="auto"/>
          <w:highlight w:val="none"/>
        </w:rPr>
        <w:t>4</w:t>
      </w:r>
      <w:r>
        <w:rPr>
          <w:rFonts w:hint="default" w:ascii="Times New Roman" w:hAnsi="Times New Roman" w:cs="Times New Roman"/>
          <w:color w:val="auto"/>
          <w:highlight w:val="none"/>
        </w:rPr>
        <w:t>年</w:t>
      </w:r>
      <w:r>
        <w:rPr>
          <w:rFonts w:hint="eastAsia" w:cs="Times New Roman"/>
          <w:color w:val="auto"/>
          <w:highlight w:val="none"/>
          <w:lang w:val="en-US" w:eastAsia="zh-CN"/>
        </w:rPr>
        <w:t>12</w:t>
      </w:r>
      <w:r>
        <w:rPr>
          <w:rFonts w:hint="eastAsia" w:ascii="Times New Roman" w:hAnsi="Times New Roman" w:cs="Times New Roman"/>
          <w:color w:val="auto"/>
          <w:highlight w:val="none"/>
        </w:rPr>
        <w:t>月</w:t>
      </w:r>
      <w:r>
        <w:rPr>
          <w:rFonts w:hint="eastAsia" w:cs="Times New Roman"/>
          <w:color w:val="auto"/>
          <w:highlight w:val="none"/>
          <w:lang w:val="en-US" w:eastAsia="zh-CN"/>
        </w:rPr>
        <w:t>31日</w:t>
      </w:r>
      <w:r>
        <w:rPr>
          <w:rFonts w:hint="default" w:ascii="Times New Roman" w:hAnsi="Times New Roman" w:cs="Times New Roman"/>
          <w:color w:val="auto"/>
          <w:highlight w:val="none"/>
        </w:rPr>
        <w:t>，</w:t>
      </w:r>
      <w:r>
        <w:rPr>
          <w:rFonts w:hint="eastAsia" w:ascii="Times New Roman" w:hAnsi="Times New Roman" w:cs="Times New Roman"/>
          <w:color w:val="auto"/>
          <w:highlight w:val="none"/>
        </w:rPr>
        <w:t>该项目实际到位资金</w:t>
      </w:r>
      <w:r>
        <w:rPr>
          <w:rFonts w:hint="eastAsia" w:cs="Times New Roman"/>
          <w:i w:val="0"/>
          <w:iCs w:val="0"/>
          <w:color w:val="auto"/>
          <w:kern w:val="0"/>
          <w:sz w:val="21"/>
          <w:szCs w:val="21"/>
          <w:u w:val="none"/>
          <w:lang w:val="en-US" w:eastAsia="zh-CN" w:bidi="ar"/>
        </w:rPr>
        <w:t>1,299.00</w:t>
      </w:r>
      <w:r>
        <w:rPr>
          <w:rFonts w:hint="eastAsia" w:ascii="Times New Roman" w:hAnsi="Times New Roman" w:cs="Times New Roman"/>
          <w:color w:val="auto"/>
          <w:highlight w:val="none"/>
        </w:rPr>
        <w:t>万元，其中：</w:t>
      </w:r>
      <w:r>
        <w:rPr>
          <w:rFonts w:hint="eastAsia" w:cs="Times New Roman"/>
          <w:color w:val="auto"/>
          <w:highlight w:val="none"/>
          <w:lang w:val="en-US" w:eastAsia="zh-CN"/>
        </w:rPr>
        <w:t>中央农业产业发展资金1,258.00万元，自治区农机购置与应用补贴资金41.00万元，</w:t>
      </w:r>
      <w:r>
        <w:rPr>
          <w:rFonts w:hint="default" w:ascii="Times New Roman" w:hAnsi="Times New Roman" w:cs="Times New Roman"/>
          <w:color w:val="auto"/>
          <w:highlight w:val="none"/>
        </w:rPr>
        <w:t>资金到位率</w:t>
      </w:r>
      <w:r>
        <w:rPr>
          <w:rFonts w:hint="eastAsia" w:cs="Times New Roman"/>
          <w:color w:val="auto"/>
          <w:highlight w:val="none"/>
          <w:lang w:val="en-US" w:eastAsia="zh-CN"/>
        </w:rPr>
        <w:t>100.00</w:t>
      </w:r>
      <w:r>
        <w:rPr>
          <w:rFonts w:hint="default" w:ascii="Times New Roman" w:hAnsi="Times New Roman" w:cs="Times New Roman"/>
          <w:color w:val="auto"/>
          <w:highlight w:val="none"/>
        </w:rPr>
        <w:t>%</w:t>
      </w:r>
      <w:r>
        <w:rPr>
          <w:rFonts w:hint="eastAsia" w:ascii="Times New Roman" w:hAnsi="Times New Roman" w:cs="Times New Roman"/>
          <w:color w:val="auto"/>
          <w:highlight w:val="none"/>
        </w:rPr>
        <w:t>。</w:t>
      </w:r>
    </w:p>
    <w:p w14:paraId="44B1CE1C">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eastAsia="宋体" w:cs="Times New Roman"/>
          <w:b/>
          <w:bCs/>
          <w:color w:val="auto"/>
        </w:rPr>
      </w:pPr>
      <w:r>
        <w:rPr>
          <w:rFonts w:hint="eastAsia" w:ascii="Times New Roman" w:hAnsi="Times New Roman" w:eastAsia="宋体" w:cs="Times New Roman"/>
          <w:b/>
          <w:bCs/>
          <w:color w:val="auto"/>
          <w:lang w:val="en-US" w:eastAsia="zh-CN"/>
        </w:rPr>
        <w:t>2.</w:t>
      </w:r>
      <w:r>
        <w:rPr>
          <w:rFonts w:hint="default" w:ascii="Times New Roman" w:hAnsi="Times New Roman" w:eastAsia="宋体" w:cs="Times New Roman"/>
          <w:b/>
          <w:bCs/>
          <w:color w:val="auto"/>
        </w:rPr>
        <w:t>资金</w:t>
      </w:r>
      <w:r>
        <w:rPr>
          <w:rFonts w:hint="eastAsia" w:cs="Times New Roman"/>
          <w:b/>
          <w:bCs/>
          <w:color w:val="auto"/>
          <w:lang w:val="en-US" w:eastAsia="zh-CN"/>
        </w:rPr>
        <w:t>执行</w:t>
      </w:r>
      <w:r>
        <w:rPr>
          <w:rFonts w:hint="default" w:ascii="Times New Roman" w:hAnsi="Times New Roman" w:eastAsia="宋体" w:cs="Times New Roman"/>
          <w:b/>
          <w:bCs/>
          <w:color w:val="auto"/>
        </w:rPr>
        <w:t>情况</w:t>
      </w:r>
    </w:p>
    <w:p w14:paraId="26F4E903">
      <w:pPr>
        <w:rPr>
          <w:rFonts w:eastAsia="宋体"/>
          <w:b/>
          <w:bCs/>
          <w:color w:val="auto"/>
          <w:kern w:val="0"/>
          <w:lang w:bidi="ar"/>
        </w:rPr>
      </w:pPr>
      <w:r>
        <w:rPr>
          <w:rFonts w:hint="default" w:ascii="Times New Roman" w:hAnsi="Times New Roman" w:cs="Times New Roman"/>
          <w:color w:val="auto"/>
          <w:highlight w:val="none"/>
        </w:rPr>
        <w:t>截至2024年</w:t>
      </w:r>
      <w:r>
        <w:rPr>
          <w:rFonts w:hint="eastAsia" w:cs="Times New Roman"/>
          <w:color w:val="auto"/>
          <w:highlight w:val="none"/>
          <w:lang w:val="en-US" w:eastAsia="zh-CN"/>
        </w:rPr>
        <w:t>12</w:t>
      </w:r>
      <w:r>
        <w:rPr>
          <w:rFonts w:hint="default" w:ascii="Times New Roman" w:hAnsi="Times New Roman" w:cs="Times New Roman"/>
          <w:color w:val="auto"/>
          <w:highlight w:val="none"/>
        </w:rPr>
        <w:t>月</w:t>
      </w:r>
      <w:r>
        <w:rPr>
          <w:rFonts w:hint="eastAsia" w:cs="Times New Roman"/>
          <w:color w:val="auto"/>
          <w:highlight w:val="none"/>
          <w:lang w:val="en-US" w:eastAsia="zh-CN"/>
        </w:rPr>
        <w:t>31日，</w:t>
      </w:r>
      <w:r>
        <w:rPr>
          <w:rFonts w:hint="eastAsia" w:ascii="Times New Roman" w:hAnsi="Times New Roman" w:cs="Times New Roman"/>
          <w:color w:val="auto"/>
          <w:highlight w:val="none"/>
        </w:rPr>
        <w:t>实际支出资金</w:t>
      </w:r>
      <w:r>
        <w:rPr>
          <w:rFonts w:hint="eastAsia" w:cs="Times New Roman"/>
          <w:i w:val="0"/>
          <w:iCs w:val="0"/>
          <w:color w:val="auto"/>
          <w:kern w:val="0"/>
          <w:sz w:val="21"/>
          <w:szCs w:val="21"/>
          <w:u w:val="none"/>
          <w:lang w:val="en-US" w:eastAsia="zh-CN" w:bidi="ar"/>
        </w:rPr>
        <w:t>1,298.94</w:t>
      </w:r>
      <w:r>
        <w:rPr>
          <w:rFonts w:hint="eastAsia" w:ascii="Times New Roman" w:hAnsi="Times New Roman" w:cs="Times New Roman"/>
          <w:color w:val="auto"/>
          <w:highlight w:val="none"/>
        </w:rPr>
        <w:t>万元，</w:t>
      </w:r>
      <w:r>
        <w:rPr>
          <w:rFonts w:hint="default" w:ascii="Times New Roman" w:hAnsi="Times New Roman" w:eastAsia="宋体" w:cs="Times New Roman"/>
          <w:color w:val="auto"/>
          <w:highlight w:val="none"/>
          <w:lang w:val="en-US" w:eastAsia="zh-CN"/>
        </w:rPr>
        <w:t>资金</w:t>
      </w:r>
      <w:r>
        <w:rPr>
          <w:rFonts w:hint="default" w:ascii="Times New Roman" w:hAnsi="Times New Roman" w:cs="Times New Roman"/>
          <w:color w:val="auto"/>
          <w:highlight w:val="none"/>
        </w:rPr>
        <w:t>执行率为</w:t>
      </w:r>
      <w:r>
        <w:rPr>
          <w:rFonts w:hint="eastAsia" w:cs="Times New Roman"/>
          <w:color w:val="auto"/>
          <w:highlight w:val="none"/>
          <w:lang w:val="en-US" w:eastAsia="zh-CN"/>
        </w:rPr>
        <w:t>99.99</w:t>
      </w:r>
      <w:r>
        <w:rPr>
          <w:rFonts w:hint="eastAsia" w:ascii="Times New Roman" w:hAnsi="Times New Roman" w:cs="Times New Roman"/>
          <w:color w:val="auto"/>
          <w:highlight w:val="none"/>
        </w:rPr>
        <w:t>%</w:t>
      </w:r>
      <w:r>
        <w:rPr>
          <w:rFonts w:hint="default" w:ascii="Times New Roman" w:hAnsi="Times New Roman" w:cs="Times New Roman"/>
          <w:color w:val="auto"/>
          <w:highlight w:val="none"/>
        </w:rPr>
        <w:t>。</w:t>
      </w:r>
      <w:r>
        <w:rPr>
          <w:rFonts w:hint="eastAsia" w:ascii="Times New Roman" w:hAnsi="Times New Roman" w:cs="Times New Roman"/>
          <w:color w:val="auto"/>
          <w:highlight w:val="none"/>
        </w:rPr>
        <w:t>其中：</w:t>
      </w:r>
      <w:r>
        <w:rPr>
          <w:rFonts w:hint="eastAsia" w:cs="Times New Roman"/>
          <w:color w:val="auto"/>
          <w:highlight w:val="none"/>
          <w:lang w:val="en-US" w:eastAsia="zh-CN"/>
        </w:rPr>
        <w:t>中央农业产业发展资金1,257.94万元，</w:t>
      </w:r>
      <w:r>
        <w:rPr>
          <w:rFonts w:hint="default" w:ascii="Times New Roman" w:hAnsi="Times New Roman" w:eastAsia="宋体" w:cs="Times New Roman"/>
          <w:color w:val="auto"/>
          <w:highlight w:val="none"/>
          <w:lang w:val="en-US" w:eastAsia="zh-CN"/>
        </w:rPr>
        <w:t>资金</w:t>
      </w:r>
      <w:r>
        <w:rPr>
          <w:rFonts w:hint="default" w:ascii="Times New Roman" w:hAnsi="Times New Roman" w:cs="Times New Roman"/>
          <w:color w:val="auto"/>
          <w:highlight w:val="none"/>
        </w:rPr>
        <w:t>执行率为</w:t>
      </w:r>
      <w:r>
        <w:rPr>
          <w:rFonts w:hint="eastAsia" w:cs="Times New Roman"/>
          <w:color w:val="auto"/>
          <w:highlight w:val="none"/>
          <w:lang w:val="en-US" w:eastAsia="zh-CN"/>
        </w:rPr>
        <w:t>99.99</w:t>
      </w:r>
      <w:r>
        <w:rPr>
          <w:rFonts w:hint="eastAsia" w:ascii="Times New Roman" w:hAnsi="Times New Roman" w:cs="Times New Roman"/>
          <w:color w:val="auto"/>
          <w:highlight w:val="none"/>
        </w:rPr>
        <w:t>%</w:t>
      </w:r>
      <w:r>
        <w:rPr>
          <w:rFonts w:hint="default" w:ascii="Times New Roman" w:hAnsi="Times New Roman" w:cs="Times New Roman"/>
          <w:color w:val="auto"/>
          <w:highlight w:val="none"/>
        </w:rPr>
        <w:t>；</w:t>
      </w:r>
      <w:r>
        <w:rPr>
          <w:rFonts w:hint="eastAsia" w:cs="Times New Roman"/>
          <w:color w:val="auto"/>
          <w:highlight w:val="none"/>
          <w:lang w:val="en-US" w:eastAsia="zh-CN"/>
        </w:rPr>
        <w:t>自治区农机购置与应用补贴资金41.00万元，</w:t>
      </w:r>
      <w:r>
        <w:rPr>
          <w:rFonts w:hint="default" w:ascii="Times New Roman" w:hAnsi="Times New Roman" w:eastAsia="宋体" w:cs="Times New Roman"/>
          <w:color w:val="auto"/>
          <w:highlight w:val="none"/>
          <w:lang w:val="en-US" w:eastAsia="zh-CN"/>
        </w:rPr>
        <w:t>资金</w:t>
      </w:r>
      <w:r>
        <w:rPr>
          <w:rFonts w:hint="default" w:ascii="Times New Roman" w:hAnsi="Times New Roman" w:cs="Times New Roman"/>
          <w:color w:val="auto"/>
          <w:highlight w:val="none"/>
        </w:rPr>
        <w:t>执行率为</w:t>
      </w:r>
      <w:r>
        <w:rPr>
          <w:rFonts w:hint="eastAsia" w:cs="Times New Roman"/>
          <w:color w:val="auto"/>
          <w:highlight w:val="none"/>
          <w:lang w:val="en-US" w:eastAsia="zh-CN"/>
        </w:rPr>
        <w:t>100.00</w:t>
      </w:r>
      <w:r>
        <w:rPr>
          <w:rFonts w:hint="eastAsia" w:ascii="Times New Roman" w:hAnsi="Times New Roman" w:cs="Times New Roman"/>
          <w:color w:val="auto"/>
          <w:highlight w:val="none"/>
        </w:rPr>
        <w:t>%</w:t>
      </w:r>
      <w:r>
        <w:rPr>
          <w:rFonts w:hint="default" w:ascii="Times New Roman" w:hAnsi="Times New Roman" w:cs="Times New Roman"/>
          <w:color w:val="auto"/>
          <w:highlight w:val="none"/>
        </w:rPr>
        <w:t>。情况具体如下：</w:t>
      </w:r>
    </w:p>
    <w:p w14:paraId="233C0E8B">
      <w:pPr>
        <w:ind w:firstLine="0" w:firstLineChars="0"/>
        <w:jc w:val="center"/>
        <w:rPr>
          <w:rFonts w:hint="default" w:eastAsia="宋体"/>
          <w:b/>
          <w:bCs/>
          <w:color w:val="auto"/>
          <w:kern w:val="0"/>
          <w:lang w:val="en-US" w:eastAsia="zh-CN" w:bidi="ar"/>
        </w:rPr>
      </w:pPr>
      <w:r>
        <w:rPr>
          <w:rFonts w:eastAsia="宋体"/>
          <w:b/>
          <w:bCs/>
          <w:color w:val="auto"/>
          <w:kern w:val="0"/>
          <w:lang w:bidi="ar"/>
        </w:rPr>
        <w:t>表1-</w:t>
      </w:r>
      <w:r>
        <w:rPr>
          <w:rFonts w:hint="eastAsia" w:eastAsia="宋体"/>
          <w:b/>
          <w:bCs/>
          <w:color w:val="auto"/>
          <w:kern w:val="0"/>
          <w:lang w:val="en-US" w:eastAsia="zh-CN" w:bidi="ar"/>
        </w:rPr>
        <w:t>1</w:t>
      </w:r>
      <w:r>
        <w:rPr>
          <w:rFonts w:eastAsia="宋体"/>
          <w:b/>
          <w:bCs/>
          <w:color w:val="auto"/>
          <w:kern w:val="0"/>
          <w:lang w:bidi="ar"/>
        </w:rPr>
        <w:t>:202</w:t>
      </w:r>
      <w:r>
        <w:rPr>
          <w:rFonts w:hint="eastAsia" w:eastAsia="宋体"/>
          <w:b/>
          <w:bCs/>
          <w:color w:val="auto"/>
          <w:kern w:val="0"/>
          <w:lang w:val="en-US" w:eastAsia="zh-CN" w:bidi="ar"/>
        </w:rPr>
        <w:t>4</w:t>
      </w:r>
      <w:r>
        <w:rPr>
          <w:rFonts w:eastAsia="宋体"/>
          <w:b/>
          <w:bCs/>
          <w:color w:val="auto"/>
          <w:kern w:val="0"/>
          <w:lang w:bidi="ar"/>
        </w:rPr>
        <w:t>年</w:t>
      </w:r>
      <w:r>
        <w:rPr>
          <w:rFonts w:hint="eastAsia" w:eastAsia="宋体"/>
          <w:b/>
          <w:bCs/>
          <w:color w:val="auto"/>
          <w:kern w:val="0"/>
          <w:lang w:bidi="ar"/>
        </w:rPr>
        <w:t>农机购置与应用补贴项目</w:t>
      </w:r>
      <w:r>
        <w:rPr>
          <w:rFonts w:hint="eastAsia"/>
          <w:b/>
          <w:bCs/>
          <w:color w:val="auto"/>
          <w:kern w:val="0"/>
          <w:lang w:val="en-US" w:eastAsia="zh-CN" w:bidi="ar"/>
        </w:rPr>
        <w:t>支出明细表</w:t>
      </w:r>
    </w:p>
    <w:p w14:paraId="52A2FDFC">
      <w:pPr>
        <w:ind w:firstLine="0" w:firstLineChars="0"/>
        <w:jc w:val="right"/>
        <w:rPr>
          <w:rFonts w:hint="eastAsia"/>
          <w:b/>
          <w:bCs/>
          <w:color w:val="auto"/>
          <w:kern w:val="0"/>
          <w:lang w:val="en-US" w:eastAsia="zh-CN" w:bidi="ar"/>
        </w:rPr>
      </w:pPr>
      <w:r>
        <w:rPr>
          <w:rFonts w:hint="eastAsia"/>
          <w:b/>
          <w:bCs/>
          <w:color w:val="auto"/>
          <w:kern w:val="0"/>
          <w:lang w:val="en-US" w:eastAsia="zh-CN" w:bidi="ar"/>
        </w:rPr>
        <w:t>单位：万元</w:t>
      </w:r>
    </w:p>
    <w:tbl>
      <w:tblPr>
        <w:tblStyle w:val="21"/>
        <w:tblW w:w="84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51" w:type="dxa"/>
          <w:bottom w:w="0" w:type="dxa"/>
          <w:right w:w="51" w:type="dxa"/>
        </w:tblCellMar>
      </w:tblPr>
      <w:tblGrid>
        <w:gridCol w:w="1279"/>
        <w:gridCol w:w="4246"/>
        <w:gridCol w:w="1022"/>
        <w:gridCol w:w="959"/>
        <w:gridCol w:w="977"/>
      </w:tblGrid>
      <w:tr w14:paraId="2076A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51" w:type="dxa"/>
            <w:bottom w:w="0" w:type="dxa"/>
            <w:right w:w="51" w:type="dxa"/>
          </w:tblCellMar>
        </w:tblPrEx>
        <w:trPr>
          <w:trHeight w:val="363" w:hRule="atLeast"/>
          <w:jc w:val="center"/>
        </w:trPr>
        <w:tc>
          <w:tcPr>
            <w:tcW w:w="1279" w:type="dxa"/>
            <w:shd w:val="clear" w:color="auto" w:fill="auto"/>
            <w:noWrap/>
            <w:vAlign w:val="center"/>
          </w:tcPr>
          <w:p w14:paraId="6B63CC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资金性质</w:t>
            </w:r>
          </w:p>
        </w:tc>
        <w:tc>
          <w:tcPr>
            <w:tcW w:w="4246" w:type="dxa"/>
            <w:shd w:val="clear" w:color="auto" w:fill="auto"/>
            <w:noWrap/>
            <w:vAlign w:val="center"/>
          </w:tcPr>
          <w:p w14:paraId="79FC37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资金文件</w:t>
            </w:r>
          </w:p>
        </w:tc>
        <w:tc>
          <w:tcPr>
            <w:tcW w:w="1022" w:type="dxa"/>
            <w:shd w:val="clear" w:color="auto" w:fill="auto"/>
            <w:noWrap/>
            <w:vAlign w:val="center"/>
          </w:tcPr>
          <w:p w14:paraId="497EA58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预算资金下达金额</w:t>
            </w:r>
          </w:p>
        </w:tc>
        <w:tc>
          <w:tcPr>
            <w:tcW w:w="959" w:type="dxa"/>
            <w:shd w:val="clear" w:color="auto" w:fill="auto"/>
            <w:noWrap/>
            <w:vAlign w:val="center"/>
          </w:tcPr>
          <w:p w14:paraId="284D181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实际支出金额</w:t>
            </w:r>
          </w:p>
        </w:tc>
        <w:tc>
          <w:tcPr>
            <w:tcW w:w="977" w:type="dxa"/>
            <w:shd w:val="clear" w:color="auto" w:fill="auto"/>
            <w:noWrap/>
            <w:vAlign w:val="center"/>
          </w:tcPr>
          <w:p w14:paraId="68C9F7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预算执行率</w:t>
            </w:r>
          </w:p>
        </w:tc>
      </w:tr>
      <w:tr w14:paraId="19041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3" w:hRule="atLeast"/>
          <w:jc w:val="center"/>
        </w:trPr>
        <w:tc>
          <w:tcPr>
            <w:tcW w:w="1279" w:type="dxa"/>
            <w:vMerge w:val="restart"/>
            <w:shd w:val="clear" w:color="auto" w:fill="auto"/>
            <w:noWrap/>
            <w:vAlign w:val="center"/>
          </w:tcPr>
          <w:p w14:paraId="74CFA44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中央农业产业发展资金</w:t>
            </w:r>
          </w:p>
        </w:tc>
        <w:tc>
          <w:tcPr>
            <w:tcW w:w="4246" w:type="dxa"/>
            <w:shd w:val="clear" w:color="auto" w:fill="auto"/>
            <w:vAlign w:val="center"/>
          </w:tcPr>
          <w:p w14:paraId="68B4E5F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《关于提前下达2024年中央农业产业发展资金预算的通知》（昌州财农〔2023〕62号）</w:t>
            </w:r>
          </w:p>
        </w:tc>
        <w:tc>
          <w:tcPr>
            <w:tcW w:w="1022" w:type="dxa"/>
            <w:shd w:val="clear" w:color="auto" w:fill="auto"/>
            <w:noWrap/>
            <w:vAlign w:val="center"/>
          </w:tcPr>
          <w:p w14:paraId="23E7095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610.00 </w:t>
            </w:r>
          </w:p>
        </w:tc>
        <w:tc>
          <w:tcPr>
            <w:tcW w:w="959" w:type="dxa"/>
            <w:shd w:val="clear" w:color="auto" w:fill="auto"/>
            <w:noWrap/>
            <w:vAlign w:val="center"/>
          </w:tcPr>
          <w:p w14:paraId="46EB9A0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610.00 </w:t>
            </w:r>
          </w:p>
        </w:tc>
        <w:tc>
          <w:tcPr>
            <w:tcW w:w="977" w:type="dxa"/>
            <w:shd w:val="clear" w:color="auto" w:fill="auto"/>
            <w:noWrap/>
            <w:vAlign w:val="center"/>
          </w:tcPr>
          <w:p w14:paraId="08EFCF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r>
      <w:tr w14:paraId="64041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3" w:hRule="atLeast"/>
          <w:jc w:val="center"/>
        </w:trPr>
        <w:tc>
          <w:tcPr>
            <w:tcW w:w="1279" w:type="dxa"/>
            <w:vMerge w:val="continue"/>
            <w:shd w:val="clear" w:color="auto" w:fill="auto"/>
            <w:noWrap/>
            <w:vAlign w:val="center"/>
          </w:tcPr>
          <w:p w14:paraId="4D831F2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21"/>
                <w:szCs w:val="21"/>
                <w:u w:val="none"/>
              </w:rPr>
            </w:pPr>
          </w:p>
        </w:tc>
        <w:tc>
          <w:tcPr>
            <w:tcW w:w="4246" w:type="dxa"/>
            <w:shd w:val="clear" w:color="auto" w:fill="auto"/>
            <w:vAlign w:val="center"/>
          </w:tcPr>
          <w:p w14:paraId="70FE464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《关于下达 2024年中央农业产业发展资金预算的通知》（昌州财农〔2024〕19号）</w:t>
            </w:r>
          </w:p>
        </w:tc>
        <w:tc>
          <w:tcPr>
            <w:tcW w:w="1022" w:type="dxa"/>
            <w:shd w:val="clear" w:color="auto" w:fill="auto"/>
            <w:noWrap/>
            <w:vAlign w:val="center"/>
          </w:tcPr>
          <w:p w14:paraId="3C8F24C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648.00 </w:t>
            </w:r>
          </w:p>
        </w:tc>
        <w:tc>
          <w:tcPr>
            <w:tcW w:w="959" w:type="dxa"/>
            <w:shd w:val="clear" w:color="auto" w:fill="auto"/>
            <w:noWrap/>
            <w:vAlign w:val="center"/>
          </w:tcPr>
          <w:p w14:paraId="54BB46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647.9</w:t>
            </w:r>
            <w:r>
              <w:rPr>
                <w:rFonts w:hint="eastAsia" w:ascii="宋体" w:hAnsi="宋体" w:cs="宋体"/>
                <w:i w:val="0"/>
                <w:iCs w:val="0"/>
                <w:color w:val="000000"/>
                <w:kern w:val="0"/>
                <w:sz w:val="21"/>
                <w:szCs w:val="21"/>
                <w:u w:val="none"/>
                <w:lang w:val="en-US" w:eastAsia="zh-CN" w:bidi="ar"/>
              </w:rPr>
              <w:t>4</w:t>
            </w:r>
            <w:r>
              <w:rPr>
                <w:rFonts w:hint="eastAsia" w:ascii="宋体" w:hAnsi="宋体" w:eastAsia="宋体" w:cs="宋体"/>
                <w:i w:val="0"/>
                <w:iCs w:val="0"/>
                <w:color w:val="000000"/>
                <w:kern w:val="0"/>
                <w:sz w:val="21"/>
                <w:szCs w:val="21"/>
                <w:u w:val="none"/>
                <w:lang w:val="en-US" w:eastAsia="zh-CN" w:bidi="ar"/>
              </w:rPr>
              <w:t xml:space="preserve"> </w:t>
            </w:r>
          </w:p>
        </w:tc>
        <w:tc>
          <w:tcPr>
            <w:tcW w:w="977" w:type="dxa"/>
            <w:shd w:val="clear" w:color="auto" w:fill="auto"/>
            <w:noWrap/>
            <w:vAlign w:val="center"/>
          </w:tcPr>
          <w:p w14:paraId="449FECE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99.99%</w:t>
            </w:r>
          </w:p>
        </w:tc>
      </w:tr>
      <w:tr w14:paraId="69D6A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3" w:hRule="atLeast"/>
          <w:jc w:val="center"/>
        </w:trPr>
        <w:tc>
          <w:tcPr>
            <w:tcW w:w="1279" w:type="dxa"/>
            <w:shd w:val="clear" w:color="auto" w:fill="auto"/>
            <w:noWrap/>
            <w:vAlign w:val="center"/>
          </w:tcPr>
          <w:p w14:paraId="5702590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自治区农机购置与应用补贴资金</w:t>
            </w:r>
          </w:p>
        </w:tc>
        <w:tc>
          <w:tcPr>
            <w:tcW w:w="4246" w:type="dxa"/>
            <w:shd w:val="clear" w:color="auto" w:fill="auto"/>
            <w:vAlign w:val="center"/>
          </w:tcPr>
          <w:p w14:paraId="304670E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《关于下达 2024 年自治区农机购置与应用补贴资金预算的通知》（昌州财农</w:t>
            </w:r>
            <w:r>
              <w:rPr>
                <w:rFonts w:hint="eastAsia" w:ascii="宋体" w:hAnsi="宋体" w:cs="宋体"/>
                <w:i w:val="0"/>
                <w:iCs w:val="0"/>
                <w:color w:val="000000"/>
                <w:kern w:val="0"/>
                <w:sz w:val="21"/>
                <w:szCs w:val="21"/>
                <w:u w:val="none"/>
                <w:lang w:val="en-US" w:eastAsia="zh-CN" w:bidi="ar"/>
              </w:rPr>
              <w:t>〔2024〕27号</w:t>
            </w:r>
            <w:r>
              <w:rPr>
                <w:rFonts w:hint="eastAsia" w:ascii="宋体" w:hAnsi="宋体" w:eastAsia="宋体" w:cs="宋体"/>
                <w:i w:val="0"/>
                <w:iCs w:val="0"/>
                <w:color w:val="000000"/>
                <w:kern w:val="0"/>
                <w:sz w:val="21"/>
                <w:szCs w:val="21"/>
                <w:u w:val="none"/>
                <w:lang w:val="en-US" w:eastAsia="zh-CN" w:bidi="ar"/>
              </w:rPr>
              <w:t>）</w:t>
            </w:r>
          </w:p>
        </w:tc>
        <w:tc>
          <w:tcPr>
            <w:tcW w:w="1022" w:type="dxa"/>
            <w:shd w:val="clear" w:color="auto" w:fill="auto"/>
            <w:noWrap/>
            <w:vAlign w:val="center"/>
          </w:tcPr>
          <w:p w14:paraId="6ED25B81">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41.00 </w:t>
            </w:r>
          </w:p>
        </w:tc>
        <w:tc>
          <w:tcPr>
            <w:tcW w:w="959" w:type="dxa"/>
            <w:shd w:val="clear" w:color="auto" w:fill="auto"/>
            <w:noWrap/>
            <w:vAlign w:val="center"/>
          </w:tcPr>
          <w:p w14:paraId="1DC881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41.00 </w:t>
            </w:r>
          </w:p>
        </w:tc>
        <w:tc>
          <w:tcPr>
            <w:tcW w:w="977" w:type="dxa"/>
            <w:shd w:val="clear" w:color="auto" w:fill="auto"/>
            <w:noWrap/>
            <w:vAlign w:val="center"/>
          </w:tcPr>
          <w:p w14:paraId="730C7B3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100.00%</w:t>
            </w:r>
          </w:p>
        </w:tc>
      </w:tr>
      <w:tr w14:paraId="74C6D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63" w:hRule="atLeast"/>
          <w:jc w:val="center"/>
        </w:trPr>
        <w:tc>
          <w:tcPr>
            <w:tcW w:w="1279" w:type="dxa"/>
            <w:shd w:val="clear" w:color="auto" w:fill="auto"/>
            <w:noWrap/>
            <w:vAlign w:val="center"/>
          </w:tcPr>
          <w:p w14:paraId="06F9BC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合计</w:t>
            </w:r>
          </w:p>
        </w:tc>
        <w:tc>
          <w:tcPr>
            <w:tcW w:w="4246" w:type="dxa"/>
            <w:shd w:val="clear" w:color="auto" w:fill="auto"/>
            <w:noWrap/>
            <w:vAlign w:val="center"/>
          </w:tcPr>
          <w:p w14:paraId="30C5AC4C">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21"/>
                <w:szCs w:val="21"/>
                <w:u w:val="none"/>
              </w:rPr>
            </w:pPr>
          </w:p>
        </w:tc>
        <w:tc>
          <w:tcPr>
            <w:tcW w:w="1022" w:type="dxa"/>
            <w:shd w:val="clear" w:color="auto" w:fill="auto"/>
            <w:noWrap/>
            <w:vAlign w:val="center"/>
          </w:tcPr>
          <w:p w14:paraId="4BF880C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 xml:space="preserve">1,299.00 </w:t>
            </w:r>
          </w:p>
        </w:tc>
        <w:tc>
          <w:tcPr>
            <w:tcW w:w="959" w:type="dxa"/>
            <w:shd w:val="clear" w:color="auto" w:fill="auto"/>
            <w:noWrap/>
            <w:vAlign w:val="center"/>
          </w:tcPr>
          <w:p w14:paraId="72439D23">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宋体" w:hAnsi="宋体" w:eastAsia="宋体" w:cs="宋体"/>
                <w:b/>
                <w:bCs/>
                <w:i w:val="0"/>
                <w:iCs w:val="0"/>
                <w:color w:val="000000"/>
                <w:sz w:val="21"/>
                <w:szCs w:val="21"/>
                <w:u w:val="none"/>
                <w:lang w:val="en-US"/>
              </w:rPr>
            </w:pPr>
            <w:r>
              <w:rPr>
                <w:rFonts w:hint="eastAsia" w:ascii="宋体" w:hAnsi="宋体" w:eastAsia="宋体" w:cs="宋体"/>
                <w:b/>
                <w:bCs/>
                <w:i w:val="0"/>
                <w:iCs w:val="0"/>
                <w:color w:val="000000"/>
                <w:kern w:val="0"/>
                <w:sz w:val="21"/>
                <w:szCs w:val="21"/>
                <w:u w:val="none"/>
                <w:lang w:val="en-US" w:eastAsia="zh-CN" w:bidi="ar"/>
              </w:rPr>
              <w:t>1,298.9</w:t>
            </w:r>
            <w:r>
              <w:rPr>
                <w:rFonts w:hint="eastAsia" w:ascii="宋体" w:hAnsi="宋体" w:cs="宋体"/>
                <w:b/>
                <w:bCs/>
                <w:i w:val="0"/>
                <w:iCs w:val="0"/>
                <w:color w:val="000000"/>
                <w:kern w:val="0"/>
                <w:sz w:val="21"/>
                <w:szCs w:val="21"/>
                <w:u w:val="none"/>
                <w:lang w:val="en-US" w:eastAsia="zh-CN" w:bidi="ar"/>
              </w:rPr>
              <w:t>4</w:t>
            </w:r>
          </w:p>
        </w:tc>
        <w:tc>
          <w:tcPr>
            <w:tcW w:w="977" w:type="dxa"/>
            <w:shd w:val="clear" w:color="auto" w:fill="auto"/>
            <w:noWrap/>
            <w:vAlign w:val="center"/>
          </w:tcPr>
          <w:p w14:paraId="7EF3B99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eastAsia" w:ascii="宋体" w:hAnsi="宋体" w:eastAsia="宋体" w:cs="宋体"/>
                <w:b/>
                <w:bCs/>
                <w:i w:val="0"/>
                <w:iCs w:val="0"/>
                <w:color w:val="000000"/>
                <w:sz w:val="22"/>
                <w:szCs w:val="22"/>
                <w:u w:val="none"/>
              </w:rPr>
            </w:pPr>
            <w:r>
              <w:rPr>
                <w:rFonts w:hint="eastAsia" w:ascii="宋体" w:hAnsi="宋体" w:cs="宋体"/>
                <w:b/>
                <w:bCs/>
                <w:i w:val="0"/>
                <w:iCs w:val="0"/>
                <w:color w:val="000000"/>
                <w:kern w:val="0"/>
                <w:sz w:val="22"/>
                <w:szCs w:val="22"/>
                <w:u w:val="none"/>
                <w:lang w:val="en-US" w:eastAsia="zh-CN" w:bidi="ar"/>
              </w:rPr>
              <w:t>99.99</w:t>
            </w:r>
            <w:r>
              <w:rPr>
                <w:rFonts w:hint="eastAsia" w:ascii="宋体" w:hAnsi="宋体" w:eastAsia="宋体" w:cs="宋体"/>
                <w:b/>
                <w:bCs/>
                <w:i w:val="0"/>
                <w:iCs w:val="0"/>
                <w:color w:val="000000"/>
                <w:kern w:val="0"/>
                <w:sz w:val="22"/>
                <w:szCs w:val="22"/>
                <w:u w:val="none"/>
                <w:lang w:val="en-US" w:eastAsia="zh-CN" w:bidi="ar"/>
              </w:rPr>
              <w:t>%</w:t>
            </w:r>
          </w:p>
        </w:tc>
      </w:tr>
    </w:tbl>
    <w:p w14:paraId="02A573A7">
      <w:pPr>
        <w:pStyle w:val="12"/>
        <w:rPr>
          <w:rFonts w:hint="default"/>
          <w:lang w:val="en-US" w:eastAsia="zh-CN"/>
        </w:rPr>
      </w:pPr>
    </w:p>
    <w:p w14:paraId="113C0F17">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45" w:name="_Toc32601"/>
      <w:r>
        <w:rPr>
          <w:rFonts w:hint="eastAsia"/>
          <w:color w:val="auto"/>
        </w:rPr>
        <w:t>（三）</w:t>
      </w:r>
      <w:r>
        <w:rPr>
          <w:color w:val="auto"/>
        </w:rPr>
        <w:t>项目实施情况</w:t>
      </w:r>
      <w:bookmarkEnd w:id="45"/>
    </w:p>
    <w:p w14:paraId="4C9E41B9">
      <w:pPr>
        <w:bidi w:val="0"/>
        <w:adjustRightInd w:val="0"/>
        <w:snapToGrid w:val="0"/>
        <w:ind w:firstLine="422" w:firstLineChars="200"/>
        <w:rPr>
          <w:rFonts w:hint="default"/>
          <w:b/>
          <w:bCs/>
          <w:color w:val="auto"/>
          <w:lang w:val="en-US" w:eastAsia="zh-CN"/>
        </w:rPr>
      </w:pPr>
      <w:bookmarkStart w:id="46" w:name="_Toc68364659"/>
      <w:r>
        <w:rPr>
          <w:rFonts w:hint="eastAsia"/>
          <w:b/>
          <w:bCs/>
          <w:color w:val="auto"/>
          <w:lang w:val="en-US" w:eastAsia="zh-CN"/>
        </w:rPr>
        <w:t>1.农机购置与应用补贴</w:t>
      </w:r>
    </w:p>
    <w:p w14:paraId="5C6BAF06">
      <w:pPr>
        <w:bidi w:val="0"/>
        <w:adjustRightInd w:val="0"/>
        <w:snapToGrid w:val="0"/>
        <w:ind w:firstLine="420" w:firstLineChars="200"/>
        <w:rPr>
          <w:rFonts w:hint="default" w:eastAsia="宋体"/>
          <w:color w:val="auto"/>
          <w:lang w:val="en-US" w:eastAsia="zh-CN"/>
        </w:rPr>
      </w:pPr>
      <w:r>
        <w:rPr>
          <w:rFonts w:hint="eastAsia"/>
          <w:color w:val="auto"/>
          <w:lang w:val="en-US" w:eastAsia="zh-CN"/>
        </w:rPr>
        <w:t>农机购置与应</w:t>
      </w:r>
      <w:r>
        <w:rPr>
          <w:rFonts w:hint="eastAsia"/>
          <w:color w:val="auto"/>
          <w:highlight w:val="none"/>
          <w:lang w:val="en-US" w:eastAsia="zh-CN"/>
        </w:rPr>
        <w:t>用补贴在</w:t>
      </w:r>
      <w:r>
        <w:rPr>
          <w:rFonts w:hint="eastAsia" w:cs="Times New Roman"/>
          <w:color w:val="auto"/>
          <w:highlight w:val="none"/>
          <w:lang w:val="en-US" w:eastAsia="zh-CN"/>
        </w:rPr>
        <w:t>《新疆维吾尔自治区农机购置与应用补贴申请办理服务系统》中操作，农机购置与应用补贴政策实行“自主购机、定额补贴、先购后补、县级结算、直补到卡（户）”。购机者自主通过“新疆农机补贴”手机APP提交补贴购机申请，同时按照系统要求提交购机人身份证号码，机具品目，机具型号、出厂编号[发动机号]，出厂日期，购机发票等信息，由农业农村局负责科室工作人员对以上信息进行审核，对审核通过后，放入冻结状态；待上级资金到位后，</w:t>
      </w:r>
      <w:r>
        <w:rPr>
          <w:rFonts w:hint="eastAsia"/>
          <w:color w:val="auto"/>
          <w:highlight w:val="none"/>
          <w:lang w:val="en-US" w:eastAsia="zh-CN"/>
        </w:rPr>
        <w:t>农业农村局实施审核资料、机具核验、进行公示等各环节，签署告知承诺书，</w:t>
      </w:r>
      <w:r>
        <w:rPr>
          <w:rFonts w:hint="eastAsia" w:cs="Times New Roman"/>
          <w:color w:val="auto"/>
          <w:highlight w:val="none"/>
          <w:lang w:val="en-US" w:eastAsia="zh-CN"/>
        </w:rPr>
        <w:t>按相关规定申办补贴，</w:t>
      </w:r>
      <w:r>
        <w:rPr>
          <w:rFonts w:hint="eastAsia"/>
          <w:color w:val="auto"/>
          <w:highlight w:val="none"/>
          <w:lang w:val="en-US" w:eastAsia="zh-CN"/>
        </w:rPr>
        <w:t>经吉木萨尔县财政局审核后通过一卡通的方式直补到购机者银行卡</w:t>
      </w:r>
      <w:r>
        <w:rPr>
          <w:rFonts w:hint="eastAsia" w:cs="Times New Roman"/>
          <w:color w:val="auto"/>
          <w:highlight w:val="none"/>
          <w:lang w:val="en-US" w:eastAsia="zh-CN"/>
        </w:rPr>
        <w:t>。同时在吉木萨尔县人民政府官网-政务公开-县市部门-农业农村局-法定主动公开内容-涉农补贴中公开补贴机具公示表，补贴金额等信息进行公开。</w:t>
      </w:r>
    </w:p>
    <w:p w14:paraId="089FF777">
      <w:pPr>
        <w:ind w:firstLine="664"/>
        <w:rPr>
          <w:rFonts w:hint="default" w:eastAsia="宋体"/>
          <w:b/>
          <w:bCs/>
          <w:lang w:val="en-US" w:eastAsia="zh-CN"/>
        </w:rPr>
      </w:pPr>
      <w:r>
        <w:rPr>
          <w:rFonts w:hint="eastAsia"/>
          <w:color w:val="auto"/>
          <w:highlight w:val="none"/>
        </w:rPr>
        <w:t>截至2024年12月31日，</w:t>
      </w:r>
      <w:r>
        <w:rPr>
          <w:rFonts w:hint="eastAsia"/>
          <w:color w:val="auto"/>
          <w:highlight w:val="none"/>
          <w:lang w:val="en-US" w:eastAsia="zh-CN"/>
        </w:rPr>
        <w:t>吉木萨尔县共计完成2024年中央及自治区财政支持</w:t>
      </w:r>
      <w:r>
        <w:rPr>
          <w:rFonts w:hint="eastAsia"/>
        </w:rPr>
        <w:t>农机购置与应用补贴</w:t>
      </w:r>
      <w:r>
        <w:rPr>
          <w:rFonts w:hint="eastAsia"/>
          <w:lang w:val="en-US" w:eastAsia="zh-CN"/>
        </w:rPr>
        <w:t>农</w:t>
      </w:r>
      <w:r>
        <w:t>机具</w:t>
      </w:r>
      <w:r>
        <w:rPr>
          <w:rFonts w:hint="eastAsia"/>
          <w:lang w:val="en-US" w:eastAsia="zh-CN"/>
        </w:rPr>
        <w:t>959</w:t>
      </w:r>
      <w:r>
        <w:rPr>
          <w:rFonts w:hint="eastAsia" w:ascii="Times New Roman" w:hAnsi="Times New Roman" w:cs="Times New Roman"/>
          <w:color w:val="auto"/>
          <w:szCs w:val="21"/>
          <w:highlight w:val="none"/>
          <w:lang w:eastAsia="zh-CN"/>
        </w:rPr>
        <w:t>台（套）</w:t>
      </w:r>
      <w:r>
        <w:t>，</w:t>
      </w:r>
      <w:r>
        <w:rPr>
          <w:rFonts w:hint="eastAsia"/>
        </w:rPr>
        <w:t>补贴覆盖</w:t>
      </w:r>
      <w:r>
        <w:rPr>
          <w:rFonts w:hint="eastAsia"/>
          <w:lang w:val="en-US" w:eastAsia="zh-CN"/>
        </w:rPr>
        <w:t>受益</w:t>
      </w:r>
      <w:r>
        <w:rPr>
          <w:rFonts w:hint="eastAsia"/>
        </w:rPr>
        <w:t>户</w:t>
      </w:r>
      <w:r>
        <w:rPr>
          <w:rFonts w:hint="eastAsia"/>
          <w:lang w:val="en-US" w:eastAsia="zh-CN"/>
        </w:rPr>
        <w:t>781</w:t>
      </w:r>
      <w:r>
        <w:t>户</w:t>
      </w:r>
      <w:r>
        <w:rPr>
          <w:rFonts w:hint="eastAsia"/>
          <w:lang w:eastAsia="zh-CN"/>
        </w:rPr>
        <w:t>，</w:t>
      </w:r>
      <w:r>
        <w:rPr>
          <w:rFonts w:hint="eastAsia"/>
          <w:lang w:val="en-US" w:eastAsia="zh-CN"/>
        </w:rPr>
        <w:t>其中：属于2021年度购置的农机具5</w:t>
      </w:r>
      <w:r>
        <w:rPr>
          <w:rFonts w:hint="eastAsia" w:ascii="Times New Roman" w:hAnsi="Times New Roman" w:cs="Times New Roman"/>
          <w:color w:val="auto"/>
          <w:szCs w:val="21"/>
          <w:highlight w:val="none"/>
          <w:lang w:eastAsia="zh-CN"/>
        </w:rPr>
        <w:t>台（套）</w:t>
      </w:r>
      <w:r>
        <w:rPr>
          <w:rFonts w:hint="eastAsia"/>
          <w:lang w:val="en-US" w:eastAsia="zh-CN"/>
        </w:rPr>
        <w:t>，补贴覆盖受益户4户；属于2022年度购置的农机具150</w:t>
      </w:r>
      <w:r>
        <w:rPr>
          <w:rFonts w:hint="eastAsia" w:ascii="Times New Roman" w:hAnsi="Times New Roman" w:cs="Times New Roman"/>
          <w:color w:val="auto"/>
          <w:szCs w:val="21"/>
          <w:highlight w:val="none"/>
          <w:lang w:eastAsia="zh-CN"/>
        </w:rPr>
        <w:t>台（套）</w:t>
      </w:r>
      <w:r>
        <w:rPr>
          <w:rFonts w:hint="eastAsia"/>
          <w:lang w:val="en-US" w:eastAsia="zh-CN"/>
        </w:rPr>
        <w:t>，补贴覆盖受益户131户；属于2023年度购置的农机具636</w:t>
      </w:r>
      <w:r>
        <w:rPr>
          <w:rFonts w:hint="eastAsia" w:ascii="Times New Roman" w:hAnsi="Times New Roman" w:cs="Times New Roman"/>
          <w:color w:val="auto"/>
          <w:szCs w:val="21"/>
          <w:highlight w:val="none"/>
          <w:lang w:eastAsia="zh-CN"/>
        </w:rPr>
        <w:t>台（套）</w:t>
      </w:r>
      <w:r>
        <w:rPr>
          <w:rFonts w:hint="eastAsia"/>
          <w:lang w:val="en-US" w:eastAsia="zh-CN"/>
        </w:rPr>
        <w:t>，补贴覆盖受益户518户；属于2024年度购置的农机具168</w:t>
      </w:r>
      <w:r>
        <w:rPr>
          <w:rFonts w:hint="eastAsia" w:ascii="Times New Roman" w:hAnsi="Times New Roman" w:cs="Times New Roman"/>
          <w:color w:val="auto"/>
          <w:szCs w:val="21"/>
          <w:highlight w:val="none"/>
          <w:lang w:eastAsia="zh-CN"/>
        </w:rPr>
        <w:t>台（套）</w:t>
      </w:r>
      <w:r>
        <w:rPr>
          <w:rFonts w:hint="eastAsia"/>
          <w:lang w:val="en-US" w:eastAsia="zh-CN"/>
        </w:rPr>
        <w:t>，补贴覆盖受益户128户。</w:t>
      </w:r>
    </w:p>
    <w:p w14:paraId="5DE33470">
      <w:pPr>
        <w:bidi w:val="0"/>
        <w:adjustRightInd w:val="0"/>
        <w:snapToGrid w:val="0"/>
        <w:ind w:firstLine="422" w:firstLineChars="200"/>
        <w:rPr>
          <w:rFonts w:hint="default" w:eastAsia="宋体"/>
          <w:b/>
          <w:bCs/>
          <w:color w:val="auto"/>
          <w:lang w:val="en-US" w:eastAsia="zh-CN"/>
        </w:rPr>
      </w:pPr>
      <w:r>
        <w:rPr>
          <w:rFonts w:hint="eastAsia"/>
          <w:b/>
          <w:bCs/>
          <w:color w:val="auto"/>
          <w:lang w:val="en-US" w:eastAsia="zh-CN"/>
        </w:rPr>
        <w:t>2.农业机械报废补贴</w:t>
      </w:r>
    </w:p>
    <w:p w14:paraId="7DA11455">
      <w:pPr>
        <w:bidi w:val="0"/>
        <w:adjustRightInd w:val="0"/>
        <w:snapToGrid w:val="0"/>
        <w:ind w:firstLine="420" w:firstLineChars="200"/>
        <w:rPr>
          <w:color w:val="auto"/>
          <w:sz w:val="18"/>
          <w:szCs w:val="18"/>
        </w:rPr>
      </w:pPr>
      <w:r>
        <w:rPr>
          <w:rFonts w:hint="eastAsia"/>
          <w:color w:val="auto"/>
          <w:highlight w:val="none"/>
          <w:lang w:val="en-US" w:eastAsia="zh-CN"/>
        </w:rPr>
        <w:t>农机报废补贴按照《关于印发&lt;新疆维吾尔自治区农业机械报废更新补贴实施方案&gt;的通知》（新农机〔2020〕151号）执行，由县市农业农村局审核机主上报的相关申请材料，按照自治区农机购置补贴政策规定办理补贴手续，经审核、公示无异议后，由财政部门向符合要求的机主兑现补贴资金。</w:t>
      </w:r>
      <w:r>
        <w:rPr>
          <w:rFonts w:hint="eastAsia"/>
          <w:color w:val="auto"/>
        </w:rPr>
        <w:t>截至202</w:t>
      </w:r>
      <w:r>
        <w:rPr>
          <w:rFonts w:hint="eastAsia"/>
          <w:color w:val="auto"/>
          <w:lang w:val="en-US" w:eastAsia="zh-CN"/>
        </w:rPr>
        <w:t>4</w:t>
      </w:r>
      <w:r>
        <w:rPr>
          <w:rFonts w:hint="eastAsia"/>
          <w:color w:val="auto"/>
        </w:rPr>
        <w:t>年12月</w:t>
      </w:r>
      <w:r>
        <w:rPr>
          <w:rFonts w:hint="eastAsia"/>
          <w:color w:val="auto"/>
          <w:lang w:val="en-US" w:eastAsia="zh-CN"/>
        </w:rPr>
        <w:t>31日，</w:t>
      </w:r>
      <w:r>
        <w:rPr>
          <w:rFonts w:hint="eastAsia"/>
          <w:color w:val="auto"/>
          <w:highlight w:val="none"/>
          <w:lang w:val="en-US" w:eastAsia="zh-CN"/>
        </w:rPr>
        <w:t>共为审核通过的2</w:t>
      </w:r>
      <w:r>
        <w:rPr>
          <w:rFonts w:hint="eastAsia" w:ascii="Times New Roman" w:hAnsi="Times New Roman" w:cs="Times New Roman"/>
          <w:color w:val="auto"/>
          <w:szCs w:val="21"/>
          <w:highlight w:val="none"/>
          <w:lang w:eastAsia="zh-CN"/>
        </w:rPr>
        <w:t>台</w:t>
      </w:r>
      <w:r>
        <w:rPr>
          <w:rFonts w:hint="eastAsia"/>
          <w:color w:val="auto"/>
          <w:highlight w:val="none"/>
          <w:lang w:val="en-US" w:eastAsia="zh-CN"/>
        </w:rPr>
        <w:t>报废农机具发放报废补贴0.70万元</w:t>
      </w:r>
      <w:r>
        <w:rPr>
          <w:rFonts w:hint="eastAsia" w:cs="Times New Roman"/>
          <w:color w:val="auto"/>
          <w:highlight w:val="none"/>
          <w:lang w:val="en-US" w:eastAsia="zh-CN"/>
        </w:rPr>
        <w:t>。</w:t>
      </w:r>
    </w:p>
    <w:p w14:paraId="08AB1977">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47" w:name="_Toc11731"/>
      <w:r>
        <w:rPr>
          <w:rFonts w:hint="eastAsia"/>
          <w:color w:val="auto"/>
        </w:rPr>
        <w:t>（四）</w:t>
      </w:r>
      <w:r>
        <w:rPr>
          <w:color w:val="auto"/>
        </w:rPr>
        <w:t>项目组织管理</w:t>
      </w:r>
      <w:bookmarkEnd w:id="47"/>
    </w:p>
    <w:bookmarkEnd w:id="46"/>
    <w:p w14:paraId="3625BA4C">
      <w:pPr>
        <w:adjustRightInd w:val="0"/>
        <w:snapToGrid w:val="0"/>
        <w:ind w:firstLine="420"/>
        <w:rPr>
          <w:rFonts w:hint="default" w:ascii="Times New Roman" w:hAnsi="Times New Roman" w:eastAsia="宋体" w:cs="Times New Roman"/>
          <w:lang w:val="en-US" w:eastAsia="zh-CN"/>
        </w:rPr>
      </w:pPr>
      <w:bookmarkStart w:id="48" w:name="_Toc12841"/>
      <w:r>
        <w:rPr>
          <w:rFonts w:hint="default" w:ascii="Times New Roman" w:hAnsi="Times New Roman" w:eastAsia="宋体" w:cs="Times New Roman"/>
        </w:rPr>
        <w:t>该项补贴</w:t>
      </w:r>
      <w:r>
        <w:rPr>
          <w:rFonts w:hint="eastAsia" w:ascii="Times New Roman" w:hAnsi="Times New Roman" w:eastAsia="宋体" w:cs="Times New Roman"/>
          <w:lang w:val="en-US" w:eastAsia="zh-CN"/>
        </w:rPr>
        <w:t>按照</w:t>
      </w:r>
      <w:r>
        <w:rPr>
          <w:rFonts w:hint="eastAsia" w:ascii="Times New Roman" w:hAnsi="Times New Roman" w:eastAsia="宋体" w:cs="Times New Roman"/>
        </w:rPr>
        <w:t>新疆维吾尔自治区农业农村厅</w:t>
      </w:r>
      <w:r>
        <w:rPr>
          <w:rFonts w:hint="eastAsia" w:ascii="Times New Roman" w:hAnsi="Times New Roman" w:eastAsia="宋体" w:cs="Times New Roman"/>
          <w:lang w:val="en-US" w:eastAsia="zh-CN"/>
        </w:rPr>
        <w:t>发布的</w:t>
      </w:r>
      <w:r>
        <w:rPr>
          <w:rFonts w:hint="default" w:ascii="Times New Roman" w:hAnsi="Times New Roman" w:eastAsia="宋体" w:cs="Times New Roman"/>
        </w:rPr>
        <w:t>《农机购置补贴机具投档工作规范（试行）》等要求</w:t>
      </w:r>
      <w:r>
        <w:rPr>
          <w:rFonts w:hint="eastAsia" w:ascii="Times New Roman" w:hAnsi="Times New Roman" w:eastAsia="宋体" w:cs="Times New Roman"/>
          <w:lang w:val="en-US" w:eastAsia="zh-CN"/>
        </w:rPr>
        <w:t>按照“自主购机、定额补贴、先购后补、县级结算、直补到卡（户）”方式实施，项目实施过程</w:t>
      </w:r>
      <w:r>
        <w:rPr>
          <w:rFonts w:hint="default" w:ascii="Times New Roman" w:hAnsi="Times New Roman" w:eastAsia="宋体" w:cs="Times New Roman"/>
        </w:rPr>
        <w:t>全面运用农机购置补贴机具自主投档平台，常年受理企业投档，组织开展形式审核，公示公布投档结果，并导入办理服务系统。</w:t>
      </w:r>
      <w:r>
        <w:rPr>
          <w:rFonts w:hint="eastAsia" w:ascii="Times New Roman" w:hAnsi="Times New Roman" w:eastAsia="宋体" w:cs="Times New Roman"/>
        </w:rPr>
        <w:t>补贴申领原则上当年有效，因当年财政补贴资金规模不够、办理手续时间紧张等无法享受补贴的在下一个年度优先兑付。补贴政策全面实行跨年度连续实施。</w:t>
      </w:r>
      <w:r>
        <w:rPr>
          <w:rFonts w:hint="eastAsia" w:ascii="Times New Roman" w:hAnsi="Times New Roman" w:eastAsia="宋体" w:cs="Times New Roman"/>
          <w:lang w:val="en-US" w:eastAsia="zh-CN"/>
        </w:rPr>
        <w:t>具体职责分工如下：</w:t>
      </w:r>
    </w:p>
    <w:p w14:paraId="33ACFF44">
      <w:pPr>
        <w:adjustRightInd w:val="0"/>
        <w:snapToGrid w:val="0"/>
        <w:ind w:firstLine="420"/>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项目主管单位：</w:t>
      </w:r>
      <w:r>
        <w:rPr>
          <w:rFonts w:hint="eastAsia" w:ascii="Times New Roman" w:hAnsi="Times New Roman" w:eastAsia="宋体" w:cs="Times New Roman"/>
          <w:lang w:eastAsia="zh-CN"/>
        </w:rPr>
        <w:t>吉木萨尔县</w:t>
      </w:r>
      <w:r>
        <w:rPr>
          <w:rFonts w:hint="default" w:ascii="Times New Roman" w:hAnsi="Times New Roman" w:eastAsia="宋体" w:cs="Times New Roman"/>
        </w:rPr>
        <w:t>农业农村局，主要负责制定项目实施方案，指导各乡镇审查项目资料、宣传农机购置补贴相关政策</w:t>
      </w:r>
      <w:r>
        <w:rPr>
          <w:rFonts w:hint="eastAsia" w:ascii="Times New Roman" w:hAnsi="Times New Roman" w:eastAsia="宋体" w:cs="Times New Roman"/>
          <w:lang w:eastAsia="zh-CN"/>
        </w:rPr>
        <w:t>；</w:t>
      </w:r>
      <w:r>
        <w:rPr>
          <w:rFonts w:hint="default" w:ascii="Times New Roman" w:hAnsi="Times New Roman" w:eastAsia="宋体" w:cs="Times New Roman"/>
        </w:rPr>
        <w:t>监督各乡镇项目实施情况及信息公开情况</w:t>
      </w:r>
      <w:r>
        <w:rPr>
          <w:rFonts w:hint="eastAsia" w:ascii="Times New Roman" w:hAnsi="Times New Roman" w:eastAsia="宋体" w:cs="Times New Roman"/>
          <w:lang w:eastAsia="zh-CN"/>
        </w:rPr>
        <w:t>：</w:t>
      </w:r>
      <w:r>
        <w:rPr>
          <w:rFonts w:hint="default" w:ascii="Times New Roman" w:hAnsi="Times New Roman" w:eastAsia="宋体" w:cs="Times New Roman"/>
        </w:rPr>
        <w:t>审核各乡镇上报的《农机购置补贴资金申请表》等资料，审核通过后报送至</w:t>
      </w:r>
      <w:r>
        <w:rPr>
          <w:rFonts w:hint="eastAsia" w:ascii="Times New Roman" w:hAnsi="Times New Roman" w:eastAsia="宋体" w:cs="Times New Roman"/>
          <w:lang w:val="en-US" w:eastAsia="zh-CN"/>
        </w:rPr>
        <w:t>吉木萨尔县财政局</w:t>
      </w:r>
      <w:r>
        <w:rPr>
          <w:rFonts w:hint="default" w:ascii="Times New Roman" w:hAnsi="Times New Roman" w:eastAsia="宋体" w:cs="Times New Roman"/>
        </w:rPr>
        <w:t>。</w:t>
      </w:r>
    </w:p>
    <w:p w14:paraId="075CB74E">
      <w:pPr>
        <w:adjustRightInd w:val="0"/>
        <w:snapToGrid w:val="0"/>
        <w:ind w:firstLine="420"/>
        <w:rPr>
          <w:rFonts w:hint="default" w:ascii="Times New Roman" w:hAnsi="Times New Roman" w:cs="Times New Roman"/>
          <w:lang w:val="en-US" w:eastAsia="zh-CN"/>
        </w:rPr>
      </w:pPr>
      <w:r>
        <w:rPr>
          <w:rFonts w:hint="eastAsia" w:ascii="Times New Roman" w:hAnsi="Times New Roman" w:eastAsia="宋体" w:cs="Times New Roman"/>
          <w:lang w:val="en-US" w:eastAsia="zh-CN"/>
        </w:rPr>
        <w:t>各</w:t>
      </w:r>
      <w:r>
        <w:rPr>
          <w:rFonts w:hint="eastAsia" w:ascii="Times New Roman" w:hAnsi="Times New Roman" w:eastAsia="宋体" w:cs="Times New Roman"/>
        </w:rPr>
        <w:t>乡镇农业</w:t>
      </w:r>
      <w:r>
        <w:rPr>
          <w:rFonts w:hint="eastAsia" w:ascii="Times New Roman" w:hAnsi="Times New Roman" w:eastAsia="宋体" w:cs="Times New Roman"/>
          <w:lang w:eastAsia="zh-CN"/>
        </w:rPr>
        <w:t>（</w:t>
      </w:r>
      <w:r>
        <w:rPr>
          <w:rFonts w:hint="eastAsia" w:ascii="Times New Roman" w:hAnsi="Times New Roman" w:eastAsia="宋体" w:cs="Times New Roman"/>
        </w:rPr>
        <w:t>畜牧业</w:t>
      </w:r>
      <w:r>
        <w:rPr>
          <w:rFonts w:hint="eastAsia" w:ascii="Times New Roman" w:hAnsi="Times New Roman" w:eastAsia="宋体" w:cs="Times New Roman"/>
          <w:lang w:eastAsia="zh-CN"/>
        </w:rPr>
        <w:t>）</w:t>
      </w:r>
      <w:r>
        <w:rPr>
          <w:rFonts w:hint="eastAsia" w:ascii="Times New Roman" w:hAnsi="Times New Roman" w:eastAsia="宋体" w:cs="Times New Roman"/>
        </w:rPr>
        <w:t>发展服务中心</w:t>
      </w:r>
      <w:r>
        <w:rPr>
          <w:rFonts w:hint="eastAsia" w:ascii="Times New Roman" w:hAnsi="Times New Roman" w:eastAsia="宋体" w:cs="Times New Roman"/>
          <w:lang w:val="en-US" w:eastAsia="zh-CN"/>
        </w:rPr>
        <w:t>：各乡镇会同村委会组成核实组，负责农机购置补贴申请核实工作。受理购机者申请，审核申请人提供的资料要件，负责补贴对象资格初审，将申请人及所购机具信息录入新疆维吾尔自治区农机购置与应用补贴申请办理服务系统，指导申请人填报打印《农机购置补贴资金申请表》，</w:t>
      </w:r>
      <w:r>
        <w:rPr>
          <w:rFonts w:hint="default" w:ascii="Times New Roman" w:hAnsi="Times New Roman" w:eastAsia="宋体" w:cs="Times New Roman"/>
          <w:lang w:val="en-US" w:eastAsia="zh-CN"/>
        </w:rPr>
        <w:t>核验通过的申请农机购置补贴信息在乡镇和购机户所在村</w:t>
      </w:r>
      <w:r>
        <w:rPr>
          <w:rFonts w:hint="default" w:ascii="Times New Roman" w:hAnsi="Times New Roman" w:cs="Times New Roman"/>
          <w:lang w:val="en-US" w:eastAsia="zh-CN"/>
        </w:rPr>
        <w:t>进行公示同时在农机购置补贴辅助管理系统中公示</w:t>
      </w:r>
      <w:r>
        <w:rPr>
          <w:rFonts w:hint="eastAsia" w:ascii="Times New Roman" w:hAnsi="Times New Roman" w:cs="Times New Roman"/>
          <w:lang w:val="en-US" w:eastAsia="zh-CN"/>
        </w:rPr>
        <w:t>。</w:t>
      </w:r>
    </w:p>
    <w:p w14:paraId="6EBD3B6D">
      <w:pPr>
        <w:adjustRightInd w:val="0"/>
        <w:snapToGrid w:val="0"/>
        <w:ind w:firstLine="420"/>
        <w:rPr>
          <w:rFonts w:hint="default" w:ascii="Times New Roman" w:hAnsi="Times New Roman" w:eastAsia="宋体" w:cs="Times New Roman"/>
        </w:rPr>
      </w:pPr>
      <w:r>
        <w:rPr>
          <w:rFonts w:hint="eastAsia"/>
          <w:sz w:val="21"/>
          <w:lang w:val="en-US" w:eastAsia="zh-CN"/>
        </w:rPr>
        <w:t>购机者：申请补贴的购机者携带本人身份证（组织机构代码证、法人登记证）、购机发</w:t>
      </w:r>
      <w:r>
        <w:rPr>
          <w:rFonts w:hint="eastAsia" w:ascii="Times New Roman" w:hAnsi="Times New Roman" w:eastAsia="宋体" w:cs="Times New Roman"/>
          <w:lang w:val="en-US" w:eastAsia="zh-CN"/>
        </w:rPr>
        <w:t>票、拖拉机和联合收割机登记证等资料到所属乡镇人民政府申请补贴，提供资料的真实性、完整性和有效性由购机者和补贴机具产销企业负责，并承担相关法律责任</w:t>
      </w:r>
      <w:r>
        <w:rPr>
          <w:rFonts w:hint="default" w:ascii="Times New Roman" w:hAnsi="Times New Roman" w:eastAsia="宋体" w:cs="Times New Roman"/>
        </w:rPr>
        <w:t>。</w:t>
      </w:r>
    </w:p>
    <w:p w14:paraId="3A8CCEDF">
      <w:pPr>
        <w:adjustRightInd w:val="0"/>
        <w:snapToGrid w:val="0"/>
        <w:ind w:firstLine="42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吉木萨尔县财政局：会同农业农村局按照有关规定做好资金需求摸底、分配等工作，不突破县级需求上限分配资金；县级财政部门因资金不足或违法违规处理等原因需要延期兑付的，应会同农业农村部门做好政策解读，告知并稳定购机者预期，同时联合上报资金供需情况；审核县农业农村局提交的资金兑付申请与有关材料，于15个工作日内通过国库集中支付方式向符合要求的购机者兑付资金。</w:t>
      </w:r>
    </w:p>
    <w:p w14:paraId="35D1B1E8">
      <w:pPr>
        <w:adjustRightInd w:val="0"/>
        <w:snapToGrid w:val="0"/>
        <w:ind w:firstLine="420"/>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此外，农机报废补贴工作按照《关于印发&lt;新疆维吾尔自治区农业机械报废更新补贴实施方案&gt;的通知》（新农机〔2020〕151号）规定程序实施，由县农业农村部门审核机主上报的相关申请材料，按照规定办理补贴手续，经审核、公示无异议后，由财政部门向符合要求的机主兑现补贴资金。</w:t>
      </w:r>
    </w:p>
    <w:p w14:paraId="55A76C89">
      <w:pPr>
        <w:pStyle w:val="2"/>
        <w:pageBreakBefore w:val="0"/>
        <w:kinsoku/>
        <w:wordWrap/>
        <w:overflowPunct/>
        <w:topLinePunct w:val="0"/>
        <w:autoSpaceDE/>
        <w:autoSpaceDN/>
        <w:bidi w:val="0"/>
        <w:snapToGrid w:val="0"/>
        <w:spacing w:before="0" w:after="0" w:line="360" w:lineRule="auto"/>
        <w:ind w:firstLine="482"/>
        <w:rPr>
          <w:color w:val="auto"/>
        </w:rPr>
      </w:pPr>
      <w:bookmarkStart w:id="49" w:name="_Toc4479"/>
      <w:r>
        <w:rPr>
          <w:rFonts w:hint="eastAsia"/>
          <w:color w:val="auto"/>
        </w:rPr>
        <w:t>二、</w:t>
      </w:r>
      <w:r>
        <w:rPr>
          <w:color w:val="auto"/>
        </w:rPr>
        <w:t>项目绩效目标</w:t>
      </w:r>
      <w:bookmarkEnd w:id="48"/>
      <w:bookmarkEnd w:id="49"/>
    </w:p>
    <w:p w14:paraId="1F7DDB76">
      <w:pPr>
        <w:pStyle w:val="3"/>
        <w:pageBreakBefore w:val="0"/>
        <w:widowControl w:val="0"/>
        <w:kinsoku/>
        <w:wordWrap/>
        <w:overflowPunct/>
        <w:topLinePunct w:val="0"/>
        <w:autoSpaceDE/>
        <w:autoSpaceDN/>
        <w:bidi w:val="0"/>
        <w:adjustRightInd w:val="0"/>
        <w:snapToGrid w:val="0"/>
        <w:spacing w:before="0" w:after="0" w:line="360" w:lineRule="auto"/>
        <w:textAlignment w:val="auto"/>
        <w:rPr>
          <w:color w:val="auto"/>
        </w:rPr>
      </w:pPr>
      <w:bookmarkStart w:id="50" w:name="_Toc17693"/>
      <w:r>
        <w:rPr>
          <w:rFonts w:hint="eastAsia"/>
          <w:color w:val="auto"/>
        </w:rPr>
        <w:t>（一）</w:t>
      </w:r>
      <w:r>
        <w:rPr>
          <w:color w:val="auto"/>
        </w:rPr>
        <w:t>项目绩效总目标</w:t>
      </w:r>
      <w:bookmarkEnd w:id="50"/>
    </w:p>
    <w:p w14:paraId="21A32EA2">
      <w:pPr>
        <w:adjustRightInd w:val="0"/>
        <w:snapToGrid w:val="0"/>
        <w:ind w:firstLine="420"/>
        <w:rPr>
          <w:color w:val="auto"/>
        </w:rPr>
      </w:pPr>
      <w:r>
        <w:rPr>
          <w:rFonts w:hint="eastAsia"/>
          <w:color w:val="auto"/>
        </w:rPr>
        <w:t>该项目安排资金</w:t>
      </w:r>
      <w:r>
        <w:rPr>
          <w:rFonts w:hint="eastAsia"/>
          <w:color w:val="auto"/>
          <w:lang w:val="en-US" w:eastAsia="zh-CN"/>
        </w:rPr>
        <w:t>1,299</w:t>
      </w:r>
      <w:r>
        <w:rPr>
          <w:rFonts w:hint="eastAsia"/>
          <w:color w:val="auto"/>
        </w:rPr>
        <w:t>.00万元，计划补贴农机购置机具</w:t>
      </w:r>
      <w:r>
        <w:rPr>
          <w:rFonts w:hint="eastAsia"/>
          <w:color w:val="auto"/>
          <w:lang w:val="en-US" w:eastAsia="zh-CN"/>
        </w:rPr>
        <w:t>996</w:t>
      </w:r>
      <w:r>
        <w:rPr>
          <w:rFonts w:hint="eastAsia"/>
          <w:color w:val="auto"/>
        </w:rPr>
        <w:t>台（套），享受农机购置补贴</w:t>
      </w:r>
      <w:r>
        <w:rPr>
          <w:rFonts w:hint="eastAsia"/>
          <w:color w:val="auto"/>
          <w:lang w:val="en-US" w:eastAsia="zh-CN"/>
        </w:rPr>
        <w:t>户</w:t>
      </w:r>
      <w:r>
        <w:rPr>
          <w:rFonts w:hint="eastAsia"/>
          <w:color w:val="auto"/>
        </w:rPr>
        <w:t>数</w:t>
      </w:r>
      <w:r>
        <w:rPr>
          <w:rFonts w:hint="eastAsia"/>
          <w:color w:val="auto"/>
          <w:lang w:val="en-US" w:eastAsia="zh-CN"/>
        </w:rPr>
        <w:t>697户</w:t>
      </w:r>
      <w:r>
        <w:rPr>
          <w:rFonts w:hint="eastAsia"/>
          <w:color w:val="auto"/>
        </w:rPr>
        <w:t>；计划补贴农机报废机具</w:t>
      </w:r>
      <w:r>
        <w:rPr>
          <w:rFonts w:hint="eastAsia"/>
          <w:color w:val="auto"/>
          <w:lang w:val="en-US" w:eastAsia="zh-CN"/>
        </w:rPr>
        <w:t>2</w:t>
      </w:r>
      <w:r>
        <w:rPr>
          <w:rFonts w:hint="eastAsia"/>
          <w:color w:val="auto"/>
        </w:rPr>
        <w:t>台（套），享受农机报废补贴</w:t>
      </w:r>
      <w:r>
        <w:rPr>
          <w:rFonts w:hint="eastAsia"/>
          <w:color w:val="auto"/>
          <w:lang w:val="en-US" w:eastAsia="zh-CN"/>
        </w:rPr>
        <w:t>户</w:t>
      </w:r>
      <w:r>
        <w:rPr>
          <w:rFonts w:hint="eastAsia"/>
          <w:color w:val="auto"/>
        </w:rPr>
        <w:t>数</w:t>
      </w:r>
      <w:r>
        <w:rPr>
          <w:rFonts w:hint="eastAsia"/>
          <w:color w:val="auto"/>
          <w:lang w:val="en-US" w:eastAsia="zh-CN"/>
        </w:rPr>
        <w:t>2户</w:t>
      </w:r>
      <w:r>
        <w:rPr>
          <w:rFonts w:hint="eastAsia"/>
          <w:color w:val="auto"/>
        </w:rPr>
        <w:t>。通过实施该项目，有效提升农业机械化生产社会化服务水平，杜绝补贴资金使用过程中发生重大违规违纪问题，不断促进农机科技进步</w:t>
      </w:r>
      <w:r>
        <w:rPr>
          <w:color w:val="auto"/>
        </w:rPr>
        <w:t>。</w:t>
      </w:r>
    </w:p>
    <w:p w14:paraId="076B9471">
      <w:pPr>
        <w:pStyle w:val="3"/>
        <w:pageBreakBefore w:val="0"/>
        <w:widowControl w:val="0"/>
        <w:kinsoku/>
        <w:wordWrap/>
        <w:overflowPunct/>
        <w:topLinePunct w:val="0"/>
        <w:autoSpaceDE/>
        <w:autoSpaceDN/>
        <w:bidi w:val="0"/>
        <w:adjustRightInd w:val="0"/>
        <w:snapToGrid w:val="0"/>
        <w:spacing w:before="0" w:after="0" w:line="360" w:lineRule="auto"/>
        <w:textAlignment w:val="auto"/>
        <w:rPr>
          <w:color w:val="auto"/>
        </w:rPr>
      </w:pPr>
      <w:bookmarkStart w:id="51" w:name="_Toc19087"/>
      <w:r>
        <w:rPr>
          <w:rFonts w:hint="eastAsia"/>
          <w:color w:val="auto"/>
        </w:rPr>
        <w:t>（二）年度绩效</w:t>
      </w:r>
      <w:r>
        <w:rPr>
          <w:color w:val="auto"/>
        </w:rPr>
        <w:t>目标</w:t>
      </w:r>
      <w:bookmarkEnd w:id="51"/>
    </w:p>
    <w:p w14:paraId="517874B4">
      <w:pPr>
        <w:adjustRightInd w:val="0"/>
        <w:snapToGrid w:val="0"/>
        <w:ind w:firstLine="420"/>
        <w:rPr>
          <w:rFonts w:hint="default" w:ascii="Times New Roman" w:hAnsi="Times New Roman" w:cs="Times New Roman"/>
          <w:color w:val="auto"/>
        </w:rPr>
      </w:pPr>
      <w:bookmarkStart w:id="52" w:name="_Toc68364660"/>
      <w:r>
        <w:rPr>
          <w:rFonts w:hint="default" w:ascii="Times New Roman" w:hAnsi="Times New Roman" w:cs="Times New Roman"/>
        </w:rPr>
        <w:t>根据《项目支出绩效评价管理办法》（财预〔2020〕10号）的规定，结合项目相关信息，评价小组对原有项目年度目标进行完善后，将年度目标细化分解为个性指标，与文件下发的共性指标共同构成该项目三级指标体系，经与项目单位沟通后，最终确定该项目个性目</w:t>
      </w:r>
      <w:r>
        <w:rPr>
          <w:rFonts w:hint="default" w:ascii="Times New Roman" w:hAnsi="Times New Roman" w:cs="Times New Roman"/>
          <w:color w:val="auto"/>
        </w:rPr>
        <w:t>标如下：</w:t>
      </w:r>
    </w:p>
    <w:p w14:paraId="6C9D29CF">
      <w:pPr>
        <w:ind w:firstLine="422"/>
        <w:rPr>
          <w:b/>
          <w:bCs/>
          <w:color w:val="auto"/>
        </w:rPr>
      </w:pPr>
      <w:r>
        <w:rPr>
          <w:b/>
          <w:bCs/>
          <w:color w:val="auto"/>
        </w:rPr>
        <w:t>（1）项目产出目标</w:t>
      </w:r>
    </w:p>
    <w:p w14:paraId="1C994FF7">
      <w:pPr>
        <w:adjustRightInd w:val="0"/>
        <w:snapToGrid w:val="0"/>
        <w:ind w:firstLine="422"/>
        <w:rPr>
          <w:rFonts w:hint="default" w:ascii="Times New Roman" w:hAnsi="Times New Roman" w:cs="Times New Roman"/>
          <w:b w:val="0"/>
          <w:bCs w:val="0"/>
          <w:color w:val="auto"/>
        </w:rPr>
      </w:pPr>
      <w:r>
        <w:rPr>
          <w:rFonts w:hint="eastAsia" w:cs="Times New Roman"/>
          <w:b w:val="0"/>
          <w:bCs w:val="0"/>
          <w:color w:val="auto"/>
          <w:lang w:val="en-US" w:eastAsia="zh-CN"/>
        </w:rPr>
        <w:t>①</w:t>
      </w:r>
      <w:r>
        <w:rPr>
          <w:rFonts w:hint="default" w:ascii="Times New Roman" w:hAnsi="Times New Roman" w:cs="Times New Roman"/>
          <w:b w:val="0"/>
          <w:bCs w:val="0"/>
          <w:color w:val="auto"/>
        </w:rPr>
        <w:t>产出数量</w:t>
      </w:r>
    </w:p>
    <w:p w14:paraId="5A0215A1">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“C11农机购置补贴机具总数”指标，预期指标值为</w:t>
      </w:r>
      <w:r>
        <w:rPr>
          <w:rFonts w:hint="eastAsia" w:ascii="Times New Roman" w:hAnsi="Times New Roman" w:cs="Times New Roman"/>
          <w:b w:val="0"/>
          <w:bCs w:val="0"/>
          <w:color w:val="auto"/>
          <w:lang w:val="en-US" w:eastAsia="zh-CN"/>
        </w:rPr>
        <w:t>大于等于</w:t>
      </w:r>
      <w:r>
        <w:rPr>
          <w:rFonts w:hint="eastAsia" w:cs="Times New Roman"/>
          <w:b w:val="0"/>
          <w:bCs w:val="0"/>
          <w:color w:val="auto"/>
          <w:szCs w:val="21"/>
          <w:lang w:val="en-US" w:eastAsia="zh-CN"/>
        </w:rPr>
        <w:t>996</w:t>
      </w:r>
      <w:r>
        <w:rPr>
          <w:rFonts w:hint="eastAsia" w:ascii="Times New Roman" w:hAnsi="Times New Roman" w:cs="Times New Roman"/>
          <w:b w:val="0"/>
          <w:bCs w:val="0"/>
          <w:color w:val="auto"/>
          <w:szCs w:val="21"/>
          <w:lang w:eastAsia="zh-CN"/>
        </w:rPr>
        <w:t>台（套）</w:t>
      </w:r>
      <w:r>
        <w:rPr>
          <w:rFonts w:hint="default" w:ascii="Times New Roman" w:hAnsi="Times New Roman" w:cs="Times New Roman"/>
          <w:b w:val="0"/>
          <w:bCs w:val="0"/>
          <w:color w:val="auto"/>
          <w:szCs w:val="21"/>
        </w:rPr>
        <w:t>。</w:t>
      </w:r>
    </w:p>
    <w:p w14:paraId="0F88F65D">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“C12农机报废补贴机具总数”指标，预期指标值为</w:t>
      </w:r>
      <w:r>
        <w:rPr>
          <w:rFonts w:hint="eastAsia" w:ascii="Times New Roman" w:hAnsi="Times New Roman" w:cs="Times New Roman"/>
          <w:b w:val="0"/>
          <w:bCs w:val="0"/>
          <w:color w:val="auto"/>
          <w:lang w:val="en-US" w:eastAsia="zh-CN"/>
        </w:rPr>
        <w:t>大于等于</w:t>
      </w:r>
      <w:r>
        <w:rPr>
          <w:rFonts w:hint="eastAsia" w:cs="Times New Roman"/>
          <w:b w:val="0"/>
          <w:bCs w:val="0"/>
          <w:color w:val="auto"/>
          <w:szCs w:val="21"/>
          <w:lang w:val="en-US" w:eastAsia="zh-CN"/>
        </w:rPr>
        <w:t>2</w:t>
      </w:r>
      <w:r>
        <w:rPr>
          <w:rFonts w:hint="eastAsia" w:ascii="Times New Roman" w:hAnsi="Times New Roman" w:cs="Times New Roman"/>
          <w:b w:val="0"/>
          <w:bCs w:val="0"/>
          <w:color w:val="auto"/>
          <w:szCs w:val="21"/>
          <w:lang w:eastAsia="zh-CN"/>
        </w:rPr>
        <w:t>台（套）</w:t>
      </w:r>
      <w:r>
        <w:rPr>
          <w:rFonts w:hint="default" w:ascii="Times New Roman" w:hAnsi="Times New Roman" w:cs="Times New Roman"/>
          <w:b w:val="0"/>
          <w:bCs w:val="0"/>
          <w:color w:val="auto"/>
          <w:szCs w:val="21"/>
        </w:rPr>
        <w:t>。</w:t>
      </w:r>
    </w:p>
    <w:p w14:paraId="016CD537">
      <w:pPr>
        <w:adjustRightInd w:val="0"/>
        <w:snapToGrid w:val="0"/>
        <w:ind w:firstLine="422"/>
        <w:rPr>
          <w:rFonts w:hint="default" w:ascii="Times New Roman" w:hAnsi="Times New Roman" w:cs="Times New Roman"/>
          <w:b w:val="0"/>
          <w:bCs w:val="0"/>
          <w:color w:val="auto"/>
        </w:rPr>
      </w:pPr>
      <w:r>
        <w:rPr>
          <w:rFonts w:hint="eastAsia" w:cs="Times New Roman"/>
          <w:b w:val="0"/>
          <w:bCs w:val="0"/>
          <w:color w:val="auto"/>
          <w:lang w:val="en-US" w:eastAsia="zh-CN"/>
        </w:rPr>
        <w:t>②</w:t>
      </w:r>
      <w:r>
        <w:rPr>
          <w:rFonts w:hint="default" w:ascii="Times New Roman" w:hAnsi="Times New Roman" w:cs="Times New Roman"/>
          <w:b w:val="0"/>
          <w:bCs w:val="0"/>
          <w:color w:val="auto"/>
        </w:rPr>
        <w:t>产出质量</w:t>
      </w:r>
    </w:p>
    <w:p w14:paraId="14549978">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“C21补贴对象认定准确率”指标，预期指标值为</w:t>
      </w:r>
      <w:r>
        <w:rPr>
          <w:rFonts w:hint="default" w:ascii="Times New Roman" w:hAnsi="Times New Roman" w:cs="Times New Roman"/>
          <w:b w:val="0"/>
          <w:bCs w:val="0"/>
          <w:color w:val="auto"/>
          <w:szCs w:val="21"/>
          <w:lang w:eastAsia="zh-CN"/>
        </w:rPr>
        <w:t>100.00%</w:t>
      </w:r>
      <w:r>
        <w:rPr>
          <w:rFonts w:hint="default" w:ascii="Times New Roman" w:hAnsi="Times New Roman" w:cs="Times New Roman"/>
          <w:b w:val="0"/>
          <w:bCs w:val="0"/>
          <w:color w:val="auto"/>
          <w:szCs w:val="21"/>
        </w:rPr>
        <w:t>。</w:t>
      </w:r>
    </w:p>
    <w:p w14:paraId="606763C8">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“C22补贴标准达标率”指标，预期指标值为</w:t>
      </w:r>
      <w:r>
        <w:rPr>
          <w:rFonts w:hint="default" w:ascii="Times New Roman" w:hAnsi="Times New Roman" w:cs="Times New Roman"/>
          <w:b w:val="0"/>
          <w:bCs w:val="0"/>
          <w:color w:val="auto"/>
          <w:szCs w:val="21"/>
          <w:lang w:eastAsia="zh-CN"/>
        </w:rPr>
        <w:t>100.00%</w:t>
      </w:r>
      <w:r>
        <w:rPr>
          <w:rFonts w:hint="default" w:ascii="Times New Roman" w:hAnsi="Times New Roman" w:cs="Times New Roman"/>
          <w:b w:val="0"/>
          <w:bCs w:val="0"/>
          <w:color w:val="auto"/>
          <w:szCs w:val="21"/>
        </w:rPr>
        <w:t>。</w:t>
      </w:r>
    </w:p>
    <w:p w14:paraId="1C9E1745">
      <w:pPr>
        <w:adjustRightInd w:val="0"/>
        <w:snapToGrid w:val="0"/>
        <w:ind w:firstLine="422"/>
        <w:rPr>
          <w:rFonts w:hint="default" w:ascii="Times New Roman" w:hAnsi="Times New Roman" w:cs="Times New Roman"/>
          <w:b w:val="0"/>
          <w:bCs w:val="0"/>
          <w:color w:val="auto"/>
        </w:rPr>
      </w:pPr>
      <w:r>
        <w:rPr>
          <w:rFonts w:hint="eastAsia" w:cs="Times New Roman"/>
          <w:b w:val="0"/>
          <w:bCs w:val="0"/>
          <w:color w:val="auto"/>
          <w:lang w:val="en-US" w:eastAsia="zh-CN"/>
        </w:rPr>
        <w:t>③</w:t>
      </w:r>
      <w:r>
        <w:rPr>
          <w:rFonts w:hint="default" w:ascii="Times New Roman" w:hAnsi="Times New Roman" w:cs="Times New Roman"/>
          <w:b w:val="0"/>
          <w:bCs w:val="0"/>
          <w:color w:val="auto"/>
        </w:rPr>
        <w:t>产出时效</w:t>
      </w:r>
    </w:p>
    <w:p w14:paraId="30BE307F">
      <w:pPr>
        <w:ind w:firstLine="664"/>
      </w:pPr>
      <w:r>
        <w:t>“C3</w:t>
      </w:r>
      <w:r>
        <w:rPr>
          <w:rFonts w:hint="eastAsia"/>
          <w:lang w:val="en-US" w:eastAsia="zh-CN"/>
        </w:rPr>
        <w:t>1</w:t>
      </w:r>
      <w:r>
        <w:rPr>
          <w:rFonts w:hint="eastAsia"/>
          <w:lang w:eastAsia="zh-CN"/>
        </w:rPr>
        <w:t>机具补贴核验时限</w:t>
      </w:r>
      <w:r>
        <w:t>”指标，预期指标值为</w:t>
      </w:r>
      <w:r>
        <w:rPr>
          <w:rFonts w:hint="eastAsia"/>
          <w:lang w:val="en-US" w:eastAsia="zh-CN"/>
        </w:rPr>
        <w:t>小于等于</w:t>
      </w:r>
      <w:r>
        <w:t>1</w:t>
      </w:r>
      <w:r>
        <w:rPr>
          <w:rFonts w:hint="eastAsia"/>
          <w:lang w:val="en-US" w:eastAsia="zh-CN"/>
        </w:rPr>
        <w:t>5</w:t>
      </w:r>
      <w:r>
        <w:t>个工作日；</w:t>
      </w:r>
    </w:p>
    <w:p w14:paraId="5599685D">
      <w:pPr>
        <w:ind w:firstLine="664"/>
      </w:pPr>
      <w:r>
        <w:t>“C32机具补贴兑付时限”指标，预期指标值为</w:t>
      </w:r>
      <w:r>
        <w:rPr>
          <w:rFonts w:hint="eastAsia"/>
          <w:lang w:val="en-US" w:eastAsia="zh-CN"/>
        </w:rPr>
        <w:t>小于等于15</w:t>
      </w:r>
      <w:r>
        <w:t>个工作日</w:t>
      </w:r>
      <w:r>
        <w:rPr>
          <w:rFonts w:hint="eastAsia"/>
        </w:rPr>
        <w:t>。</w:t>
      </w:r>
    </w:p>
    <w:p w14:paraId="7AB23828">
      <w:pPr>
        <w:adjustRightInd w:val="0"/>
        <w:snapToGrid w:val="0"/>
        <w:ind w:firstLine="422"/>
        <w:rPr>
          <w:rFonts w:hint="default" w:ascii="Times New Roman" w:hAnsi="Times New Roman" w:cs="Times New Roman"/>
          <w:b w:val="0"/>
          <w:bCs w:val="0"/>
          <w:color w:val="auto"/>
        </w:rPr>
      </w:pPr>
      <w:r>
        <w:rPr>
          <w:rFonts w:hint="eastAsia" w:cs="Times New Roman"/>
          <w:b w:val="0"/>
          <w:bCs w:val="0"/>
          <w:color w:val="auto"/>
          <w:lang w:val="en-US" w:eastAsia="zh-CN"/>
        </w:rPr>
        <w:t>④</w:t>
      </w:r>
      <w:r>
        <w:rPr>
          <w:rFonts w:hint="default" w:ascii="Times New Roman" w:hAnsi="Times New Roman" w:cs="Times New Roman"/>
          <w:b w:val="0"/>
          <w:bCs w:val="0"/>
          <w:color w:val="auto"/>
        </w:rPr>
        <w:t>产出成本</w:t>
      </w:r>
    </w:p>
    <w:p w14:paraId="0AB8E2AC">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“C41农机购置补贴支出”指标，预期指标值为</w:t>
      </w:r>
      <w:r>
        <w:rPr>
          <w:rFonts w:hint="eastAsia" w:ascii="Times New Roman" w:hAnsi="Times New Roman" w:cs="Times New Roman"/>
          <w:b w:val="0"/>
          <w:bCs w:val="0"/>
          <w:color w:val="auto"/>
          <w:lang w:val="en-US" w:eastAsia="zh-CN"/>
        </w:rPr>
        <w:t>小于等于</w:t>
      </w:r>
      <w:r>
        <w:rPr>
          <w:rFonts w:hint="eastAsia" w:cs="Times New Roman"/>
          <w:b w:val="0"/>
          <w:bCs w:val="0"/>
          <w:color w:val="auto"/>
          <w:lang w:val="en-US" w:eastAsia="zh-CN"/>
        </w:rPr>
        <w:t>1,298.30</w:t>
      </w:r>
      <w:r>
        <w:rPr>
          <w:rFonts w:hint="default" w:ascii="Times New Roman" w:hAnsi="Times New Roman" w:cs="Times New Roman"/>
          <w:b w:val="0"/>
          <w:bCs w:val="0"/>
          <w:color w:val="auto"/>
          <w:szCs w:val="21"/>
        </w:rPr>
        <w:t>万元。</w:t>
      </w:r>
    </w:p>
    <w:p w14:paraId="54C654A0">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“C42农机报废补贴支出”指标，预期指标值为</w:t>
      </w:r>
      <w:r>
        <w:rPr>
          <w:rFonts w:hint="eastAsia" w:ascii="Times New Roman" w:hAnsi="Times New Roman" w:cs="Times New Roman"/>
          <w:b w:val="0"/>
          <w:bCs w:val="0"/>
          <w:color w:val="auto"/>
          <w:lang w:val="en-US" w:eastAsia="zh-CN"/>
        </w:rPr>
        <w:t>小于等于</w:t>
      </w:r>
      <w:r>
        <w:rPr>
          <w:rFonts w:hint="eastAsia" w:cs="Times New Roman"/>
          <w:b w:val="0"/>
          <w:bCs w:val="0"/>
          <w:color w:val="auto"/>
          <w:szCs w:val="21"/>
          <w:lang w:val="en-US" w:eastAsia="zh-CN"/>
        </w:rPr>
        <w:t>0.7</w:t>
      </w:r>
      <w:r>
        <w:rPr>
          <w:rFonts w:hint="default" w:ascii="Times New Roman" w:hAnsi="Times New Roman" w:cs="Times New Roman"/>
          <w:b w:val="0"/>
          <w:bCs w:val="0"/>
          <w:color w:val="auto"/>
          <w:szCs w:val="21"/>
        </w:rPr>
        <w:t>万元。</w:t>
      </w:r>
    </w:p>
    <w:p w14:paraId="663D6EAA">
      <w:pPr>
        <w:pageBreakBefore w:val="0"/>
        <w:kinsoku/>
        <w:wordWrap/>
        <w:overflowPunct/>
        <w:topLinePunct w:val="0"/>
        <w:autoSpaceDE/>
        <w:autoSpaceDN/>
        <w:bidi w:val="0"/>
        <w:snapToGrid w:val="0"/>
        <w:spacing w:before="0" w:after="0" w:line="360" w:lineRule="auto"/>
        <w:ind w:firstLine="422"/>
        <w:rPr>
          <w:b/>
          <w:color w:val="auto"/>
        </w:rPr>
      </w:pPr>
      <w:r>
        <w:rPr>
          <w:rFonts w:hint="eastAsia"/>
          <w:b/>
          <w:color w:val="auto"/>
          <w:lang w:eastAsia="zh-CN"/>
        </w:rPr>
        <w:t>（</w:t>
      </w:r>
      <w:r>
        <w:rPr>
          <w:rFonts w:hint="eastAsia"/>
          <w:b/>
          <w:color w:val="auto"/>
          <w:lang w:val="en-US" w:eastAsia="zh-CN"/>
        </w:rPr>
        <w:t>2</w:t>
      </w:r>
      <w:r>
        <w:rPr>
          <w:rFonts w:hint="eastAsia"/>
          <w:b/>
          <w:color w:val="auto"/>
          <w:lang w:eastAsia="zh-CN"/>
        </w:rPr>
        <w:t>）</w:t>
      </w:r>
      <w:r>
        <w:rPr>
          <w:b/>
          <w:color w:val="auto"/>
        </w:rPr>
        <w:t>项目效益目标</w:t>
      </w:r>
    </w:p>
    <w:p w14:paraId="102642FE">
      <w:pPr>
        <w:adjustRightInd w:val="0"/>
        <w:snapToGrid w:val="0"/>
        <w:ind w:firstLine="422"/>
        <w:rPr>
          <w:rFonts w:hint="default" w:ascii="Times New Roman" w:hAnsi="Times New Roman" w:cs="Times New Roman"/>
          <w:b w:val="0"/>
          <w:bCs w:val="0"/>
          <w:color w:val="auto"/>
        </w:rPr>
      </w:pPr>
      <w:r>
        <w:rPr>
          <w:rFonts w:hint="eastAsia" w:cs="Times New Roman"/>
          <w:b w:val="0"/>
          <w:bCs w:val="0"/>
          <w:color w:val="auto"/>
          <w:lang w:val="en-US" w:eastAsia="zh-CN"/>
        </w:rPr>
        <w:t>①</w:t>
      </w:r>
      <w:r>
        <w:rPr>
          <w:rFonts w:hint="default" w:ascii="Times New Roman" w:hAnsi="Times New Roman" w:cs="Times New Roman"/>
          <w:b w:val="0"/>
          <w:bCs w:val="0"/>
          <w:color w:val="auto"/>
        </w:rPr>
        <w:t>社会效益指标</w:t>
      </w:r>
    </w:p>
    <w:p w14:paraId="15E6EA0B">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“D11农机购置与应用补贴直接受益户数”指标，预期指标值为</w:t>
      </w:r>
      <w:r>
        <w:rPr>
          <w:rFonts w:hint="eastAsia" w:ascii="Times New Roman" w:hAnsi="Times New Roman" w:cs="Times New Roman"/>
          <w:b w:val="0"/>
          <w:bCs w:val="0"/>
          <w:color w:val="auto"/>
          <w:lang w:val="en-US" w:eastAsia="zh-CN"/>
        </w:rPr>
        <w:t>大于等于</w:t>
      </w:r>
      <w:r>
        <w:rPr>
          <w:rFonts w:hint="eastAsia" w:cs="Times New Roman"/>
          <w:b w:val="0"/>
          <w:bCs w:val="0"/>
          <w:color w:val="auto"/>
          <w:szCs w:val="21"/>
          <w:lang w:val="en-US" w:eastAsia="zh-CN"/>
        </w:rPr>
        <w:t>699</w:t>
      </w:r>
      <w:r>
        <w:rPr>
          <w:rFonts w:hint="default" w:ascii="Times New Roman" w:hAnsi="Times New Roman" w:cs="Times New Roman"/>
          <w:b w:val="0"/>
          <w:bCs w:val="0"/>
          <w:color w:val="auto"/>
          <w:szCs w:val="21"/>
        </w:rPr>
        <w:t>户。</w:t>
      </w:r>
    </w:p>
    <w:p w14:paraId="0A38DD85">
      <w:pPr>
        <w:adjustRightInd w:val="0"/>
        <w:snapToGrid w:val="0"/>
        <w:ind w:firstLine="420"/>
        <w:rPr>
          <w:rFonts w:hint="default" w:ascii="Times New Roman" w:hAnsi="Times New Roman" w:cs="Times New Roman"/>
          <w:b w:val="0"/>
          <w:bCs w:val="0"/>
          <w:color w:val="auto"/>
          <w:szCs w:val="21"/>
        </w:rPr>
      </w:pPr>
      <w:r>
        <w:rPr>
          <w:rFonts w:hint="default" w:ascii="Times New Roman" w:hAnsi="Times New Roman" w:cs="Times New Roman"/>
          <w:b w:val="0"/>
          <w:bCs w:val="0"/>
          <w:color w:val="auto"/>
        </w:rPr>
        <w:t>“D12补贴政策知晓率”指标，预期指标值为</w:t>
      </w:r>
      <w:r>
        <w:rPr>
          <w:rFonts w:hint="default" w:ascii="Times New Roman" w:hAnsi="Times New Roman" w:cs="Times New Roman"/>
          <w:b w:val="0"/>
          <w:bCs w:val="0"/>
          <w:color w:val="auto"/>
          <w:szCs w:val="21"/>
          <w:lang w:eastAsia="zh-CN"/>
        </w:rPr>
        <w:t>100.00%</w:t>
      </w:r>
      <w:r>
        <w:rPr>
          <w:rFonts w:hint="default" w:ascii="Times New Roman" w:hAnsi="Times New Roman" w:cs="Times New Roman"/>
          <w:b w:val="0"/>
          <w:bCs w:val="0"/>
          <w:color w:val="auto"/>
          <w:szCs w:val="21"/>
        </w:rPr>
        <w:t>。</w:t>
      </w:r>
    </w:p>
    <w:p w14:paraId="6649C46B">
      <w:pPr>
        <w:adjustRightInd w:val="0"/>
        <w:snapToGrid w:val="0"/>
        <w:ind w:firstLine="420"/>
        <w:rPr>
          <w:rFonts w:hint="default" w:eastAsia="宋体"/>
          <w:lang w:val="en-US" w:eastAsia="zh-CN"/>
        </w:rPr>
      </w:pPr>
      <w:r>
        <w:rPr>
          <w:rFonts w:hint="default" w:ascii="Times New Roman" w:hAnsi="Times New Roman" w:cs="Times New Roman"/>
          <w:b w:val="0"/>
          <w:bCs w:val="0"/>
          <w:color w:val="auto"/>
        </w:rPr>
        <w:t>“</w:t>
      </w:r>
      <w:r>
        <w:rPr>
          <w:rFonts w:hint="default"/>
        </w:rPr>
        <w:t>D13农作物耕种收综合机械化率</w:t>
      </w:r>
      <w:r>
        <w:rPr>
          <w:rFonts w:hint="default" w:ascii="Times New Roman" w:hAnsi="Times New Roman" w:cs="Times New Roman"/>
          <w:b w:val="0"/>
          <w:bCs w:val="0"/>
          <w:color w:val="auto"/>
        </w:rPr>
        <w:t>”指标，预期指标值为</w:t>
      </w:r>
      <w:r>
        <w:rPr>
          <w:rFonts w:hint="eastAsia" w:ascii="Times New Roman" w:hAnsi="Times New Roman" w:cs="Times New Roman"/>
          <w:b w:val="0"/>
          <w:bCs w:val="0"/>
          <w:color w:val="auto"/>
          <w:lang w:val="en-US" w:eastAsia="zh-CN"/>
        </w:rPr>
        <w:t>大于等于98.7%</w:t>
      </w:r>
    </w:p>
    <w:p w14:paraId="66E25604">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“D1</w:t>
      </w:r>
      <w:r>
        <w:rPr>
          <w:rFonts w:hint="eastAsia" w:cs="Times New Roman"/>
          <w:b w:val="0"/>
          <w:bCs w:val="0"/>
          <w:color w:val="auto"/>
          <w:lang w:val="en-US" w:eastAsia="zh-CN"/>
        </w:rPr>
        <w:t>4</w:t>
      </w:r>
      <w:r>
        <w:rPr>
          <w:rFonts w:hint="default" w:ascii="Times New Roman" w:hAnsi="Times New Roman" w:cs="Times New Roman"/>
          <w:b w:val="0"/>
          <w:bCs w:val="0"/>
          <w:color w:val="auto"/>
        </w:rPr>
        <w:t>提升农业机械化生产社会化服务水平”指标，预期指标值为</w:t>
      </w:r>
      <w:r>
        <w:rPr>
          <w:rFonts w:hint="default" w:ascii="Times New Roman" w:hAnsi="Times New Roman" w:cs="Times New Roman"/>
          <w:b w:val="0"/>
          <w:bCs w:val="0"/>
          <w:color w:val="auto"/>
          <w:szCs w:val="21"/>
        </w:rPr>
        <w:t>有效提升。</w:t>
      </w:r>
    </w:p>
    <w:p w14:paraId="1DFF41C2">
      <w:pPr>
        <w:adjustRightInd w:val="0"/>
        <w:snapToGrid w:val="0"/>
        <w:ind w:firstLine="422"/>
        <w:rPr>
          <w:rFonts w:hint="default" w:ascii="Times New Roman" w:hAnsi="Times New Roman" w:cs="Times New Roman"/>
          <w:b w:val="0"/>
          <w:bCs w:val="0"/>
          <w:color w:val="auto"/>
        </w:rPr>
      </w:pPr>
      <w:r>
        <w:rPr>
          <w:rFonts w:hint="eastAsia" w:cs="Times New Roman"/>
          <w:b w:val="0"/>
          <w:bCs w:val="0"/>
          <w:color w:val="auto"/>
          <w:lang w:val="en-US" w:eastAsia="zh-CN"/>
        </w:rPr>
        <w:t>②</w:t>
      </w:r>
      <w:r>
        <w:rPr>
          <w:rFonts w:hint="default" w:ascii="Times New Roman" w:hAnsi="Times New Roman" w:cs="Times New Roman"/>
          <w:b w:val="0"/>
          <w:bCs w:val="0"/>
          <w:color w:val="auto"/>
        </w:rPr>
        <w:t>可持续影响指标</w:t>
      </w:r>
    </w:p>
    <w:p w14:paraId="2E5015B7">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“D21不断促进农业技术发展”指标，预期指标值为</w:t>
      </w:r>
      <w:r>
        <w:rPr>
          <w:rFonts w:hint="default" w:ascii="Times New Roman" w:hAnsi="Times New Roman" w:cs="Times New Roman"/>
          <w:b w:val="0"/>
          <w:bCs w:val="0"/>
          <w:color w:val="auto"/>
          <w:szCs w:val="21"/>
        </w:rPr>
        <w:t>不断促进。</w:t>
      </w:r>
    </w:p>
    <w:p w14:paraId="3D8ABD74">
      <w:pPr>
        <w:pageBreakBefore w:val="0"/>
        <w:kinsoku/>
        <w:wordWrap/>
        <w:overflowPunct/>
        <w:topLinePunct w:val="0"/>
        <w:autoSpaceDE/>
        <w:autoSpaceDN/>
        <w:bidi w:val="0"/>
        <w:snapToGrid w:val="0"/>
        <w:spacing w:before="0" w:after="0" w:line="360" w:lineRule="auto"/>
        <w:ind w:firstLine="420"/>
        <w:rPr>
          <w:color w:val="auto"/>
        </w:rPr>
      </w:pPr>
      <w:r>
        <w:rPr>
          <w:rFonts w:hint="eastAsia"/>
          <w:b/>
          <w:color w:val="auto"/>
          <w:lang w:eastAsia="zh-CN"/>
        </w:rPr>
        <w:t>（</w:t>
      </w:r>
      <w:r>
        <w:rPr>
          <w:rFonts w:hint="eastAsia"/>
          <w:b/>
          <w:color w:val="auto"/>
          <w:lang w:val="en-US" w:eastAsia="zh-CN"/>
        </w:rPr>
        <w:t>3</w:t>
      </w:r>
      <w:r>
        <w:rPr>
          <w:rFonts w:hint="eastAsia"/>
          <w:b/>
          <w:color w:val="auto"/>
          <w:lang w:eastAsia="zh-CN"/>
        </w:rPr>
        <w:t>）</w:t>
      </w:r>
      <w:r>
        <w:rPr>
          <w:b/>
          <w:color w:val="auto"/>
          <w:lang w:eastAsia="zh-Hans"/>
        </w:rPr>
        <w:t>满意度目标</w:t>
      </w:r>
    </w:p>
    <w:p w14:paraId="4D745E8F">
      <w:pPr>
        <w:pageBreakBefore w:val="0"/>
        <w:kinsoku/>
        <w:wordWrap/>
        <w:overflowPunct/>
        <w:topLinePunct w:val="0"/>
        <w:autoSpaceDE/>
        <w:autoSpaceDN/>
        <w:bidi w:val="0"/>
        <w:snapToGrid w:val="0"/>
        <w:spacing w:before="0" w:after="0" w:line="360" w:lineRule="auto"/>
        <w:ind w:firstLine="420"/>
        <w:rPr>
          <w:color w:val="auto"/>
        </w:rPr>
      </w:pPr>
      <w:r>
        <w:rPr>
          <w:rFonts w:hint="eastAsia"/>
          <w:color w:val="auto"/>
          <w:lang w:val="en-US" w:eastAsia="zh-CN"/>
        </w:rPr>
        <w:t>①</w:t>
      </w:r>
      <w:r>
        <w:rPr>
          <w:color w:val="auto"/>
        </w:rPr>
        <w:t>满意度指标</w:t>
      </w:r>
    </w:p>
    <w:p w14:paraId="6CB3C837">
      <w:pPr>
        <w:adjustRightInd w:val="0"/>
        <w:snapToGrid w:val="0"/>
        <w:ind w:firstLine="420"/>
        <w:rPr>
          <w:rFonts w:hint="default" w:ascii="Times New Roman" w:hAnsi="Times New Roman" w:cs="Times New Roman"/>
          <w:b w:val="0"/>
          <w:bCs w:val="0"/>
          <w:color w:val="auto"/>
        </w:rPr>
      </w:pPr>
      <w:r>
        <w:rPr>
          <w:rFonts w:hint="default" w:ascii="Times New Roman" w:hAnsi="Times New Roman" w:cs="Times New Roman"/>
          <w:b w:val="0"/>
          <w:bCs w:val="0"/>
          <w:color w:val="auto"/>
        </w:rPr>
        <w:t>“D31</w:t>
      </w:r>
      <w:r>
        <w:rPr>
          <w:rFonts w:hint="eastAsia" w:cs="Times New Roman"/>
          <w:b w:val="0"/>
          <w:bCs w:val="0"/>
          <w:color w:val="auto"/>
          <w:lang w:eastAsia="zh-CN"/>
        </w:rPr>
        <w:t>农机购置补贴受益户满意度</w:t>
      </w:r>
      <w:r>
        <w:rPr>
          <w:rFonts w:hint="default" w:ascii="Times New Roman" w:hAnsi="Times New Roman" w:cs="Times New Roman"/>
          <w:b w:val="0"/>
          <w:bCs w:val="0"/>
          <w:color w:val="auto"/>
        </w:rPr>
        <w:t>”指标，预期指标值为</w:t>
      </w:r>
      <w:r>
        <w:rPr>
          <w:rFonts w:hint="eastAsia" w:ascii="Times New Roman" w:hAnsi="Times New Roman" w:cs="Times New Roman"/>
          <w:b w:val="0"/>
          <w:bCs w:val="0"/>
          <w:color w:val="auto"/>
          <w:lang w:val="en-US" w:eastAsia="zh-CN"/>
        </w:rPr>
        <w:t>大于等于</w:t>
      </w:r>
      <w:r>
        <w:rPr>
          <w:rFonts w:hint="default" w:ascii="Times New Roman" w:hAnsi="Times New Roman" w:cs="Times New Roman"/>
          <w:b w:val="0"/>
          <w:bCs w:val="0"/>
          <w:color w:val="auto"/>
          <w:szCs w:val="21"/>
        </w:rPr>
        <w:t>95</w:t>
      </w:r>
      <w:r>
        <w:rPr>
          <w:rFonts w:hint="default" w:ascii="Times New Roman" w:hAnsi="Times New Roman" w:cs="Times New Roman"/>
          <w:b w:val="0"/>
          <w:bCs w:val="0"/>
          <w:color w:val="auto"/>
          <w:szCs w:val="21"/>
          <w:lang w:val="en-US" w:eastAsia="zh-CN"/>
        </w:rPr>
        <w:t>.00</w:t>
      </w:r>
      <w:r>
        <w:rPr>
          <w:rFonts w:hint="default" w:ascii="Times New Roman" w:hAnsi="Times New Roman" w:cs="Times New Roman"/>
          <w:b w:val="0"/>
          <w:bCs w:val="0"/>
          <w:color w:val="auto"/>
          <w:szCs w:val="21"/>
        </w:rPr>
        <w:t>%。</w:t>
      </w:r>
    </w:p>
    <w:p w14:paraId="57E0B379">
      <w:pPr>
        <w:pStyle w:val="2"/>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53" w:name="_Toc25797"/>
      <w:r>
        <w:rPr>
          <w:rFonts w:hint="eastAsia"/>
          <w:color w:val="auto"/>
        </w:rPr>
        <w:t>三</w:t>
      </w:r>
      <w:r>
        <w:rPr>
          <w:color w:val="auto"/>
        </w:rPr>
        <w:t>、绩效评价工作开展情况</w:t>
      </w:r>
      <w:bookmarkEnd w:id="52"/>
      <w:bookmarkEnd w:id="53"/>
    </w:p>
    <w:p w14:paraId="799092B7">
      <w:pPr>
        <w:pStyle w:val="3"/>
        <w:pageBreakBefore w:val="0"/>
        <w:widowControl w:val="0"/>
        <w:kinsoku/>
        <w:wordWrap/>
        <w:overflowPunct/>
        <w:topLinePunct w:val="0"/>
        <w:autoSpaceDE/>
        <w:autoSpaceDN/>
        <w:bidi w:val="0"/>
        <w:adjustRightInd w:val="0"/>
        <w:snapToGrid w:val="0"/>
        <w:spacing w:before="0" w:after="0" w:line="360" w:lineRule="auto"/>
        <w:ind w:firstLine="667"/>
        <w:textAlignment w:val="auto"/>
        <w:rPr>
          <w:rFonts w:ascii="Times New Roman" w:hAnsi="Times New Roman"/>
          <w:color w:val="auto"/>
        </w:rPr>
      </w:pPr>
      <w:bookmarkStart w:id="54" w:name="_Toc27940"/>
      <w:bookmarkStart w:id="55" w:name="_Toc504"/>
      <w:bookmarkStart w:id="56" w:name="_Toc13361"/>
      <w:bookmarkStart w:id="57" w:name="_Toc68364661"/>
      <w:r>
        <w:rPr>
          <w:rFonts w:hint="eastAsia" w:ascii="Times New Roman" w:hAnsi="Times New Roman"/>
          <w:color w:val="auto"/>
        </w:rPr>
        <w:t>（一</w:t>
      </w:r>
      <w:r>
        <w:rPr>
          <w:rFonts w:ascii="Times New Roman" w:hAnsi="Times New Roman"/>
          <w:color w:val="auto"/>
        </w:rPr>
        <w:t>）绩效</w:t>
      </w:r>
      <w:r>
        <w:rPr>
          <w:rFonts w:hint="default" w:ascii="Times New Roman" w:hAnsi="Times New Roman" w:eastAsia="宋体" w:cs="Times New Roman"/>
          <w:color w:val="auto"/>
          <w:highlight w:val="none"/>
          <w:lang w:val="en-US" w:eastAsia="zh-CN"/>
        </w:rPr>
        <w:t>评价</w:t>
      </w:r>
      <w:r>
        <w:rPr>
          <w:rFonts w:hint="eastAsia" w:ascii="Times New Roman" w:hAnsi="Times New Roman"/>
          <w:color w:val="auto"/>
        </w:rPr>
        <w:t>依据</w:t>
      </w:r>
      <w:bookmarkEnd w:id="54"/>
      <w:bookmarkEnd w:id="55"/>
      <w:bookmarkEnd w:id="56"/>
    </w:p>
    <w:p w14:paraId="7EE3B728">
      <w:pPr>
        <w:numPr>
          <w:ilvl w:val="0"/>
          <w:numId w:val="1"/>
        </w:numPr>
        <w:ind w:firstLine="420"/>
        <w:rPr>
          <w:color w:val="auto"/>
        </w:rPr>
      </w:pPr>
      <w:r>
        <w:rPr>
          <w:color w:val="auto"/>
        </w:rPr>
        <w:t>《中华人民共和国预算法》；</w:t>
      </w:r>
    </w:p>
    <w:p w14:paraId="6F36C6A0">
      <w:pPr>
        <w:numPr>
          <w:ilvl w:val="0"/>
          <w:numId w:val="1"/>
        </w:numPr>
        <w:ind w:firstLine="420"/>
        <w:rPr>
          <w:color w:val="auto"/>
        </w:rPr>
      </w:pPr>
      <w:r>
        <w:rPr>
          <w:color w:val="auto"/>
        </w:rPr>
        <w:t>《</w:t>
      </w:r>
      <w:r>
        <w:rPr>
          <w:rFonts w:hint="eastAsia"/>
          <w:color w:val="auto"/>
          <w:lang w:eastAsia="zh-CN"/>
        </w:rPr>
        <w:t>中共中央、国务院</w:t>
      </w:r>
      <w:r>
        <w:rPr>
          <w:color w:val="auto"/>
        </w:rPr>
        <w:t>关于全面实施预算绩效管理的意见》（中发〔2018〕34号）；</w:t>
      </w:r>
    </w:p>
    <w:p w14:paraId="4C12FA80">
      <w:pPr>
        <w:numPr>
          <w:ilvl w:val="0"/>
          <w:numId w:val="1"/>
        </w:numPr>
        <w:ind w:firstLine="420"/>
        <w:rPr>
          <w:color w:val="auto"/>
        </w:rPr>
      </w:pPr>
      <w:r>
        <w:rPr>
          <w:color w:val="auto"/>
        </w:rPr>
        <w:t>《项目支出绩效评价管理办法》（财预〔2020〕10号）；</w:t>
      </w:r>
    </w:p>
    <w:p w14:paraId="1B3A09FA">
      <w:pPr>
        <w:numPr>
          <w:ilvl w:val="0"/>
          <w:numId w:val="1"/>
        </w:numPr>
        <w:ind w:firstLine="420"/>
        <w:rPr>
          <w:color w:val="auto"/>
        </w:rPr>
      </w:pPr>
      <w:r>
        <w:rPr>
          <w:color w:val="auto"/>
        </w:rPr>
        <w:t>《自治区党委自治区人民政府关于全面实施预算绩效管理的实施意见》（新党发〔2018〕30号）；</w:t>
      </w:r>
    </w:p>
    <w:p w14:paraId="73F4FC53">
      <w:pPr>
        <w:numPr>
          <w:ilvl w:val="0"/>
          <w:numId w:val="1"/>
        </w:numPr>
        <w:ind w:firstLine="420"/>
        <w:rPr>
          <w:color w:val="auto"/>
        </w:rPr>
      </w:pPr>
      <w:r>
        <w:rPr>
          <w:color w:val="auto"/>
        </w:rPr>
        <w:t>《自治区全面实施预算绩效管理的工作方案》（新财预〔2018〕158号）；</w:t>
      </w:r>
    </w:p>
    <w:p w14:paraId="4F84A0C8">
      <w:pPr>
        <w:numPr>
          <w:ilvl w:val="0"/>
          <w:numId w:val="1"/>
        </w:numPr>
        <w:ind w:firstLine="420"/>
        <w:rPr>
          <w:color w:val="auto"/>
        </w:rPr>
      </w:pPr>
      <w:r>
        <w:rPr>
          <w:color w:val="auto"/>
        </w:rPr>
        <w:t>《自治区财政支出绩效评价管理暂行办法》（新财预〔2018〕189号）；</w:t>
      </w:r>
    </w:p>
    <w:p w14:paraId="479BB5F4">
      <w:pPr>
        <w:numPr>
          <w:ilvl w:val="0"/>
          <w:numId w:val="1"/>
        </w:numPr>
        <w:ind w:firstLine="420"/>
        <w:rPr>
          <w:color w:val="auto"/>
        </w:rPr>
      </w:pPr>
      <w:r>
        <w:rPr>
          <w:color w:val="auto"/>
        </w:rPr>
        <w:t>《关于委托第三方机构参与预算绩效管理的指导意见》（财预〔2021〕6号）；</w:t>
      </w:r>
    </w:p>
    <w:p w14:paraId="518A703E">
      <w:pPr>
        <w:numPr>
          <w:ilvl w:val="0"/>
          <w:numId w:val="1"/>
        </w:numPr>
        <w:ind w:firstLine="420"/>
        <w:rPr>
          <w:color w:val="auto"/>
        </w:rPr>
      </w:pPr>
      <w:r>
        <w:rPr>
          <w:color w:val="auto"/>
        </w:rPr>
        <w:t>《财政部关于印发〈第三方机构预算绩效评价业务监督管理暂行办法〉的通知》（财监〔2021〕4号）；</w:t>
      </w:r>
    </w:p>
    <w:p w14:paraId="6E4C8930">
      <w:pPr>
        <w:numPr>
          <w:ilvl w:val="0"/>
          <w:numId w:val="1"/>
        </w:numPr>
        <w:ind w:firstLine="420"/>
        <w:rPr>
          <w:color w:val="auto"/>
        </w:rPr>
      </w:pPr>
      <w:r>
        <w:rPr>
          <w:color w:val="auto"/>
        </w:rPr>
        <w:t>《关于进一步加强和规范第三方机构参与预算绩效管理的通知》（新财预〔2021〕49号）；</w:t>
      </w:r>
    </w:p>
    <w:p w14:paraId="4F88A721">
      <w:pPr>
        <w:ind w:firstLine="420"/>
        <w:rPr>
          <w:rFonts w:hint="eastAsia" w:eastAsia="宋体"/>
          <w:color w:val="auto"/>
          <w:lang w:val="en-US" w:eastAsia="zh-CN"/>
        </w:rPr>
      </w:pPr>
      <w:r>
        <w:rPr>
          <w:rFonts w:hint="eastAsia"/>
          <w:color w:val="auto"/>
          <w:lang w:val="en-US" w:eastAsia="zh-CN"/>
        </w:rPr>
        <w:t>10.</w:t>
      </w:r>
      <w:r>
        <w:rPr>
          <w:rFonts w:hint="default" w:ascii="Times New Roman" w:hAnsi="Times New Roman" w:cs="Times New Roman"/>
          <w:color w:val="auto"/>
          <w:szCs w:val="21"/>
        </w:rPr>
        <w:t>《国务院关于加快推进农业机械化和农机装备产业转型升级的指导意见》（国发〔2018〕42号）</w:t>
      </w:r>
      <w:r>
        <w:rPr>
          <w:rFonts w:hint="eastAsia" w:cs="Times New Roman"/>
          <w:color w:val="auto"/>
          <w:szCs w:val="21"/>
          <w:lang w:eastAsia="zh-CN"/>
        </w:rPr>
        <w:t>；</w:t>
      </w:r>
    </w:p>
    <w:p w14:paraId="300B10E2">
      <w:pPr>
        <w:ind w:firstLine="420"/>
        <w:rPr>
          <w:rFonts w:hint="eastAsia" w:eastAsia="宋体"/>
          <w:color w:val="auto"/>
          <w:lang w:val="en-US" w:eastAsia="zh-CN"/>
        </w:rPr>
      </w:pPr>
      <w:r>
        <w:rPr>
          <w:rFonts w:hint="eastAsia"/>
          <w:color w:val="auto"/>
          <w:lang w:val="en-US" w:eastAsia="zh-CN"/>
        </w:rPr>
        <w:t>11.</w:t>
      </w:r>
      <w:r>
        <w:rPr>
          <w:rFonts w:hint="default" w:ascii="Times New Roman" w:hAnsi="Times New Roman" w:cs="Times New Roman"/>
          <w:color w:val="auto"/>
          <w:szCs w:val="21"/>
        </w:rPr>
        <w:t>《农业农村部办公厅财政部办公厅关于印发</w:t>
      </w:r>
      <w:r>
        <w:rPr>
          <w:rFonts w:hint="eastAsia" w:cs="Times New Roman"/>
          <w:color w:val="auto"/>
          <w:szCs w:val="21"/>
          <w:lang w:eastAsia="zh-CN"/>
        </w:rPr>
        <w:t>2024-2026</w:t>
      </w:r>
      <w:r>
        <w:rPr>
          <w:rFonts w:hint="default" w:ascii="Times New Roman" w:hAnsi="Times New Roman" w:cs="Times New Roman"/>
          <w:color w:val="auto"/>
          <w:szCs w:val="21"/>
        </w:rPr>
        <w:t>农机购置补贴实施指导意见的通知》（农办计财〔2021〕8号）</w:t>
      </w:r>
      <w:r>
        <w:rPr>
          <w:rFonts w:hint="eastAsia" w:cs="Times New Roman"/>
          <w:color w:val="auto"/>
          <w:szCs w:val="21"/>
          <w:lang w:eastAsia="zh-CN"/>
        </w:rPr>
        <w:t>；</w:t>
      </w:r>
    </w:p>
    <w:p w14:paraId="11E75E66">
      <w:pPr>
        <w:ind w:firstLine="420"/>
        <w:rPr>
          <w:rFonts w:hint="eastAsia"/>
          <w:color w:val="auto"/>
          <w:lang w:val="en-US" w:eastAsia="zh-CN"/>
        </w:rPr>
      </w:pPr>
      <w:r>
        <w:rPr>
          <w:rFonts w:hint="eastAsia"/>
          <w:color w:val="auto"/>
          <w:lang w:val="en-US" w:eastAsia="zh-CN"/>
        </w:rPr>
        <w:t>12.《吉木萨尔县2024-2026年农业机械购置补贴实施方案》；</w:t>
      </w:r>
    </w:p>
    <w:p w14:paraId="3FFA5D65">
      <w:pPr>
        <w:ind w:firstLine="420"/>
        <w:rPr>
          <w:rFonts w:hint="eastAsia"/>
          <w:color w:val="auto"/>
          <w:lang w:val="en-US" w:eastAsia="zh-CN"/>
        </w:rPr>
      </w:pPr>
      <w:r>
        <w:rPr>
          <w:rFonts w:hint="eastAsia"/>
          <w:color w:val="auto"/>
          <w:lang w:val="en-US" w:eastAsia="zh-CN"/>
        </w:rPr>
        <w:t>13.《关于提前下达2024年中央农业产业发展资金预算的通知》（昌州财农〔2023〕62号）；</w:t>
      </w:r>
    </w:p>
    <w:p w14:paraId="198C533C">
      <w:pPr>
        <w:ind w:firstLine="420"/>
        <w:rPr>
          <w:rFonts w:hint="eastAsia"/>
          <w:color w:val="auto"/>
          <w:lang w:val="en-US" w:eastAsia="zh-CN"/>
        </w:rPr>
      </w:pPr>
      <w:r>
        <w:rPr>
          <w:rFonts w:hint="eastAsia"/>
          <w:color w:val="auto"/>
          <w:lang w:val="en-US" w:eastAsia="zh-CN"/>
        </w:rPr>
        <w:t>14.《关于下达 2024年中央农业产业发展资金预算的通知》（昌州财农〔2024〕19号）；</w:t>
      </w:r>
    </w:p>
    <w:p w14:paraId="7F52F938">
      <w:pPr>
        <w:ind w:firstLine="420"/>
        <w:rPr>
          <w:rFonts w:hint="eastAsia" w:ascii="Times New Roman" w:hAnsi="Times New Roman" w:eastAsia="宋体" w:cs="Times New Roman"/>
          <w:color w:val="auto"/>
          <w:lang w:val="en-US" w:eastAsia="zh-CN"/>
        </w:rPr>
      </w:pPr>
      <w:r>
        <w:rPr>
          <w:rFonts w:hint="eastAsia"/>
          <w:color w:val="auto"/>
          <w:lang w:val="en-US" w:eastAsia="zh-CN"/>
        </w:rPr>
        <w:t>15.《关于下达 2024 年自治区农机购置与应用补贴资金预算的通知》（昌州财农〔2024〕</w:t>
      </w:r>
      <w:r>
        <w:rPr>
          <w:rFonts w:hint="eastAsia" w:ascii="Times New Roman" w:hAnsi="Times New Roman" w:eastAsia="宋体" w:cs="Times New Roman"/>
          <w:color w:val="auto"/>
          <w:lang w:val="en-US" w:eastAsia="zh-CN"/>
        </w:rPr>
        <w:t>27号）；</w:t>
      </w:r>
    </w:p>
    <w:p w14:paraId="12EE5ECF">
      <w:pPr>
        <w:ind w:firstLine="420"/>
        <w:rPr>
          <w:rFonts w:hint="eastAsia" w:ascii="Times New Roman" w:hAnsi="Times New Roman" w:eastAsia="宋体" w:cs="Times New Roman"/>
          <w:color w:val="auto"/>
          <w:lang w:val="en-US" w:eastAsia="zh-CN"/>
        </w:rPr>
      </w:pPr>
      <w:r>
        <w:rPr>
          <w:rFonts w:hint="eastAsia" w:ascii="Times New Roman" w:hAnsi="Times New Roman" w:eastAsia="宋体" w:cs="Times New Roman"/>
          <w:color w:val="auto"/>
          <w:lang w:val="en-US" w:eastAsia="zh-CN"/>
        </w:rPr>
        <w:t>16.项目单位制度，国库集中支付凭证、《2024年度县级补贴机具结算明细表》等项目绩效评价有关资料。</w:t>
      </w:r>
    </w:p>
    <w:p w14:paraId="090080F1">
      <w:pPr>
        <w:pStyle w:val="3"/>
        <w:pageBreakBefore w:val="0"/>
        <w:widowControl w:val="0"/>
        <w:kinsoku/>
        <w:wordWrap/>
        <w:overflowPunct/>
        <w:topLinePunct w:val="0"/>
        <w:autoSpaceDE/>
        <w:autoSpaceDN/>
        <w:bidi w:val="0"/>
        <w:adjustRightInd w:val="0"/>
        <w:snapToGrid w:val="0"/>
        <w:spacing w:before="0" w:after="0" w:line="360" w:lineRule="auto"/>
        <w:ind w:firstLine="667"/>
        <w:textAlignment w:val="auto"/>
        <w:rPr>
          <w:rFonts w:ascii="Times New Roman" w:hAnsi="Times New Roman"/>
          <w:color w:val="auto"/>
        </w:rPr>
      </w:pPr>
      <w:bookmarkStart w:id="58" w:name="_Toc21175"/>
      <w:r>
        <w:rPr>
          <w:rFonts w:ascii="Times New Roman" w:hAnsi="Times New Roman"/>
          <w:color w:val="auto"/>
        </w:rPr>
        <w:t>（</w:t>
      </w:r>
      <w:r>
        <w:rPr>
          <w:rFonts w:hint="eastAsia" w:ascii="Times New Roman" w:hAnsi="Times New Roman"/>
          <w:color w:val="auto"/>
        </w:rPr>
        <w:t>二</w:t>
      </w:r>
      <w:r>
        <w:rPr>
          <w:rFonts w:ascii="Times New Roman" w:hAnsi="Times New Roman"/>
          <w:color w:val="auto"/>
        </w:rPr>
        <w:t>）绩效评价目的、对象和范围</w:t>
      </w:r>
      <w:bookmarkEnd w:id="57"/>
      <w:bookmarkEnd w:id="58"/>
    </w:p>
    <w:p w14:paraId="5DC5DD66">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bookmarkStart w:id="59" w:name="_Toc68364662"/>
      <w:r>
        <w:rPr>
          <w:rFonts w:hint="default" w:ascii="Times New Roman" w:hAnsi="Times New Roman" w:cs="Times New Roman"/>
          <w:color w:val="auto"/>
          <w:highlight w:val="none"/>
        </w:rPr>
        <w:t>1.绩效评价目的</w:t>
      </w:r>
    </w:p>
    <w:p w14:paraId="04A51381">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w:t>
      </w:r>
      <w:r>
        <w:rPr>
          <w:rFonts w:hint="eastAsia" w:cs="Times New Roman"/>
          <w:color w:val="auto"/>
          <w:highlight w:val="none"/>
          <w:lang w:eastAsia="zh-CN"/>
        </w:rPr>
        <w:t>制的</w:t>
      </w:r>
      <w:r>
        <w:rPr>
          <w:rFonts w:hint="default" w:ascii="Times New Roman" w:hAnsi="Times New Roman"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14:paraId="152FA12B">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eastAsia" w:ascii="Times New Roman" w:hAnsi="Times New Roman" w:cs="Times New Roman"/>
          <w:color w:val="auto"/>
          <w:highlight w:val="none"/>
          <w:lang w:val="en-US" w:eastAsia="zh-CN"/>
        </w:rPr>
        <w:t>及范围</w:t>
      </w:r>
    </w:p>
    <w:p w14:paraId="51A4A3B6">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本次绩效评价的对象为</w:t>
      </w:r>
      <w:r>
        <w:rPr>
          <w:rFonts w:hint="eastAsia" w:cs="Times New Roman"/>
          <w:color w:val="auto"/>
          <w:highlight w:val="none"/>
          <w:lang w:val="en-US" w:eastAsia="zh-CN"/>
        </w:rPr>
        <w:t>农机购置与应用补贴项目</w:t>
      </w:r>
      <w:r>
        <w:rPr>
          <w:rFonts w:hint="default" w:ascii="Times New Roman" w:hAnsi="Times New Roman" w:cs="Times New Roman"/>
          <w:color w:val="auto"/>
          <w:highlight w:val="none"/>
        </w:rPr>
        <w:t>，</w:t>
      </w:r>
      <w:r>
        <w:rPr>
          <w:rFonts w:hint="eastAsia" w:ascii="Times New Roman" w:hAnsi="Times New Roman" w:cs="Times New Roman"/>
          <w:color w:val="auto"/>
          <w:highlight w:val="none"/>
          <w:lang w:val="en-US" w:eastAsia="zh-CN"/>
        </w:rPr>
        <w:t>主要对该项目的</w:t>
      </w:r>
      <w:r>
        <w:rPr>
          <w:rFonts w:hint="default" w:ascii="Times New Roman" w:hAnsi="Times New Roman" w:cs="Times New Roman"/>
          <w:color w:val="auto"/>
          <w:highlight w:val="none"/>
        </w:rPr>
        <w:t>决策情况、资金管理</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使用情况</w:t>
      </w:r>
      <w:r>
        <w:rPr>
          <w:rFonts w:hint="eastAsia" w:ascii="Times New Roman" w:hAnsi="Times New Roman" w:cs="Times New Roman"/>
          <w:color w:val="auto"/>
          <w:highlight w:val="none"/>
          <w:lang w:eastAsia="zh-CN"/>
        </w:rPr>
        <w:t>、</w:t>
      </w:r>
      <w:r>
        <w:rPr>
          <w:rFonts w:hint="default" w:ascii="Times New Roman" w:hAnsi="Times New Roman" w:cs="Times New Roman"/>
          <w:color w:val="auto"/>
          <w:highlight w:val="none"/>
        </w:rPr>
        <w:t>相关管理制度办法的健全性及执行情况、实现的产出情况、取得的效益情况以及其他相关内容。</w:t>
      </w:r>
    </w:p>
    <w:p w14:paraId="31FAA923">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14:paraId="2B267E61">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FF0000"/>
          <w:highlight w:val="none"/>
        </w:rPr>
      </w:pPr>
      <w:r>
        <w:rPr>
          <w:rFonts w:hint="default" w:ascii="Times New Roman" w:hAnsi="Times New Roman" w:cs="Times New Roman"/>
          <w:color w:val="auto"/>
          <w:highlight w:val="none"/>
        </w:rPr>
        <w:t>本次绩效评价评价时段为</w:t>
      </w:r>
      <w:r>
        <w:rPr>
          <w:rFonts w:hint="eastAsia" w:ascii="Times New Roman" w:hAnsi="Times New Roman" w:cs="Times New Roman"/>
          <w:color w:val="auto"/>
          <w:highlight w:val="none"/>
          <w:lang w:eastAsia="zh-CN"/>
        </w:rPr>
        <w:t>：</w:t>
      </w:r>
      <w:r>
        <w:rPr>
          <w:rFonts w:hint="eastAsia" w:cs="Times New Roman"/>
          <w:color w:val="auto"/>
          <w:highlight w:val="none"/>
          <w:lang w:val="en-US" w:eastAsia="zh-CN"/>
        </w:rPr>
        <w:t>2024</w:t>
      </w:r>
      <w:r>
        <w:rPr>
          <w:rFonts w:hint="default" w:ascii="Times New Roman" w:hAnsi="Times New Roman" w:cs="Times New Roman"/>
          <w:color w:val="auto"/>
          <w:highlight w:val="none"/>
        </w:rPr>
        <w:t>年</w:t>
      </w:r>
      <w:r>
        <w:rPr>
          <w:rFonts w:hint="eastAsia" w:cs="Times New Roman"/>
          <w:color w:val="auto"/>
          <w:highlight w:val="none"/>
          <w:lang w:val="en-US" w:eastAsia="zh-CN"/>
        </w:rPr>
        <w:t>1</w:t>
      </w:r>
      <w:r>
        <w:rPr>
          <w:rFonts w:hint="default" w:ascii="Times New Roman" w:hAnsi="Times New Roman" w:cs="Times New Roman"/>
          <w:color w:val="auto"/>
          <w:highlight w:val="none"/>
        </w:rPr>
        <w:t>月</w:t>
      </w:r>
      <w:r>
        <w:rPr>
          <w:rFonts w:hint="eastAsia" w:cs="Times New Roman"/>
          <w:color w:val="auto"/>
          <w:highlight w:val="none"/>
          <w:lang w:val="en-US" w:eastAsia="zh-CN"/>
        </w:rPr>
        <w:t>1日</w:t>
      </w:r>
      <w:r>
        <w:rPr>
          <w:rFonts w:hint="default" w:ascii="Times New Roman" w:hAnsi="Times New Roman" w:cs="Times New Roman"/>
          <w:color w:val="auto"/>
          <w:highlight w:val="none"/>
        </w:rPr>
        <w:t>-</w:t>
      </w:r>
      <w:r>
        <w:rPr>
          <w:rFonts w:hint="eastAsia" w:cs="Times New Roman"/>
          <w:color w:val="auto"/>
          <w:highlight w:val="none"/>
          <w:lang w:val="en-US" w:eastAsia="zh-CN"/>
        </w:rPr>
        <w:t>2024</w:t>
      </w:r>
      <w:r>
        <w:rPr>
          <w:rFonts w:hint="default" w:ascii="Times New Roman" w:hAnsi="Times New Roman" w:cs="Times New Roman"/>
          <w:color w:val="auto"/>
          <w:highlight w:val="none"/>
        </w:rPr>
        <w:t>年</w:t>
      </w:r>
      <w:r>
        <w:rPr>
          <w:rFonts w:hint="eastAsia" w:cs="Times New Roman"/>
          <w:color w:val="auto"/>
          <w:highlight w:val="none"/>
          <w:lang w:val="en-US" w:eastAsia="zh-CN"/>
        </w:rPr>
        <w:t>12</w:t>
      </w:r>
      <w:r>
        <w:rPr>
          <w:rFonts w:hint="default" w:ascii="Times New Roman" w:hAnsi="Times New Roman" w:cs="Times New Roman"/>
          <w:color w:val="auto"/>
          <w:highlight w:val="none"/>
        </w:rPr>
        <w:t>月</w:t>
      </w:r>
      <w:r>
        <w:rPr>
          <w:rFonts w:hint="eastAsia" w:cs="Times New Roman"/>
          <w:color w:val="auto"/>
          <w:highlight w:val="none"/>
          <w:lang w:val="en-US" w:eastAsia="zh-CN"/>
        </w:rPr>
        <w:t>31日</w:t>
      </w:r>
      <w:r>
        <w:rPr>
          <w:rFonts w:hint="default" w:ascii="Times New Roman" w:hAnsi="Times New Roman" w:cs="Times New Roman"/>
          <w:color w:val="auto"/>
          <w:highlight w:val="none"/>
        </w:rPr>
        <w:t>。</w:t>
      </w:r>
    </w:p>
    <w:p w14:paraId="5613D351">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olor w:val="auto"/>
        </w:rPr>
      </w:pPr>
      <w:bookmarkStart w:id="60" w:name="_Toc23545"/>
      <w:r>
        <w:rPr>
          <w:rFonts w:ascii="Times New Roman" w:hAnsi="Times New Roman"/>
          <w:color w:val="auto"/>
        </w:rPr>
        <w:t>（</w:t>
      </w:r>
      <w:r>
        <w:rPr>
          <w:rFonts w:hint="eastAsia" w:ascii="Times New Roman" w:hAnsi="Times New Roman"/>
          <w:color w:val="auto"/>
        </w:rPr>
        <w:t>三</w:t>
      </w:r>
      <w:r>
        <w:rPr>
          <w:rFonts w:ascii="Times New Roman" w:hAnsi="Times New Roman"/>
          <w:color w:val="auto"/>
        </w:rPr>
        <w:t>）绩效评价原则</w:t>
      </w:r>
      <w:bookmarkEnd w:id="59"/>
      <w:bookmarkEnd w:id="60"/>
    </w:p>
    <w:p w14:paraId="38B143F8">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default"/>
          <w:color w:val="auto"/>
        </w:rPr>
      </w:pPr>
      <w:r>
        <w:rPr>
          <w:rFonts w:hint="default"/>
          <w:color w:val="auto"/>
        </w:rPr>
        <w:t>本次绩效评价遵循的原则包括：</w:t>
      </w:r>
    </w:p>
    <w:p w14:paraId="514E6F1C">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default"/>
          <w:color w:val="auto"/>
        </w:rPr>
      </w:pPr>
      <w:r>
        <w:rPr>
          <w:rFonts w:hint="default"/>
          <w:color w:val="auto"/>
        </w:rPr>
        <w:t>（1）独立性原则：在评价工作中保持充分的第三方独立性，不受其他第三方不当干预。</w:t>
      </w:r>
    </w:p>
    <w:p w14:paraId="5C80B3AF">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default"/>
          <w:color w:val="auto"/>
        </w:rPr>
      </w:pPr>
      <w:r>
        <w:rPr>
          <w:rFonts w:hint="default"/>
          <w:color w:val="auto"/>
        </w:rPr>
        <w:t>（2）客观性原则：</w:t>
      </w:r>
      <w:r>
        <w:rPr>
          <w:color w:val="auto"/>
        </w:rPr>
        <w:t>第三方机构应当按照协议（合同）约定事项开展绩效评价，</w:t>
      </w:r>
      <w:r>
        <w:rPr>
          <w:rFonts w:hint="eastAsia"/>
          <w:color w:val="auto"/>
        </w:rPr>
        <w:t>以客观事实为依据，</w:t>
      </w:r>
      <w:r>
        <w:rPr>
          <w:color w:val="auto"/>
        </w:rPr>
        <w:t>实事求是地向委托方提供服务。</w:t>
      </w:r>
    </w:p>
    <w:p w14:paraId="5CA546AE">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default"/>
          <w:color w:val="auto"/>
        </w:rPr>
      </w:pPr>
      <w:r>
        <w:rPr>
          <w:rFonts w:hint="default"/>
          <w:color w:val="auto"/>
        </w:rPr>
        <w:t>（3）科学性原则。第三方机构应当履行必要评价程序，对原始资料进行核查验证，选择一种或多种方法进行对比分析，形成结论并出具评价报告。</w:t>
      </w:r>
    </w:p>
    <w:p w14:paraId="5DFA9377">
      <w:pPr>
        <w:keepNext w:val="0"/>
        <w:keepLines w:val="0"/>
        <w:pageBreakBefore w:val="0"/>
        <w:widowControl w:val="0"/>
        <w:kinsoku/>
        <w:wordWrap/>
        <w:overflowPunct/>
        <w:topLinePunct w:val="0"/>
        <w:autoSpaceDE/>
        <w:autoSpaceDN/>
        <w:bidi w:val="0"/>
        <w:adjustRightInd w:val="0"/>
        <w:snapToGrid w:val="0"/>
        <w:spacing w:line="360" w:lineRule="auto"/>
        <w:ind w:firstLine="0"/>
        <w:textAlignment w:val="auto"/>
        <w:rPr>
          <w:rFonts w:hint="default"/>
          <w:color w:val="auto"/>
        </w:rPr>
      </w:pPr>
      <w:r>
        <w:rPr>
          <w:rFonts w:hint="default"/>
          <w:color w:val="auto"/>
        </w:rPr>
        <w:t>（4）公正性原则：在评价过程中坚持公正、客观地反映实际情况，不隐瞒、弄虚作假。</w:t>
      </w:r>
    </w:p>
    <w:p w14:paraId="5ACDC2E0">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outlineLvl w:val="1"/>
        <w:rPr>
          <w:b/>
          <w:bCs/>
          <w:color w:val="auto"/>
          <w:sz w:val="24"/>
          <w:szCs w:val="28"/>
          <w:highlight w:val="none"/>
        </w:rPr>
      </w:pPr>
      <w:bookmarkStart w:id="61" w:name="_Toc14077"/>
      <w:bookmarkStart w:id="62" w:name="_Toc12323"/>
      <w:r>
        <w:rPr>
          <w:rFonts w:hint="eastAsia"/>
          <w:b/>
          <w:bCs/>
          <w:color w:val="auto"/>
          <w:sz w:val="24"/>
          <w:szCs w:val="28"/>
          <w:highlight w:val="none"/>
          <w:lang w:eastAsia="zh-CN"/>
        </w:rPr>
        <w:t>（</w:t>
      </w:r>
      <w:r>
        <w:rPr>
          <w:rFonts w:hint="eastAsia"/>
          <w:b/>
          <w:bCs/>
          <w:color w:val="auto"/>
          <w:sz w:val="24"/>
          <w:szCs w:val="28"/>
          <w:highlight w:val="none"/>
          <w:lang w:val="en-US" w:eastAsia="zh-CN"/>
        </w:rPr>
        <w:t>四</w:t>
      </w:r>
      <w:r>
        <w:rPr>
          <w:rStyle w:val="36"/>
          <w:rFonts w:hint="eastAsia"/>
          <w:color w:val="auto"/>
          <w:highlight w:val="none"/>
          <w:lang w:eastAsia="zh-CN"/>
        </w:rPr>
        <w:t>）</w:t>
      </w:r>
      <w:r>
        <w:rPr>
          <w:rStyle w:val="36"/>
          <w:rFonts w:hint="eastAsia"/>
          <w:color w:val="auto"/>
          <w:highlight w:val="none"/>
          <w:lang w:val="en-US" w:eastAsia="zh-CN"/>
        </w:rPr>
        <w:t>绩效评价标准</w:t>
      </w:r>
      <w:bookmarkEnd w:id="61"/>
      <w:bookmarkEnd w:id="62"/>
    </w:p>
    <w:p w14:paraId="7BEA177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color w:val="auto"/>
        </w:rPr>
      </w:pPr>
      <w:r>
        <w:rPr>
          <w:color w:val="auto"/>
        </w:rPr>
        <w:t>绩效评价标准通常包括计划标准、行业标准、历史标准等。</w:t>
      </w:r>
      <w:r>
        <w:rPr>
          <w:rFonts w:hint="eastAsia" w:asciiTheme="minorEastAsia" w:hAnsiTheme="minorEastAsia" w:cstheme="minorEastAsia"/>
          <w:color w:val="auto"/>
          <w:highlight w:val="none"/>
        </w:rPr>
        <w:t>本次绩效评价采用计划标准</w:t>
      </w:r>
      <w:r>
        <w:rPr>
          <w:rFonts w:hint="eastAsia" w:asciiTheme="minorEastAsia" w:hAnsiTheme="minorEastAsia" w:cstheme="minorEastAsia"/>
          <w:color w:val="auto"/>
          <w:highlight w:val="none"/>
          <w:lang w:eastAsia="zh-CN"/>
        </w:rPr>
        <w:t>、</w:t>
      </w:r>
      <w:r>
        <w:rPr>
          <w:rFonts w:hint="eastAsia" w:asciiTheme="minorEastAsia" w:hAnsiTheme="minorEastAsia" w:cstheme="minorEastAsia"/>
          <w:color w:val="auto"/>
          <w:highlight w:val="none"/>
          <w:lang w:val="en-US" w:eastAsia="zh-CN"/>
        </w:rPr>
        <w:t>行业标准</w:t>
      </w:r>
      <w:r>
        <w:rPr>
          <w:rFonts w:hint="eastAsia" w:asciiTheme="minorEastAsia" w:hAnsiTheme="minorEastAsia" w:cstheme="minorEastAsia"/>
          <w:color w:val="auto"/>
          <w:highlight w:val="none"/>
        </w:rPr>
        <w:t>，</w:t>
      </w:r>
      <w:r>
        <w:rPr>
          <w:color w:val="auto"/>
        </w:rPr>
        <w:t>本次绩效评价优先参照国家公布的行业指标数据制定的评价标准</w:t>
      </w:r>
      <w:r>
        <w:rPr>
          <w:rFonts w:hint="eastAsia"/>
          <w:color w:val="auto"/>
          <w:lang w:eastAsia="zh-CN"/>
        </w:rPr>
        <w:t>，</w:t>
      </w:r>
      <w:r>
        <w:rPr>
          <w:rFonts w:hint="eastAsia"/>
          <w:color w:val="auto"/>
          <w:lang w:val="en-US" w:eastAsia="zh-CN"/>
        </w:rPr>
        <w:t>无行业标准的</w:t>
      </w:r>
      <w:r>
        <w:rPr>
          <w:rFonts w:hint="eastAsia" w:asciiTheme="minorEastAsia" w:hAnsiTheme="minorEastAsia" w:cstheme="minorEastAsia"/>
          <w:color w:val="auto"/>
          <w:highlight w:val="none"/>
        </w:rPr>
        <w:t>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16C0A28D">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63" w:name="_Toc18562"/>
      <w:r>
        <w:rPr>
          <w:rFonts w:hint="eastAsia"/>
          <w:color w:val="auto"/>
        </w:rPr>
        <w:t>（</w:t>
      </w:r>
      <w:r>
        <w:rPr>
          <w:rFonts w:hint="eastAsia"/>
          <w:color w:val="auto"/>
          <w:lang w:val="en-US" w:eastAsia="zh-CN"/>
        </w:rPr>
        <w:t>五</w:t>
      </w:r>
      <w:r>
        <w:rPr>
          <w:rFonts w:hint="eastAsia"/>
          <w:color w:val="auto"/>
        </w:rPr>
        <w:t>）</w:t>
      </w:r>
      <w:r>
        <w:rPr>
          <w:color w:val="auto"/>
        </w:rPr>
        <w:t>绩效评价</w:t>
      </w:r>
      <w:r>
        <w:rPr>
          <w:rFonts w:hint="eastAsia"/>
          <w:color w:val="auto"/>
        </w:rPr>
        <w:t>方法</w:t>
      </w:r>
      <w:bookmarkEnd w:id="63"/>
    </w:p>
    <w:p w14:paraId="2C45809B">
      <w:pPr>
        <w:pageBreakBefore w:val="0"/>
        <w:widowControl w:val="0"/>
        <w:kinsoku/>
        <w:wordWrap/>
        <w:overflowPunct/>
        <w:topLinePunct w:val="0"/>
        <w:autoSpaceDE/>
        <w:autoSpaceDN/>
        <w:bidi w:val="0"/>
        <w:adjustRightInd w:val="0"/>
        <w:snapToGrid w:val="0"/>
        <w:spacing w:line="360" w:lineRule="auto"/>
        <w:ind w:firstLine="420"/>
        <w:textAlignment w:val="auto"/>
        <w:rPr>
          <w:b w:val="0"/>
          <w:bCs w:val="0"/>
          <w:color w:val="auto"/>
        </w:rPr>
      </w:pPr>
      <w:r>
        <w:rPr>
          <w:rFonts w:hint="eastAsia"/>
          <w:b w:val="0"/>
          <w:bCs w:val="0"/>
          <w:color w:val="auto"/>
        </w:rPr>
        <w:t>正确的评价方法是评价工作顺利开展的保障，在结合实际经验的情况下，绩效评价小组根据该项目资金的性质和特点，选用比较法、因素分析法、公众评判法以及文献法对项目进行评价，旨在通过综合分析影响绩效目标实现、实施效果的内外部因素，从而评价该项目绩效。根据不同三级指标的类型进行逐项分析。</w:t>
      </w:r>
    </w:p>
    <w:p w14:paraId="40E8C9DB">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（1）项目决策类指标评价方法</w:t>
      </w:r>
    </w:p>
    <w:p w14:paraId="68C133A4">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立项依据充分性：比较法和文献法，查找法律法规政策以及规划，对比实际执行内容和政策支持内容是否匹配，分析立项依据充分性。</w:t>
      </w:r>
    </w:p>
    <w:p w14:paraId="28837751">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立项程序规范性：比较法和文献法，查找相关项目设立的政策和文件要求，对比分析实际执行程序是否按照政策及文件要求执行，分析立项程序的规范性。</w:t>
      </w:r>
    </w:p>
    <w:p w14:paraId="4C30A887">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绩效目标合理性：文献法和因素分析法，对比分析年初编制项目支出绩效目标表与项目内容的相关性、资金的匹配性等。</w:t>
      </w:r>
    </w:p>
    <w:p w14:paraId="486A6656">
      <w:pPr>
        <w:ind w:firstLine="664"/>
      </w:pPr>
      <w:r>
        <w:rPr>
          <w:rFonts w:hint="eastAsia"/>
        </w:rPr>
        <w:t>绩效指标明确性：比较法和因素分析法，比较分析年初编制项目支出绩效目标表是否符合双七原则，是否可衡量。</w:t>
      </w:r>
    </w:p>
    <w:p w14:paraId="5389278D">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预算编制科学性：比较法和因素分析法，项目预算编制是否经过科学论证、有明确标准，资金额度与年度目标是否相适应，用以反映和考核项目预算编制的科学性、合理性情况。</w:t>
      </w:r>
    </w:p>
    <w:p w14:paraId="04E1BE00">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资金分配合理性：因素分析法，综合分析资金的分配依据是否充分，分配金额是否与项目实施单位需求金额一致。</w:t>
      </w:r>
    </w:p>
    <w:p w14:paraId="6191BD45">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（2）项目过程类指标评价方法</w:t>
      </w:r>
    </w:p>
    <w:p w14:paraId="24AA2E49">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资金到位率：比较法和因素分析法，项目是否完成且资金到位数满足年度预算规模需求；项目尚未完成，分析实际完成值和预期指标值之间的差距和原因。</w:t>
      </w:r>
    </w:p>
    <w:p w14:paraId="23A87ECE">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预算执行率：比较法和因素分析法，项目是否完成且执行数控制在年度预算规模之内的；项目尚未完成，并分析实际完成值和预期指标值之间的差距和原因。</w:t>
      </w:r>
    </w:p>
    <w:p w14:paraId="4B904E35">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资金使用合规性：比较法、文献法和因素分析法等，通过实地调研，检查项目资金使用情况，对比专项资金管理办法要求，分析资金使用合规性。</w:t>
      </w:r>
    </w:p>
    <w:p w14:paraId="16B9B199">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eastAsia="宋体"/>
          <w:color w:val="auto"/>
          <w:kern w:val="2"/>
          <w:sz w:val="21"/>
          <w:szCs w:val="21"/>
          <w:lang w:bidi="ar"/>
        </w:rPr>
      </w:pPr>
      <w:r>
        <w:rPr>
          <w:rFonts w:hint="eastAsia"/>
          <w:color w:val="auto"/>
        </w:rPr>
        <w:t>管理制度健全性：</w:t>
      </w:r>
      <w:r>
        <w:rPr>
          <w:rFonts w:hint="eastAsia"/>
        </w:rPr>
        <w:t>文献法、比较法和因素分析法等，通过查阅项目实施单位提供的财务和业务管理制度，将已建立的制度与现行的法律法规和政策要求进行对比，分析项目制度的合法性、合规性、完整性。</w:t>
      </w:r>
    </w:p>
    <w:p w14:paraId="76A48770">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eastAsia="宋体"/>
          <w:lang w:eastAsia="zh-CN"/>
        </w:rPr>
      </w:pPr>
      <w:r>
        <w:rPr>
          <w:rFonts w:hint="eastAsia"/>
          <w:color w:val="auto"/>
        </w:rPr>
        <w:t>制度执行有效性：</w:t>
      </w:r>
      <w:r>
        <w:rPr>
          <w:rFonts w:hint="eastAsia"/>
        </w:rPr>
        <w:t>比较法，结合项目实际实施过程性文件，根据已建设的财务管理制度和项目管理制度综合分析制度执行的有效性</w:t>
      </w:r>
      <w:r>
        <w:rPr>
          <w:rFonts w:hint="eastAsia"/>
          <w:lang w:eastAsia="zh-CN"/>
        </w:rPr>
        <w:t>，</w:t>
      </w:r>
      <w:r>
        <w:rPr>
          <w:rFonts w:hint="eastAsia"/>
          <w:lang w:val="en-US" w:eastAsia="zh-CN"/>
        </w:rPr>
        <w:t>分析</w:t>
      </w:r>
      <w:r>
        <w:rPr>
          <w:rFonts w:hint="eastAsia"/>
        </w:rPr>
        <w:t>补贴机具核验流程是否符合《关于印发&lt;新疆维吾尔自治区农机购置与应用补贴机具核验工作要点》</w:t>
      </w:r>
      <w:r>
        <w:rPr>
          <w:rFonts w:hint="eastAsia"/>
          <w:lang w:eastAsia="zh-CN"/>
        </w:rPr>
        <w:t>，</w:t>
      </w:r>
      <w:r>
        <w:rPr>
          <w:rFonts w:hint="eastAsia"/>
        </w:rPr>
        <w:t>对比分析是否按照规章制度将投档企业审核结果和补贴申请信息进行公示公开。</w:t>
      </w:r>
    </w:p>
    <w:p w14:paraId="1907422E">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（3）项目产出类指标评价方法</w:t>
      </w:r>
    </w:p>
    <w:p w14:paraId="1857A3C1">
      <w:pPr>
        <w:pageBreakBefore w:val="0"/>
        <w:widowControl w:val="0"/>
        <w:kinsoku/>
        <w:wordWrap/>
        <w:overflowPunct/>
        <w:topLinePunct w:val="0"/>
        <w:autoSpaceDE/>
        <w:autoSpaceDN/>
        <w:bidi w:val="0"/>
        <w:adjustRightInd w:val="0"/>
        <w:snapToGrid w:val="0"/>
        <w:spacing w:line="360" w:lineRule="auto"/>
        <w:ind w:firstLine="420"/>
        <w:textAlignment w:val="auto"/>
        <w:rPr>
          <w:rFonts w:hint="eastAsia" w:eastAsiaTheme="minorEastAsia"/>
          <w:color w:val="auto"/>
          <w:lang w:eastAsia="zh-CN"/>
        </w:rPr>
      </w:pPr>
      <w:r>
        <w:rPr>
          <w:rFonts w:hint="eastAsia"/>
          <w:color w:val="auto"/>
        </w:rPr>
        <w:t>项目</w:t>
      </w:r>
      <w:r>
        <w:rPr>
          <w:rFonts w:hint="eastAsia"/>
          <w:color w:val="auto"/>
          <w:lang w:val="en-US" w:eastAsia="zh-CN"/>
        </w:rPr>
        <w:t>产出</w:t>
      </w:r>
      <w:r>
        <w:rPr>
          <w:rFonts w:hint="eastAsia"/>
          <w:color w:val="auto"/>
        </w:rPr>
        <w:t>类指标主要采用比较法和因素分析法，通过对比实际完成值和预期指标值</w:t>
      </w:r>
      <w:r>
        <w:rPr>
          <w:rFonts w:hint="eastAsia"/>
          <w:color w:val="auto"/>
          <w:lang w:eastAsia="zh-CN"/>
        </w:rPr>
        <w:t>，</w:t>
      </w:r>
      <w:r>
        <w:rPr>
          <w:rFonts w:hint="eastAsia"/>
          <w:color w:val="auto"/>
          <w:lang w:val="en-US" w:eastAsia="zh-CN"/>
        </w:rPr>
        <w:t>综合分析影响绩效目标实现的内外部因素</w:t>
      </w:r>
      <w:r>
        <w:rPr>
          <w:rFonts w:hint="eastAsia"/>
          <w:color w:val="auto"/>
        </w:rPr>
        <w:t>。</w:t>
      </w:r>
    </w:p>
    <w:p w14:paraId="454BAC41">
      <w:pPr>
        <w:pageBreakBefore w:val="0"/>
        <w:widowControl w:val="0"/>
        <w:kinsoku/>
        <w:wordWrap/>
        <w:overflowPunct/>
        <w:topLinePunct w:val="0"/>
        <w:autoSpaceDE/>
        <w:autoSpaceDN/>
        <w:bidi w:val="0"/>
        <w:adjustRightInd w:val="0"/>
        <w:snapToGrid w:val="0"/>
        <w:spacing w:line="360" w:lineRule="auto"/>
        <w:textAlignment w:val="auto"/>
        <w:rPr>
          <w:rFonts w:hint="eastAsia"/>
          <w:color w:val="auto"/>
        </w:rPr>
      </w:pPr>
      <w:r>
        <w:rPr>
          <w:rFonts w:hint="eastAsia" w:cs="Times New Roman"/>
          <w:color w:val="auto"/>
          <w:lang w:eastAsia="zh-CN"/>
        </w:rPr>
        <w:t>农机购置与应用补贴机具数：</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w:t>
      </w:r>
      <w:r>
        <w:rPr>
          <w:rFonts w:hint="eastAsia" w:ascii="Times New Roman" w:hAnsi="Times New Roman" w:cs="Times New Roman"/>
          <w:color w:val="auto"/>
          <w:lang w:val="en-US" w:eastAsia="zh-CN"/>
        </w:rPr>
        <w:t>《吉木萨尔县2024-2026年农业机械购置补贴实施方案》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《2024年度县级补贴机具结算明细表》，通过对比实际完成值和预期指标值，评价</w:t>
      </w:r>
      <w:r>
        <w:rPr>
          <w:rFonts w:hint="eastAsia" w:cs="Times New Roman"/>
          <w:color w:val="auto"/>
          <w:lang w:eastAsia="zh-CN"/>
        </w:rPr>
        <w:t>农机购置与应用补贴机具数</w:t>
      </w:r>
      <w:r>
        <w:rPr>
          <w:rFonts w:hint="eastAsia" w:ascii="Times New Roman" w:hAnsi="Times New Roman" w:cs="Times New Roman"/>
          <w:color w:val="auto"/>
          <w:lang w:val="en-US" w:eastAsia="zh-CN"/>
        </w:rPr>
        <w:t>目标的实现程度。</w:t>
      </w:r>
    </w:p>
    <w:p w14:paraId="4232F1C6">
      <w:pPr>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cs="Times New Roman"/>
          <w:color w:val="auto"/>
          <w:lang w:val="en-US" w:eastAsia="zh-CN"/>
        </w:rPr>
      </w:pPr>
      <w:r>
        <w:rPr>
          <w:rFonts w:hint="eastAsia"/>
          <w:color w:val="auto"/>
        </w:rPr>
        <w:t>农机报废补贴机具总数</w:t>
      </w:r>
      <w:r>
        <w:rPr>
          <w:rFonts w:hint="eastAsia"/>
          <w:color w:val="auto"/>
          <w:lang w:eastAsia="zh-CN"/>
        </w:rPr>
        <w:t>：</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、《新疆维吾尔自治区农业机械报废更新补贴实施方案》《吉木萨尔县2024年农业机械报废更新补贴政策实施方案》以及</w:t>
      </w:r>
      <w:r>
        <w:rPr>
          <w:rFonts w:hint="eastAsia" w:ascii="Times New Roman" w:hAnsi="Times New Roman" w:cs="Times New Roman"/>
          <w:color w:val="auto"/>
          <w:lang w:val="en-US" w:eastAsia="zh-CN"/>
        </w:rPr>
        <w:t>《2024年老台乡第一批农机报废补贴实名制管理台账》，通过对比实际完成值和预期指标值，评价</w:t>
      </w:r>
      <w:r>
        <w:rPr>
          <w:rFonts w:hint="eastAsia"/>
          <w:color w:val="auto"/>
        </w:rPr>
        <w:t>农机报废补贴机具总数</w:t>
      </w:r>
      <w:r>
        <w:rPr>
          <w:rFonts w:hint="eastAsia" w:ascii="Times New Roman" w:hAnsi="Times New Roman" w:cs="Times New Roman"/>
          <w:color w:val="auto"/>
          <w:lang w:val="en-US" w:eastAsia="zh-CN"/>
        </w:rPr>
        <w:t>目标的实现程度。</w:t>
      </w:r>
    </w:p>
    <w:p w14:paraId="47DC3624">
      <w:pPr>
        <w:pageBreakBefore w:val="0"/>
        <w:widowControl w:val="0"/>
        <w:kinsoku/>
        <w:wordWrap/>
        <w:overflowPunct/>
        <w:topLinePunct w:val="0"/>
        <w:autoSpaceDE/>
        <w:autoSpaceDN/>
        <w:bidi w:val="0"/>
        <w:adjustRightInd w:val="0"/>
        <w:snapToGrid w:val="0"/>
        <w:spacing w:line="360" w:lineRule="auto"/>
        <w:textAlignment w:val="auto"/>
        <w:rPr>
          <w:rFonts w:hint="eastAsia" w:eastAsia="宋体"/>
          <w:color w:val="auto"/>
          <w:lang w:eastAsia="zh-CN"/>
        </w:rPr>
      </w:pPr>
      <w:r>
        <w:rPr>
          <w:rFonts w:hint="eastAsia"/>
          <w:color w:val="auto"/>
        </w:rPr>
        <w:t>补贴对象认定准确率</w:t>
      </w:r>
      <w:r>
        <w:rPr>
          <w:rFonts w:hint="eastAsia"/>
          <w:color w:val="auto"/>
          <w:lang w:eastAsia="zh-CN"/>
        </w:rPr>
        <w:t>：</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w:t>
      </w:r>
      <w:r>
        <w:rPr>
          <w:rFonts w:hint="eastAsia" w:ascii="Times New Roman" w:hAnsi="Times New Roman" w:cs="Times New Roman"/>
          <w:color w:val="auto"/>
          <w:lang w:val="en-US" w:eastAsia="zh-CN"/>
        </w:rPr>
        <w:t>《吉木萨尔县2024-2026年农业机械购置补贴实施方案》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《2024年度县级补贴机具结算明细表》，</w:t>
      </w:r>
      <w:r>
        <w:rPr>
          <w:rFonts w:hint="eastAsia" w:cs="Times New Roman"/>
          <w:color w:val="auto"/>
          <w:lang w:val="en-US" w:eastAsia="zh-CN"/>
        </w:rPr>
        <w:t>评价</w:t>
      </w:r>
      <w:r>
        <w:rPr>
          <w:rFonts w:hint="eastAsia"/>
          <w:color w:val="auto"/>
        </w:rPr>
        <w:t>补贴对象认定准确率</w:t>
      </w:r>
      <w:r>
        <w:rPr>
          <w:rFonts w:hint="eastAsia"/>
          <w:color w:val="auto"/>
          <w:lang w:val="en-US" w:eastAsia="zh-CN"/>
        </w:rPr>
        <w:t>是否按照制度</w:t>
      </w:r>
      <w:r>
        <w:rPr>
          <w:rFonts w:hint="eastAsia" w:cs="Times New Roman"/>
          <w:color w:val="auto"/>
          <w:lang w:val="en-US" w:eastAsia="zh-CN"/>
        </w:rPr>
        <w:t>要求准确发放。</w:t>
      </w:r>
    </w:p>
    <w:p w14:paraId="22213282">
      <w:pPr>
        <w:pageBreakBefore w:val="0"/>
        <w:widowControl w:val="0"/>
        <w:kinsoku/>
        <w:wordWrap/>
        <w:overflowPunct/>
        <w:topLinePunct w:val="0"/>
        <w:autoSpaceDE/>
        <w:autoSpaceDN/>
        <w:bidi w:val="0"/>
        <w:adjustRightInd w:val="0"/>
        <w:snapToGrid w:val="0"/>
        <w:spacing w:line="360" w:lineRule="auto"/>
        <w:textAlignment w:val="auto"/>
        <w:rPr>
          <w:rFonts w:hint="eastAsia"/>
          <w:color w:val="auto"/>
        </w:rPr>
      </w:pPr>
      <w:r>
        <w:rPr>
          <w:rFonts w:hint="eastAsia"/>
          <w:color w:val="auto"/>
        </w:rPr>
        <w:t>补贴标准达标率</w:t>
      </w:r>
      <w:r>
        <w:rPr>
          <w:rFonts w:hint="eastAsia"/>
          <w:color w:val="auto"/>
          <w:lang w:eastAsia="zh-CN"/>
        </w:rPr>
        <w:t>：</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w:t>
      </w:r>
      <w:r>
        <w:rPr>
          <w:rFonts w:hint="eastAsia" w:ascii="Times New Roman" w:hAnsi="Times New Roman" w:cs="Times New Roman"/>
          <w:color w:val="auto"/>
          <w:lang w:val="en-US" w:eastAsia="zh-CN"/>
        </w:rPr>
        <w:t>《吉木萨尔县2024-2026年农业机械购置补贴实施方案》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《2024年度县级补贴机具结算明细表》，</w:t>
      </w:r>
      <w:r>
        <w:rPr>
          <w:rFonts w:hint="eastAsia" w:cs="Times New Roman"/>
          <w:color w:val="auto"/>
          <w:lang w:val="en-US" w:eastAsia="zh-CN"/>
        </w:rPr>
        <w:t>评价</w:t>
      </w:r>
      <w:r>
        <w:rPr>
          <w:rFonts w:hint="eastAsia"/>
          <w:color w:val="auto"/>
        </w:rPr>
        <w:t>补贴标准达标率</w:t>
      </w:r>
      <w:r>
        <w:rPr>
          <w:rFonts w:hint="eastAsia"/>
          <w:color w:val="auto"/>
          <w:lang w:val="en-US" w:eastAsia="zh-CN"/>
        </w:rPr>
        <w:t>是否按照制度</w:t>
      </w:r>
      <w:r>
        <w:rPr>
          <w:rFonts w:hint="eastAsia" w:cs="Times New Roman"/>
          <w:color w:val="auto"/>
          <w:lang w:val="en-US" w:eastAsia="zh-CN"/>
        </w:rPr>
        <w:t>要求准确认定。</w:t>
      </w:r>
    </w:p>
    <w:p w14:paraId="11E9319A">
      <w:pPr>
        <w:ind w:firstLine="664"/>
      </w:pPr>
      <w:r>
        <w:rPr>
          <w:rFonts w:hint="eastAsia"/>
          <w:lang w:eastAsia="zh-CN"/>
        </w:rPr>
        <w:t>机具补贴核验时限</w:t>
      </w:r>
      <w:r>
        <w:rPr>
          <w:rFonts w:hint="eastAsia"/>
        </w:rPr>
        <w:t>：比较法，结合</w:t>
      </w:r>
      <w:r>
        <w:rPr>
          <w:rFonts w:hint="eastAsia"/>
          <w:lang w:eastAsia="zh-CN"/>
        </w:rPr>
        <w:t>《2024-2026年农机购置与应用补贴操作实施流程》</w:t>
      </w:r>
      <w:r>
        <w:rPr>
          <w:rFonts w:hint="eastAsia"/>
          <w:lang w:val="en-US" w:eastAsia="zh-CN"/>
        </w:rPr>
        <w:t>以及系统平台导出数据以及</w:t>
      </w:r>
      <w:r>
        <w:rPr>
          <w:rFonts w:hint="eastAsia"/>
        </w:rPr>
        <w:t>实际实施过程性文件，对比分析</w:t>
      </w:r>
      <w:r>
        <w:rPr>
          <w:rFonts w:hint="eastAsia"/>
          <w:lang w:val="en-US" w:eastAsia="zh-CN"/>
        </w:rPr>
        <w:t>县农业农村局</w:t>
      </w:r>
      <w:r>
        <w:rPr>
          <w:rFonts w:hint="eastAsia"/>
        </w:rPr>
        <w:t>在受理购机者补贴申请后，</w:t>
      </w:r>
      <w:r>
        <w:rPr>
          <w:rFonts w:hint="eastAsia"/>
          <w:lang w:eastAsia="zh-CN"/>
        </w:rPr>
        <w:t>机具补贴核验</w:t>
      </w:r>
      <w:r>
        <w:rPr>
          <w:rFonts w:hint="eastAsia"/>
        </w:rPr>
        <w:t>限时办理情况。</w:t>
      </w:r>
    </w:p>
    <w:p w14:paraId="25AD909C">
      <w:pPr>
        <w:ind w:firstLine="664"/>
      </w:pPr>
      <w:r>
        <w:rPr>
          <w:rFonts w:hint="eastAsia"/>
        </w:rPr>
        <w:t>机具补贴兑付时限：比较法，结合</w:t>
      </w:r>
      <w:r>
        <w:rPr>
          <w:rFonts w:hint="eastAsia"/>
          <w:lang w:eastAsia="zh-CN"/>
        </w:rPr>
        <w:t>《2024-2026年农机购置与应用补贴操作实施流程》</w:t>
      </w:r>
      <w:r>
        <w:rPr>
          <w:rFonts w:hint="eastAsia"/>
          <w:lang w:val="en-US" w:eastAsia="zh-CN"/>
        </w:rPr>
        <w:t>以及系统平台导出数据以及</w:t>
      </w:r>
      <w:r>
        <w:rPr>
          <w:rFonts w:hint="eastAsia"/>
        </w:rPr>
        <w:t>实际实施过程性文件，对比分析</w:t>
      </w:r>
      <w:r>
        <w:rPr>
          <w:rFonts w:hint="eastAsia"/>
          <w:lang w:val="en-US" w:eastAsia="zh-CN"/>
        </w:rPr>
        <w:t>县农业农村局</w:t>
      </w:r>
      <w:r>
        <w:rPr>
          <w:rFonts w:hint="eastAsia"/>
        </w:rPr>
        <w:t>对符合要求的补贴申请的资金兑付限时办理情况。</w:t>
      </w:r>
    </w:p>
    <w:p w14:paraId="72D24A6D">
      <w:pPr>
        <w:pageBreakBefore w:val="0"/>
        <w:widowControl w:val="0"/>
        <w:kinsoku/>
        <w:wordWrap/>
        <w:overflowPunct/>
        <w:topLinePunct w:val="0"/>
        <w:autoSpaceDE/>
        <w:autoSpaceDN/>
        <w:bidi w:val="0"/>
        <w:adjustRightInd w:val="0"/>
        <w:snapToGrid w:val="0"/>
        <w:spacing w:line="360" w:lineRule="auto"/>
        <w:textAlignment w:val="auto"/>
        <w:rPr>
          <w:rFonts w:hint="eastAsia" w:eastAsia="宋体"/>
          <w:color w:val="auto"/>
          <w:lang w:eastAsia="zh-CN"/>
        </w:rPr>
      </w:pPr>
      <w:r>
        <w:rPr>
          <w:rFonts w:hint="eastAsia"/>
          <w:color w:val="auto"/>
        </w:rPr>
        <w:t>农机购置补贴支出</w:t>
      </w:r>
      <w:r>
        <w:rPr>
          <w:rFonts w:hint="eastAsia"/>
          <w:color w:val="auto"/>
          <w:lang w:eastAsia="zh-CN"/>
        </w:rPr>
        <w:t>：</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、《关于调整自治区 2021-2023年农机购置补贴机具种类范围和补贴额的通知》（新农机函〔2023</w:t>
      </w:r>
      <w:r>
        <w:rPr>
          <w:rFonts w:hint="eastAsia" w:ascii="宋体" w:hAnsi="宋体" w:eastAsia="宋体" w:cs="宋体"/>
          <w:color w:val="auto"/>
          <w:lang w:val="en-US" w:eastAsia="zh-CN"/>
        </w:rPr>
        <w:t>〕</w:t>
      </w:r>
      <w:r>
        <w:rPr>
          <w:rFonts w:hint="eastAsia" w:cs="Times New Roman"/>
          <w:color w:val="auto"/>
          <w:lang w:val="en-US" w:eastAsia="zh-CN"/>
        </w:rPr>
        <w:t>356号）《新疆维吾尔自治区2024-2026年农机购置与应用补贴机具补贴额一览表》</w:t>
      </w:r>
      <w:r>
        <w:rPr>
          <w:rFonts w:hint="eastAsia" w:ascii="Times New Roman" w:hAnsi="Times New Roman" w:cs="Times New Roman"/>
          <w:color w:val="auto"/>
          <w:lang w:val="en-US" w:eastAsia="zh-CN"/>
        </w:rPr>
        <w:t>《吉木萨尔县2024-2026年农业机械购置补贴实施方案》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《2024年度县级补贴机具结算明细表》，</w:t>
      </w:r>
      <w:r>
        <w:rPr>
          <w:rFonts w:hint="eastAsia" w:cs="Times New Roman"/>
          <w:color w:val="auto"/>
          <w:lang w:val="en-US" w:eastAsia="zh-CN"/>
        </w:rPr>
        <w:t>评价</w:t>
      </w:r>
      <w:r>
        <w:rPr>
          <w:rFonts w:hint="eastAsia"/>
          <w:color w:val="auto"/>
        </w:rPr>
        <w:t>农机购置补贴支出</w:t>
      </w:r>
      <w:r>
        <w:rPr>
          <w:rFonts w:hint="eastAsia"/>
          <w:color w:val="auto"/>
          <w:lang w:val="en-US" w:eastAsia="zh-CN"/>
        </w:rPr>
        <w:t>是否按照政策规定标准进行发放</w:t>
      </w:r>
      <w:r>
        <w:rPr>
          <w:rFonts w:hint="eastAsia"/>
          <w:color w:val="auto"/>
        </w:rPr>
        <w:t>。</w:t>
      </w:r>
    </w:p>
    <w:p w14:paraId="6E83364B">
      <w:pPr>
        <w:pageBreakBefore w:val="0"/>
        <w:widowControl w:val="0"/>
        <w:kinsoku/>
        <w:wordWrap/>
        <w:overflowPunct/>
        <w:topLinePunct w:val="0"/>
        <w:autoSpaceDE/>
        <w:autoSpaceDN/>
        <w:bidi w:val="0"/>
        <w:adjustRightInd w:val="0"/>
        <w:snapToGrid w:val="0"/>
        <w:spacing w:line="360" w:lineRule="auto"/>
        <w:textAlignment w:val="auto"/>
        <w:rPr>
          <w:rFonts w:hint="eastAsia"/>
          <w:color w:val="auto"/>
          <w:lang w:val="en-US" w:eastAsia="zh-CN"/>
        </w:rPr>
      </w:pPr>
      <w:r>
        <w:rPr>
          <w:rFonts w:hint="eastAsia"/>
          <w:color w:val="auto"/>
        </w:rPr>
        <w:t>农机报废补贴支出</w:t>
      </w:r>
      <w:r>
        <w:rPr>
          <w:rFonts w:hint="eastAsia"/>
          <w:color w:val="auto"/>
          <w:lang w:eastAsia="zh-CN"/>
        </w:rPr>
        <w:t>：</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关于印发&lt;新疆维吾尔自治区关于加大工作力度持续实施好农业机械报废更新补贴政策的实施方案&gt;的通知》（新农机函〔2024〕717号）《农业机械推荐报废年限标准一览表》《自治区农业机械报废更新补贴分档及补贴额一览表》</w:t>
      </w:r>
      <w:r>
        <w:rPr>
          <w:rFonts w:hint="eastAsia" w:ascii="Times New Roman" w:hAnsi="Times New Roman" w:cs="Times New Roman"/>
          <w:color w:val="auto"/>
          <w:lang w:val="en-US" w:eastAsia="zh-CN"/>
        </w:rPr>
        <w:t>《吉木萨尔县2024年农业机械报废更新补贴政策实施方案》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《2024年老台乡第一批农机报废补贴实名制管理台账》，</w:t>
      </w:r>
      <w:r>
        <w:rPr>
          <w:rFonts w:hint="eastAsia" w:cs="Times New Roman"/>
          <w:color w:val="auto"/>
          <w:lang w:val="en-US" w:eastAsia="zh-CN"/>
        </w:rPr>
        <w:t>评价</w:t>
      </w:r>
      <w:r>
        <w:rPr>
          <w:rFonts w:hint="eastAsia"/>
          <w:color w:val="auto"/>
        </w:rPr>
        <w:t>农机报废补贴支出</w:t>
      </w:r>
      <w:r>
        <w:rPr>
          <w:rFonts w:hint="eastAsia"/>
          <w:color w:val="auto"/>
          <w:lang w:val="en-US" w:eastAsia="zh-CN"/>
        </w:rPr>
        <w:t>是否按照政策规定标准进行发放</w:t>
      </w:r>
      <w:r>
        <w:rPr>
          <w:rFonts w:hint="eastAsia"/>
          <w:color w:val="auto"/>
        </w:rPr>
        <w:t>。</w:t>
      </w:r>
    </w:p>
    <w:p w14:paraId="30A1097A">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eastAsia"/>
          <w:color w:val="auto"/>
        </w:rPr>
        <w:t>（4）项目效益类指标评价方法</w:t>
      </w:r>
    </w:p>
    <w:p w14:paraId="74137DA2">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项目效益类指标主要采用公众评判法，辅以文献法、比较法和因素分析法，通过问卷及抽样调查等方式评价该项目实施后社会公众对于其实施效果的满意程度。</w:t>
      </w:r>
    </w:p>
    <w:p w14:paraId="23A62327">
      <w:pPr>
        <w:pageBreakBefore w:val="0"/>
        <w:widowControl w:val="0"/>
        <w:kinsoku/>
        <w:wordWrap/>
        <w:overflowPunct/>
        <w:topLinePunct w:val="0"/>
        <w:autoSpaceDE/>
        <w:autoSpaceDN/>
        <w:bidi w:val="0"/>
        <w:adjustRightInd w:val="0"/>
        <w:snapToGrid w:val="0"/>
        <w:spacing w:line="360" w:lineRule="auto"/>
        <w:textAlignment w:val="auto"/>
        <w:rPr>
          <w:rFonts w:hint="eastAsia"/>
          <w:color w:val="auto"/>
          <w:lang w:val="en-US" w:eastAsia="zh-CN"/>
        </w:rPr>
      </w:pPr>
      <w:r>
        <w:rPr>
          <w:rFonts w:hint="eastAsia" w:ascii="Times New Roman" w:hAnsi="Times New Roman" w:cs="Times New Roman"/>
          <w:color w:val="auto"/>
          <w:lang w:val="en-US" w:eastAsia="zh-CN"/>
        </w:rPr>
        <w:t>农机购置与应用补贴直接受益户数</w:t>
      </w:r>
      <w:r>
        <w:rPr>
          <w:rFonts w:hint="eastAsia" w:cs="Times New Roman"/>
          <w:color w:val="auto"/>
          <w:lang w:val="en-US" w:eastAsia="zh-CN"/>
        </w:rPr>
        <w:t>：</w:t>
      </w:r>
      <w:r>
        <w:rPr>
          <w:rFonts w:hint="eastAsia" w:ascii="Times New Roman" w:hAnsi="Times New Roman" w:cs="Times New Roman"/>
          <w:color w:val="auto"/>
          <w:lang w:val="en-US" w:eastAsia="zh-CN"/>
        </w:rPr>
        <w:t>据资金下达文件</w:t>
      </w:r>
      <w:r>
        <w:rPr>
          <w:rFonts w:hint="eastAsia" w:cs="Times New Roman"/>
          <w:color w:val="auto"/>
          <w:lang w:val="en-US" w:eastAsia="zh-CN"/>
        </w:rPr>
        <w:t>、</w:t>
      </w:r>
      <w:r>
        <w:rPr>
          <w:rFonts w:hint="eastAsia" w:ascii="Times New Roman" w:hAnsi="Times New Roman" w:cs="Times New Roman"/>
          <w:color w:val="auto"/>
          <w:lang w:val="en-US" w:eastAsia="zh-CN"/>
        </w:rPr>
        <w:t>《吉木萨尔县2024-2026年农业机械购置补贴实施方案》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《2024年度县级补贴机具结算明细表》《2024年老台乡第一批农机报废补贴实名制管理台账》，</w:t>
      </w:r>
      <w:r>
        <w:rPr>
          <w:rFonts w:hint="eastAsia" w:cs="Times New Roman"/>
          <w:color w:val="auto"/>
          <w:lang w:val="en-US" w:eastAsia="zh-CN"/>
        </w:rPr>
        <w:t>评价</w:t>
      </w:r>
      <w:r>
        <w:rPr>
          <w:rFonts w:hint="eastAsia" w:ascii="Times New Roman" w:hAnsi="Times New Roman" w:cs="Times New Roman"/>
          <w:color w:val="auto"/>
          <w:lang w:val="en-US" w:eastAsia="zh-CN"/>
        </w:rPr>
        <w:t>农机购置与应用补贴直接受益户数实现情况</w:t>
      </w:r>
      <w:r>
        <w:rPr>
          <w:rFonts w:hint="eastAsia"/>
          <w:color w:val="auto"/>
        </w:rPr>
        <w:t>。</w:t>
      </w:r>
    </w:p>
    <w:p w14:paraId="39FB8871">
      <w:pPr>
        <w:pageBreakBefore w:val="0"/>
        <w:widowControl w:val="0"/>
        <w:kinsoku/>
        <w:wordWrap/>
        <w:overflowPunct/>
        <w:topLinePunct w:val="0"/>
        <w:autoSpaceDE/>
        <w:autoSpaceDN/>
        <w:bidi w:val="0"/>
        <w:adjustRightInd w:val="0"/>
        <w:snapToGrid w:val="0"/>
        <w:spacing w:line="360" w:lineRule="auto"/>
        <w:ind w:firstLine="640"/>
        <w:textAlignment w:val="auto"/>
        <w:rPr>
          <w:rFonts w:hint="default"/>
          <w:color w:val="auto"/>
          <w:lang w:val="en-US" w:eastAsia="zh-CN"/>
        </w:rPr>
      </w:pPr>
      <w:r>
        <w:rPr>
          <w:rFonts w:hint="eastAsia" w:ascii="Times New Roman" w:hAnsi="Times New Roman" w:cs="Times New Roman"/>
          <w:color w:val="auto"/>
          <w:lang w:val="en-US" w:eastAsia="zh-CN"/>
        </w:rPr>
        <w:t>政策知晓率：采用公众评判法，通过发放问卷形式，考察项目实施过程中</w:t>
      </w:r>
      <w:r>
        <w:rPr>
          <w:rFonts w:hint="eastAsia" w:cs="Times New Roman"/>
          <w:color w:val="auto"/>
          <w:lang w:val="en-US" w:eastAsia="zh-CN"/>
        </w:rPr>
        <w:t>各乡镇农户</w:t>
      </w:r>
      <w:r>
        <w:rPr>
          <w:rFonts w:hint="eastAsia" w:ascii="Times New Roman" w:hAnsi="Times New Roman" w:cs="Times New Roman"/>
          <w:color w:val="auto"/>
          <w:lang w:val="en-US" w:eastAsia="zh-CN"/>
        </w:rPr>
        <w:t>对政策的了解程度。</w:t>
      </w:r>
    </w:p>
    <w:p w14:paraId="6D1D131D">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eastAsia="宋体"/>
          <w:color w:val="000000"/>
          <w:lang w:eastAsia="zh-CN"/>
        </w:rPr>
      </w:pPr>
      <w:r>
        <w:rPr>
          <w:rFonts w:hint="eastAsia"/>
          <w:color w:val="000000"/>
        </w:rPr>
        <w:t>农作物耕种收综合机械化率</w:t>
      </w:r>
      <w:r>
        <w:rPr>
          <w:rFonts w:hint="eastAsia"/>
          <w:color w:val="000000"/>
          <w:lang w:eastAsia="zh-CN"/>
        </w:rPr>
        <w:t>：对比分析法和因素分析法，将实际完成值与预期指标值进行对比分析，按照项目单位制定目标，逐项分析未完成原因。</w:t>
      </w:r>
    </w:p>
    <w:p w14:paraId="215BE51D">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提升农业机械化生产社会化服务水平：采用公众评判法，考察项目的实施是否提升农业机械化生产社会化服务水平的效益目标。</w:t>
      </w:r>
    </w:p>
    <w:p w14:paraId="380E5C6F">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cs="Times New Roman"/>
          <w:color w:val="auto"/>
          <w:lang w:val="en-US" w:eastAsia="zh-CN"/>
        </w:rPr>
      </w:pPr>
      <w:r>
        <w:rPr>
          <w:rFonts w:hint="eastAsia" w:ascii="Times New Roman" w:hAnsi="Times New Roman" w:cs="Times New Roman"/>
          <w:color w:val="auto"/>
          <w:lang w:val="en-US" w:eastAsia="zh-CN"/>
        </w:rPr>
        <w:t>不断促进农业技术发展</w:t>
      </w:r>
      <w:r>
        <w:rPr>
          <w:rFonts w:hint="eastAsia" w:cs="Times New Roman"/>
          <w:color w:val="auto"/>
          <w:lang w:val="en-US" w:eastAsia="zh-CN"/>
        </w:rPr>
        <w:t>：</w:t>
      </w:r>
      <w:r>
        <w:rPr>
          <w:rFonts w:hint="eastAsia" w:ascii="Times New Roman" w:hAnsi="Times New Roman" w:cs="Times New Roman"/>
          <w:color w:val="auto"/>
          <w:lang w:val="en-US" w:eastAsia="zh-CN"/>
        </w:rPr>
        <w:t>采用公众评判法，考察项目的实施是否不断促进农业技术发展的效益目标。</w:t>
      </w:r>
    </w:p>
    <w:p w14:paraId="6294369C">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cs="Times New Roman"/>
          <w:color w:val="auto"/>
          <w:lang w:val="en-US" w:eastAsia="zh-CN"/>
        </w:rPr>
        <w:t>农机购置补贴受益户满意度</w:t>
      </w:r>
      <w:r>
        <w:rPr>
          <w:rFonts w:hint="eastAsia" w:ascii="Times New Roman" w:hAnsi="Times New Roman" w:cs="Times New Roman"/>
          <w:color w:val="auto"/>
          <w:lang w:val="en-US" w:eastAsia="zh-CN"/>
        </w:rPr>
        <w:t>：采用公众评判法，通过发放调查问卷的形式评价该项目实施后受益补贴农户</w:t>
      </w:r>
      <w:r>
        <w:rPr>
          <w:rFonts w:hint="eastAsia" w:cs="Times New Roman"/>
          <w:color w:val="auto"/>
          <w:lang w:val="en-US" w:eastAsia="zh-CN"/>
        </w:rPr>
        <w:t>对</w:t>
      </w:r>
      <w:r>
        <w:rPr>
          <w:rFonts w:hint="eastAsia" w:ascii="Times New Roman" w:hAnsi="Times New Roman" w:cs="Times New Roman"/>
          <w:color w:val="auto"/>
          <w:lang w:val="en-US" w:eastAsia="zh-CN"/>
        </w:rPr>
        <w:t>其实施效果的满意程度。</w:t>
      </w:r>
    </w:p>
    <w:p w14:paraId="1D30010B">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64" w:name="_Toc21186"/>
      <w:r>
        <w:rPr>
          <w:rFonts w:hint="eastAsia"/>
          <w:color w:val="auto"/>
        </w:rPr>
        <w:t>（</w:t>
      </w:r>
      <w:r>
        <w:rPr>
          <w:rFonts w:hint="eastAsia"/>
          <w:color w:val="auto"/>
          <w:lang w:val="en-US" w:eastAsia="zh-CN"/>
        </w:rPr>
        <w:t>六</w:t>
      </w:r>
      <w:r>
        <w:rPr>
          <w:rFonts w:hint="eastAsia"/>
          <w:color w:val="auto"/>
        </w:rPr>
        <w:t>）</w:t>
      </w:r>
      <w:r>
        <w:rPr>
          <w:color w:val="auto"/>
        </w:rPr>
        <w:t>绩效评价指标体系</w:t>
      </w:r>
      <w:r>
        <w:rPr>
          <w:rFonts w:hint="eastAsia"/>
          <w:color w:val="auto"/>
        </w:rPr>
        <w:t>设计</w:t>
      </w:r>
      <w:bookmarkEnd w:id="64"/>
    </w:p>
    <w:p w14:paraId="5C0392A4">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bookmarkStart w:id="65" w:name="_Toc68364663"/>
      <w:r>
        <w:rPr>
          <w:rFonts w:hint="eastAsia" w:ascii="Times New Roman" w:hAnsi="Times New Roman" w:cs="Times New Roman"/>
          <w:b w:val="0"/>
          <w:bCs w:val="0"/>
          <w:color w:val="auto"/>
          <w:lang w:val="zh-TW" w:eastAsia="zh-TW"/>
        </w:rPr>
        <w:t>本次绩效评价指标体系设置分为共性指标体系部分和个性指标体系部分，其中共性指标部分，参照 《项目支出绩效评价管理办法》（财预〔2020〕10号）指导绩效评价体系设置；个性指标部分，绩效评价小组</w:t>
      </w:r>
      <w:r>
        <w:rPr>
          <w:rFonts w:hint="eastAsia" w:ascii="Times New Roman" w:hAnsi="Times New Roman" w:cs="Times New Roman"/>
          <w:color w:val="auto"/>
          <w:lang w:val="en-US" w:eastAsia="zh-CN"/>
        </w:rPr>
        <w:t>根据资金下达文件</w:t>
      </w:r>
      <w:r>
        <w:rPr>
          <w:rFonts w:hint="eastAsia" w:cs="Times New Roman"/>
          <w:color w:val="auto"/>
          <w:lang w:val="en-US" w:eastAsia="zh-CN"/>
        </w:rPr>
        <w:t>、</w:t>
      </w:r>
      <w:r>
        <w:rPr>
          <w:rFonts w:hint="eastAsia" w:ascii="Times New Roman" w:hAnsi="Times New Roman" w:cs="Times New Roman"/>
          <w:color w:val="auto"/>
          <w:lang w:val="en-US" w:eastAsia="zh-CN"/>
        </w:rPr>
        <w:t>《吉木萨尔县2024-2026年农业机械购置补贴实施方案》</w:t>
      </w:r>
      <w:r>
        <w:rPr>
          <w:rFonts w:hint="eastAsia" w:cs="Times New Roman"/>
          <w:color w:val="auto"/>
          <w:lang w:val="en-US" w:eastAsia="zh-CN"/>
        </w:rPr>
        <w:t>以及</w:t>
      </w:r>
      <w:r>
        <w:rPr>
          <w:rFonts w:hint="eastAsia" w:ascii="Times New Roman" w:hAnsi="Times New Roman" w:cs="Times New Roman"/>
          <w:color w:val="auto"/>
          <w:lang w:val="en-US" w:eastAsia="zh-CN"/>
        </w:rPr>
        <w:t>《2024年度县级补贴机具结算明细表》</w:t>
      </w:r>
      <w:r>
        <w:rPr>
          <w:color w:val="auto"/>
        </w:rPr>
        <w:t>等</w:t>
      </w:r>
      <w:r>
        <w:rPr>
          <w:rFonts w:hint="eastAsia"/>
          <w:color w:val="auto"/>
          <w:lang w:val="en-US" w:eastAsia="zh-CN"/>
        </w:rPr>
        <w:t>资料，</w:t>
      </w:r>
      <w:r>
        <w:rPr>
          <w:rFonts w:hint="eastAsia" w:ascii="Times New Roman" w:hAnsi="Times New Roman" w:cs="Times New Roman"/>
          <w:b w:val="0"/>
          <w:bCs w:val="0"/>
          <w:color w:val="auto"/>
          <w:lang w:val="zh-TW" w:eastAsia="zh-TW"/>
        </w:rPr>
        <w:t>结合</w:t>
      </w:r>
      <w:r>
        <w:rPr>
          <w:rFonts w:hint="eastAsia" w:cs="Times New Roman"/>
          <w:b w:val="0"/>
          <w:bCs w:val="0"/>
          <w:color w:val="auto"/>
          <w:lang w:val="en-US" w:eastAsia="zh-CN"/>
        </w:rPr>
        <w:t>吉木萨尔县农业农村局绩效目标表以</w:t>
      </w:r>
      <w:r>
        <w:rPr>
          <w:rFonts w:hint="eastAsia" w:ascii="Times New Roman" w:hAnsi="Times New Roman" w:cs="Times New Roman"/>
          <w:color w:val="auto"/>
          <w:lang w:val="en-US" w:eastAsia="zh-CN"/>
        </w:rPr>
        <w:t>及过程管理</w:t>
      </w:r>
      <w:r>
        <w:rPr>
          <w:rFonts w:hint="eastAsia" w:ascii="Times New Roman" w:hAnsi="Times New Roman" w:cs="Times New Roman"/>
          <w:color w:val="auto"/>
          <w:lang w:val="zh-TW" w:eastAsia="zh-TW"/>
        </w:rPr>
        <w:t>等资料，对</w:t>
      </w:r>
      <w:r>
        <w:rPr>
          <w:rFonts w:hint="eastAsia" w:ascii="Times New Roman" w:hAnsi="Times New Roman" w:cs="Times New Roman"/>
          <w:color w:val="auto"/>
          <w:lang w:val="en-US" w:eastAsia="zh-CN"/>
        </w:rPr>
        <w:t>三级指标进行相应变动，数量指标调整为</w:t>
      </w:r>
      <w:r>
        <w:rPr>
          <w:rFonts w:hint="eastAsia" w:ascii="Times New Roman" w:hAnsi="Times New Roman" w:cs="Times New Roman"/>
          <w:color w:val="auto"/>
          <w:lang w:val="zh-TW" w:eastAsia="zh-CN"/>
        </w:rPr>
        <w:t>“农机购置与应用补贴机具数</w:t>
      </w:r>
      <w:r>
        <w:rPr>
          <w:rFonts w:hint="eastAsia" w:cs="Times New Roman"/>
          <w:color w:val="auto"/>
          <w:lang w:val="zh-TW" w:eastAsia="zh-CN"/>
        </w:rPr>
        <w:t>”“</w:t>
      </w:r>
      <w:r>
        <w:rPr>
          <w:rFonts w:hint="eastAsia" w:ascii="Times New Roman" w:hAnsi="Times New Roman" w:cs="Times New Roman"/>
          <w:color w:val="auto"/>
          <w:lang w:val="zh-TW" w:eastAsia="zh-CN"/>
        </w:rPr>
        <w:t>农机报废补贴机具总数</w:t>
      </w:r>
      <w:r>
        <w:rPr>
          <w:rFonts w:hint="eastAsia" w:cs="Times New Roman"/>
          <w:color w:val="auto"/>
          <w:lang w:val="zh-TW" w:eastAsia="zh-CN"/>
        </w:rPr>
        <w:t>”；</w:t>
      </w:r>
      <w:r>
        <w:rPr>
          <w:rFonts w:hint="eastAsia" w:cs="Times New Roman"/>
          <w:color w:val="auto"/>
          <w:lang w:val="en-US" w:eastAsia="zh-CN"/>
        </w:rPr>
        <w:t>质量指标调整为</w:t>
      </w:r>
      <w:r>
        <w:rPr>
          <w:rFonts w:hint="eastAsia" w:ascii="Times New Roman" w:hAnsi="Times New Roman" w:cs="Times New Roman"/>
          <w:color w:val="auto"/>
          <w:lang w:val="zh-TW" w:eastAsia="zh-CN"/>
        </w:rPr>
        <w:t>“补贴对象认定准确率</w:t>
      </w:r>
      <w:r>
        <w:rPr>
          <w:rFonts w:hint="eastAsia" w:cs="Times New Roman"/>
          <w:color w:val="auto"/>
          <w:lang w:val="zh-TW" w:eastAsia="zh-CN"/>
        </w:rPr>
        <w:t>”</w:t>
      </w:r>
      <w:r>
        <w:rPr>
          <w:rFonts w:hint="eastAsia" w:ascii="Times New Roman" w:hAnsi="Times New Roman" w:cs="Times New Roman"/>
          <w:color w:val="auto"/>
          <w:lang w:val="zh-TW" w:eastAsia="zh-CN"/>
        </w:rPr>
        <w:t>“补贴标准达标率</w:t>
      </w:r>
      <w:r>
        <w:rPr>
          <w:rFonts w:hint="eastAsia" w:cs="Times New Roman"/>
          <w:color w:val="auto"/>
          <w:lang w:val="zh-TW" w:eastAsia="zh-CN"/>
        </w:rPr>
        <w:t>”；</w:t>
      </w:r>
      <w:r>
        <w:rPr>
          <w:rFonts w:hint="eastAsia" w:cs="Times New Roman"/>
          <w:color w:val="auto"/>
          <w:lang w:val="en-US" w:eastAsia="zh-CN"/>
        </w:rPr>
        <w:t>时效指标调整成“机具补贴核验时限”“机具补贴兑付时限”</w:t>
      </w:r>
      <w:r>
        <w:rPr>
          <w:rFonts w:hint="eastAsia" w:cs="Times New Roman"/>
          <w:color w:val="auto"/>
          <w:lang w:val="zh-TW" w:eastAsia="zh-CN"/>
        </w:rPr>
        <w:t>；</w:t>
      </w:r>
      <w:r>
        <w:rPr>
          <w:rFonts w:hint="eastAsia" w:cs="Times New Roman"/>
          <w:color w:val="auto"/>
          <w:lang w:val="en-US" w:eastAsia="zh-CN"/>
        </w:rPr>
        <w:t>成本指标调整成</w:t>
      </w:r>
      <w:r>
        <w:rPr>
          <w:rFonts w:hint="eastAsia" w:ascii="Times New Roman" w:hAnsi="Times New Roman" w:cs="Times New Roman"/>
          <w:color w:val="auto"/>
          <w:lang w:val="zh-TW" w:eastAsia="zh-CN"/>
        </w:rPr>
        <w:t>“农机购置补贴支出</w:t>
      </w:r>
      <w:r>
        <w:rPr>
          <w:rFonts w:hint="eastAsia" w:cs="Times New Roman"/>
          <w:color w:val="auto"/>
          <w:lang w:val="zh-TW" w:eastAsia="zh-CN"/>
        </w:rPr>
        <w:t>”</w:t>
      </w:r>
      <w:r>
        <w:rPr>
          <w:rFonts w:hint="eastAsia" w:ascii="Times New Roman" w:hAnsi="Times New Roman" w:cs="Times New Roman"/>
          <w:color w:val="auto"/>
          <w:lang w:val="zh-TW" w:eastAsia="zh-CN"/>
        </w:rPr>
        <w:t>“农机报废补贴支出”</w:t>
      </w:r>
      <w:r>
        <w:rPr>
          <w:rFonts w:hint="eastAsia" w:ascii="Times New Roman" w:hAnsi="Times New Roman" w:cs="Times New Roman"/>
          <w:color w:val="auto"/>
          <w:lang w:val="en-US" w:eastAsia="zh-CN"/>
        </w:rPr>
        <w:t>指标。</w:t>
      </w:r>
    </w:p>
    <w:p w14:paraId="4DCFA49A">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该项目绩效</w:t>
      </w:r>
      <w:r>
        <w:rPr>
          <w:rFonts w:hint="eastAsia" w:ascii="Times New Roman" w:hAnsi="Times New Roman" w:cs="Times New Roman"/>
          <w:color w:val="auto"/>
          <w:lang w:val="zh-TW" w:eastAsia="zh-TW"/>
        </w:rPr>
        <w:t>指标体系</w:t>
      </w:r>
      <w:r>
        <w:rPr>
          <w:rFonts w:hint="eastAsia" w:ascii="Times New Roman" w:hAnsi="Times New Roman" w:cs="Times New Roman"/>
          <w:color w:val="auto"/>
          <w:lang w:val="en-US" w:eastAsia="zh-CN"/>
        </w:rPr>
        <w:t>共</w:t>
      </w:r>
      <w:r>
        <w:rPr>
          <w:rFonts w:hint="eastAsia" w:ascii="Times New Roman" w:hAnsi="Times New Roman" w:cs="Times New Roman"/>
          <w:color w:val="auto"/>
          <w:lang w:val="zh-TW" w:eastAsia="zh-TW"/>
        </w:rPr>
        <w:t>设置一级指标共</w:t>
      </w:r>
      <w:r>
        <w:rPr>
          <w:rFonts w:hint="eastAsia" w:ascii="Times New Roman" w:hAnsi="Times New Roman" w:cs="Times New Roman"/>
          <w:color w:val="auto"/>
          <w:lang w:val="en-US" w:eastAsia="zh-CN"/>
        </w:rPr>
        <w:t>4</w:t>
      </w:r>
      <w:r>
        <w:rPr>
          <w:rFonts w:hint="eastAsia" w:ascii="Times New Roman" w:hAnsi="Times New Roman" w:cs="Times New Roman"/>
          <w:color w:val="auto"/>
          <w:lang w:val="zh-TW" w:eastAsia="zh-TW"/>
        </w:rPr>
        <w:t>个，包括</w:t>
      </w:r>
      <w:r>
        <w:rPr>
          <w:rFonts w:hint="eastAsia" w:ascii="Times New Roman" w:hAnsi="Times New Roman" w:cs="Times New Roman"/>
          <w:color w:val="auto"/>
          <w:lang w:val="zh-TW" w:eastAsia="zh-CN"/>
        </w:rPr>
        <w:t>：</w:t>
      </w:r>
      <w:r>
        <w:rPr>
          <w:rFonts w:hint="eastAsia" w:ascii="Times New Roman" w:hAnsi="Times New Roman" w:cs="Times New Roman"/>
          <w:color w:val="auto"/>
          <w:lang w:val="zh-TW" w:eastAsia="zh-TW"/>
        </w:rPr>
        <w:t>决策指标（</w:t>
      </w:r>
      <w:r>
        <w:rPr>
          <w:rFonts w:hint="default" w:ascii="Times New Roman" w:hAnsi="Times New Roman" w:cs="Times New Roman"/>
          <w:color w:val="auto"/>
          <w:lang w:val="en-US" w:eastAsia="zh-CN"/>
        </w:rPr>
        <w:t>10.00</w:t>
      </w:r>
      <w:r>
        <w:rPr>
          <w:rFonts w:hint="eastAsia" w:ascii="Times New Roman" w:hAnsi="Times New Roman" w:cs="Times New Roman"/>
          <w:color w:val="auto"/>
          <w:lang w:val="zh-TW" w:eastAsia="zh-TW"/>
        </w:rPr>
        <w:t>%）、过程指标（</w:t>
      </w:r>
      <w:r>
        <w:rPr>
          <w:rFonts w:hint="eastAsia" w:ascii="Times New Roman" w:hAnsi="Times New Roman" w:cs="Times New Roman"/>
          <w:color w:val="auto"/>
          <w:lang w:val="en-US" w:eastAsia="zh-CN"/>
        </w:rPr>
        <w:t>25.00</w:t>
      </w:r>
      <w:r>
        <w:rPr>
          <w:rFonts w:hint="eastAsia" w:ascii="Times New Roman" w:hAnsi="Times New Roman" w:cs="Times New Roman"/>
          <w:color w:val="auto"/>
          <w:lang w:val="zh-TW" w:eastAsia="zh-TW"/>
        </w:rPr>
        <w:t>%）、产出指标（</w:t>
      </w:r>
      <w:r>
        <w:rPr>
          <w:rFonts w:hint="eastAsia" w:ascii="Times New Roman" w:hAnsi="Times New Roman" w:cs="Times New Roman"/>
          <w:color w:val="auto"/>
          <w:lang w:val="en-US" w:eastAsia="zh-CN"/>
        </w:rPr>
        <w:t>30.00</w:t>
      </w:r>
      <w:r>
        <w:rPr>
          <w:rFonts w:hint="eastAsia" w:ascii="Times New Roman" w:hAnsi="Times New Roman" w:cs="Times New Roman"/>
          <w:color w:val="auto"/>
          <w:lang w:val="zh-TW" w:eastAsia="zh-TW"/>
        </w:rPr>
        <w:t>%）、效益指标（</w:t>
      </w:r>
      <w:r>
        <w:rPr>
          <w:rFonts w:hint="eastAsia" w:ascii="Times New Roman" w:hAnsi="Times New Roman" w:cs="Times New Roman"/>
          <w:color w:val="auto"/>
          <w:lang w:val="en-US" w:eastAsia="zh-CN"/>
        </w:rPr>
        <w:t>35.00</w:t>
      </w:r>
      <w:r>
        <w:rPr>
          <w:rFonts w:hint="eastAsia" w:ascii="Times New Roman" w:hAnsi="Times New Roman" w:cs="Times New Roman"/>
          <w:color w:val="auto"/>
          <w:lang w:val="zh-TW" w:eastAsia="zh-TW"/>
        </w:rPr>
        <w:t>%）四类指标</w:t>
      </w:r>
      <w:r>
        <w:rPr>
          <w:rFonts w:hint="eastAsia" w:ascii="Times New Roman" w:hAnsi="Times New Roman" w:cs="Times New Roman"/>
          <w:color w:val="auto"/>
          <w:lang w:val="zh-TW" w:eastAsia="zh-CN"/>
        </w:rPr>
        <w:t>，</w:t>
      </w:r>
      <w:r>
        <w:rPr>
          <w:rFonts w:hint="eastAsia" w:ascii="Times New Roman" w:hAnsi="Times New Roman" w:cs="Times New Roman"/>
          <w:color w:val="auto"/>
          <w:lang w:val="en-US" w:eastAsia="zh-CN"/>
        </w:rPr>
        <w:t>具体指标分类如下：</w:t>
      </w:r>
    </w:p>
    <w:p w14:paraId="36D3C3FC">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决策指标：A11立项依据充分性、A12立项程序规范性、A21绩效目标合理性、A22绩效指标明确性、A31预算编制科学性、A32资金分配合理性。</w:t>
      </w:r>
    </w:p>
    <w:p w14:paraId="747260DD">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过程指标：B11资金到位率、B12预算执行率、B13资金使用合规性、B21管理制度健全性、B22制度执行有效性。</w:t>
      </w:r>
    </w:p>
    <w:p w14:paraId="22BB20F7">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产出指标：C11农机购置与应用补贴机具数</w:t>
      </w:r>
      <w:r>
        <w:rPr>
          <w:rFonts w:hint="eastAsia" w:cs="Times New Roman"/>
          <w:color w:val="auto"/>
          <w:lang w:val="en-US" w:eastAsia="zh-CN"/>
        </w:rPr>
        <w:t>、</w:t>
      </w:r>
      <w:r>
        <w:rPr>
          <w:rFonts w:hint="eastAsia" w:ascii="Times New Roman" w:hAnsi="Times New Roman" w:cs="Times New Roman"/>
          <w:color w:val="auto"/>
          <w:lang w:val="en-US" w:eastAsia="zh-CN"/>
        </w:rPr>
        <w:t>C12农机报废补贴机具总数</w:t>
      </w:r>
      <w:r>
        <w:rPr>
          <w:rFonts w:hint="eastAsia" w:cs="Times New Roman"/>
          <w:color w:val="auto"/>
          <w:lang w:val="en-US" w:eastAsia="zh-CN"/>
        </w:rPr>
        <w:t>、</w:t>
      </w:r>
      <w:r>
        <w:rPr>
          <w:rFonts w:hint="eastAsia" w:ascii="Times New Roman" w:hAnsi="Times New Roman" w:cs="Times New Roman"/>
          <w:color w:val="auto"/>
          <w:lang w:val="en-US" w:eastAsia="zh-CN"/>
        </w:rPr>
        <w:t>C21补贴对象认定准确率</w:t>
      </w:r>
      <w:r>
        <w:rPr>
          <w:rFonts w:hint="eastAsia" w:cs="Times New Roman"/>
          <w:color w:val="auto"/>
          <w:lang w:val="en-US" w:eastAsia="zh-CN"/>
        </w:rPr>
        <w:t>、</w:t>
      </w:r>
      <w:r>
        <w:rPr>
          <w:rFonts w:hint="eastAsia" w:ascii="Times New Roman" w:hAnsi="Times New Roman" w:cs="Times New Roman"/>
          <w:color w:val="auto"/>
          <w:lang w:val="en-US" w:eastAsia="zh-CN"/>
        </w:rPr>
        <w:t>C22补贴标准达标率</w:t>
      </w:r>
      <w:r>
        <w:rPr>
          <w:rFonts w:hint="eastAsia" w:cs="Times New Roman"/>
          <w:color w:val="auto"/>
          <w:lang w:val="en-US" w:eastAsia="zh-CN"/>
        </w:rPr>
        <w:t>、C31机具补贴核验时限、C32机具补贴兑付时限、</w:t>
      </w:r>
      <w:r>
        <w:rPr>
          <w:rFonts w:hint="eastAsia" w:ascii="Times New Roman" w:hAnsi="Times New Roman" w:cs="Times New Roman"/>
          <w:color w:val="auto"/>
          <w:lang w:val="en-US" w:eastAsia="zh-CN"/>
        </w:rPr>
        <w:t>C41农机购置补贴支出</w:t>
      </w:r>
      <w:r>
        <w:rPr>
          <w:rFonts w:hint="eastAsia" w:cs="Times New Roman"/>
          <w:color w:val="auto"/>
          <w:lang w:val="en-US" w:eastAsia="zh-CN"/>
        </w:rPr>
        <w:t>、</w:t>
      </w:r>
      <w:r>
        <w:rPr>
          <w:rFonts w:hint="eastAsia" w:ascii="Times New Roman" w:hAnsi="Times New Roman" w:cs="Times New Roman"/>
          <w:color w:val="auto"/>
          <w:lang w:val="en-US" w:eastAsia="zh-CN"/>
        </w:rPr>
        <w:t>C42农机报废补贴支出。</w:t>
      </w:r>
    </w:p>
    <w:p w14:paraId="3935082F">
      <w:pPr>
        <w:pageBreakBefore w:val="0"/>
        <w:widowControl w:val="0"/>
        <w:kinsoku/>
        <w:wordWrap/>
        <w:overflowPunct/>
        <w:topLinePunct w:val="0"/>
        <w:autoSpaceDE/>
        <w:autoSpaceDN/>
        <w:bidi w:val="0"/>
        <w:adjustRightInd w:val="0"/>
        <w:snapToGrid w:val="0"/>
        <w:spacing w:line="360" w:lineRule="auto"/>
        <w:ind w:firstLine="640"/>
        <w:textAlignment w:val="auto"/>
        <w:rPr>
          <w:rFonts w:hint="default" w:ascii="Times New Roman" w:hAnsi="Times New Roman" w:cs="Times New Roman" w:eastAsiaTheme="minorEastAsia"/>
          <w:color w:val="auto"/>
          <w:lang w:eastAsia="zh-CN"/>
        </w:rPr>
      </w:pPr>
      <w:r>
        <w:rPr>
          <w:rFonts w:hint="eastAsia" w:ascii="Times New Roman" w:hAnsi="Times New Roman" w:cs="Times New Roman"/>
          <w:b w:val="0"/>
          <w:bCs w:val="0"/>
          <w:color w:val="auto"/>
          <w:lang w:val="en-US" w:eastAsia="zh-CN"/>
        </w:rPr>
        <w:t>效益</w:t>
      </w:r>
      <w:r>
        <w:rPr>
          <w:rFonts w:hint="eastAsia" w:ascii="Times New Roman" w:hAnsi="Times New Roman" w:cs="Times New Roman"/>
          <w:color w:val="auto"/>
          <w:lang w:val="en-US" w:eastAsia="zh-CN"/>
        </w:rPr>
        <w:t>指标</w:t>
      </w:r>
      <w:r>
        <w:rPr>
          <w:rFonts w:hint="eastAsia" w:ascii="Times New Roman" w:hAnsi="Times New Roman" w:cs="Times New Roman"/>
          <w:b w:val="0"/>
          <w:bCs w:val="0"/>
          <w:color w:val="auto"/>
          <w:lang w:val="en-US" w:eastAsia="zh-CN"/>
        </w:rPr>
        <w:t>：D11农机购置与应用补贴直接受益户数</w:t>
      </w:r>
      <w:r>
        <w:rPr>
          <w:rFonts w:hint="eastAsia" w:cs="Times New Roman"/>
          <w:b w:val="0"/>
          <w:bCs w:val="0"/>
          <w:color w:val="auto"/>
          <w:lang w:val="en-US" w:eastAsia="zh-CN"/>
        </w:rPr>
        <w:t>、</w:t>
      </w:r>
      <w:r>
        <w:rPr>
          <w:rFonts w:hint="eastAsia" w:ascii="Times New Roman" w:hAnsi="Times New Roman" w:cs="Times New Roman"/>
          <w:b w:val="0"/>
          <w:bCs w:val="0"/>
          <w:color w:val="auto"/>
          <w:lang w:val="en-US" w:eastAsia="zh-CN"/>
        </w:rPr>
        <w:t>D12补贴政策知晓率</w:t>
      </w:r>
      <w:r>
        <w:rPr>
          <w:rFonts w:hint="eastAsia" w:cs="Times New Roman"/>
          <w:b w:val="0"/>
          <w:bCs w:val="0"/>
          <w:color w:val="auto"/>
          <w:lang w:val="en-US" w:eastAsia="zh-CN"/>
        </w:rPr>
        <w:t>、D13农作物耕种收综合机械化率、</w:t>
      </w:r>
      <w:r>
        <w:rPr>
          <w:rFonts w:hint="eastAsia" w:ascii="Times New Roman" w:hAnsi="Times New Roman" w:cs="Times New Roman"/>
          <w:b w:val="0"/>
          <w:bCs w:val="0"/>
          <w:color w:val="auto"/>
          <w:lang w:val="en-US" w:eastAsia="zh-CN"/>
        </w:rPr>
        <w:t>D1</w:t>
      </w:r>
      <w:r>
        <w:rPr>
          <w:rFonts w:hint="eastAsia" w:cs="Times New Roman"/>
          <w:b w:val="0"/>
          <w:bCs w:val="0"/>
          <w:color w:val="auto"/>
          <w:lang w:val="en-US" w:eastAsia="zh-CN"/>
        </w:rPr>
        <w:t>4</w:t>
      </w:r>
      <w:r>
        <w:rPr>
          <w:rFonts w:hint="eastAsia" w:ascii="Times New Roman" w:hAnsi="Times New Roman" w:cs="Times New Roman"/>
          <w:b w:val="0"/>
          <w:bCs w:val="0"/>
          <w:color w:val="auto"/>
          <w:lang w:val="en-US" w:eastAsia="zh-CN"/>
        </w:rPr>
        <w:t>提升农业机械化生产社会化服务水平</w:t>
      </w:r>
      <w:r>
        <w:rPr>
          <w:rFonts w:hint="eastAsia" w:cs="Times New Roman"/>
          <w:b w:val="0"/>
          <w:bCs w:val="0"/>
          <w:color w:val="auto"/>
          <w:lang w:val="en-US" w:eastAsia="zh-CN"/>
        </w:rPr>
        <w:t>、</w:t>
      </w:r>
      <w:r>
        <w:rPr>
          <w:rFonts w:hint="eastAsia" w:ascii="Times New Roman" w:hAnsi="Times New Roman" w:cs="Times New Roman"/>
          <w:b w:val="0"/>
          <w:bCs w:val="0"/>
          <w:color w:val="auto"/>
          <w:lang w:val="en-US" w:eastAsia="zh-CN"/>
        </w:rPr>
        <w:t>D21不断促进农业技术发展</w:t>
      </w:r>
      <w:r>
        <w:rPr>
          <w:rFonts w:hint="eastAsia" w:cs="Times New Roman"/>
          <w:b w:val="0"/>
          <w:bCs w:val="0"/>
          <w:color w:val="auto"/>
          <w:lang w:val="en-US" w:eastAsia="zh-CN"/>
        </w:rPr>
        <w:t>、</w:t>
      </w:r>
      <w:r>
        <w:rPr>
          <w:rFonts w:hint="eastAsia" w:ascii="Times New Roman" w:hAnsi="Times New Roman" w:cs="Times New Roman"/>
          <w:b w:val="0"/>
          <w:bCs w:val="0"/>
          <w:color w:val="auto"/>
          <w:lang w:val="en-US" w:eastAsia="zh-CN"/>
        </w:rPr>
        <w:t>D31</w:t>
      </w:r>
      <w:r>
        <w:rPr>
          <w:rFonts w:hint="eastAsia" w:cs="Times New Roman"/>
          <w:b w:val="0"/>
          <w:bCs w:val="0"/>
          <w:color w:val="auto"/>
          <w:lang w:val="en-US" w:eastAsia="zh-CN"/>
        </w:rPr>
        <w:t>农机购置补贴受益户满意度。</w:t>
      </w:r>
    </w:p>
    <w:p w14:paraId="4325EEB3">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eastAsia" w:cs="Times New Roman"/>
          <w:color w:val="auto"/>
          <w:lang w:val="en-US" w:eastAsia="zh-CN"/>
        </w:rPr>
      </w:pPr>
      <w:bookmarkStart w:id="66" w:name="_Toc17434"/>
      <w:r>
        <w:rPr>
          <w:rFonts w:hint="eastAsia" w:cs="Times New Roman"/>
          <w:color w:val="auto"/>
          <w:lang w:val="en-US" w:eastAsia="zh-CN"/>
        </w:rPr>
        <w:t>（七）绩效评价工作过程</w:t>
      </w:r>
      <w:bookmarkEnd w:id="65"/>
      <w:bookmarkEnd w:id="66"/>
    </w:p>
    <w:p w14:paraId="0C3BB2B3">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rPr>
      </w:pPr>
      <w:r>
        <w:rPr>
          <w:rFonts w:hint="eastAsia" w:ascii="Times New Roman" w:hAnsi="Times New Roman" w:cs="Times New Roman"/>
          <w:color w:val="auto"/>
        </w:rPr>
        <w:t>我们接受委托，按规定开展了前期准备、制定绩效评价工作方案、组织实施、报告撰写等绩效评价工作程序。绩效评价从</w:t>
      </w:r>
      <w:r>
        <w:rPr>
          <w:rFonts w:hint="eastAsia" w:cs="Times New Roman"/>
          <w:color w:val="auto"/>
          <w:lang w:val="en-US" w:eastAsia="zh-CN"/>
        </w:rPr>
        <w:t>2025</w:t>
      </w:r>
      <w:r>
        <w:rPr>
          <w:rFonts w:hint="eastAsia" w:ascii="Times New Roman" w:hAnsi="Times New Roman" w:cs="Times New Roman"/>
          <w:color w:val="auto"/>
        </w:rPr>
        <w:t>年</w:t>
      </w:r>
      <w:r>
        <w:rPr>
          <w:rFonts w:hint="eastAsia" w:cs="Times New Roman"/>
          <w:bCs/>
          <w:color w:val="auto"/>
          <w:lang w:val="en-US" w:eastAsia="zh-CN"/>
        </w:rPr>
        <w:t>7</w:t>
      </w:r>
      <w:r>
        <w:rPr>
          <w:rFonts w:hint="eastAsia" w:ascii="Times New Roman" w:hAnsi="Times New Roman" w:cs="Times New Roman"/>
          <w:bCs/>
          <w:color w:val="auto"/>
        </w:rPr>
        <w:t>月</w:t>
      </w:r>
      <w:r>
        <w:rPr>
          <w:rFonts w:hint="eastAsia" w:ascii="Times New Roman" w:hAnsi="Times New Roman" w:cs="Times New Roman"/>
          <w:bCs/>
          <w:color w:val="auto"/>
          <w:lang w:val="en-US" w:eastAsia="zh-CN"/>
        </w:rPr>
        <w:t>1</w:t>
      </w:r>
      <w:r>
        <w:rPr>
          <w:rFonts w:hint="eastAsia" w:ascii="Times New Roman" w:hAnsi="Times New Roman" w:cs="Times New Roman"/>
          <w:bCs/>
          <w:color w:val="auto"/>
        </w:rPr>
        <w:t>日启动，在各方有效配合下，评价工作于</w:t>
      </w:r>
      <w:r>
        <w:rPr>
          <w:rFonts w:hint="eastAsia" w:ascii="Times New Roman" w:hAnsi="Times New Roman" w:cs="Times New Roman"/>
          <w:bCs/>
          <w:color w:val="auto"/>
          <w:lang w:val="en-US" w:eastAsia="zh-CN"/>
        </w:rPr>
        <w:t>2025</w:t>
      </w:r>
      <w:r>
        <w:rPr>
          <w:rFonts w:hint="eastAsia" w:ascii="Times New Roman" w:hAnsi="Times New Roman" w:cs="Times New Roman"/>
          <w:bCs/>
          <w:color w:val="auto"/>
        </w:rPr>
        <w:t>年</w:t>
      </w:r>
      <w:r>
        <w:rPr>
          <w:rFonts w:hint="eastAsia" w:cs="Times New Roman"/>
          <w:bCs/>
          <w:color w:val="auto"/>
          <w:lang w:val="en-US" w:eastAsia="zh-CN"/>
        </w:rPr>
        <w:t>8</w:t>
      </w:r>
      <w:r>
        <w:rPr>
          <w:rFonts w:hint="eastAsia" w:ascii="Times New Roman" w:hAnsi="Times New Roman" w:cs="Times New Roman"/>
          <w:bCs/>
          <w:color w:val="auto"/>
        </w:rPr>
        <w:t>月</w:t>
      </w:r>
      <w:r>
        <w:rPr>
          <w:rFonts w:hint="eastAsia" w:cs="Times New Roman"/>
          <w:bCs/>
          <w:color w:val="auto"/>
          <w:lang w:val="en-US" w:eastAsia="zh-CN"/>
        </w:rPr>
        <w:t>31</w:t>
      </w:r>
      <w:r>
        <w:rPr>
          <w:rFonts w:hint="eastAsia" w:ascii="Times New Roman" w:hAnsi="Times New Roman" w:cs="Times New Roman"/>
          <w:bCs/>
          <w:color w:val="auto"/>
        </w:rPr>
        <w:t>日前完成。主要实施过程</w:t>
      </w:r>
      <w:r>
        <w:rPr>
          <w:rFonts w:hint="eastAsia" w:ascii="Times New Roman" w:hAnsi="Times New Roman" w:cs="Times New Roman"/>
          <w:color w:val="auto"/>
        </w:rPr>
        <w:t>如下：</w:t>
      </w:r>
    </w:p>
    <w:p w14:paraId="70F667DA">
      <w:pPr>
        <w:pStyle w:val="4"/>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宋体"/>
          <w:color w:val="auto"/>
        </w:rPr>
      </w:pPr>
      <w:r>
        <w:rPr>
          <w:rFonts w:ascii="Times New Roman" w:hAnsi="Times New Roman"/>
          <w:color w:val="auto"/>
        </w:rPr>
        <w:t>1.前期准备</w:t>
      </w:r>
    </w:p>
    <w:p w14:paraId="67F47483">
      <w:pPr>
        <w:pageBreakBefore w:val="0"/>
        <w:widowControl w:val="0"/>
        <w:kinsoku/>
        <w:wordWrap/>
        <w:overflowPunct/>
        <w:topLinePunct w:val="0"/>
        <w:autoSpaceDE/>
        <w:autoSpaceDN/>
        <w:bidi w:val="0"/>
        <w:adjustRightInd w:val="0"/>
        <w:snapToGrid w:val="0"/>
        <w:spacing w:line="360" w:lineRule="auto"/>
        <w:ind w:firstLine="640"/>
        <w:textAlignment w:val="auto"/>
        <w:rPr>
          <w:rFonts w:ascii="Times New Roman" w:hAnsi="Times New Roman" w:cs="Times New Roman"/>
          <w:bCs/>
          <w:color w:val="auto"/>
        </w:rPr>
      </w:pPr>
      <w:r>
        <w:rPr>
          <w:rFonts w:hint="eastAsia" w:ascii="Times New Roman" w:hAnsi="Times New Roman" w:cs="Times New Roman"/>
          <w:bCs/>
          <w:color w:val="auto"/>
          <w:lang w:eastAsia="zh-CN"/>
        </w:rPr>
        <w:t>（</w:t>
      </w:r>
      <w:r>
        <w:rPr>
          <w:rFonts w:hint="eastAsia" w:ascii="Times New Roman" w:hAnsi="Times New Roman" w:cs="Times New Roman"/>
          <w:bCs/>
          <w:color w:val="auto"/>
          <w:lang w:val="en-US" w:eastAsia="zh-CN"/>
        </w:rPr>
        <w:t>1</w:t>
      </w:r>
      <w:r>
        <w:rPr>
          <w:rFonts w:hint="eastAsia" w:ascii="Times New Roman" w:hAnsi="Times New Roman" w:cs="Times New Roman"/>
          <w:bCs/>
          <w:color w:val="auto"/>
          <w:lang w:eastAsia="zh-CN"/>
        </w:rPr>
        <w:t>）</w:t>
      </w:r>
      <w:r>
        <w:rPr>
          <w:rFonts w:ascii="Times New Roman" w:hAnsi="Times New Roman" w:cs="Times New Roman"/>
          <w:bCs/>
          <w:color w:val="auto"/>
        </w:rPr>
        <w:t>根据项目实际情况，确定绩效评价目的、对象和范围、评价期限，拟定评价工作方案，与委托人签</w:t>
      </w:r>
      <w:r>
        <w:rPr>
          <w:rFonts w:hint="eastAsia" w:ascii="Times New Roman" w:hAnsi="Times New Roman" w:cs="Times New Roman"/>
          <w:color w:val="auto"/>
        </w:rPr>
        <w:t>订绩效评价服务合同</w:t>
      </w:r>
      <w:r>
        <w:rPr>
          <w:rFonts w:ascii="Times New Roman" w:hAnsi="Times New Roman" w:cs="Times New Roman"/>
          <w:bCs/>
          <w:color w:val="auto"/>
        </w:rPr>
        <w:t>。</w:t>
      </w:r>
    </w:p>
    <w:p w14:paraId="2A98D964">
      <w:pPr>
        <w:pageBreakBefore w:val="0"/>
        <w:widowControl w:val="0"/>
        <w:kinsoku/>
        <w:wordWrap/>
        <w:overflowPunct/>
        <w:topLinePunct w:val="0"/>
        <w:autoSpaceDE/>
        <w:autoSpaceDN/>
        <w:bidi w:val="0"/>
        <w:adjustRightInd w:val="0"/>
        <w:snapToGrid w:val="0"/>
        <w:spacing w:line="360" w:lineRule="auto"/>
        <w:ind w:firstLine="640"/>
        <w:textAlignment w:val="auto"/>
        <w:rPr>
          <w:rFonts w:hint="eastAsia" w:ascii="Times New Roman" w:hAnsi="Times New Roman" w:cs="Times New Roman"/>
          <w:color w:val="auto"/>
        </w:rPr>
      </w:pPr>
      <w:r>
        <w:rPr>
          <w:rFonts w:hint="eastAsia" w:ascii="Times New Roman" w:hAnsi="Times New Roman" w:cs="Times New Roman"/>
          <w:color w:val="auto"/>
          <w:lang w:eastAsia="zh-CN"/>
        </w:rPr>
        <w:t>（</w:t>
      </w:r>
      <w:r>
        <w:rPr>
          <w:rFonts w:hint="eastAsia" w:ascii="Times New Roman" w:hAnsi="Times New Roman" w:cs="Times New Roman"/>
          <w:color w:val="auto"/>
          <w:lang w:val="en-US" w:eastAsia="zh-CN"/>
        </w:rPr>
        <w:t>2</w:t>
      </w:r>
      <w:r>
        <w:rPr>
          <w:rFonts w:hint="eastAsia" w:ascii="Times New Roman" w:hAnsi="Times New Roman" w:cs="Times New Roman"/>
          <w:color w:val="auto"/>
          <w:lang w:eastAsia="zh-CN"/>
        </w:rPr>
        <w:t>）</w:t>
      </w:r>
      <w:r>
        <w:rPr>
          <w:rFonts w:hint="eastAsia" w:ascii="Times New Roman" w:hAnsi="Times New Roman" w:cs="Times New Roman"/>
          <w:color w:val="auto"/>
        </w:rPr>
        <w:t>成立绩效评价小组。</w:t>
      </w:r>
      <w:r>
        <w:rPr>
          <w:rFonts w:hint="eastAsia" w:ascii="Times New Roman" w:hAnsi="Times New Roman" w:cs="Times New Roman"/>
          <w:color w:val="auto"/>
          <w:lang w:val="en-US" w:eastAsia="zh-CN"/>
        </w:rPr>
        <w:t>绩效评价小组</w:t>
      </w:r>
      <w:r>
        <w:rPr>
          <w:rFonts w:hint="eastAsia" w:ascii="Times New Roman" w:hAnsi="Times New Roman" w:cs="Times New Roman"/>
          <w:color w:val="auto"/>
        </w:rPr>
        <w:t>实行组长负责制，项目总负责人统筹全盘工作，对</w:t>
      </w:r>
      <w:r>
        <w:rPr>
          <w:rFonts w:hint="eastAsia" w:ascii="Times New Roman" w:hAnsi="Times New Roman" w:cs="Times New Roman"/>
          <w:color w:val="auto"/>
          <w:lang w:val="en-US" w:eastAsia="zh-CN"/>
        </w:rPr>
        <w:t>绩效评价</w:t>
      </w:r>
      <w:r>
        <w:rPr>
          <w:rFonts w:hint="eastAsia" w:ascii="Times New Roman" w:hAnsi="Times New Roman" w:cs="Times New Roman"/>
          <w:color w:val="auto"/>
        </w:rPr>
        <w:t>工作提供技术指导与支持，</w:t>
      </w:r>
      <w:r>
        <w:rPr>
          <w:rFonts w:hint="eastAsia" w:cs="Times New Roman"/>
          <w:color w:val="auto"/>
          <w:lang w:val="en-US" w:eastAsia="zh-CN"/>
        </w:rPr>
        <w:t>报告稽核负责人</w:t>
      </w:r>
      <w:r>
        <w:rPr>
          <w:rFonts w:hint="eastAsia" w:ascii="Times New Roman" w:hAnsi="Times New Roman" w:cs="Times New Roman"/>
          <w:color w:val="auto"/>
        </w:rPr>
        <w:t>对评价工作质量把关，并负责报告数据审核验收、报告撰写指导、报告验收等技术工作；绩效评价组成员计划安排</w:t>
      </w:r>
      <w:r>
        <w:rPr>
          <w:rFonts w:hint="eastAsia" w:cs="Times New Roman"/>
          <w:color w:val="auto"/>
          <w:lang w:val="en-US" w:eastAsia="zh-CN"/>
        </w:rPr>
        <w:t>2</w:t>
      </w:r>
      <w:r>
        <w:rPr>
          <w:rFonts w:hint="eastAsia" w:ascii="Times New Roman" w:hAnsi="Times New Roman" w:cs="Times New Roman"/>
          <w:color w:val="auto"/>
        </w:rPr>
        <w:t>人，完成现场调研、资料收集和检查、项目相关人员访谈、问题清单整理、数据整理、撰写报告等工作</w:t>
      </w:r>
      <w:r>
        <w:rPr>
          <w:rFonts w:hint="eastAsia" w:ascii="Times New Roman" w:hAnsi="Times New Roman" w:cs="Times New Roman"/>
          <w:color w:val="auto"/>
          <w:lang w:eastAsia="zh-CN"/>
        </w:rPr>
        <w:t>，</w:t>
      </w:r>
      <w:r>
        <w:rPr>
          <w:rFonts w:hint="eastAsia" w:ascii="Times New Roman" w:hAnsi="Times New Roman" w:cs="Times New Roman"/>
          <w:color w:val="auto"/>
        </w:rPr>
        <w:t>具体成员及职责分工如下：</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14:paraId="11630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8A26EA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color w:val="auto"/>
                <w:sz w:val="21"/>
                <w:szCs w:val="21"/>
                <w:highlight w:val="none"/>
                <w:lang w:eastAsia="en-US"/>
              </w:rPr>
            </w:pPr>
            <w:r>
              <w:rPr>
                <w:rFonts w:hint="eastAsia" w:ascii="宋体" w:hAnsi="宋体" w:eastAsia="宋体" w:cs="宋体"/>
                <w:b/>
                <w:color w:val="auto"/>
                <w:kern w:val="0"/>
                <w:sz w:val="21"/>
                <w:szCs w:val="21"/>
                <w:highlight w:val="none"/>
                <w:lang w:bidi="ar"/>
              </w:rPr>
              <w:t>序号</w:t>
            </w:r>
          </w:p>
        </w:tc>
        <w:tc>
          <w:tcPr>
            <w:tcW w:w="528" w:type="pct"/>
            <w:noWrap w:val="0"/>
            <w:vAlign w:val="center"/>
          </w:tcPr>
          <w:p w14:paraId="7C19045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color w:val="auto"/>
                <w:sz w:val="21"/>
                <w:szCs w:val="21"/>
                <w:highlight w:val="none"/>
                <w:lang w:eastAsia="en-US"/>
              </w:rPr>
            </w:pPr>
            <w:r>
              <w:rPr>
                <w:rFonts w:hint="eastAsia" w:ascii="宋体" w:hAnsi="宋体" w:eastAsia="宋体" w:cs="宋体"/>
                <w:b/>
                <w:color w:val="auto"/>
                <w:kern w:val="0"/>
                <w:sz w:val="21"/>
                <w:szCs w:val="21"/>
                <w:highlight w:val="none"/>
                <w:lang w:bidi="ar"/>
              </w:rPr>
              <w:t>姓名</w:t>
            </w:r>
          </w:p>
        </w:tc>
        <w:tc>
          <w:tcPr>
            <w:tcW w:w="813" w:type="pct"/>
            <w:noWrap w:val="0"/>
            <w:vAlign w:val="center"/>
          </w:tcPr>
          <w:p w14:paraId="5FD5C01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项目角色</w:t>
            </w:r>
          </w:p>
        </w:tc>
        <w:tc>
          <w:tcPr>
            <w:tcW w:w="969" w:type="pct"/>
            <w:noWrap w:val="0"/>
            <w:vAlign w:val="center"/>
          </w:tcPr>
          <w:p w14:paraId="5D68479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color w:val="auto"/>
                <w:sz w:val="21"/>
                <w:szCs w:val="21"/>
                <w:highlight w:val="none"/>
                <w:lang w:eastAsia="en-US"/>
              </w:rPr>
            </w:pPr>
            <w:r>
              <w:rPr>
                <w:rFonts w:hint="eastAsia" w:ascii="宋体" w:hAnsi="宋体" w:eastAsia="宋体" w:cs="宋体"/>
                <w:b/>
                <w:color w:val="auto"/>
                <w:kern w:val="0"/>
                <w:sz w:val="21"/>
                <w:szCs w:val="21"/>
                <w:highlight w:val="none"/>
                <w:lang w:bidi="ar"/>
              </w:rPr>
              <w:t>资质或公司职位</w:t>
            </w:r>
          </w:p>
        </w:tc>
        <w:tc>
          <w:tcPr>
            <w:tcW w:w="2354" w:type="pct"/>
            <w:noWrap w:val="0"/>
            <w:vAlign w:val="center"/>
          </w:tcPr>
          <w:p w14:paraId="689BABD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color w:val="auto"/>
                <w:kern w:val="0"/>
                <w:sz w:val="21"/>
                <w:szCs w:val="21"/>
                <w:highlight w:val="none"/>
                <w:lang w:bidi="ar"/>
              </w:rPr>
            </w:pPr>
            <w:r>
              <w:rPr>
                <w:rFonts w:hint="eastAsia" w:ascii="宋体" w:hAnsi="宋体" w:eastAsia="宋体" w:cs="宋体"/>
                <w:b/>
                <w:color w:val="auto"/>
                <w:kern w:val="0"/>
                <w:sz w:val="21"/>
                <w:szCs w:val="21"/>
                <w:highlight w:val="none"/>
                <w:lang w:bidi="ar"/>
              </w:rPr>
              <w:t>主要职责</w:t>
            </w:r>
          </w:p>
        </w:tc>
      </w:tr>
      <w:tr w14:paraId="020987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14193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1</w:t>
            </w:r>
          </w:p>
        </w:tc>
        <w:tc>
          <w:tcPr>
            <w:tcW w:w="528" w:type="pct"/>
            <w:noWrap w:val="0"/>
            <w:vAlign w:val="center"/>
          </w:tcPr>
          <w:p w14:paraId="0CCDD45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Cs/>
                <w:color w:val="auto"/>
                <w:kern w:val="0"/>
                <w:sz w:val="21"/>
                <w:szCs w:val="21"/>
                <w:highlight w:val="none"/>
                <w:lang w:bidi="ar"/>
              </w:rPr>
            </w:pPr>
            <w:r>
              <w:rPr>
                <w:rFonts w:hint="eastAsia" w:ascii="宋体" w:hAnsi="宋体" w:eastAsia="宋体" w:cs="宋体"/>
                <w:color w:val="auto"/>
                <w:kern w:val="0"/>
                <w:sz w:val="21"/>
                <w:szCs w:val="21"/>
                <w:highlight w:val="none"/>
                <w:lang w:bidi="ar"/>
              </w:rPr>
              <w:t>冯延萍</w:t>
            </w:r>
          </w:p>
        </w:tc>
        <w:tc>
          <w:tcPr>
            <w:tcW w:w="813" w:type="pct"/>
            <w:noWrap w:val="0"/>
            <w:vAlign w:val="center"/>
          </w:tcPr>
          <w:p w14:paraId="028696EC">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主评人</w:t>
            </w:r>
          </w:p>
        </w:tc>
        <w:tc>
          <w:tcPr>
            <w:tcW w:w="969" w:type="pct"/>
            <w:noWrap w:val="0"/>
            <w:vAlign w:val="center"/>
          </w:tcPr>
          <w:p w14:paraId="3CF9643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注册会计师、中级会计师</w:t>
            </w:r>
          </w:p>
        </w:tc>
        <w:tc>
          <w:tcPr>
            <w:tcW w:w="2354" w:type="pct"/>
            <w:noWrap w:val="0"/>
            <w:vAlign w:val="center"/>
          </w:tcPr>
          <w:p w14:paraId="59BB9251">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color w:val="auto"/>
                <w:kern w:val="0"/>
                <w:sz w:val="21"/>
                <w:szCs w:val="21"/>
                <w:highlight w:val="none"/>
                <w:lang w:bidi="ar"/>
              </w:rPr>
            </w:pPr>
            <w:r>
              <w:rPr>
                <w:rFonts w:hint="eastAsia" w:ascii="宋体" w:hAnsi="宋体" w:eastAsia="宋体" w:cs="宋体"/>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14:paraId="1089A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0C77464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2</w:t>
            </w:r>
          </w:p>
        </w:tc>
        <w:tc>
          <w:tcPr>
            <w:tcW w:w="528" w:type="pct"/>
            <w:noWrap w:val="0"/>
            <w:vAlign w:val="center"/>
          </w:tcPr>
          <w:p w14:paraId="6761DB01">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腊晓林</w:t>
            </w:r>
          </w:p>
        </w:tc>
        <w:tc>
          <w:tcPr>
            <w:tcW w:w="813" w:type="pct"/>
            <w:noWrap w:val="0"/>
            <w:vAlign w:val="center"/>
          </w:tcPr>
          <w:p w14:paraId="3275824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报告复核人</w:t>
            </w:r>
          </w:p>
        </w:tc>
        <w:tc>
          <w:tcPr>
            <w:tcW w:w="969" w:type="pct"/>
            <w:noWrap w:val="0"/>
            <w:vAlign w:val="center"/>
          </w:tcPr>
          <w:p w14:paraId="128735A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注册咨询师</w:t>
            </w:r>
          </w:p>
        </w:tc>
        <w:tc>
          <w:tcPr>
            <w:tcW w:w="2354" w:type="pct"/>
            <w:noWrap w:val="0"/>
            <w:vAlign w:val="center"/>
          </w:tcPr>
          <w:p w14:paraId="7DC08579">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bCs/>
                <w:snapToGrid w:val="0"/>
                <w:color w:val="auto"/>
                <w:sz w:val="21"/>
                <w:szCs w:val="21"/>
                <w:highlight w:val="none"/>
                <w:lang w:val="en-US" w:eastAsia="zh-CN"/>
              </w:rPr>
            </w:pPr>
            <w:r>
              <w:rPr>
                <w:rFonts w:hint="eastAsia" w:ascii="宋体" w:hAnsi="宋体" w:eastAsia="宋体" w:cs="宋体"/>
                <w:bCs/>
                <w:snapToGrid w:val="0"/>
                <w:color w:val="auto"/>
                <w:sz w:val="21"/>
                <w:szCs w:val="21"/>
                <w:highlight w:val="none"/>
                <w:lang w:val="en-US" w:eastAsia="zh-CN"/>
              </w:rPr>
              <w:t>审核实施方案，负责对项目成果进行复核，</w:t>
            </w:r>
            <w:r>
              <w:rPr>
                <w:rFonts w:hint="eastAsia" w:ascii="宋体" w:hAnsi="宋体" w:eastAsia="宋体" w:cs="宋体"/>
                <w:color w:val="auto"/>
                <w:sz w:val="21"/>
                <w:szCs w:val="21"/>
                <w:highlight w:val="none"/>
              </w:rPr>
              <w:t>杜绝或减少对外出具的报告中出现不应出错或低级错误的发生，确保工作质量不出现重大纰漏。</w:t>
            </w:r>
          </w:p>
        </w:tc>
      </w:tr>
      <w:tr w14:paraId="1A189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906130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eastAsia="zh-CN"/>
              </w:rPr>
            </w:pPr>
            <w:r>
              <w:rPr>
                <w:rFonts w:hint="eastAsia" w:ascii="宋体" w:hAnsi="宋体" w:cs="宋体"/>
                <w:color w:val="auto"/>
                <w:kern w:val="0"/>
                <w:sz w:val="21"/>
                <w:szCs w:val="21"/>
                <w:highlight w:val="none"/>
                <w:lang w:val="en-US" w:eastAsia="zh-CN" w:bidi="ar"/>
              </w:rPr>
              <w:t>3</w:t>
            </w:r>
          </w:p>
        </w:tc>
        <w:tc>
          <w:tcPr>
            <w:tcW w:w="528" w:type="pct"/>
            <w:noWrap w:val="0"/>
            <w:vAlign w:val="center"/>
          </w:tcPr>
          <w:p w14:paraId="1F79C64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郝欢</w:t>
            </w:r>
          </w:p>
        </w:tc>
        <w:tc>
          <w:tcPr>
            <w:tcW w:w="813" w:type="pct"/>
            <w:noWrap w:val="0"/>
            <w:vAlign w:val="center"/>
          </w:tcPr>
          <w:p w14:paraId="4260DB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eastAsia="en-US"/>
              </w:rPr>
            </w:pPr>
            <w:r>
              <w:rPr>
                <w:rFonts w:hint="eastAsia" w:ascii="宋体" w:hAnsi="宋体" w:eastAsia="宋体" w:cs="宋体"/>
                <w:color w:val="auto"/>
                <w:sz w:val="21"/>
                <w:szCs w:val="21"/>
                <w:highlight w:val="none"/>
              </w:rPr>
              <w:t>项目负责人</w:t>
            </w:r>
          </w:p>
        </w:tc>
        <w:tc>
          <w:tcPr>
            <w:tcW w:w="969" w:type="pct"/>
            <w:noWrap w:val="0"/>
            <w:vAlign w:val="center"/>
          </w:tcPr>
          <w:p w14:paraId="42B75D8B">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eastAsia="zh-Hans"/>
              </w:rPr>
              <w:t>经理</w:t>
            </w:r>
          </w:p>
        </w:tc>
        <w:tc>
          <w:tcPr>
            <w:tcW w:w="2354" w:type="pct"/>
            <w:noWrap w:val="0"/>
            <w:vAlign w:val="center"/>
          </w:tcPr>
          <w:p w14:paraId="5424D065">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color w:val="auto"/>
                <w:kern w:val="0"/>
                <w:sz w:val="21"/>
                <w:szCs w:val="21"/>
                <w:highlight w:val="none"/>
                <w:lang w:eastAsia="zh-CN" w:bidi="ar"/>
              </w:rPr>
            </w:pPr>
            <w:r>
              <w:rPr>
                <w:rFonts w:hint="eastAsia" w:ascii="宋体" w:hAnsi="宋体" w:eastAsia="宋体" w:cs="宋体"/>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eastAsia" w:ascii="宋体" w:hAnsi="宋体" w:eastAsia="宋体" w:cs="宋体"/>
                <w:bCs/>
                <w:snapToGrid w:val="0"/>
                <w:color w:val="auto"/>
                <w:sz w:val="21"/>
                <w:szCs w:val="21"/>
                <w:highlight w:val="none"/>
                <w:lang w:eastAsia="zh-CN"/>
              </w:rPr>
              <w:t>。</w:t>
            </w:r>
          </w:p>
        </w:tc>
      </w:tr>
      <w:tr w14:paraId="3C47D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1AB62E6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kern w:val="0"/>
                <w:sz w:val="21"/>
                <w:szCs w:val="21"/>
                <w:highlight w:val="none"/>
                <w:lang w:eastAsia="zh-CN" w:bidi="ar"/>
              </w:rPr>
            </w:pPr>
            <w:r>
              <w:rPr>
                <w:rFonts w:hint="eastAsia" w:ascii="宋体" w:hAnsi="宋体" w:cs="宋体"/>
                <w:color w:val="auto"/>
                <w:kern w:val="0"/>
                <w:sz w:val="21"/>
                <w:szCs w:val="21"/>
                <w:highlight w:val="none"/>
                <w:lang w:val="en-US" w:eastAsia="zh-CN" w:bidi="ar"/>
              </w:rPr>
              <w:t>4</w:t>
            </w:r>
          </w:p>
        </w:tc>
        <w:tc>
          <w:tcPr>
            <w:tcW w:w="528" w:type="pct"/>
            <w:shd w:val="clear" w:color="auto" w:fill="auto"/>
            <w:noWrap w:val="0"/>
            <w:vAlign w:val="center"/>
          </w:tcPr>
          <w:p w14:paraId="187F142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Cs/>
                <w:snapToGrid w:val="0"/>
                <w:color w:val="auto"/>
                <w:spacing w:val="6"/>
                <w:kern w:val="2"/>
                <w:sz w:val="21"/>
                <w:szCs w:val="21"/>
                <w:highlight w:val="none"/>
                <w:lang w:val="en-US" w:eastAsia="zh-CN" w:bidi="ar-SA"/>
              </w:rPr>
            </w:pPr>
            <w:r>
              <w:rPr>
                <w:rFonts w:hint="eastAsia" w:ascii="宋体" w:hAnsi="宋体" w:cs="宋体"/>
                <w:bCs/>
                <w:snapToGrid w:val="0"/>
                <w:color w:val="auto"/>
                <w:spacing w:val="6"/>
                <w:kern w:val="2"/>
                <w:sz w:val="21"/>
                <w:szCs w:val="21"/>
                <w:highlight w:val="none"/>
                <w:lang w:val="en-US" w:eastAsia="zh-CN" w:bidi="ar-SA"/>
              </w:rPr>
              <w:t>石俊宇</w:t>
            </w:r>
          </w:p>
        </w:tc>
        <w:tc>
          <w:tcPr>
            <w:tcW w:w="813" w:type="pct"/>
            <w:shd w:val="clear" w:color="auto" w:fill="auto"/>
            <w:noWrap w:val="0"/>
            <w:vAlign w:val="center"/>
          </w:tcPr>
          <w:p w14:paraId="655892F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项目绩效评价人员</w:t>
            </w:r>
          </w:p>
        </w:tc>
        <w:tc>
          <w:tcPr>
            <w:tcW w:w="969" w:type="pct"/>
            <w:shd w:val="clear" w:color="auto" w:fill="auto"/>
            <w:noWrap w:val="0"/>
            <w:vAlign w:val="center"/>
          </w:tcPr>
          <w:p w14:paraId="507CF7B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项目助理</w:t>
            </w:r>
          </w:p>
        </w:tc>
        <w:tc>
          <w:tcPr>
            <w:tcW w:w="2354" w:type="pct"/>
            <w:noWrap w:val="0"/>
            <w:vAlign w:val="center"/>
          </w:tcPr>
          <w:p w14:paraId="2358F27D">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eastAsia" w:ascii="宋体" w:hAnsi="宋体" w:eastAsia="宋体" w:cs="宋体"/>
                <w:color w:val="auto"/>
                <w:kern w:val="0"/>
                <w:sz w:val="21"/>
                <w:szCs w:val="21"/>
                <w:highlight w:val="none"/>
                <w:lang w:bidi="ar"/>
              </w:rPr>
            </w:pPr>
            <w:r>
              <w:rPr>
                <w:rFonts w:hint="eastAsia" w:ascii="宋体" w:hAnsi="宋体" w:eastAsia="宋体" w:cs="宋体"/>
                <w:bCs/>
                <w:snapToGrid w:val="0"/>
                <w:color w:val="auto"/>
                <w:sz w:val="21"/>
                <w:szCs w:val="21"/>
                <w:highlight w:val="none"/>
              </w:rPr>
              <w:t>按照计划和分工</w:t>
            </w:r>
            <w:r>
              <w:rPr>
                <w:rFonts w:hint="eastAsia" w:ascii="宋体" w:hAnsi="宋体" w:eastAsia="宋体" w:cs="宋体"/>
                <w:bCs/>
                <w:snapToGrid w:val="0"/>
                <w:color w:val="auto"/>
                <w:sz w:val="21"/>
                <w:szCs w:val="21"/>
                <w:highlight w:val="none"/>
                <w:lang w:eastAsia="zh-CN"/>
              </w:rPr>
              <w:t>完成</w:t>
            </w:r>
            <w:r>
              <w:rPr>
                <w:rFonts w:hint="eastAsia" w:ascii="宋体" w:hAnsi="宋体" w:eastAsia="宋体" w:cs="宋体"/>
                <w:bCs/>
                <w:snapToGrid w:val="0"/>
                <w:color w:val="auto"/>
                <w:sz w:val="21"/>
                <w:szCs w:val="21"/>
                <w:highlight w:val="none"/>
              </w:rPr>
              <w:t>现场调研、资料收集和检查、项目相关人员访谈、问题清单整理、数据整理、撰写报告等工作。</w:t>
            </w:r>
          </w:p>
        </w:tc>
      </w:tr>
    </w:tbl>
    <w:p w14:paraId="734C6438">
      <w:pPr>
        <w:spacing w:before="0" w:after="0"/>
        <w:rPr>
          <w:rFonts w:hint="eastAsia"/>
        </w:rPr>
      </w:pPr>
    </w:p>
    <w:p w14:paraId="5045BEC6">
      <w:pPr>
        <w:pStyle w:val="4"/>
        <w:spacing w:before="0" w:after="0" w:line="360" w:lineRule="auto"/>
        <w:ind w:firstLine="641"/>
        <w:rPr>
          <w:rFonts w:hint="eastAsia" w:ascii="Times New Roman" w:hAnsi="Times New Roman" w:cs="Times New Roman"/>
          <w:color w:val="auto"/>
        </w:rPr>
      </w:pPr>
      <w:r>
        <w:rPr>
          <w:rFonts w:hint="eastAsia" w:ascii="Times New Roman" w:hAnsi="Times New Roman" w:cs="Times New Roman"/>
          <w:color w:val="auto"/>
        </w:rPr>
        <w:t>2.确定绩效评价工作方案</w:t>
      </w:r>
    </w:p>
    <w:p w14:paraId="460653B7">
      <w:pPr>
        <w:bidi w:val="0"/>
        <w:spacing w:before="0" w:after="0" w:line="360" w:lineRule="auto"/>
        <w:rPr>
          <w:rFonts w:hint="eastAsia"/>
          <w:color w:val="auto"/>
        </w:rPr>
      </w:pPr>
      <w:r>
        <w:rPr>
          <w:rFonts w:hint="eastAsia"/>
          <w:color w:val="auto"/>
        </w:rPr>
        <w:t>绩效评价小组根据前期初步收集的项目资料，根据项目实施内容及政策文件要求，</w:t>
      </w:r>
      <w:r>
        <w:rPr>
          <w:rFonts w:hint="eastAsia"/>
          <w:color w:val="auto"/>
          <w:lang w:val="en-US" w:eastAsia="zh-CN"/>
        </w:rPr>
        <w:t>于2025</w:t>
      </w:r>
      <w:r>
        <w:rPr>
          <w:rFonts w:hint="eastAsia"/>
          <w:color w:val="auto"/>
        </w:rPr>
        <w:t>年</w:t>
      </w:r>
      <w:r>
        <w:rPr>
          <w:rFonts w:hint="eastAsia"/>
          <w:color w:val="auto"/>
          <w:lang w:val="en-US" w:eastAsia="zh-CN"/>
        </w:rPr>
        <w:t>7</w:t>
      </w:r>
      <w:r>
        <w:rPr>
          <w:rFonts w:hint="eastAsia"/>
          <w:color w:val="auto"/>
        </w:rPr>
        <w:t>月</w:t>
      </w:r>
      <w:r>
        <w:rPr>
          <w:rFonts w:hint="eastAsia"/>
          <w:color w:val="auto"/>
          <w:lang w:val="en-US" w:eastAsia="zh-CN"/>
        </w:rPr>
        <w:t>10</w:t>
      </w:r>
      <w:r>
        <w:rPr>
          <w:rFonts w:hint="eastAsia"/>
          <w:color w:val="auto"/>
        </w:rPr>
        <w:t>日</w:t>
      </w:r>
      <w:r>
        <w:rPr>
          <w:rFonts w:hint="eastAsia"/>
          <w:color w:val="auto"/>
          <w:lang w:val="en-US" w:eastAsia="zh-CN"/>
        </w:rPr>
        <w:t>完成</w:t>
      </w:r>
      <w:r>
        <w:rPr>
          <w:rFonts w:hint="eastAsia"/>
          <w:color w:val="auto"/>
        </w:rPr>
        <w:t>制定《</w:t>
      </w:r>
      <w:r>
        <w:rPr>
          <w:rFonts w:hint="eastAsia" w:cs="Times New Roman"/>
          <w:color w:val="auto"/>
          <w:lang w:val="en-US" w:eastAsia="zh-CN"/>
        </w:rPr>
        <w:t>农机购置与应用补贴项目</w:t>
      </w:r>
      <w:r>
        <w:rPr>
          <w:rFonts w:hint="eastAsia"/>
          <w:color w:val="auto"/>
        </w:rPr>
        <w:t>绩效评价实施方案》。经</w:t>
      </w:r>
      <w:r>
        <w:rPr>
          <w:rFonts w:hint="eastAsia"/>
          <w:color w:val="auto"/>
          <w:lang w:val="en-US" w:eastAsia="zh-CN"/>
        </w:rPr>
        <w:t>项目负责人审核</w:t>
      </w:r>
      <w:r>
        <w:rPr>
          <w:rFonts w:hint="eastAsia"/>
          <w:color w:val="auto"/>
        </w:rPr>
        <w:t>通过后，项目绩效评价工作正式启动。</w:t>
      </w:r>
    </w:p>
    <w:p w14:paraId="72EC2729">
      <w:pPr>
        <w:pStyle w:val="4"/>
        <w:spacing w:before="0" w:after="0" w:line="360" w:lineRule="auto"/>
        <w:ind w:firstLine="641"/>
        <w:rPr>
          <w:rFonts w:ascii="Times New Roman" w:hAnsi="Times New Roman"/>
          <w:color w:val="auto"/>
        </w:rPr>
      </w:pPr>
      <w:bookmarkStart w:id="67" w:name="_Toc68364664"/>
      <w:r>
        <w:rPr>
          <w:rFonts w:ascii="Times New Roman" w:hAnsi="Times New Roman"/>
          <w:color w:val="auto"/>
        </w:rPr>
        <w:t>3.组织实施</w:t>
      </w:r>
    </w:p>
    <w:p w14:paraId="0457C609">
      <w:pPr>
        <w:spacing w:before="0" w:after="0" w:line="360" w:lineRule="auto"/>
        <w:ind w:firstLine="640"/>
        <w:rPr>
          <w:color w:val="auto"/>
        </w:rPr>
      </w:pPr>
      <w:r>
        <w:rPr>
          <w:rFonts w:hint="eastAsia" w:cs="Times New Roman"/>
          <w:color w:val="auto"/>
          <w:lang w:val="en-US" w:eastAsia="zh-CN"/>
        </w:rPr>
        <w:t>2025</w:t>
      </w:r>
      <w:r>
        <w:rPr>
          <w:rFonts w:hint="eastAsia" w:ascii="Times New Roman" w:hAnsi="Times New Roman" w:cs="Times New Roman"/>
          <w:color w:val="auto"/>
        </w:rPr>
        <w:t>年</w:t>
      </w:r>
      <w:r>
        <w:rPr>
          <w:rFonts w:hint="eastAsia" w:cs="Times New Roman"/>
          <w:color w:val="auto"/>
          <w:lang w:val="en-US" w:eastAsia="zh-CN"/>
        </w:rPr>
        <w:t>7月11</w:t>
      </w:r>
      <w:r>
        <w:rPr>
          <w:rFonts w:hint="eastAsia" w:ascii="Times New Roman" w:hAnsi="Times New Roman" w:cs="Times New Roman"/>
          <w:color w:val="auto"/>
        </w:rPr>
        <w:t>日</w:t>
      </w:r>
      <w:r>
        <w:rPr>
          <w:rFonts w:hint="eastAsia" w:cs="Times New Roman"/>
          <w:color w:val="auto"/>
          <w:lang w:val="en-US" w:eastAsia="zh-CN"/>
        </w:rPr>
        <w:t>至2025</w:t>
      </w:r>
      <w:r>
        <w:rPr>
          <w:rFonts w:hint="eastAsia" w:ascii="Times New Roman" w:hAnsi="Times New Roman" w:cs="Times New Roman"/>
          <w:color w:val="auto"/>
        </w:rPr>
        <w:t>年</w:t>
      </w:r>
      <w:r>
        <w:rPr>
          <w:rFonts w:hint="eastAsia" w:cs="Times New Roman"/>
          <w:color w:val="auto"/>
          <w:lang w:val="en-US" w:eastAsia="zh-CN"/>
        </w:rPr>
        <w:t>7月25</w:t>
      </w:r>
      <w:r>
        <w:rPr>
          <w:rFonts w:hint="eastAsia" w:ascii="Times New Roman" w:hAnsi="Times New Roman" w:cs="Times New Roman"/>
          <w:color w:val="auto"/>
        </w:rPr>
        <w:t>日</w:t>
      </w:r>
      <w:r>
        <w:rPr>
          <w:rFonts w:hint="eastAsia" w:cs="Times New Roman"/>
          <w:color w:val="auto"/>
          <w:lang w:eastAsia="zh-CN"/>
        </w:rPr>
        <w:t>，</w:t>
      </w:r>
      <w:r>
        <w:rPr>
          <w:color w:val="auto"/>
        </w:rPr>
        <w:t>绩效评价组采取现场和非现场评价相结合的方式开展调研、查阅基础资料、数据采集、问卷调查、访谈、数据分析等绩效评价工作，具体实施情况如下：</w:t>
      </w:r>
    </w:p>
    <w:p w14:paraId="71325E84">
      <w:pPr>
        <w:spacing w:before="0" w:after="0" w:line="360" w:lineRule="auto"/>
        <w:ind w:firstLine="640"/>
        <w:rPr>
          <w:rFonts w:hint="eastAsia" w:eastAsiaTheme="minorEastAsia"/>
          <w:color w:val="auto"/>
          <w:lang w:val="en-US" w:eastAsia="zh-CN"/>
        </w:rPr>
      </w:pPr>
      <w:bookmarkStart w:id="68" w:name="_Toc11994"/>
      <w:r>
        <w:rPr>
          <w:color w:val="auto"/>
        </w:rPr>
        <w:t>（1）</w:t>
      </w:r>
      <w:r>
        <w:rPr>
          <w:rFonts w:hint="eastAsia"/>
          <w:color w:val="auto"/>
        </w:rPr>
        <w:t>与</w:t>
      </w:r>
      <w:r>
        <w:rPr>
          <w:rFonts w:hint="eastAsia"/>
          <w:color w:val="auto"/>
          <w:lang w:val="en-US" w:eastAsia="zh-CN"/>
        </w:rPr>
        <w:t>吉木萨尔县农业农村局相关业务处室</w:t>
      </w:r>
      <w:r>
        <w:rPr>
          <w:rFonts w:hint="eastAsia"/>
          <w:color w:val="auto"/>
        </w:rPr>
        <w:t>管理人员进行访谈沟通，全面了解项目实施的目的、预算安排、组织管理、实施结果等方面的内容。</w:t>
      </w:r>
      <w:r>
        <w:rPr>
          <w:rFonts w:hint="eastAsia"/>
          <w:color w:val="auto"/>
          <w:lang w:val="en-US" w:eastAsia="zh-CN"/>
        </w:rPr>
        <w:t>同时了解农机购置补贴系统以及报废系统填写，审核，资金兑付，公示情况，现场抽查2024年三台镇农机购置补贴资金存档资料。</w:t>
      </w:r>
      <w:r>
        <w:rPr>
          <w:color w:val="auto"/>
        </w:rPr>
        <w:t>根据</w:t>
      </w:r>
      <w:r>
        <w:rPr>
          <w:rFonts w:hint="eastAsia"/>
          <w:color w:val="auto"/>
          <w:lang w:val="en-US" w:eastAsia="zh-CN"/>
        </w:rPr>
        <w:t>吉木萨尔县农业农村局</w:t>
      </w:r>
      <w:r>
        <w:rPr>
          <w:color w:val="auto"/>
        </w:rPr>
        <w:t>提供的项目立项、实施、资金使用及管理等方面的资料，对资料进行梳理、分析，并对标相关的政策依据、法律法规、单位制度等，</w:t>
      </w:r>
      <w:r>
        <w:rPr>
          <w:rFonts w:hint="eastAsia"/>
          <w:color w:val="auto"/>
        </w:rPr>
        <w:t>完成绩效评价内容所需的印证资料整理汇总。</w:t>
      </w:r>
      <w:bookmarkEnd w:id="68"/>
      <w:bookmarkStart w:id="69" w:name="_Toc26870"/>
      <w:bookmarkStart w:id="70" w:name="_Toc428278235"/>
      <w:bookmarkStart w:id="71" w:name="_Toc419984726"/>
    </w:p>
    <w:bookmarkEnd w:id="69"/>
    <w:bookmarkEnd w:id="70"/>
    <w:bookmarkEnd w:id="71"/>
    <w:p w14:paraId="4A929FE8">
      <w:pPr>
        <w:spacing w:before="0" w:after="0" w:line="360" w:lineRule="auto"/>
        <w:ind w:firstLine="640"/>
        <w:rPr>
          <w:rFonts w:hint="eastAsia"/>
          <w:color w:val="auto"/>
        </w:rPr>
      </w:pPr>
      <w:bookmarkStart w:id="72" w:name="_Toc2618"/>
      <w:r>
        <w:rPr>
          <w:color w:val="auto"/>
        </w:rPr>
        <w:t>（</w:t>
      </w:r>
      <w:r>
        <w:rPr>
          <w:rFonts w:hint="eastAsia"/>
          <w:color w:val="auto"/>
          <w:lang w:val="en-US" w:eastAsia="zh-CN"/>
        </w:rPr>
        <w:t>2</w:t>
      </w:r>
      <w:r>
        <w:rPr>
          <w:color w:val="auto"/>
        </w:rPr>
        <w:t>）</w:t>
      </w:r>
      <w:r>
        <w:rPr>
          <w:rFonts w:hint="eastAsia"/>
          <w:color w:val="auto"/>
        </w:rPr>
        <w:t>经调研了解，</w:t>
      </w:r>
      <w:r>
        <w:rPr>
          <w:rFonts w:hint="eastAsia"/>
          <w:color w:val="auto"/>
          <w:lang w:val="en-US" w:eastAsia="zh-CN"/>
        </w:rPr>
        <w:t>本次项目受益对象主要为申请农机购置与应用补贴的</w:t>
      </w:r>
      <w:r>
        <w:rPr>
          <w:rFonts w:hint="eastAsia" w:ascii="宋体" w:hAnsi="宋体" w:eastAsia="宋体" w:cs="宋体"/>
          <w:szCs w:val="21"/>
          <w:lang w:val="en-US" w:eastAsia="zh-CN"/>
        </w:rPr>
        <w:t>从事农业生产的个人和农业生产经营组织</w:t>
      </w:r>
      <w:r>
        <w:rPr>
          <w:rFonts w:hint="eastAsia"/>
          <w:color w:val="auto"/>
        </w:rPr>
        <w:t>。本次调查按照</w:t>
      </w:r>
      <w:r>
        <w:rPr>
          <w:rFonts w:hint="eastAsia"/>
          <w:color w:val="auto"/>
          <w:lang w:val="en-US" w:eastAsia="zh-CN"/>
        </w:rPr>
        <w:t>覆盖</w:t>
      </w:r>
      <w:r>
        <w:rPr>
          <w:rFonts w:hint="eastAsia"/>
          <w:color w:val="auto"/>
        </w:rPr>
        <w:t>受益对象不低于</w:t>
      </w:r>
      <w:r>
        <w:rPr>
          <w:rFonts w:hint="eastAsia"/>
          <w:color w:val="auto"/>
          <w:lang w:val="en-US" w:eastAsia="zh-CN"/>
        </w:rPr>
        <w:t>28</w:t>
      </w:r>
      <w:r>
        <w:rPr>
          <w:rFonts w:hint="eastAsia"/>
          <w:color w:val="auto"/>
        </w:rPr>
        <w:t>%</w:t>
      </w:r>
      <w:r>
        <w:rPr>
          <w:rFonts w:hint="eastAsia"/>
          <w:color w:val="auto"/>
          <w:lang w:eastAsia="zh-CN"/>
        </w:rPr>
        <w:t>的</w:t>
      </w:r>
      <w:r>
        <w:rPr>
          <w:rFonts w:hint="eastAsia"/>
          <w:color w:val="auto"/>
          <w:lang w:val="en-US" w:eastAsia="zh-CN"/>
        </w:rPr>
        <w:t>比例随机抽样</w:t>
      </w:r>
      <w:r>
        <w:rPr>
          <w:rFonts w:hint="eastAsia"/>
          <w:color w:val="auto"/>
        </w:rPr>
        <w:t>发放问卷</w:t>
      </w:r>
      <w:r>
        <w:rPr>
          <w:rFonts w:hint="eastAsia"/>
          <w:color w:val="auto"/>
          <w:lang w:val="en-US" w:eastAsia="zh-CN"/>
        </w:rPr>
        <w:t>199</w:t>
      </w:r>
      <w:r>
        <w:rPr>
          <w:rFonts w:hint="eastAsia"/>
          <w:color w:val="auto"/>
        </w:rPr>
        <w:t>份，最终收回问卷</w:t>
      </w:r>
      <w:r>
        <w:rPr>
          <w:rFonts w:hint="eastAsia"/>
          <w:color w:val="auto"/>
          <w:lang w:val="en-US" w:eastAsia="zh-CN"/>
        </w:rPr>
        <w:t>199</w:t>
      </w:r>
      <w:r>
        <w:rPr>
          <w:rFonts w:hint="eastAsia"/>
          <w:color w:val="auto"/>
        </w:rPr>
        <w:t>份，有效问卷</w:t>
      </w:r>
      <w:r>
        <w:rPr>
          <w:rFonts w:hint="eastAsia"/>
          <w:color w:val="auto"/>
          <w:lang w:val="en-US" w:eastAsia="zh-CN"/>
        </w:rPr>
        <w:t>199</w:t>
      </w:r>
      <w:r>
        <w:rPr>
          <w:rFonts w:hint="eastAsia"/>
          <w:color w:val="auto"/>
        </w:rPr>
        <w:t>份。</w:t>
      </w:r>
    </w:p>
    <w:p w14:paraId="671D111C">
      <w:pPr>
        <w:spacing w:before="0" w:after="0" w:line="360" w:lineRule="auto"/>
        <w:ind w:firstLine="640"/>
        <w:rPr>
          <w:color w:val="auto"/>
          <w:lang w:val="zh-TW" w:eastAsia="zh-TW"/>
        </w:rPr>
      </w:pPr>
      <w:r>
        <w:rPr>
          <w:color w:val="auto"/>
        </w:rPr>
        <w:t>（</w:t>
      </w:r>
      <w:r>
        <w:rPr>
          <w:rFonts w:hint="eastAsia"/>
          <w:color w:val="auto"/>
          <w:lang w:val="en-US" w:eastAsia="zh-CN"/>
        </w:rPr>
        <w:t>3</w:t>
      </w:r>
      <w:r>
        <w:rPr>
          <w:color w:val="auto"/>
        </w:rPr>
        <w:t>）通过对采集的数据资料进行复核汇总、分类整理和综合分析，按照设立的评价指标、标准、权重、方法实施评价，并形成评价工作底稿</w:t>
      </w:r>
      <w:r>
        <w:rPr>
          <w:color w:val="auto"/>
          <w:lang w:val="zh-TW" w:eastAsia="zh-TW"/>
        </w:rPr>
        <w:t>。</w:t>
      </w:r>
    </w:p>
    <w:p w14:paraId="3EF024A6">
      <w:pPr>
        <w:pStyle w:val="4"/>
        <w:spacing w:before="0" w:after="0" w:line="360" w:lineRule="auto"/>
        <w:ind w:firstLine="641"/>
        <w:rPr>
          <w:rFonts w:ascii="Times New Roman" w:hAnsi="Times New Roman"/>
          <w:color w:val="auto"/>
        </w:rPr>
      </w:pPr>
      <w:r>
        <w:rPr>
          <w:rFonts w:ascii="Times New Roman" w:hAnsi="Times New Roman"/>
          <w:color w:val="auto"/>
        </w:rPr>
        <w:t>4.撰写评价报告</w:t>
      </w:r>
      <w:bookmarkEnd w:id="72"/>
    </w:p>
    <w:p w14:paraId="2A0DCCC9">
      <w:pPr>
        <w:spacing w:before="0" w:after="0" w:line="360" w:lineRule="auto"/>
        <w:ind w:firstLine="640"/>
        <w:rPr>
          <w:color w:val="auto"/>
        </w:rPr>
      </w:pPr>
      <w:r>
        <w:rPr>
          <w:rFonts w:hint="eastAsia" w:cs="Times New Roman"/>
          <w:color w:val="auto"/>
          <w:highlight w:val="none"/>
          <w:lang w:val="en-US" w:eastAsia="zh-CN"/>
        </w:rPr>
        <w:t>2025</w:t>
      </w:r>
      <w:r>
        <w:rPr>
          <w:rFonts w:hint="eastAsia" w:ascii="Times New Roman" w:hAnsi="Times New Roman" w:cs="Times New Roman"/>
          <w:color w:val="auto"/>
          <w:highlight w:val="none"/>
        </w:rPr>
        <w:t>年</w:t>
      </w:r>
      <w:r>
        <w:rPr>
          <w:rFonts w:hint="eastAsia" w:cs="Times New Roman"/>
          <w:color w:val="auto"/>
          <w:highlight w:val="none"/>
          <w:lang w:val="en-US" w:eastAsia="zh-CN"/>
        </w:rPr>
        <w:t>8</w:t>
      </w:r>
      <w:r>
        <w:rPr>
          <w:rFonts w:hint="eastAsia" w:ascii="Times New Roman" w:hAnsi="Times New Roman" w:cs="Times New Roman"/>
          <w:color w:val="auto"/>
          <w:highlight w:val="none"/>
        </w:rPr>
        <w:t>月</w:t>
      </w:r>
      <w:r>
        <w:rPr>
          <w:rFonts w:hint="eastAsia" w:cs="Times New Roman"/>
          <w:color w:val="auto"/>
          <w:highlight w:val="none"/>
          <w:lang w:val="en-US" w:eastAsia="zh-CN"/>
        </w:rPr>
        <w:t>11</w:t>
      </w:r>
      <w:r>
        <w:rPr>
          <w:rFonts w:hint="eastAsia" w:ascii="Times New Roman" w:hAnsi="Times New Roman" w:cs="Times New Roman"/>
          <w:color w:val="auto"/>
          <w:highlight w:val="none"/>
        </w:rPr>
        <w:t>日</w:t>
      </w:r>
      <w:r>
        <w:rPr>
          <w:rFonts w:hint="eastAsia" w:cs="Times New Roman"/>
          <w:color w:val="auto"/>
          <w:highlight w:val="none"/>
          <w:lang w:val="en-US" w:eastAsia="zh-CN"/>
        </w:rPr>
        <w:t>至2025</w:t>
      </w:r>
      <w:r>
        <w:rPr>
          <w:rFonts w:hint="eastAsia" w:ascii="Times New Roman" w:hAnsi="Times New Roman" w:cs="Times New Roman"/>
          <w:color w:val="auto"/>
          <w:highlight w:val="none"/>
        </w:rPr>
        <w:t>年</w:t>
      </w:r>
      <w:r>
        <w:rPr>
          <w:rFonts w:hint="eastAsia" w:cs="Times New Roman"/>
          <w:color w:val="auto"/>
          <w:highlight w:val="none"/>
          <w:lang w:val="en-US" w:eastAsia="zh-CN"/>
        </w:rPr>
        <w:t>8</w:t>
      </w:r>
      <w:r>
        <w:rPr>
          <w:rFonts w:hint="eastAsia" w:ascii="Times New Roman" w:hAnsi="Times New Roman" w:cs="Times New Roman"/>
          <w:color w:val="auto"/>
          <w:highlight w:val="none"/>
        </w:rPr>
        <w:t>月</w:t>
      </w:r>
      <w:r>
        <w:rPr>
          <w:rFonts w:hint="eastAsia" w:cs="Times New Roman"/>
          <w:color w:val="auto"/>
          <w:highlight w:val="none"/>
          <w:lang w:val="en-US" w:eastAsia="zh-CN"/>
        </w:rPr>
        <w:t>31</w:t>
      </w:r>
      <w:r>
        <w:rPr>
          <w:rFonts w:hint="eastAsia" w:ascii="Times New Roman" w:hAnsi="Times New Roman" w:cs="Times New Roman"/>
          <w:color w:val="auto"/>
          <w:highlight w:val="none"/>
        </w:rPr>
        <w:t>日</w:t>
      </w:r>
      <w:r>
        <w:rPr>
          <w:rFonts w:hint="eastAsia" w:cs="Times New Roman"/>
          <w:color w:val="auto"/>
          <w:highlight w:val="none"/>
          <w:lang w:eastAsia="zh-CN"/>
        </w:rPr>
        <w:t>，</w:t>
      </w:r>
      <w:r>
        <w:rPr>
          <w:color w:val="auto"/>
        </w:rPr>
        <w:t>归集绩效评价工作底稿，起草项目绩效评价报告，经公司内部质量审核通过后向委托人提交绩效评价报告初稿，并报送项目实施单位以及行业主管部门，进行结果反馈，充分交换意见。</w:t>
      </w:r>
    </w:p>
    <w:p w14:paraId="6848BAA4">
      <w:pPr>
        <w:pStyle w:val="4"/>
        <w:spacing w:before="0" w:after="0" w:line="360" w:lineRule="auto"/>
        <w:ind w:firstLine="641"/>
        <w:rPr>
          <w:rFonts w:hint="eastAsia" w:ascii="Times New Roman" w:hAnsi="Times New Roman" w:cs="Times New Roman"/>
          <w:color w:val="auto"/>
        </w:rPr>
      </w:pPr>
      <w:r>
        <w:rPr>
          <w:rFonts w:hint="eastAsia" w:ascii="Times New Roman" w:hAnsi="Times New Roman" w:cs="Times New Roman"/>
          <w:color w:val="auto"/>
          <w:lang w:val="en-US" w:eastAsia="zh-CN"/>
        </w:rPr>
        <w:t>5</w:t>
      </w:r>
      <w:r>
        <w:rPr>
          <w:rFonts w:hint="eastAsia" w:ascii="Times New Roman" w:hAnsi="Times New Roman" w:cs="Times New Roman"/>
          <w:color w:val="auto"/>
        </w:rPr>
        <w:t>.资料档案</w:t>
      </w:r>
    </w:p>
    <w:p w14:paraId="7EAFC602">
      <w:pPr>
        <w:spacing w:before="0" w:after="0" w:line="360" w:lineRule="auto"/>
        <w:ind w:firstLine="640"/>
        <w:rPr>
          <w:rFonts w:hint="eastAsia"/>
          <w:color w:val="auto"/>
        </w:rPr>
      </w:pPr>
      <w:r>
        <w:rPr>
          <w:rFonts w:hint="eastAsia"/>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14:paraId="06859071">
      <w:pPr>
        <w:pStyle w:val="2"/>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73" w:name="_Toc24886"/>
      <w:r>
        <w:rPr>
          <w:rFonts w:hint="eastAsia"/>
          <w:color w:val="auto"/>
        </w:rPr>
        <w:t>四</w:t>
      </w:r>
      <w:r>
        <w:rPr>
          <w:color w:val="auto"/>
        </w:rPr>
        <w:t>、综合评价情况及评价结论</w:t>
      </w:r>
      <w:bookmarkEnd w:id="67"/>
      <w:bookmarkEnd w:id="73"/>
    </w:p>
    <w:p w14:paraId="12F12A69">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olor w:val="auto"/>
          <w:lang w:eastAsia="zh-TW"/>
        </w:rPr>
      </w:pPr>
      <w:bookmarkStart w:id="74" w:name="_Toc15463"/>
      <w:bookmarkStart w:id="75" w:name="_Toc4648"/>
      <w:bookmarkStart w:id="76" w:name="_Toc535"/>
      <w:bookmarkStart w:id="77" w:name="_Toc22544"/>
      <w:r>
        <w:rPr>
          <w:rFonts w:hint="eastAsia" w:ascii="Times New Roman" w:hAnsi="Times New Roman"/>
          <w:color w:val="auto"/>
        </w:rPr>
        <w:t>（一）评价得分情况</w:t>
      </w:r>
      <w:bookmarkEnd w:id="74"/>
      <w:bookmarkEnd w:id="75"/>
    </w:p>
    <w:p w14:paraId="19A4181D">
      <w:pPr>
        <w:spacing w:before="0" w:after="0" w:line="360" w:lineRule="auto"/>
        <w:ind w:firstLine="640"/>
        <w:rPr>
          <w:color w:val="auto"/>
        </w:rPr>
      </w:pPr>
      <w:r>
        <w:rPr>
          <w:rFonts w:hint="eastAsia"/>
          <w:color w:val="auto"/>
          <w:lang w:val="zh-TW" w:eastAsia="zh-TW"/>
        </w:rPr>
        <w:t>通过调研、数据分析、访谈等方式，根据绩效评价方案确定的指标体系及评分标准，对“农机购置与应用补贴项目”</w:t>
      </w:r>
      <w:r>
        <w:rPr>
          <w:rFonts w:hint="eastAsia" w:ascii="Times New Roman" w:hAnsi="Times New Roman" w:eastAsia="宋体" w:cs="Times New Roman"/>
          <w:color w:val="auto"/>
          <w:lang w:val="zh-TW" w:eastAsia="zh-TW"/>
        </w:rPr>
        <w:t>绩效</w:t>
      </w:r>
      <w:r>
        <w:rPr>
          <w:rFonts w:hint="eastAsia"/>
          <w:color w:val="auto"/>
          <w:lang w:val="zh-TW" w:eastAsia="zh-TW"/>
        </w:rPr>
        <w:t>进行客观评价，经评价分析，该项目最终评分结果为</w:t>
      </w:r>
      <w:r>
        <w:rPr>
          <w:rFonts w:hint="eastAsia"/>
          <w:color w:val="auto"/>
          <w:lang w:val="en-US" w:eastAsia="zh-CN"/>
        </w:rPr>
        <w:t>92.49</w:t>
      </w:r>
      <w:r>
        <w:rPr>
          <w:rFonts w:hint="eastAsia"/>
          <w:color w:val="auto"/>
          <w:lang w:val="zh-TW" w:eastAsia="zh-TW"/>
        </w:rPr>
        <w:t>分，绩效评级为“</w:t>
      </w:r>
      <w:r>
        <w:rPr>
          <w:rFonts w:hint="eastAsia"/>
          <w:color w:val="auto"/>
          <w:lang w:val="en-US" w:eastAsia="zh-CN"/>
        </w:rPr>
        <w:t>优</w:t>
      </w:r>
      <w:r>
        <w:rPr>
          <w:rFonts w:hint="eastAsia"/>
          <w:color w:val="auto"/>
          <w:lang w:val="zh-TW" w:eastAsia="zh-TW"/>
        </w:rPr>
        <w:t>”。各部分权重和绩效分值如下表：</w:t>
      </w:r>
    </w:p>
    <w:p w14:paraId="4C67D917">
      <w:pPr>
        <w:spacing w:before="157" w:beforeLines="50"/>
        <w:ind w:firstLine="0" w:firstLineChars="0"/>
        <w:jc w:val="center"/>
        <w:rPr>
          <w:rFonts w:eastAsia="宋体"/>
          <w:b/>
          <w:bCs/>
          <w:color w:val="auto"/>
        </w:rPr>
      </w:pPr>
      <w:r>
        <w:rPr>
          <w:rFonts w:eastAsia="宋体"/>
          <w:b/>
          <w:bCs/>
          <w:color w:val="auto"/>
          <w:lang w:val="zh-TW" w:eastAsia="zh-TW"/>
        </w:rPr>
        <w:t>表</w:t>
      </w:r>
      <w:r>
        <w:rPr>
          <w:rFonts w:eastAsia="宋体"/>
          <w:b/>
          <w:bCs/>
          <w:color w:val="auto"/>
        </w:rPr>
        <w:t>4</w:t>
      </w:r>
      <w:r>
        <w:rPr>
          <w:rFonts w:eastAsia="宋体"/>
          <w:b/>
          <w:bCs/>
          <w:color w:val="auto"/>
          <w:lang w:val="zh-TW" w:eastAsia="zh-TW"/>
        </w:rPr>
        <w:t>-1</w:t>
      </w:r>
      <w:r>
        <w:rPr>
          <w:rFonts w:eastAsia="宋体"/>
          <w:b/>
          <w:bCs/>
          <w:color w:val="auto"/>
          <w:lang w:val="zh-TW"/>
        </w:rPr>
        <w:t>：</w:t>
      </w:r>
      <w:r>
        <w:rPr>
          <w:rFonts w:hint="eastAsia" w:eastAsia="宋体"/>
          <w:b/>
          <w:bCs/>
          <w:color w:val="auto"/>
          <w:lang w:val="zh-TW"/>
        </w:rPr>
        <w:t>农机购置与应用补贴项目</w:t>
      </w:r>
      <w:r>
        <w:rPr>
          <w:rFonts w:eastAsia="宋体"/>
          <w:b/>
          <w:bCs/>
          <w:color w:val="auto"/>
          <w:lang w:val="zh-TW"/>
        </w:rPr>
        <w:t>得分表</w:t>
      </w:r>
    </w:p>
    <w:tbl>
      <w:tblPr>
        <w:tblStyle w:val="21"/>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shd w:val="clear" w:color="auto" w:fill="auto"/>
        <w:tblLayout w:type="autofit"/>
        <w:tblCellMar>
          <w:top w:w="0" w:type="dxa"/>
          <w:left w:w="0" w:type="dxa"/>
          <w:bottom w:w="0" w:type="dxa"/>
          <w:right w:w="0" w:type="dxa"/>
        </w:tblCellMar>
      </w:tblPr>
      <w:tblGrid>
        <w:gridCol w:w="883"/>
        <w:gridCol w:w="1613"/>
        <w:gridCol w:w="1613"/>
        <w:gridCol w:w="1613"/>
        <w:gridCol w:w="1613"/>
        <w:gridCol w:w="1128"/>
      </w:tblGrid>
      <w:tr w14:paraId="430645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6829229B">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D37B75C">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791E741">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6D55CFC">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E32FC28">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5CEE570">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14:paraId="16E610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AE30B79">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908B5ED">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10.00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BE6ECDB">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25.00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444729B">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30.00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3B4BA29">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35.00 </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14E906F">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val="0"/>
                <w:bCs w:val="0"/>
                <w:color w:val="auto"/>
                <w:sz w:val="21"/>
                <w:szCs w:val="21"/>
                <w:lang w:val="zh-TW" w:eastAsia="zh-TW"/>
              </w:rPr>
            </w:pPr>
            <w:r>
              <w:rPr>
                <w:rFonts w:hint="eastAsia" w:hAnsi="Times New Roman" w:eastAsia="宋体" w:cs="Times New Roman"/>
                <w:b w:val="0"/>
                <w:bCs w:val="0"/>
                <w:color w:val="auto"/>
                <w:sz w:val="21"/>
                <w:szCs w:val="21"/>
                <w:lang w:val="en-US" w:eastAsia="zh-CN"/>
              </w:rPr>
              <w:t xml:space="preserve">100.00 </w:t>
            </w:r>
          </w:p>
        </w:tc>
      </w:tr>
      <w:tr w14:paraId="29C7AB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7BC374BA">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53C63E0">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10.00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4AE92E0">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25.00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259723FF">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23.70 </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3AA5E45">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33.79 </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F31E825">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 xml:space="preserve">92.49 </w:t>
            </w:r>
          </w:p>
        </w:tc>
      </w:tr>
      <w:tr w14:paraId="3F45E7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0E18E1C6">
            <w:pPr>
              <w:pStyle w:val="32"/>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627C84E">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100.00%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4299A9F5">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100.00%</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374D7562">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79.01%</w:t>
            </w:r>
          </w:p>
        </w:tc>
        <w:tc>
          <w:tcPr>
            <w:tcW w:w="1613"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10DA17B8">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96.54%</w:t>
            </w:r>
          </w:p>
        </w:tc>
        <w:tc>
          <w:tcPr>
            <w:tcW w:w="1128"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vAlign w:val="center"/>
          </w:tcPr>
          <w:p w14:paraId="50ED4D02">
            <w:pPr>
              <w:pStyle w:val="32"/>
              <w:pageBreakBefore w:val="0"/>
              <w:kinsoku/>
              <w:wordWrap/>
              <w:overflowPunct/>
              <w:topLinePunct w:val="0"/>
              <w:autoSpaceDE/>
              <w:autoSpaceDN/>
              <w:bidi w:val="0"/>
              <w:snapToGrid w:val="0"/>
              <w:spacing w:before="0" w:after="0" w:line="240" w:lineRule="auto"/>
              <w:jc w:val="center"/>
              <w:rPr>
                <w:rFonts w:hint="eastAsia" w:ascii="Times New Roman" w:hAnsi="Times New Roman" w:eastAsia="宋体" w:cs="Times New Roman"/>
                <w:b w:val="0"/>
                <w:bCs w:val="0"/>
                <w:color w:val="auto"/>
                <w:sz w:val="21"/>
                <w:szCs w:val="21"/>
                <w:lang w:val="zh-TW" w:eastAsia="zh-TW"/>
              </w:rPr>
            </w:pPr>
            <w:r>
              <w:rPr>
                <w:rFonts w:hint="eastAsia" w:ascii="Times New Roman" w:hAnsi="Times New Roman" w:eastAsia="宋体" w:cs="Times New Roman"/>
                <w:b w:val="0"/>
                <w:bCs w:val="0"/>
                <w:color w:val="auto"/>
                <w:sz w:val="21"/>
                <w:szCs w:val="21"/>
                <w:lang w:val="en-US" w:eastAsia="zh-CN"/>
              </w:rPr>
              <w:t>92.49%</w:t>
            </w:r>
          </w:p>
        </w:tc>
      </w:tr>
    </w:tbl>
    <w:p w14:paraId="5CFBCA81">
      <w:pPr>
        <w:ind w:firstLine="420"/>
        <w:rPr>
          <w:rFonts w:ascii="Times New Roman" w:hAnsi="Times New Roman" w:eastAsia="宋体" w:cs="Times New Roman"/>
          <w:color w:val="auto"/>
        </w:rPr>
      </w:pPr>
    </w:p>
    <w:p w14:paraId="1E69AC1C">
      <w:pPr>
        <w:pStyle w:val="3"/>
        <w:pageBreakBefore w:val="0"/>
        <w:kinsoku/>
        <w:wordWrap/>
        <w:overflowPunct/>
        <w:topLinePunct w:val="0"/>
        <w:autoSpaceDE/>
        <w:autoSpaceDN/>
        <w:bidi w:val="0"/>
        <w:snapToGrid w:val="0"/>
        <w:spacing w:before="0" w:after="0" w:line="360" w:lineRule="auto"/>
        <w:ind w:firstLine="482"/>
        <w:rPr>
          <w:rFonts w:ascii="Times New Roman" w:hAnsi="Times New Roman" w:eastAsia="宋体" w:cs="Times New Roman"/>
          <w:color w:val="auto"/>
        </w:rPr>
      </w:pPr>
      <w:bookmarkStart w:id="78" w:name="_Toc4974"/>
      <w:bookmarkStart w:id="79" w:name="_Toc28825"/>
      <w:r>
        <w:rPr>
          <w:rFonts w:hint="eastAsia" w:ascii="Times New Roman" w:hAnsi="Times New Roman" w:eastAsia="宋体" w:cs="Times New Roman"/>
          <w:color w:val="auto"/>
        </w:rPr>
        <w:t>（二）综合评价结论</w:t>
      </w:r>
      <w:bookmarkEnd w:id="78"/>
      <w:bookmarkEnd w:id="79"/>
    </w:p>
    <w:p w14:paraId="6161DA07">
      <w:pPr>
        <w:ind w:firstLine="420"/>
        <w:rPr>
          <w:rFonts w:ascii="Times New Roman" w:hAnsi="Times New Roman" w:eastAsia="宋体" w:cs="Times New Roman"/>
          <w:color w:val="auto"/>
          <w:highlight w:val="none"/>
        </w:rPr>
      </w:pPr>
      <w:r>
        <w:rPr>
          <w:rFonts w:hint="eastAsia" w:ascii="Times New Roman" w:hAnsi="Times New Roman" w:eastAsia="宋体" w:cs="Times New Roman"/>
          <w:color w:val="auto"/>
          <w:highlight w:val="none"/>
        </w:rPr>
        <w:t>经评价分析，</w:t>
      </w:r>
      <w:r>
        <w:rPr>
          <w:rFonts w:hint="eastAsia" w:ascii="Times New Roman" w:hAnsi="Times New Roman" w:eastAsia="宋体" w:cs="Times New Roman"/>
          <w:color w:val="auto"/>
          <w:highlight w:val="none"/>
          <w:lang w:val="en-US" w:eastAsia="zh-CN"/>
        </w:rPr>
        <w:t>吉木萨尔县农业农村局基本完成</w:t>
      </w:r>
      <w:r>
        <w:rPr>
          <w:rFonts w:hint="eastAsia" w:ascii="Times New Roman" w:hAnsi="Times New Roman" w:eastAsia="宋体" w:cs="Times New Roman"/>
          <w:color w:val="auto"/>
          <w:highlight w:val="none"/>
        </w:rPr>
        <w:t>2024年农机补贴引进各类新机具959台（</w:t>
      </w:r>
      <w:r>
        <w:rPr>
          <w:rFonts w:hint="eastAsia" w:ascii="Times New Roman" w:hAnsi="Times New Roman" w:eastAsia="宋体" w:cs="Times New Roman"/>
          <w:color w:val="auto"/>
          <w:highlight w:val="none"/>
          <w:lang w:val="en-US" w:eastAsia="zh-CN"/>
        </w:rPr>
        <w:t>套</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农机购置补贴支出1,298.24万元</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rPr>
        <w:t>农机报废补贴机具</w:t>
      </w:r>
      <w:r>
        <w:rPr>
          <w:rFonts w:hint="eastAsia" w:ascii="Times New Roman" w:hAnsi="Times New Roman" w:eastAsia="宋体" w:cs="Times New Roman"/>
          <w:color w:val="auto"/>
          <w:highlight w:val="none"/>
          <w:lang w:val="en-US" w:eastAsia="zh-CN"/>
        </w:rPr>
        <w:t>2</w:t>
      </w:r>
      <w:r>
        <w:rPr>
          <w:rFonts w:hint="eastAsia" w:ascii="Times New Roman" w:hAnsi="Times New Roman" w:eastAsia="宋体" w:cs="Times New Roman"/>
          <w:color w:val="auto"/>
          <w:highlight w:val="none"/>
        </w:rPr>
        <w:t>台（</w:t>
      </w:r>
      <w:r>
        <w:rPr>
          <w:rFonts w:hint="eastAsia" w:ascii="Times New Roman" w:hAnsi="Times New Roman" w:eastAsia="宋体" w:cs="Times New Roman"/>
          <w:color w:val="auto"/>
          <w:highlight w:val="none"/>
          <w:lang w:val="en-US" w:eastAsia="zh-CN"/>
        </w:rPr>
        <w:t>套</w:t>
      </w:r>
      <w:r>
        <w:rPr>
          <w:rFonts w:hint="eastAsia" w:ascii="Times New Roman" w:hAnsi="Times New Roman" w:eastAsia="宋体" w:cs="Times New Roman"/>
          <w:color w:val="auto"/>
          <w:highlight w:val="none"/>
        </w:rPr>
        <w:t>）</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农机报废补贴支出0.7</w:t>
      </w:r>
      <w:r>
        <w:rPr>
          <w:rFonts w:hint="eastAsia" w:cs="Times New Roman"/>
          <w:color w:val="auto"/>
          <w:highlight w:val="none"/>
          <w:lang w:val="en-US" w:eastAsia="zh-CN"/>
        </w:rPr>
        <w:t>0</w:t>
      </w:r>
      <w:r>
        <w:rPr>
          <w:rFonts w:hint="eastAsia" w:ascii="Times New Roman" w:hAnsi="Times New Roman" w:eastAsia="宋体" w:cs="Times New Roman"/>
          <w:color w:val="auto"/>
          <w:highlight w:val="none"/>
          <w:lang w:val="en-US" w:eastAsia="zh-CN"/>
        </w:rPr>
        <w:t>万元</w:t>
      </w:r>
      <w:r>
        <w:rPr>
          <w:rFonts w:hint="eastAsia" w:ascii="Times New Roman" w:hAnsi="Times New Roman" w:eastAsia="宋体" w:cs="Times New Roman"/>
          <w:color w:val="auto"/>
          <w:highlight w:val="none"/>
          <w:lang w:eastAsia="zh-CN"/>
        </w:rPr>
        <w:t>，</w:t>
      </w:r>
      <w:r>
        <w:rPr>
          <w:rFonts w:hint="eastAsia" w:ascii="Times New Roman" w:hAnsi="Times New Roman" w:eastAsia="宋体" w:cs="Times New Roman"/>
          <w:color w:val="auto"/>
          <w:highlight w:val="none"/>
          <w:lang w:val="en-US" w:eastAsia="zh-CN"/>
        </w:rPr>
        <w:t>使得</w:t>
      </w:r>
      <w:r>
        <w:rPr>
          <w:rFonts w:hint="eastAsia" w:ascii="Times New Roman" w:hAnsi="Times New Roman" w:eastAsia="宋体" w:cs="Times New Roman"/>
          <w:color w:val="auto"/>
          <w:highlight w:val="none"/>
          <w:lang w:eastAsia="zh-CN"/>
        </w:rPr>
        <w:t>农机购置与应用补贴直接受益户数</w:t>
      </w:r>
      <w:r>
        <w:rPr>
          <w:rFonts w:hint="eastAsia" w:ascii="Times New Roman" w:hAnsi="Times New Roman" w:eastAsia="宋体" w:cs="Times New Roman"/>
          <w:color w:val="auto"/>
          <w:highlight w:val="none"/>
          <w:lang w:val="en-US" w:eastAsia="zh-CN"/>
        </w:rPr>
        <w:t>达到7</w:t>
      </w:r>
      <w:r>
        <w:rPr>
          <w:rFonts w:hint="eastAsia" w:cs="Times New Roman"/>
          <w:color w:val="auto"/>
          <w:highlight w:val="none"/>
          <w:lang w:val="en-US" w:eastAsia="zh-CN"/>
        </w:rPr>
        <w:t>8</w:t>
      </w:r>
      <w:r>
        <w:rPr>
          <w:rFonts w:hint="eastAsia" w:ascii="Times New Roman" w:hAnsi="Times New Roman" w:eastAsia="宋体" w:cs="Times New Roman"/>
          <w:color w:val="auto"/>
          <w:highlight w:val="none"/>
          <w:lang w:val="en-US" w:eastAsia="zh-CN"/>
        </w:rPr>
        <w:t>1户，通过项目实施有效提升农业机械化生产社会化服务水平，农作物耕种收综合机械化率达到98.78%，不断促进吉木萨尔县农业技术发展。但在实施过程中存在机具补贴核验时限超时，农机购置补贴受益户满意度有待提升</w:t>
      </w:r>
      <w:r>
        <w:rPr>
          <w:rFonts w:hint="eastAsia" w:cs="Times New Roman"/>
          <w:color w:val="auto"/>
          <w:highlight w:val="none"/>
          <w:lang w:val="en-US" w:eastAsia="zh-CN"/>
        </w:rPr>
        <w:t>等问题</w:t>
      </w:r>
      <w:r>
        <w:rPr>
          <w:rFonts w:hint="eastAsia" w:ascii="Times New Roman" w:hAnsi="Times New Roman" w:eastAsia="宋体" w:cs="Times New Roman"/>
          <w:color w:val="auto"/>
          <w:highlight w:val="none"/>
          <w:lang w:val="en-US" w:eastAsia="zh-CN"/>
        </w:rPr>
        <w:t>。</w:t>
      </w:r>
    </w:p>
    <w:p w14:paraId="109041BC">
      <w:pPr>
        <w:pStyle w:val="2"/>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80" w:name="_Toc3192"/>
      <w:r>
        <w:rPr>
          <w:rFonts w:hint="eastAsia"/>
          <w:color w:val="auto"/>
        </w:rPr>
        <w:t>五</w:t>
      </w:r>
      <w:r>
        <w:rPr>
          <w:color w:val="auto"/>
        </w:rPr>
        <w:t>、绩效评价指标分析</w:t>
      </w:r>
      <w:bookmarkEnd w:id="76"/>
      <w:bookmarkEnd w:id="77"/>
      <w:bookmarkEnd w:id="80"/>
    </w:p>
    <w:p w14:paraId="515E6601">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81" w:name="_Toc22260"/>
      <w:bookmarkStart w:id="82" w:name="_Toc2714"/>
      <w:bookmarkStart w:id="83" w:name="_Toc16186"/>
      <w:bookmarkStart w:id="84" w:name="_Toc18078"/>
      <w:bookmarkStart w:id="85" w:name="_Toc30458"/>
      <w:r>
        <w:rPr>
          <w:rFonts w:ascii="Times New Roman" w:hAnsi="Times New Roman"/>
          <w:color w:val="auto"/>
        </w:rPr>
        <w:t>（一）项目决策情况</w:t>
      </w:r>
      <w:bookmarkEnd w:id="81"/>
      <w:bookmarkEnd w:id="82"/>
      <w:bookmarkEnd w:id="83"/>
      <w:bookmarkEnd w:id="84"/>
    </w:p>
    <w:p w14:paraId="025C7A73">
      <w:pPr>
        <w:pageBreakBefore w:val="0"/>
        <w:kinsoku/>
        <w:wordWrap/>
        <w:overflowPunct/>
        <w:topLinePunct w:val="0"/>
        <w:autoSpaceDE/>
        <w:autoSpaceDN/>
        <w:bidi w:val="0"/>
        <w:adjustRightInd/>
        <w:snapToGrid w:val="0"/>
        <w:spacing w:before="0" w:after="0" w:line="360" w:lineRule="auto"/>
        <w:ind w:firstLine="420"/>
        <w:rPr>
          <w:color w:val="auto"/>
        </w:rPr>
      </w:pPr>
      <w:r>
        <w:rPr>
          <w:color w:val="auto"/>
        </w:rPr>
        <w:t>项目决策类指标由</w:t>
      </w:r>
      <w:r>
        <w:rPr>
          <w:rFonts w:hint="eastAsia"/>
          <w:color w:val="auto"/>
        </w:rPr>
        <w:t>3</w:t>
      </w:r>
      <w:r>
        <w:rPr>
          <w:color w:val="auto"/>
        </w:rPr>
        <w:t>个二级指标和</w:t>
      </w:r>
      <w:r>
        <w:rPr>
          <w:rFonts w:hint="eastAsia"/>
          <w:color w:val="auto"/>
          <w:lang w:val="en-US" w:eastAsia="zh-CN"/>
        </w:rPr>
        <w:t>6</w:t>
      </w:r>
      <w:r>
        <w:rPr>
          <w:color w:val="auto"/>
        </w:rPr>
        <w:t>个三级指标构成，权重分</w:t>
      </w:r>
      <w:r>
        <w:rPr>
          <w:rFonts w:hint="eastAsia"/>
          <w:color w:val="auto"/>
        </w:rPr>
        <w:t>10.00</w:t>
      </w:r>
      <w:r>
        <w:rPr>
          <w:color w:val="auto"/>
        </w:rPr>
        <w:t>分，实际得分</w:t>
      </w:r>
      <w:r>
        <w:rPr>
          <w:rFonts w:hint="eastAsia"/>
          <w:color w:val="auto"/>
          <w:lang w:val="en-US" w:eastAsia="zh-CN"/>
        </w:rPr>
        <w:t>10.00</w:t>
      </w:r>
      <w:r>
        <w:rPr>
          <w:color w:val="auto"/>
        </w:rPr>
        <w:t>分</w:t>
      </w:r>
      <w:r>
        <w:rPr>
          <w:rFonts w:hint="eastAsia"/>
          <w:color w:val="auto"/>
        </w:rPr>
        <w:t>，得分率为</w:t>
      </w:r>
      <w:r>
        <w:rPr>
          <w:rFonts w:hint="eastAsia"/>
          <w:color w:val="auto"/>
          <w:lang w:val="en-US" w:eastAsia="zh-CN"/>
        </w:rPr>
        <w:t>100</w:t>
      </w:r>
      <w:r>
        <w:rPr>
          <w:rFonts w:hint="eastAsia"/>
          <w:color w:val="auto"/>
        </w:rPr>
        <w:t>.00%</w:t>
      </w:r>
      <w:r>
        <w:rPr>
          <w:color w:val="auto"/>
        </w:rPr>
        <w:t>。各指标业绩值和绩效分值如下表所示：</w:t>
      </w:r>
    </w:p>
    <w:p w14:paraId="1AFA94FF">
      <w:pPr>
        <w:pageBreakBefore w:val="0"/>
        <w:kinsoku/>
        <w:wordWrap/>
        <w:overflowPunct/>
        <w:topLinePunct w:val="0"/>
        <w:autoSpaceDE/>
        <w:autoSpaceDN/>
        <w:bidi w:val="0"/>
        <w:snapToGrid w:val="0"/>
        <w:spacing w:before="0" w:after="0" w:line="360" w:lineRule="auto"/>
        <w:ind w:firstLine="0" w:firstLineChars="0"/>
        <w:jc w:val="center"/>
        <w:rPr>
          <w:b/>
          <w:bCs/>
          <w:color w:val="auto"/>
          <w:szCs w:val="16"/>
        </w:rPr>
      </w:pPr>
      <w:r>
        <w:rPr>
          <w:b/>
          <w:bCs/>
          <w:color w:val="auto"/>
          <w:szCs w:val="16"/>
        </w:rPr>
        <w:t>表</w:t>
      </w:r>
      <w:r>
        <w:rPr>
          <w:rFonts w:hint="eastAsia"/>
          <w:b/>
          <w:bCs/>
          <w:color w:val="auto"/>
          <w:szCs w:val="16"/>
          <w:lang w:val="en-US" w:eastAsia="zh-CN"/>
        </w:rPr>
        <w:t>5</w:t>
      </w:r>
      <w:r>
        <w:rPr>
          <w:b/>
          <w:bCs/>
          <w:color w:val="auto"/>
          <w:szCs w:val="16"/>
        </w:rPr>
        <w:t>-1：项目决策类指标及分值</w:t>
      </w:r>
    </w:p>
    <w:tbl>
      <w:tblPr>
        <w:tblStyle w:val="21"/>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14:paraId="77763D63">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BD6C9F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A6CCF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BA373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EB650D">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4BCDBF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2CACA1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07053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905C6F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14:paraId="3F8D7FCA">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F266012">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r>
              <w:rPr>
                <w:rFonts w:hint="eastAsia"/>
                <w:color w:val="auto"/>
                <w:kern w:val="0"/>
                <w:sz w:val="20"/>
                <w:szCs w:val="20"/>
                <w:lang w:bidi="ar"/>
              </w:rPr>
              <w:t>A决策（10.00分）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BC44A1A">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A1项目立项（3.00分）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66FF624">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A11立项依据充分性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A62C64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充分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0252A7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val="0"/>
                <w:bCs/>
                <w:color w:val="auto"/>
                <w:kern w:val="0"/>
                <w:sz w:val="20"/>
                <w:szCs w:val="20"/>
                <w:lang w:val="en-US" w:eastAsia="zh-CN" w:bidi="ar"/>
              </w:rPr>
            </w:pPr>
            <w:r>
              <w:rPr>
                <w:rFonts w:hint="eastAsia" w:ascii="宋体" w:hAnsi="宋体" w:eastAsia="宋体" w:cs="宋体"/>
                <w:b w:val="0"/>
                <w:bCs/>
                <w:color w:val="auto"/>
                <w:kern w:val="0"/>
                <w:sz w:val="20"/>
                <w:szCs w:val="20"/>
                <w:lang w:val="en-US" w:eastAsia="zh-CN" w:bidi="ar"/>
              </w:rPr>
              <w:t>充分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98ACB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CF4794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1FE178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100.00%</w:t>
            </w:r>
          </w:p>
        </w:tc>
      </w:tr>
      <w:tr w14:paraId="222BA4BD">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CE37339">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345D837">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793D2DF">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A12立项程序规范性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074BE2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合规</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2A1EB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val="0"/>
                <w:bCs/>
                <w:color w:val="auto"/>
                <w:kern w:val="0"/>
                <w:sz w:val="20"/>
                <w:szCs w:val="20"/>
                <w:lang w:val="en-US" w:eastAsia="zh-CN" w:bidi="ar"/>
              </w:rPr>
            </w:pPr>
            <w:r>
              <w:rPr>
                <w:rFonts w:hint="eastAsia" w:ascii="宋体" w:hAnsi="宋体" w:eastAsia="宋体" w:cs="宋体"/>
                <w:b w:val="0"/>
                <w:bCs/>
                <w:color w:val="auto"/>
                <w:kern w:val="0"/>
                <w:sz w:val="20"/>
                <w:szCs w:val="20"/>
                <w:lang w:val="en-US" w:eastAsia="zh-CN" w:bidi="ar"/>
              </w:rPr>
              <w:t>合规</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81365AA">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FE2DD1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F73DF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100.00%</w:t>
            </w:r>
          </w:p>
        </w:tc>
      </w:tr>
      <w:tr w14:paraId="698B796B">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2105980">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2148801">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A2绩效目标（4.00分）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DF6F6A5">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A21绩效目标合理性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615070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合理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D80C9F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val="0"/>
                <w:bCs/>
                <w:color w:val="auto"/>
                <w:kern w:val="0"/>
                <w:sz w:val="20"/>
                <w:szCs w:val="20"/>
                <w:lang w:val="en-US" w:eastAsia="zh-CN" w:bidi="ar"/>
              </w:rPr>
            </w:pPr>
            <w:r>
              <w:rPr>
                <w:rFonts w:hint="eastAsia" w:ascii="宋体" w:hAnsi="宋体" w:eastAsia="宋体" w:cs="宋体"/>
                <w:b w:val="0"/>
                <w:bCs/>
                <w:color w:val="auto"/>
                <w:kern w:val="0"/>
                <w:sz w:val="20"/>
                <w:szCs w:val="20"/>
                <w:lang w:val="en-US" w:eastAsia="zh-CN" w:bidi="ar"/>
              </w:rPr>
              <w:t>合理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5C5473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2.00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ECC588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cs="宋体"/>
                <w:b w:val="0"/>
                <w:bCs/>
                <w:color w:val="auto"/>
                <w:kern w:val="0"/>
                <w:sz w:val="20"/>
                <w:szCs w:val="20"/>
                <w:lang w:val="en-US" w:eastAsia="zh-CN" w:bidi="ar"/>
              </w:rPr>
              <w:t>2.00</w:t>
            </w:r>
            <w:r>
              <w:rPr>
                <w:rFonts w:hint="eastAsia" w:ascii="宋体" w:hAnsi="宋体" w:eastAsia="宋体" w:cs="宋体"/>
                <w:b w:val="0"/>
                <w:bCs/>
                <w:color w:val="auto"/>
                <w:kern w:val="0"/>
                <w:sz w:val="20"/>
                <w:szCs w:val="20"/>
                <w:lang w:val="en-US" w:eastAsia="zh-CN" w:bidi="ar"/>
              </w:rPr>
              <w:t xml:space="preserve">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EDFA99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cs="宋体"/>
                <w:b w:val="0"/>
                <w:bCs/>
                <w:color w:val="auto"/>
                <w:kern w:val="0"/>
                <w:sz w:val="20"/>
                <w:szCs w:val="20"/>
                <w:lang w:val="en-US" w:eastAsia="zh-CN" w:bidi="ar"/>
              </w:rPr>
              <w:t>100</w:t>
            </w:r>
            <w:r>
              <w:rPr>
                <w:rFonts w:hint="eastAsia" w:ascii="宋体" w:hAnsi="宋体" w:eastAsia="宋体" w:cs="宋体"/>
                <w:b w:val="0"/>
                <w:bCs/>
                <w:color w:val="auto"/>
                <w:kern w:val="0"/>
                <w:sz w:val="20"/>
                <w:szCs w:val="20"/>
                <w:lang w:val="en-US" w:eastAsia="zh-CN" w:bidi="ar"/>
              </w:rPr>
              <w:t>.00%</w:t>
            </w:r>
          </w:p>
        </w:tc>
      </w:tr>
      <w:tr w14:paraId="316A0296">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78C2BF6">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11E471">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BC0631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A22绩效指标明确性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CA58BA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明确</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5D314C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val="0"/>
                <w:bCs/>
                <w:color w:val="auto"/>
                <w:kern w:val="0"/>
                <w:sz w:val="20"/>
                <w:szCs w:val="20"/>
                <w:lang w:val="en-US" w:eastAsia="zh-CN" w:bidi="ar"/>
              </w:rPr>
            </w:pPr>
            <w:r>
              <w:rPr>
                <w:rFonts w:hint="eastAsia" w:ascii="宋体" w:hAnsi="宋体" w:eastAsia="宋体" w:cs="宋体"/>
                <w:b w:val="0"/>
                <w:bCs/>
                <w:color w:val="auto"/>
                <w:kern w:val="0"/>
                <w:sz w:val="20"/>
                <w:szCs w:val="20"/>
                <w:lang w:val="en-US" w:eastAsia="zh-CN" w:bidi="ar"/>
              </w:rPr>
              <w:t>明确</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DE01A41">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2.00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CEA8B5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2.00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3F4E30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100.00%</w:t>
            </w:r>
          </w:p>
        </w:tc>
      </w:tr>
      <w:tr w14:paraId="4A6A0B12">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DA613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C597284">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A3资金投入（3.00分）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DF0D9E">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A31预算编制科学性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23B6440">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科学</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D76D3E">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val="0"/>
                <w:bCs/>
                <w:color w:val="auto"/>
                <w:kern w:val="0"/>
                <w:sz w:val="20"/>
                <w:szCs w:val="20"/>
                <w:lang w:val="en-US" w:eastAsia="zh-CN" w:bidi="ar"/>
              </w:rPr>
            </w:pPr>
            <w:r>
              <w:rPr>
                <w:rFonts w:hint="eastAsia" w:ascii="宋体" w:hAnsi="宋体" w:eastAsia="宋体" w:cs="宋体"/>
                <w:b w:val="0"/>
                <w:bCs/>
                <w:color w:val="auto"/>
                <w:kern w:val="0"/>
                <w:sz w:val="20"/>
                <w:szCs w:val="20"/>
                <w:lang w:val="en-US" w:eastAsia="zh-CN" w:bidi="ar"/>
              </w:rPr>
              <w:t>科学</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659B722">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BCADA0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74331737">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100.00%</w:t>
            </w:r>
          </w:p>
        </w:tc>
      </w:tr>
      <w:tr w14:paraId="051B18C5">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0B0DB4C">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eastAsia" w:ascii="宋体" w:hAnsi="宋体" w:eastAsia="宋体" w:cs="宋体"/>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2A25D76">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899148E">
            <w:pPr>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宋体" w:hAnsi="宋体" w:eastAsia="宋体" w:cs="宋体"/>
                <w:color w:val="auto"/>
                <w:kern w:val="0"/>
                <w:sz w:val="20"/>
                <w:szCs w:val="20"/>
                <w:lang w:bidi="ar"/>
              </w:rPr>
            </w:pPr>
            <w:r>
              <w:rPr>
                <w:rFonts w:hint="eastAsia"/>
                <w:color w:val="auto"/>
                <w:kern w:val="0"/>
                <w:sz w:val="20"/>
                <w:szCs w:val="20"/>
                <w:lang w:bidi="ar"/>
              </w:rPr>
              <w:t>A32资金分配合理性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FC6E2B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合理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60ACD23">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val="0"/>
                <w:bCs/>
                <w:color w:val="auto"/>
                <w:kern w:val="0"/>
                <w:sz w:val="20"/>
                <w:szCs w:val="20"/>
                <w:lang w:val="en-US" w:eastAsia="zh-CN" w:bidi="ar"/>
              </w:rPr>
            </w:pPr>
            <w:r>
              <w:rPr>
                <w:rFonts w:hint="eastAsia" w:ascii="宋体" w:hAnsi="宋体" w:eastAsia="宋体" w:cs="宋体"/>
                <w:b w:val="0"/>
                <w:bCs/>
                <w:color w:val="auto"/>
                <w:kern w:val="0"/>
                <w:sz w:val="20"/>
                <w:szCs w:val="20"/>
                <w:lang w:val="en-US" w:eastAsia="zh-CN" w:bidi="ar"/>
              </w:rPr>
              <w:t>合理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19F80A4">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03CC96F">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 xml:space="preserve">1.50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50DDB2C">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val="0"/>
                <w:bCs/>
                <w:color w:val="auto"/>
                <w:kern w:val="0"/>
                <w:sz w:val="20"/>
                <w:szCs w:val="20"/>
                <w:lang w:bidi="ar"/>
              </w:rPr>
            </w:pPr>
            <w:r>
              <w:rPr>
                <w:rFonts w:hint="eastAsia" w:ascii="宋体" w:hAnsi="宋体" w:eastAsia="宋体" w:cs="宋体"/>
                <w:b w:val="0"/>
                <w:bCs/>
                <w:color w:val="auto"/>
                <w:kern w:val="0"/>
                <w:sz w:val="20"/>
                <w:szCs w:val="20"/>
                <w:lang w:val="en-US" w:eastAsia="zh-CN" w:bidi="ar"/>
              </w:rPr>
              <w:t>100.00%</w:t>
            </w:r>
          </w:p>
        </w:tc>
      </w:tr>
      <w:tr w14:paraId="582E9BFD">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368C6D5">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bCs/>
                <w:color w:val="auto"/>
                <w:kern w:val="0"/>
                <w:sz w:val="20"/>
                <w:szCs w:val="20"/>
                <w:lang w:bidi="ar"/>
              </w:rPr>
            </w:pPr>
            <w:r>
              <w:rPr>
                <w:rFonts w:hint="eastAsia"/>
                <w:b/>
                <w:bCs/>
                <w:color w:val="auto"/>
                <w:kern w:val="0"/>
                <w:sz w:val="20"/>
                <w:szCs w:val="20"/>
                <w:lang w:bidi="ar"/>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3B52F66">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color w:val="auto"/>
                <w:kern w:val="0"/>
                <w:sz w:val="20"/>
                <w:szCs w:val="20"/>
                <w:lang w:bidi="ar"/>
              </w:rPr>
            </w:pP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8BE6899">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宋体" w:hAnsi="宋体" w:eastAsia="宋体" w:cs="宋体"/>
                <w:b/>
                <w:color w:val="auto"/>
                <w:kern w:val="0"/>
                <w:sz w:val="20"/>
                <w:szCs w:val="20"/>
                <w:lang w:val="en-US" w:eastAsia="zh-CN" w:bidi="ar"/>
              </w:rPr>
            </w:pP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AFB4058">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color w:val="auto"/>
                <w:kern w:val="0"/>
                <w:sz w:val="20"/>
                <w:szCs w:val="20"/>
                <w:lang w:bidi="ar"/>
              </w:rPr>
            </w:pPr>
            <w:r>
              <w:rPr>
                <w:rFonts w:hint="eastAsia" w:ascii="宋体" w:hAnsi="宋体" w:eastAsia="宋体" w:cs="宋体"/>
                <w:b/>
                <w:color w:val="auto"/>
                <w:kern w:val="0"/>
                <w:sz w:val="20"/>
                <w:szCs w:val="20"/>
                <w:lang w:val="en-US" w:eastAsia="zh-CN" w:bidi="ar"/>
              </w:rPr>
              <w:t xml:space="preserve">10.00 </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AA9A2CB">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color w:val="auto"/>
                <w:kern w:val="0"/>
                <w:sz w:val="20"/>
                <w:szCs w:val="20"/>
                <w:lang w:bidi="ar"/>
              </w:rPr>
            </w:pPr>
            <w:r>
              <w:rPr>
                <w:rFonts w:hint="eastAsia" w:ascii="宋体" w:hAnsi="宋体" w:cs="宋体"/>
                <w:b/>
                <w:color w:val="auto"/>
                <w:kern w:val="0"/>
                <w:sz w:val="20"/>
                <w:szCs w:val="20"/>
                <w:lang w:val="en-US" w:eastAsia="zh-CN" w:bidi="ar"/>
              </w:rPr>
              <w:t>10.00</w:t>
            </w:r>
            <w:r>
              <w:rPr>
                <w:rFonts w:hint="eastAsia" w:ascii="宋体" w:hAnsi="宋体" w:eastAsia="宋体" w:cs="宋体"/>
                <w:b/>
                <w:color w:val="auto"/>
                <w:kern w:val="0"/>
                <w:sz w:val="20"/>
                <w:szCs w:val="20"/>
                <w:lang w:val="en-US" w:eastAsia="zh-CN" w:bidi="ar"/>
              </w:rPr>
              <w:t xml:space="preserve"> </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A387E4F">
            <w:pPr>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eastAsia" w:ascii="宋体" w:hAnsi="宋体" w:eastAsia="宋体" w:cs="宋体"/>
                <w:b/>
                <w:color w:val="auto"/>
                <w:kern w:val="0"/>
                <w:sz w:val="20"/>
                <w:szCs w:val="20"/>
                <w:lang w:bidi="ar"/>
              </w:rPr>
            </w:pPr>
            <w:r>
              <w:rPr>
                <w:rFonts w:hint="eastAsia" w:ascii="宋体" w:hAnsi="宋体" w:cs="宋体"/>
                <w:b/>
                <w:color w:val="auto"/>
                <w:kern w:val="0"/>
                <w:sz w:val="20"/>
                <w:szCs w:val="20"/>
                <w:lang w:val="en-US" w:eastAsia="zh-CN" w:bidi="ar"/>
              </w:rPr>
              <w:t>100</w:t>
            </w:r>
            <w:r>
              <w:rPr>
                <w:rFonts w:hint="eastAsia" w:ascii="宋体" w:hAnsi="宋体" w:eastAsia="宋体" w:cs="宋体"/>
                <w:b/>
                <w:color w:val="auto"/>
                <w:kern w:val="0"/>
                <w:sz w:val="20"/>
                <w:szCs w:val="20"/>
                <w:lang w:val="en-US" w:eastAsia="zh-CN" w:bidi="ar"/>
              </w:rPr>
              <w:t>.00%</w:t>
            </w:r>
          </w:p>
        </w:tc>
      </w:tr>
    </w:tbl>
    <w:p w14:paraId="23FC98FF">
      <w:pPr>
        <w:pageBreakBefore w:val="0"/>
        <w:kinsoku/>
        <w:wordWrap/>
        <w:overflowPunct/>
        <w:topLinePunct w:val="0"/>
        <w:autoSpaceDE/>
        <w:autoSpaceDN/>
        <w:bidi w:val="0"/>
        <w:snapToGrid w:val="0"/>
        <w:spacing w:before="0" w:after="0" w:line="240" w:lineRule="auto"/>
        <w:ind w:firstLine="422"/>
        <w:rPr>
          <w:rFonts w:eastAsia="宋体"/>
          <w:b/>
          <w:bCs/>
          <w:color w:val="auto"/>
        </w:rPr>
      </w:pPr>
    </w:p>
    <w:p w14:paraId="1C48C0E3">
      <w:pPr>
        <w:pageBreakBefore w:val="0"/>
        <w:kinsoku/>
        <w:wordWrap/>
        <w:overflowPunct/>
        <w:topLinePunct w:val="0"/>
        <w:autoSpaceDE/>
        <w:autoSpaceDN/>
        <w:bidi w:val="0"/>
        <w:snapToGrid w:val="0"/>
        <w:spacing w:before="0" w:after="0" w:line="240" w:lineRule="auto"/>
        <w:ind w:firstLine="422"/>
        <w:rPr>
          <w:b/>
          <w:bCs/>
          <w:color w:val="auto"/>
        </w:rPr>
      </w:pPr>
      <w:r>
        <w:rPr>
          <w:rFonts w:eastAsia="宋体"/>
          <w:b/>
          <w:bCs/>
          <w:color w:val="auto"/>
        </w:rPr>
        <w:t>指标得分分析</w:t>
      </w:r>
      <w:r>
        <w:rPr>
          <w:b/>
          <w:bCs/>
          <w:color w:val="auto"/>
        </w:rPr>
        <w:t>：</w:t>
      </w:r>
    </w:p>
    <w:p w14:paraId="2BFD2372">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（1）A11立项依据充分性：</w:t>
      </w:r>
    </w:p>
    <w:p w14:paraId="061C9580">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①《中华人民共和国农业机械化促进法》中“国家鼓励和支持农民合作使用农业机械，提高农业机械利用率和作业效率，降低作业成本。国家支持和保护农民在坚持家庭承包经营的基础上，自愿组织区域化、标准化种植，提高农业机械的作业水平。任何单位和个人不得以区域化、标准化种植为借口，侵犯农民的土地承包经营权。”项目</w:t>
      </w:r>
      <w:r>
        <w:rPr>
          <w:rFonts w:hint="eastAsia" w:cs="Times New Roman"/>
          <w:color w:val="auto"/>
          <w:szCs w:val="21"/>
          <w:lang w:val="en-US" w:eastAsia="zh-CN"/>
        </w:rPr>
        <w:t>实施的农机购置与应用补贴</w:t>
      </w:r>
      <w:r>
        <w:rPr>
          <w:rFonts w:hint="default" w:ascii="Times New Roman" w:hAnsi="Times New Roman" w:cs="Times New Roman"/>
          <w:color w:val="auto"/>
          <w:szCs w:val="21"/>
        </w:rPr>
        <w:t>符合</w:t>
      </w:r>
      <w:r>
        <w:rPr>
          <w:rFonts w:hint="eastAsia" w:cs="Times New Roman"/>
          <w:color w:val="auto"/>
          <w:szCs w:val="21"/>
          <w:lang w:val="en-US" w:eastAsia="zh-CN"/>
        </w:rPr>
        <w:t>相关国家农业发展</w:t>
      </w:r>
      <w:r>
        <w:rPr>
          <w:rFonts w:hint="default" w:ascii="Times New Roman" w:hAnsi="Times New Roman" w:cs="Times New Roman"/>
          <w:color w:val="auto"/>
          <w:szCs w:val="21"/>
        </w:rPr>
        <w:t>政策。</w:t>
      </w:r>
    </w:p>
    <w:p w14:paraId="68F969B8">
      <w:pPr>
        <w:adjustRightInd w:val="0"/>
        <w:snapToGrid w:val="0"/>
        <w:ind w:firstLine="420"/>
        <w:rPr>
          <w:rFonts w:hint="default" w:ascii="Times New Roman" w:hAnsi="Times New Roman" w:eastAsia="宋体" w:cs="Times New Roman"/>
          <w:color w:val="auto"/>
          <w:lang w:val="en-US" w:eastAsia="zh-CN"/>
        </w:rPr>
      </w:pPr>
      <w:r>
        <w:rPr>
          <w:rFonts w:hint="default" w:ascii="Times New Roman" w:hAnsi="Times New Roman" w:cs="Times New Roman"/>
          <w:color w:val="auto"/>
          <w:szCs w:val="21"/>
        </w:rPr>
        <w:t>②项目</w:t>
      </w:r>
      <w:r>
        <w:rPr>
          <w:rFonts w:hint="eastAsia" w:cs="Times New Roman"/>
          <w:color w:val="auto"/>
          <w:szCs w:val="21"/>
          <w:lang w:val="en-US" w:eastAsia="zh-CN"/>
        </w:rPr>
        <w:t>按照</w:t>
      </w:r>
      <w:r>
        <w:t>《关于印发&lt;新疆维吾尔自治区2021-2023年农业机械</w:t>
      </w:r>
      <w:r>
        <w:rPr>
          <w:rFonts w:hint="eastAsia"/>
          <w:lang w:eastAsia="zh-CN"/>
        </w:rPr>
        <w:t>购置</w:t>
      </w:r>
      <w:r>
        <w:t>补贴实施方案》（新农机〔2021〕94号）</w:t>
      </w:r>
      <w:r>
        <w:rPr>
          <w:rFonts w:hint="eastAsia"/>
          <w:lang w:val="en-US" w:eastAsia="zh-CN"/>
        </w:rPr>
        <w:t>以及</w:t>
      </w:r>
      <w:r>
        <w:rPr>
          <w:rFonts w:hint="eastAsia" w:cs="Times New Roman"/>
          <w:color w:val="auto"/>
          <w:szCs w:val="21"/>
          <w:lang w:eastAsia="zh-CN"/>
        </w:rPr>
        <w:t>《</w:t>
      </w:r>
      <w:r>
        <w:rPr>
          <w:rFonts w:hint="default" w:ascii="Times New Roman" w:hAnsi="Times New Roman" w:cs="Times New Roman"/>
          <w:color w:val="auto"/>
          <w:szCs w:val="21"/>
        </w:rPr>
        <w:t>关于印发</w:t>
      </w:r>
      <w:r>
        <w:rPr>
          <w:rFonts w:hint="eastAsia" w:cs="Times New Roman"/>
          <w:color w:val="auto"/>
          <w:szCs w:val="21"/>
          <w:lang w:val="en-US" w:eastAsia="zh-CN"/>
        </w:rPr>
        <w:t>&lt;</w:t>
      </w:r>
      <w:r>
        <w:rPr>
          <w:rFonts w:hint="default" w:ascii="Times New Roman" w:hAnsi="Times New Roman" w:cs="Times New Roman"/>
          <w:color w:val="auto"/>
          <w:szCs w:val="21"/>
        </w:rPr>
        <w:t>新疆维吾尔自治区2024-2026年农机购置与应用补贴实施方案</w:t>
      </w:r>
      <w:r>
        <w:rPr>
          <w:rFonts w:hint="eastAsia" w:cs="Times New Roman"/>
          <w:color w:val="auto"/>
          <w:szCs w:val="21"/>
          <w:lang w:val="en-US" w:eastAsia="zh-CN"/>
        </w:rPr>
        <w:t>&gt;</w:t>
      </w:r>
      <w:r>
        <w:rPr>
          <w:rFonts w:hint="default" w:ascii="Times New Roman" w:hAnsi="Times New Roman" w:cs="Times New Roman"/>
          <w:color w:val="auto"/>
          <w:szCs w:val="21"/>
        </w:rPr>
        <w:t>的通知</w:t>
      </w:r>
      <w:r>
        <w:rPr>
          <w:rFonts w:hint="eastAsia" w:cs="Times New Roman"/>
          <w:color w:val="auto"/>
          <w:szCs w:val="21"/>
          <w:lang w:eastAsia="zh-CN"/>
        </w:rPr>
        <w:t>》（</w:t>
      </w:r>
      <w:r>
        <w:rPr>
          <w:rFonts w:hint="default" w:ascii="Times New Roman" w:hAnsi="Times New Roman" w:cs="Times New Roman"/>
          <w:color w:val="auto"/>
          <w:szCs w:val="21"/>
        </w:rPr>
        <w:t>新农机函</w:t>
      </w:r>
      <w:r>
        <w:rPr>
          <w:rFonts w:hint="eastAsia" w:ascii="宋体" w:hAnsi="宋体" w:eastAsia="宋体" w:cs="宋体"/>
          <w:color w:val="auto"/>
          <w:szCs w:val="21"/>
        </w:rPr>
        <w:t>〔</w:t>
      </w:r>
      <w:r>
        <w:rPr>
          <w:rFonts w:hint="default" w:ascii="Times New Roman" w:hAnsi="Times New Roman" w:cs="Times New Roman"/>
          <w:color w:val="auto"/>
          <w:szCs w:val="21"/>
        </w:rPr>
        <w:t>2024</w:t>
      </w:r>
      <w:r>
        <w:rPr>
          <w:rFonts w:hint="eastAsia" w:ascii="宋体" w:hAnsi="宋体" w:eastAsia="宋体" w:cs="宋体"/>
          <w:color w:val="auto"/>
          <w:szCs w:val="21"/>
        </w:rPr>
        <w:t>〕</w:t>
      </w:r>
      <w:r>
        <w:rPr>
          <w:rFonts w:hint="default" w:ascii="Times New Roman" w:hAnsi="Times New Roman" w:cs="Times New Roman"/>
          <w:color w:val="auto"/>
          <w:szCs w:val="21"/>
        </w:rPr>
        <w:t>740号</w:t>
      </w:r>
      <w:r>
        <w:rPr>
          <w:rFonts w:hint="eastAsia" w:cs="Times New Roman"/>
          <w:color w:val="auto"/>
          <w:szCs w:val="21"/>
          <w:lang w:eastAsia="zh-CN"/>
        </w:rPr>
        <w:t>）</w:t>
      </w:r>
      <w:r>
        <w:rPr>
          <w:rFonts w:hint="eastAsia" w:cs="Times New Roman"/>
          <w:color w:val="auto"/>
          <w:szCs w:val="21"/>
          <w:lang w:val="en-US" w:eastAsia="zh-CN"/>
        </w:rPr>
        <w:t>等自治区的</w:t>
      </w:r>
      <w:r>
        <w:rPr>
          <w:rFonts w:hint="default" w:ascii="Times New Roman" w:hAnsi="Times New Roman" w:cs="Times New Roman"/>
          <w:color w:val="auto"/>
          <w:szCs w:val="21"/>
        </w:rPr>
        <w:t>政策要求</w:t>
      </w:r>
      <w:r>
        <w:rPr>
          <w:rFonts w:hint="eastAsia" w:cs="Times New Roman"/>
          <w:color w:val="auto"/>
          <w:szCs w:val="21"/>
          <w:lang w:eastAsia="zh-CN"/>
        </w:rPr>
        <w:t>，</w:t>
      </w:r>
      <w:r>
        <w:rPr>
          <w:rFonts w:hint="eastAsia" w:cs="Times New Roman"/>
          <w:color w:val="auto"/>
          <w:szCs w:val="21"/>
          <w:lang w:val="en-US" w:eastAsia="zh-CN"/>
        </w:rPr>
        <w:t>连续跨年滚动实施中央及自治区财政支持的</w:t>
      </w:r>
      <w:r>
        <w:rPr>
          <w:rFonts w:hint="default" w:ascii="Times New Roman" w:hAnsi="Times New Roman" w:cs="Times New Roman"/>
          <w:color w:val="auto"/>
          <w:szCs w:val="21"/>
        </w:rPr>
        <w:t>农机购置与应用补贴实施</w:t>
      </w:r>
      <w:r>
        <w:rPr>
          <w:rFonts w:hint="eastAsia" w:ascii="Times New Roman" w:hAnsi="Times New Roman" w:cs="Times New Roman"/>
          <w:color w:val="auto"/>
          <w:szCs w:val="21"/>
          <w:lang w:val="en-US" w:eastAsia="zh-CN"/>
        </w:rPr>
        <w:t>任务；并</w:t>
      </w:r>
      <w:r>
        <w:rPr>
          <w:rFonts w:hint="eastAsia" w:ascii="宋体" w:hAnsi="宋体" w:cs="宋体"/>
          <w:sz w:val="21"/>
          <w:szCs w:val="21"/>
          <w:lang w:val="en-US" w:eastAsia="zh-CN"/>
        </w:rPr>
        <w:t>按照《关于印发&lt;新疆维吾尔自治区农业机械报废更新补贴实施方案&gt;的通知》（新农机〔2020〕151号）规定</w:t>
      </w:r>
      <w:r>
        <w:rPr>
          <w:rFonts w:hint="eastAsia" w:ascii="宋体" w:hAnsi="宋体" w:eastAsia="宋体" w:cs="宋体"/>
          <w:sz w:val="21"/>
          <w:szCs w:val="21"/>
          <w:lang w:val="en-US" w:eastAsia="zh-CN"/>
        </w:rPr>
        <w:t>农机报废补贴</w:t>
      </w:r>
      <w:r>
        <w:rPr>
          <w:rFonts w:hint="eastAsia" w:ascii="宋体" w:hAnsi="宋体" w:cs="宋体"/>
          <w:sz w:val="21"/>
          <w:szCs w:val="21"/>
          <w:lang w:val="en-US" w:eastAsia="zh-CN"/>
        </w:rPr>
        <w:t>工作</w:t>
      </w:r>
      <w:r>
        <w:rPr>
          <w:rFonts w:hint="default" w:ascii="Times New Roman" w:hAnsi="Times New Roman" w:cs="Times New Roman"/>
          <w:color w:val="auto"/>
          <w:szCs w:val="21"/>
        </w:rPr>
        <w:t>。</w:t>
      </w:r>
      <w:r>
        <w:rPr>
          <w:rFonts w:hint="eastAsia" w:cs="Times New Roman"/>
          <w:color w:val="auto"/>
          <w:szCs w:val="21"/>
          <w:lang w:val="en-US" w:eastAsia="zh-CN"/>
        </w:rPr>
        <w:t>项目立项符合行业发展规划及地方政策要求。</w:t>
      </w:r>
    </w:p>
    <w:p w14:paraId="6466CF00">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③该项目立项符合</w:t>
      </w:r>
      <w:r>
        <w:rPr>
          <w:rFonts w:hint="eastAsia" w:ascii="Times New Roman" w:hAnsi="Times New Roman" w:cs="Times New Roman"/>
          <w:color w:val="auto"/>
          <w:szCs w:val="21"/>
          <w:lang w:eastAsia="zh-CN"/>
        </w:rPr>
        <w:t>吉木萨尔县</w:t>
      </w:r>
      <w:r>
        <w:rPr>
          <w:rFonts w:hint="default" w:ascii="Times New Roman" w:hAnsi="Times New Roman" w:cs="Times New Roman"/>
          <w:color w:val="auto"/>
          <w:szCs w:val="21"/>
        </w:rPr>
        <w:t>农业农村局</w:t>
      </w:r>
      <w:r>
        <w:rPr>
          <w:rFonts w:hint="eastAsia" w:ascii="Times New Roman" w:hAnsi="Times New Roman" w:cs="Times New Roman"/>
          <w:color w:val="auto"/>
          <w:szCs w:val="21"/>
          <w:lang w:val="en-US" w:eastAsia="zh-CN"/>
        </w:rPr>
        <w:t>关于</w:t>
      </w:r>
      <w:r>
        <w:rPr>
          <w:rFonts w:hint="default" w:ascii="Times New Roman" w:hAnsi="Times New Roman" w:cs="Times New Roman"/>
          <w:color w:val="auto"/>
          <w:szCs w:val="21"/>
        </w:rPr>
        <w:t>“负责种植业、畜牧业、渔业、地方国有农场、农业机械化等农业各产业的监督管理”</w:t>
      </w:r>
      <w:r>
        <w:rPr>
          <w:rFonts w:hint="eastAsia" w:cs="Times New Roman"/>
          <w:color w:val="auto"/>
          <w:szCs w:val="21"/>
          <w:lang w:val="en-US" w:eastAsia="zh-CN"/>
        </w:rPr>
        <w:t>等有关部门职责，</w:t>
      </w:r>
      <w:r>
        <w:rPr>
          <w:rFonts w:hint="default" w:ascii="Times New Roman" w:hAnsi="Times New Roman" w:cs="Times New Roman"/>
          <w:color w:val="auto"/>
          <w:szCs w:val="21"/>
        </w:rPr>
        <w:t>属于</w:t>
      </w:r>
      <w:r>
        <w:rPr>
          <w:rFonts w:hint="eastAsia" w:cs="Times New Roman"/>
          <w:color w:val="auto"/>
          <w:szCs w:val="21"/>
          <w:lang w:val="en-US" w:eastAsia="zh-CN"/>
        </w:rPr>
        <w:t>部门</w:t>
      </w:r>
      <w:r>
        <w:rPr>
          <w:rFonts w:hint="default" w:ascii="Times New Roman" w:hAnsi="Times New Roman" w:cs="Times New Roman"/>
          <w:color w:val="auto"/>
          <w:szCs w:val="21"/>
        </w:rPr>
        <w:t>履职所需。</w:t>
      </w:r>
    </w:p>
    <w:p w14:paraId="07D2BD22">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④</w:t>
      </w:r>
      <w:r>
        <w:t>根据《中华人民共和国农业机械化促进法》第二十七条“中央财政、省级财政应当分别安排专项资金，对农民和农业生产经营组织购买国家支持推广的先进适用的农业机械给予补贴”。</w:t>
      </w:r>
      <w:r>
        <w:rPr>
          <w:rFonts w:hint="eastAsia" w:cs="Times New Roman"/>
          <w:color w:val="auto"/>
          <w:szCs w:val="21"/>
          <w:lang w:val="en-US" w:eastAsia="zh-CN"/>
        </w:rPr>
        <w:t>该项目预算来源为</w:t>
      </w:r>
      <w:r>
        <w:rPr>
          <w:rFonts w:hint="eastAsia" w:cs="Times New Roman"/>
          <w:color w:val="auto"/>
          <w:highlight w:val="none"/>
          <w:lang w:val="en-US" w:eastAsia="zh-CN"/>
        </w:rPr>
        <w:t>中央农业产业发展资金以及自治区农机购置与应用补贴资金</w:t>
      </w:r>
      <w:r>
        <w:rPr>
          <w:rFonts w:hint="default" w:ascii="Times New Roman" w:hAnsi="Times New Roman" w:cs="Times New Roman"/>
          <w:color w:val="auto"/>
          <w:szCs w:val="21"/>
        </w:rPr>
        <w:t>，属于公共财政支持范围，符合中央、地方事权支出责任划分原则。</w:t>
      </w:r>
    </w:p>
    <w:p w14:paraId="6D378D0C">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⑤经查看财政预算一体化大平台和决算数据显示，无相关部门同类项目或部门内部相关项目重复事项。</w:t>
      </w:r>
    </w:p>
    <w:p w14:paraId="3E8E56FE">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1.5</w:t>
      </w:r>
      <w:r>
        <w:rPr>
          <w:rFonts w:hint="default" w:ascii="Times New Roman" w:hAnsi="Times New Roman" w:cs="Times New Roman"/>
          <w:color w:val="auto"/>
        </w:rPr>
        <w:t>0分，根据评分标准得</w:t>
      </w:r>
      <w:r>
        <w:rPr>
          <w:rFonts w:hint="eastAsia" w:ascii="Times New Roman" w:hAnsi="Times New Roman" w:cs="Times New Roman"/>
          <w:color w:val="auto"/>
          <w:lang w:val="en-US" w:eastAsia="zh-CN"/>
        </w:rPr>
        <w:t>1.5</w:t>
      </w:r>
      <w:r>
        <w:rPr>
          <w:rFonts w:hint="default" w:ascii="Times New Roman" w:hAnsi="Times New Roman" w:cs="Times New Roman"/>
          <w:color w:val="auto"/>
        </w:rPr>
        <w:t>0分。</w:t>
      </w:r>
    </w:p>
    <w:p w14:paraId="7AC1CF7E">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（2）A12立项程序规范性：</w:t>
      </w:r>
    </w:p>
    <w:p w14:paraId="68E80718">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该项目为中央农业生产发展资金</w:t>
      </w:r>
      <w:r>
        <w:rPr>
          <w:rFonts w:hint="eastAsia" w:cs="Times New Roman"/>
          <w:color w:val="auto"/>
          <w:highlight w:val="none"/>
          <w:lang w:val="en-US" w:eastAsia="zh-CN"/>
        </w:rPr>
        <w:t>以及自治区农机购置与应用补贴资金支持经常性项目</w:t>
      </w:r>
      <w:r>
        <w:rPr>
          <w:rFonts w:hint="default" w:ascii="Times New Roman" w:hAnsi="Times New Roman" w:cs="Times New Roman"/>
          <w:color w:val="auto"/>
          <w:szCs w:val="21"/>
        </w:rPr>
        <w:t>，</w:t>
      </w:r>
      <w:r>
        <w:rPr>
          <w:rFonts w:hint="eastAsia" w:cs="Times New Roman"/>
          <w:color w:val="auto"/>
          <w:szCs w:val="21"/>
          <w:lang w:val="en-US" w:eastAsia="zh-CN"/>
        </w:rPr>
        <w:t>按照</w:t>
      </w:r>
      <w:r>
        <w:rPr>
          <w:rFonts w:hint="default" w:ascii="Times New Roman" w:hAnsi="Times New Roman" w:cs="Times New Roman"/>
          <w:color w:val="auto"/>
          <w:szCs w:val="21"/>
        </w:rPr>
        <w:t>《关于提前下达2024年中央农业产业发展资金预算的通知》（昌州财农〔2023〕62号）《关于下达 2024年中央农业产业发展资金预算的通知》（昌州财农〔2024〕19号）《关于下达 2024 年自治区农机购置与应用补贴资金预算的通知》（昌州财农〔2024</w:t>
      </w:r>
      <w:r>
        <w:rPr>
          <w:rFonts w:hint="eastAsia" w:ascii="宋体" w:hAnsi="宋体" w:eastAsia="宋体" w:cs="宋体"/>
          <w:color w:val="auto"/>
          <w:szCs w:val="21"/>
        </w:rPr>
        <w:t>〕</w:t>
      </w:r>
      <w:r>
        <w:rPr>
          <w:rFonts w:hint="default" w:ascii="Times New Roman" w:hAnsi="Times New Roman" w:cs="Times New Roman"/>
          <w:color w:val="auto"/>
          <w:szCs w:val="21"/>
        </w:rPr>
        <w:t>27号）下达的专项资金安排内容设立项目，项目的实施有现行的政策文件参照执行。</w:t>
      </w:r>
    </w:p>
    <w:p w14:paraId="6F9285EA">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1.5</w:t>
      </w:r>
      <w:r>
        <w:rPr>
          <w:rFonts w:hint="default" w:ascii="Times New Roman" w:hAnsi="Times New Roman" w:cs="Times New Roman"/>
          <w:color w:val="auto"/>
        </w:rPr>
        <w:t>0分，根据评分标准得</w:t>
      </w:r>
      <w:r>
        <w:rPr>
          <w:rFonts w:hint="eastAsia" w:ascii="Times New Roman" w:hAnsi="Times New Roman" w:cs="Times New Roman"/>
          <w:color w:val="auto"/>
          <w:lang w:val="en-US" w:eastAsia="zh-CN"/>
        </w:rPr>
        <w:t>1.5</w:t>
      </w:r>
      <w:r>
        <w:rPr>
          <w:rFonts w:hint="default" w:ascii="Times New Roman" w:hAnsi="Times New Roman" w:cs="Times New Roman"/>
          <w:color w:val="auto"/>
        </w:rPr>
        <w:t>0分。</w:t>
      </w:r>
    </w:p>
    <w:p w14:paraId="3294EF72">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（3）A21绩效目标合理性：</w:t>
      </w:r>
    </w:p>
    <w:p w14:paraId="1235E04C">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根据项目实施单位提供的《项目支出</w:t>
      </w:r>
      <w:r>
        <w:rPr>
          <w:rFonts w:hint="eastAsia" w:cs="Times New Roman"/>
          <w:color w:val="auto"/>
          <w:szCs w:val="21"/>
          <w:lang w:val="en-US" w:eastAsia="zh-CN"/>
        </w:rPr>
        <w:t>绩效目标</w:t>
      </w:r>
      <w:r>
        <w:rPr>
          <w:rFonts w:hint="default" w:ascii="Times New Roman" w:hAnsi="Times New Roman" w:cs="Times New Roman"/>
          <w:color w:val="auto"/>
          <w:szCs w:val="21"/>
        </w:rPr>
        <w:t>表》，得出如下结论：</w:t>
      </w:r>
    </w:p>
    <w:p w14:paraId="44851B26">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①该项目已设置绩效目标，设置内容为“农机购置与应用补贴项目，资金拨付我县农机购置补贴惠农资金1299.019万元。计划于2024年12月30日完成，通过本项目的实施，补贴各类机具900台，享受补贴农户500户，争取使受益农户满意度不低于90%。通过惠农资金支持提高农业生产、增加农民收入。”</w:t>
      </w:r>
    </w:p>
    <w:p w14:paraId="319A0E6E">
      <w:pPr>
        <w:adjustRightInd w:val="0"/>
        <w:snapToGrid w:val="0"/>
        <w:ind w:firstLine="420"/>
        <w:rPr>
          <w:rFonts w:hint="default" w:ascii="Times New Roman" w:hAnsi="Times New Roman" w:cs="Times New Roman"/>
          <w:color w:val="auto"/>
        </w:rPr>
      </w:pPr>
      <w:r>
        <w:rPr>
          <w:rFonts w:hint="eastAsia" w:cs="Times New Roman"/>
          <w:color w:val="auto"/>
          <w:szCs w:val="21"/>
          <w:lang w:val="en-US" w:eastAsia="zh-CN"/>
        </w:rPr>
        <w:t>②</w:t>
      </w:r>
      <w:r>
        <w:rPr>
          <w:rFonts w:hint="default" w:ascii="Times New Roman" w:hAnsi="Times New Roman" w:cs="Times New Roman"/>
          <w:color w:val="auto"/>
          <w:szCs w:val="21"/>
        </w:rPr>
        <w:t>项目预期产出效益和效果根据项目实施内容设置，通过发放农机购置补贴，鼓励农户购买农机具，以提升保障粮食安全能力，提高农作物耕种收综合机械化率，提升农业生产社会化服务水平。综上，项目预期产出效益和效果符合正常的业绩水平。</w:t>
      </w:r>
    </w:p>
    <w:p w14:paraId="1F93D2F5">
      <w:pPr>
        <w:adjustRightInd w:val="0"/>
        <w:snapToGrid w:val="0"/>
        <w:ind w:firstLine="420"/>
        <w:rPr>
          <w:rFonts w:hint="default" w:ascii="Times New Roman" w:hAnsi="Times New Roman" w:cs="Times New Roman"/>
          <w:color w:val="auto"/>
        </w:rPr>
      </w:pPr>
      <w:r>
        <w:rPr>
          <w:rFonts w:hint="eastAsia" w:cs="Times New Roman"/>
          <w:color w:val="auto"/>
          <w:szCs w:val="21"/>
          <w:lang w:val="en-US" w:eastAsia="zh-CN"/>
        </w:rPr>
        <w:t>③</w:t>
      </w:r>
      <w:r>
        <w:rPr>
          <w:rFonts w:hint="default" w:ascii="Times New Roman" w:hAnsi="Times New Roman" w:cs="Times New Roman"/>
          <w:color w:val="auto"/>
          <w:szCs w:val="21"/>
        </w:rPr>
        <w:t>根据《关于提前下达2024年中央农业产业发展资金预算的通知》（昌州财农〔2023〕62号）《关于下达 2024年中央农业产业发展资金预算的通知》（昌州财农〔2024〕19号）《关于下达 2024 年自治区农机购置与应用补贴资金预算的通知》（昌州财农〔2024</w:t>
      </w:r>
      <w:r>
        <w:rPr>
          <w:rFonts w:hint="eastAsia" w:ascii="宋体" w:hAnsi="宋体" w:eastAsia="宋体" w:cs="宋体"/>
          <w:color w:val="auto"/>
          <w:szCs w:val="21"/>
        </w:rPr>
        <w:t>〕</w:t>
      </w:r>
      <w:r>
        <w:rPr>
          <w:rFonts w:hint="default" w:ascii="Times New Roman" w:hAnsi="Times New Roman" w:cs="Times New Roman"/>
          <w:color w:val="auto"/>
          <w:szCs w:val="21"/>
        </w:rPr>
        <w:t>27号）显示，该项目确定项目金额为</w:t>
      </w:r>
      <w:r>
        <w:rPr>
          <w:rFonts w:hint="eastAsia" w:cs="Times New Roman"/>
          <w:color w:val="auto"/>
          <w:szCs w:val="21"/>
          <w:lang w:val="en-US" w:eastAsia="zh-CN"/>
        </w:rPr>
        <w:t>1,299.00</w:t>
      </w:r>
      <w:r>
        <w:rPr>
          <w:rFonts w:hint="default" w:ascii="Times New Roman" w:hAnsi="Times New Roman" w:cs="Times New Roman"/>
          <w:color w:val="auto"/>
          <w:szCs w:val="21"/>
        </w:rPr>
        <w:t>万元，项目实施单位提供的《项目支出绩效自评表》中项目金额资金相匹配。</w:t>
      </w:r>
    </w:p>
    <w:p w14:paraId="0E6B6BEF">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该指标满分为2.00分，根据评分标准得</w:t>
      </w:r>
      <w:r>
        <w:rPr>
          <w:rFonts w:hint="eastAsia" w:cs="Times New Roman"/>
          <w:color w:val="auto"/>
          <w:lang w:val="en-US" w:eastAsia="zh-CN"/>
        </w:rPr>
        <w:t>2.0</w:t>
      </w:r>
      <w:r>
        <w:rPr>
          <w:rFonts w:hint="default" w:ascii="Times New Roman" w:hAnsi="Times New Roman" w:cs="Times New Roman"/>
          <w:color w:val="auto"/>
        </w:rPr>
        <w:t>0分。</w:t>
      </w:r>
    </w:p>
    <w:p w14:paraId="36CC691F">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（4）A22绩效指标明确性：</w:t>
      </w:r>
    </w:p>
    <w:p w14:paraId="7D8A6E6F">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根据《项目支出绩效</w:t>
      </w:r>
      <w:r>
        <w:rPr>
          <w:rFonts w:hint="eastAsia" w:cs="Times New Roman"/>
          <w:color w:val="auto"/>
          <w:szCs w:val="21"/>
          <w:lang w:val="en-US" w:eastAsia="zh-CN"/>
        </w:rPr>
        <w:t>目标</w:t>
      </w:r>
      <w:r>
        <w:rPr>
          <w:rFonts w:hint="default" w:ascii="Times New Roman" w:hAnsi="Times New Roman" w:cs="Times New Roman"/>
          <w:color w:val="auto"/>
          <w:szCs w:val="21"/>
        </w:rPr>
        <w:t>表》，项目实施单位已将绩效目标分解为具体的绩效指标，共设置一级指标</w:t>
      </w:r>
      <w:r>
        <w:rPr>
          <w:rFonts w:hint="eastAsia" w:cs="Times New Roman"/>
          <w:color w:val="auto"/>
          <w:szCs w:val="21"/>
          <w:lang w:val="en-US" w:eastAsia="zh-CN"/>
        </w:rPr>
        <w:t>4</w:t>
      </w:r>
      <w:r>
        <w:rPr>
          <w:rFonts w:hint="default" w:ascii="Times New Roman" w:hAnsi="Times New Roman" w:cs="Times New Roman"/>
          <w:color w:val="auto"/>
          <w:szCs w:val="21"/>
        </w:rPr>
        <w:t>个，二级指标</w:t>
      </w:r>
      <w:r>
        <w:rPr>
          <w:rFonts w:hint="eastAsia" w:cs="Times New Roman"/>
          <w:color w:val="auto"/>
          <w:szCs w:val="21"/>
          <w:lang w:val="en-US" w:eastAsia="zh-CN"/>
        </w:rPr>
        <w:t>6</w:t>
      </w:r>
      <w:r>
        <w:rPr>
          <w:rFonts w:hint="default" w:ascii="Times New Roman" w:hAnsi="Times New Roman" w:cs="Times New Roman"/>
          <w:color w:val="auto"/>
          <w:szCs w:val="21"/>
        </w:rPr>
        <w:t>个，三级指标</w:t>
      </w:r>
      <w:r>
        <w:rPr>
          <w:rFonts w:hint="eastAsia" w:cs="Times New Roman"/>
          <w:color w:val="auto"/>
          <w:szCs w:val="21"/>
          <w:lang w:val="en-US" w:eastAsia="zh-CN"/>
        </w:rPr>
        <w:t>9</w:t>
      </w:r>
      <w:r>
        <w:rPr>
          <w:rFonts w:hint="default" w:ascii="Times New Roman" w:hAnsi="Times New Roman" w:cs="Times New Roman"/>
          <w:color w:val="auto"/>
          <w:szCs w:val="21"/>
        </w:rPr>
        <w:t>个，其中：定量指标</w:t>
      </w:r>
      <w:r>
        <w:rPr>
          <w:rFonts w:hint="eastAsia" w:cs="Times New Roman"/>
          <w:color w:val="auto"/>
          <w:szCs w:val="21"/>
          <w:lang w:val="en-US" w:eastAsia="zh-CN"/>
        </w:rPr>
        <w:t>8</w:t>
      </w:r>
      <w:r>
        <w:rPr>
          <w:rFonts w:hint="default" w:ascii="Times New Roman" w:hAnsi="Times New Roman" w:cs="Times New Roman"/>
          <w:color w:val="auto"/>
          <w:szCs w:val="21"/>
        </w:rPr>
        <w:t>个，定性指标</w:t>
      </w:r>
      <w:r>
        <w:rPr>
          <w:rFonts w:hint="eastAsia" w:cs="Times New Roman"/>
          <w:color w:val="auto"/>
          <w:szCs w:val="21"/>
          <w:lang w:val="en-US" w:eastAsia="zh-CN"/>
        </w:rPr>
        <w:t>1</w:t>
      </w:r>
      <w:r>
        <w:rPr>
          <w:rFonts w:hint="default" w:ascii="Times New Roman" w:hAnsi="Times New Roman" w:cs="Times New Roman"/>
          <w:color w:val="auto"/>
          <w:szCs w:val="21"/>
        </w:rPr>
        <w:t>个，指标量化率为8</w:t>
      </w:r>
      <w:r>
        <w:rPr>
          <w:rFonts w:hint="eastAsia" w:cs="Times New Roman"/>
          <w:color w:val="auto"/>
          <w:szCs w:val="21"/>
          <w:lang w:val="en-US" w:eastAsia="zh-CN"/>
        </w:rPr>
        <w:t>9</w:t>
      </w:r>
      <w:r>
        <w:rPr>
          <w:rFonts w:hint="default" w:ascii="Times New Roman" w:hAnsi="Times New Roman" w:cs="Times New Roman"/>
          <w:color w:val="auto"/>
          <w:szCs w:val="21"/>
        </w:rPr>
        <w:t>%，</w:t>
      </w:r>
      <w:r>
        <w:rPr>
          <w:rFonts w:hint="eastAsia" w:cs="Times New Roman"/>
          <w:color w:val="auto"/>
          <w:szCs w:val="21"/>
          <w:lang w:val="en-US" w:eastAsia="zh-CN"/>
        </w:rPr>
        <w:t>指标</w:t>
      </w:r>
      <w:r>
        <w:rPr>
          <w:rFonts w:hint="default" w:ascii="Times New Roman" w:hAnsi="Times New Roman" w:cs="Times New Roman"/>
          <w:color w:val="auto"/>
          <w:szCs w:val="21"/>
        </w:rPr>
        <w:t>具有可衡量性；项目已设置明确的数量、时效指标；绩效目标与《关于提前下达2024年中央农业产业发展资金预算的通知》（昌州财农〔2023〕62号）《关于下达 2024年中央农业产业发展资金预算的通知》（昌州财农〔2024〕19号）预算内容相关联。</w:t>
      </w:r>
    </w:p>
    <w:p w14:paraId="7ED1425F">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2</w:t>
      </w:r>
      <w:r>
        <w:rPr>
          <w:rFonts w:hint="default" w:ascii="Times New Roman" w:hAnsi="Times New Roman" w:cs="Times New Roman"/>
          <w:color w:val="auto"/>
        </w:rPr>
        <w:t>.00分，根据评分标准得</w:t>
      </w:r>
      <w:r>
        <w:rPr>
          <w:rFonts w:hint="eastAsia" w:ascii="Times New Roman" w:hAnsi="Times New Roman" w:cs="Times New Roman"/>
          <w:color w:val="auto"/>
          <w:lang w:val="en-US" w:eastAsia="zh-CN"/>
        </w:rPr>
        <w:t>2.</w:t>
      </w:r>
      <w:r>
        <w:rPr>
          <w:rFonts w:hint="default" w:ascii="Times New Roman" w:hAnsi="Times New Roman" w:cs="Times New Roman"/>
          <w:color w:val="auto"/>
        </w:rPr>
        <w:t>00分。</w:t>
      </w:r>
    </w:p>
    <w:p w14:paraId="12B3C170">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（5）A31预算编制科学性：</w:t>
      </w:r>
    </w:p>
    <w:p w14:paraId="6E01F757">
      <w:pPr>
        <w:adjustRightInd w:val="0"/>
        <w:snapToGrid w:val="0"/>
        <w:ind w:firstLine="420"/>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该项目为中央农业生产发展资金</w:t>
      </w:r>
      <w:r>
        <w:rPr>
          <w:rFonts w:hint="eastAsia" w:cs="Times New Roman"/>
          <w:color w:val="auto"/>
          <w:highlight w:val="none"/>
          <w:lang w:val="en-US" w:eastAsia="zh-CN"/>
        </w:rPr>
        <w:t>以及自治区农机购置与应用补贴资金支持政策性项目</w:t>
      </w:r>
      <w:r>
        <w:rPr>
          <w:rFonts w:hint="eastAsia" w:cs="Times New Roman"/>
          <w:color w:val="auto"/>
          <w:szCs w:val="21"/>
          <w:lang w:val="en-US" w:eastAsia="zh-CN"/>
        </w:rPr>
        <w:t>。吉木萨尔县农业农村局按照自治区农业农村厅下发《关于开展2024年农机购置与应用补贴资金需求测算和补贴资金缺口情况自查及专题调研的通知》要求，开展了农机购置与应用补贴资金需求测算和补贴资金缺口情况自查及专题调研工作，并于2023年8月30日编制了《吉木萨尔县2024年农机购置与应用补贴资金需求测算和补贴资金缺口情况自查及专题调研情况报告》，提出“2024年，吉木萨尔县需求中央财政农机购置与应用补贴资金1,500.00万元。其中：2024年新购机需求500.00万元、2023年预计资金缺口1,000.00万元。”，并且填写了《中央财政农机购置与应用补贴资金需求调查表》，详细列明了2024年新购机需求，主要机具型号，台数，购机资金，补贴资金需求数等。由</w:t>
      </w:r>
      <w:r>
        <w:rPr>
          <w:rFonts w:hint="eastAsia"/>
          <w:lang w:val="en-US" w:eastAsia="zh-CN"/>
        </w:rPr>
        <w:t>昌吉州</w:t>
      </w:r>
      <w:r>
        <w:rPr>
          <w:rFonts w:hint="eastAsia"/>
          <w:lang w:eastAsia="zh-CN"/>
        </w:rPr>
        <w:t>财政</w:t>
      </w:r>
      <w:r>
        <w:rPr>
          <w:rFonts w:hint="eastAsia"/>
          <w:lang w:val="en-US" w:eastAsia="zh-CN"/>
        </w:rPr>
        <w:t>局</w:t>
      </w:r>
      <w:r>
        <w:rPr>
          <w:rFonts w:hint="eastAsia"/>
          <w:lang w:eastAsia="zh-CN"/>
        </w:rPr>
        <w:t>会同</w:t>
      </w:r>
      <w:r>
        <w:rPr>
          <w:rFonts w:hint="eastAsia"/>
          <w:lang w:val="en-US" w:eastAsia="zh-CN"/>
        </w:rPr>
        <w:t>昌吉州农业农村局负责对县级</w:t>
      </w:r>
      <w:r>
        <w:rPr>
          <w:rFonts w:hint="eastAsia"/>
          <w:lang w:eastAsia="zh-CN"/>
        </w:rPr>
        <w:t>资金需求</w:t>
      </w:r>
      <w:r>
        <w:rPr>
          <w:rFonts w:hint="eastAsia"/>
          <w:lang w:val="en-US" w:eastAsia="zh-CN"/>
        </w:rPr>
        <w:t>进行</w:t>
      </w:r>
      <w:r>
        <w:rPr>
          <w:rFonts w:hint="eastAsia"/>
          <w:lang w:eastAsia="zh-CN"/>
        </w:rPr>
        <w:t>摸底、分配等工作，</w:t>
      </w:r>
      <w:r>
        <w:rPr>
          <w:rFonts w:hint="eastAsia"/>
          <w:lang w:val="en-US" w:eastAsia="zh-CN"/>
        </w:rPr>
        <w:t>按</w:t>
      </w:r>
      <w:r>
        <w:rPr>
          <w:rFonts w:hint="eastAsia"/>
          <w:lang w:eastAsia="zh-CN"/>
        </w:rPr>
        <w:t>不突破县级需求上限分配</w:t>
      </w:r>
      <w:r>
        <w:rPr>
          <w:rFonts w:hint="eastAsia"/>
          <w:lang w:val="en-US" w:eastAsia="zh-CN"/>
        </w:rPr>
        <w:t>预算</w:t>
      </w:r>
      <w:r>
        <w:rPr>
          <w:rFonts w:hint="eastAsia"/>
          <w:lang w:eastAsia="zh-CN"/>
        </w:rPr>
        <w:t>资金</w:t>
      </w:r>
      <w:r>
        <w:rPr>
          <w:rFonts w:hint="eastAsia"/>
          <w:lang w:val="en-US" w:eastAsia="zh-CN"/>
        </w:rPr>
        <w:t>额度为1,299.00万元。项目按规定程序开展预算编制申报和预算分配工作，预算额度和预算内容相匹配</w:t>
      </w:r>
      <w:r>
        <w:t>。</w:t>
      </w:r>
    </w:p>
    <w:p w14:paraId="7FC747F5">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1.5</w:t>
      </w:r>
      <w:r>
        <w:rPr>
          <w:rFonts w:hint="default" w:ascii="Times New Roman" w:hAnsi="Times New Roman" w:cs="Times New Roman"/>
          <w:color w:val="auto"/>
        </w:rPr>
        <w:t>0分，根据评分标准得</w:t>
      </w:r>
      <w:r>
        <w:rPr>
          <w:rFonts w:hint="eastAsia" w:ascii="Times New Roman" w:hAnsi="Times New Roman" w:cs="Times New Roman"/>
          <w:color w:val="auto"/>
          <w:lang w:val="en-US" w:eastAsia="zh-CN"/>
        </w:rPr>
        <w:t>1.5</w:t>
      </w:r>
      <w:r>
        <w:rPr>
          <w:rFonts w:hint="default" w:ascii="Times New Roman" w:hAnsi="Times New Roman" w:cs="Times New Roman"/>
          <w:color w:val="auto"/>
        </w:rPr>
        <w:t>0分。</w:t>
      </w:r>
    </w:p>
    <w:p w14:paraId="78FB93A0">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（6）A32资金分配合理性：</w:t>
      </w:r>
    </w:p>
    <w:p w14:paraId="00C8EDDF">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该项目资金分配严格以《关于提前下达2024年中央农业产业发展资金预算的通知》（昌州财农〔2023〕62号）《关于下达 2024年中央农业产业发展资金预算的通知》（昌州财农〔2024〕19号）《关于下达 2024 年自治区农机购置与应用补贴资金预算的通知》（昌州财农〔2024</w:t>
      </w:r>
      <w:r>
        <w:rPr>
          <w:rFonts w:hint="eastAsia" w:ascii="宋体" w:hAnsi="宋体" w:eastAsia="宋体" w:cs="宋体"/>
          <w:color w:val="auto"/>
          <w:szCs w:val="21"/>
        </w:rPr>
        <w:t>〕</w:t>
      </w:r>
      <w:r>
        <w:rPr>
          <w:rFonts w:hint="default" w:ascii="Times New Roman" w:hAnsi="Times New Roman" w:cs="Times New Roman"/>
          <w:color w:val="auto"/>
          <w:szCs w:val="21"/>
        </w:rPr>
        <w:t>27号）、《</w:t>
      </w:r>
      <w:r>
        <w:rPr>
          <w:rFonts w:hint="eastAsia" w:ascii="Times New Roman" w:hAnsi="Times New Roman" w:cs="Times New Roman"/>
          <w:color w:val="auto"/>
          <w:szCs w:val="21"/>
          <w:lang w:eastAsia="zh-CN"/>
        </w:rPr>
        <w:t>吉木萨尔县</w:t>
      </w:r>
      <w:r>
        <w:rPr>
          <w:rFonts w:hint="default" w:ascii="Times New Roman" w:hAnsi="Times New Roman" w:cs="Times New Roman"/>
          <w:color w:val="auto"/>
          <w:szCs w:val="21"/>
        </w:rPr>
        <w:t>202</w:t>
      </w:r>
      <w:r>
        <w:rPr>
          <w:rFonts w:hint="eastAsia" w:cs="Times New Roman"/>
          <w:color w:val="auto"/>
          <w:szCs w:val="21"/>
          <w:lang w:val="en-US" w:eastAsia="zh-CN"/>
        </w:rPr>
        <w:t>4</w:t>
      </w:r>
      <w:r>
        <w:rPr>
          <w:rFonts w:hint="default" w:ascii="Times New Roman" w:hAnsi="Times New Roman" w:cs="Times New Roman"/>
          <w:color w:val="auto"/>
          <w:szCs w:val="21"/>
        </w:rPr>
        <w:t>-202</w:t>
      </w:r>
      <w:r>
        <w:rPr>
          <w:rFonts w:hint="eastAsia" w:cs="Times New Roman"/>
          <w:color w:val="auto"/>
          <w:szCs w:val="21"/>
          <w:lang w:val="en-US" w:eastAsia="zh-CN"/>
        </w:rPr>
        <w:t>6</w:t>
      </w:r>
      <w:r>
        <w:rPr>
          <w:rFonts w:hint="default" w:ascii="Times New Roman" w:hAnsi="Times New Roman" w:cs="Times New Roman"/>
          <w:color w:val="auto"/>
          <w:szCs w:val="21"/>
        </w:rPr>
        <w:t>年农机购置与应用补贴实施方案》为依据进行资金分配，预算资金分配依据充分，资金分配额度与地方实际相适应。</w:t>
      </w:r>
    </w:p>
    <w:p w14:paraId="1ABE784E">
      <w:pPr>
        <w:adjustRightInd w:val="0"/>
        <w:snapToGrid w:val="0"/>
        <w:ind w:firstLine="420"/>
        <w:rPr>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1.5</w:t>
      </w:r>
      <w:r>
        <w:rPr>
          <w:rFonts w:hint="default" w:ascii="Times New Roman" w:hAnsi="Times New Roman" w:cs="Times New Roman"/>
          <w:color w:val="auto"/>
        </w:rPr>
        <w:t>0分，根据评分标准得</w:t>
      </w:r>
      <w:r>
        <w:rPr>
          <w:rFonts w:hint="eastAsia" w:ascii="Times New Roman" w:hAnsi="Times New Roman" w:cs="Times New Roman"/>
          <w:color w:val="auto"/>
          <w:lang w:val="en-US" w:eastAsia="zh-CN"/>
        </w:rPr>
        <w:t>1.5</w:t>
      </w:r>
      <w:r>
        <w:rPr>
          <w:rFonts w:hint="default" w:ascii="Times New Roman" w:hAnsi="Times New Roman" w:cs="Times New Roman"/>
          <w:color w:val="auto"/>
        </w:rPr>
        <w:t>0分</w:t>
      </w:r>
      <w:r>
        <w:rPr>
          <w:color w:val="auto"/>
        </w:rPr>
        <w:t>。</w:t>
      </w:r>
    </w:p>
    <w:p w14:paraId="2A5578A1">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86" w:name="_Toc25310"/>
      <w:bookmarkStart w:id="87" w:name="_Toc20481"/>
      <w:r>
        <w:rPr>
          <w:rFonts w:ascii="Times New Roman" w:hAnsi="Times New Roman"/>
          <w:color w:val="auto"/>
        </w:rPr>
        <w:t>（二）项目过程情况</w:t>
      </w:r>
      <w:bookmarkEnd w:id="86"/>
      <w:bookmarkEnd w:id="87"/>
    </w:p>
    <w:p w14:paraId="70A555E0">
      <w:pPr>
        <w:pageBreakBefore w:val="0"/>
        <w:kinsoku/>
        <w:wordWrap/>
        <w:overflowPunct/>
        <w:topLinePunct w:val="0"/>
        <w:autoSpaceDE/>
        <w:autoSpaceDN/>
        <w:bidi w:val="0"/>
        <w:snapToGrid w:val="0"/>
        <w:spacing w:before="0" w:after="0" w:line="360" w:lineRule="auto"/>
        <w:ind w:firstLine="420"/>
        <w:rPr>
          <w:color w:val="auto"/>
        </w:rPr>
      </w:pPr>
      <w:r>
        <w:rPr>
          <w:color w:val="auto"/>
        </w:rPr>
        <w:t>项目过程类指标由</w:t>
      </w:r>
      <w:r>
        <w:rPr>
          <w:rFonts w:hint="eastAsia" w:ascii="Times New Roman" w:hAnsi="Times New Roman" w:cs="Times New Roman"/>
          <w:color w:val="auto"/>
          <w:sz w:val="21"/>
          <w:szCs w:val="21"/>
          <w:lang w:eastAsia="zh-CN"/>
        </w:rPr>
        <w:t>2</w:t>
      </w:r>
      <w:r>
        <w:rPr>
          <w:color w:val="auto"/>
        </w:rPr>
        <w:t>个二级指标和</w:t>
      </w:r>
      <w:r>
        <w:rPr>
          <w:rFonts w:hint="eastAsia" w:ascii="Times New Roman" w:hAnsi="Times New Roman" w:cs="Times New Roman"/>
          <w:color w:val="auto"/>
          <w:sz w:val="21"/>
          <w:szCs w:val="21"/>
          <w:lang w:val="en-US" w:eastAsia="zh-CN"/>
        </w:rPr>
        <w:t>5</w:t>
      </w:r>
      <w:r>
        <w:rPr>
          <w:color w:val="auto"/>
        </w:rPr>
        <w:t>个三级指标构成，权重分</w:t>
      </w:r>
      <w:r>
        <w:rPr>
          <w:rFonts w:hint="eastAsia" w:ascii="Times New Roman" w:hAnsi="Times New Roman" w:cs="Times New Roman"/>
          <w:color w:val="auto"/>
          <w:sz w:val="21"/>
          <w:szCs w:val="21"/>
          <w:lang w:eastAsia="zh-CN"/>
        </w:rPr>
        <w:t>25.00</w:t>
      </w:r>
      <w:r>
        <w:rPr>
          <w:color w:val="auto"/>
        </w:rPr>
        <w:t>分，实际得分</w:t>
      </w:r>
      <w:r>
        <w:rPr>
          <w:rFonts w:hint="eastAsia" w:ascii="Times New Roman" w:hAnsi="Times New Roman" w:cs="Times New Roman"/>
          <w:color w:val="auto"/>
          <w:sz w:val="21"/>
          <w:szCs w:val="21"/>
          <w:lang w:eastAsia="zh-CN"/>
        </w:rPr>
        <w:t>2</w:t>
      </w:r>
      <w:r>
        <w:rPr>
          <w:rFonts w:hint="eastAsia" w:cs="Times New Roman"/>
          <w:color w:val="auto"/>
          <w:sz w:val="21"/>
          <w:szCs w:val="21"/>
          <w:lang w:val="en-US" w:eastAsia="zh-CN"/>
        </w:rPr>
        <w:t>5</w:t>
      </w:r>
      <w:r>
        <w:rPr>
          <w:rFonts w:hint="eastAsia" w:ascii="Times New Roman" w:hAnsi="Times New Roman" w:cs="Times New Roman"/>
          <w:color w:val="auto"/>
          <w:sz w:val="21"/>
          <w:szCs w:val="21"/>
          <w:lang w:eastAsia="zh-CN"/>
        </w:rPr>
        <w:t>.00</w:t>
      </w:r>
      <w:r>
        <w:rPr>
          <w:color w:val="auto"/>
        </w:rPr>
        <w:t>分</w:t>
      </w:r>
      <w:r>
        <w:rPr>
          <w:rFonts w:hint="eastAsia"/>
          <w:color w:val="auto"/>
        </w:rPr>
        <w:t>，得分率为</w:t>
      </w:r>
      <w:r>
        <w:rPr>
          <w:rFonts w:hint="eastAsia" w:cs="Times New Roman"/>
          <w:color w:val="auto"/>
          <w:sz w:val="21"/>
          <w:szCs w:val="21"/>
          <w:lang w:val="en-US" w:eastAsia="zh-CN"/>
        </w:rPr>
        <w:t>100</w:t>
      </w:r>
      <w:r>
        <w:rPr>
          <w:rFonts w:hint="eastAsia" w:ascii="Times New Roman" w:hAnsi="Times New Roman" w:cs="Times New Roman"/>
          <w:color w:val="auto"/>
          <w:sz w:val="21"/>
          <w:szCs w:val="21"/>
          <w:lang w:eastAsia="zh-CN"/>
        </w:rPr>
        <w:t>.00%</w:t>
      </w:r>
      <w:r>
        <w:rPr>
          <w:color w:val="auto"/>
        </w:rPr>
        <w:t>。各指标业绩值和绩效分值如下表所示：</w:t>
      </w:r>
    </w:p>
    <w:p w14:paraId="3607DFC7">
      <w:pPr>
        <w:pageBreakBefore w:val="0"/>
        <w:kinsoku/>
        <w:wordWrap/>
        <w:overflowPunct/>
        <w:topLinePunct w:val="0"/>
        <w:autoSpaceDE/>
        <w:autoSpaceDN/>
        <w:bidi w:val="0"/>
        <w:snapToGrid w:val="0"/>
        <w:spacing w:before="0" w:after="0" w:line="360" w:lineRule="auto"/>
        <w:ind w:firstLine="0" w:firstLineChars="0"/>
        <w:jc w:val="center"/>
        <w:rPr>
          <w:rFonts w:eastAsia="黑体"/>
          <w:color w:val="auto"/>
        </w:rPr>
      </w:pPr>
      <w:r>
        <w:rPr>
          <w:b/>
          <w:bCs/>
          <w:color w:val="auto"/>
          <w:szCs w:val="16"/>
        </w:rPr>
        <w:t>表</w:t>
      </w:r>
      <w:r>
        <w:rPr>
          <w:rFonts w:hint="eastAsia"/>
          <w:b/>
          <w:bCs/>
          <w:color w:val="auto"/>
          <w:szCs w:val="16"/>
          <w:lang w:val="en-US" w:eastAsia="zh-CN"/>
        </w:rPr>
        <w:t>5</w:t>
      </w:r>
      <w:r>
        <w:rPr>
          <w:b/>
          <w:bCs/>
          <w:color w:val="auto"/>
          <w:szCs w:val="16"/>
        </w:rPr>
        <w:t>-2：项目过程类指标及分值</w:t>
      </w:r>
    </w:p>
    <w:tbl>
      <w:tblPr>
        <w:tblStyle w:val="2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6"/>
        <w:gridCol w:w="1110"/>
        <w:gridCol w:w="2018"/>
        <w:gridCol w:w="839"/>
        <w:gridCol w:w="1108"/>
        <w:gridCol w:w="757"/>
        <w:gridCol w:w="688"/>
        <w:gridCol w:w="852"/>
      </w:tblGrid>
      <w:tr w14:paraId="6FDED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7" w:type="pct"/>
            <w:vAlign w:val="center"/>
          </w:tcPr>
          <w:p w14:paraId="174D1EC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661" w:type="pct"/>
            <w:vAlign w:val="center"/>
          </w:tcPr>
          <w:p w14:paraId="5539630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201" w:type="pct"/>
            <w:vAlign w:val="center"/>
          </w:tcPr>
          <w:p w14:paraId="2829956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500" w:type="pct"/>
            <w:vAlign w:val="center"/>
          </w:tcPr>
          <w:p w14:paraId="0EC924E7">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660" w:type="pct"/>
            <w:vAlign w:val="center"/>
          </w:tcPr>
          <w:p w14:paraId="23AEAE75">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451" w:type="pct"/>
            <w:vAlign w:val="center"/>
          </w:tcPr>
          <w:p w14:paraId="5D2CE9D5">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410" w:type="pct"/>
            <w:vAlign w:val="center"/>
          </w:tcPr>
          <w:p w14:paraId="316D9E9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498" w:type="pct"/>
            <w:vAlign w:val="center"/>
          </w:tcPr>
          <w:p w14:paraId="58C192C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14:paraId="1499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restart"/>
            <w:vAlign w:val="center"/>
          </w:tcPr>
          <w:p w14:paraId="44F59D4A">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sz w:val="20"/>
                <w:szCs w:val="20"/>
              </w:rPr>
              <w:t>B过程（25.00分）</w:t>
            </w:r>
          </w:p>
        </w:tc>
        <w:tc>
          <w:tcPr>
            <w:tcW w:w="661" w:type="pct"/>
            <w:vMerge w:val="restart"/>
            <w:vAlign w:val="center"/>
          </w:tcPr>
          <w:p w14:paraId="5908F6B0">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B1资金管理（13.00分）</w:t>
            </w:r>
          </w:p>
        </w:tc>
        <w:tc>
          <w:tcPr>
            <w:tcW w:w="1201" w:type="pct"/>
            <w:vAlign w:val="center"/>
          </w:tcPr>
          <w:p w14:paraId="58305A85">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B11资金到位率</w:t>
            </w:r>
          </w:p>
        </w:tc>
        <w:tc>
          <w:tcPr>
            <w:tcW w:w="841" w:type="dxa"/>
            <w:vAlign w:val="center"/>
          </w:tcPr>
          <w:p w14:paraId="0E17A51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c>
          <w:tcPr>
            <w:tcW w:w="1110" w:type="dxa"/>
            <w:vAlign w:val="center"/>
          </w:tcPr>
          <w:p w14:paraId="5498FBB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100.00%</w:t>
            </w:r>
          </w:p>
        </w:tc>
        <w:tc>
          <w:tcPr>
            <w:tcW w:w="759" w:type="dxa"/>
            <w:vAlign w:val="center"/>
          </w:tcPr>
          <w:p w14:paraId="26CB118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3.00</w:t>
            </w:r>
          </w:p>
        </w:tc>
        <w:tc>
          <w:tcPr>
            <w:tcW w:w="690" w:type="dxa"/>
            <w:vAlign w:val="center"/>
          </w:tcPr>
          <w:p w14:paraId="7742561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3.00</w:t>
            </w:r>
          </w:p>
        </w:tc>
        <w:tc>
          <w:tcPr>
            <w:tcW w:w="838" w:type="dxa"/>
            <w:vAlign w:val="center"/>
          </w:tcPr>
          <w:p w14:paraId="4A0EC00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r>
      <w:tr w14:paraId="0F658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01969202">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14:paraId="19B9EB53">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14:paraId="25BDD2B2">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B12预算执行率</w:t>
            </w:r>
          </w:p>
        </w:tc>
        <w:tc>
          <w:tcPr>
            <w:tcW w:w="841" w:type="dxa"/>
            <w:vAlign w:val="center"/>
          </w:tcPr>
          <w:p w14:paraId="414C292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c>
          <w:tcPr>
            <w:tcW w:w="1110" w:type="dxa"/>
            <w:vAlign w:val="center"/>
          </w:tcPr>
          <w:p w14:paraId="0EB50A0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99.99%</w:t>
            </w:r>
          </w:p>
        </w:tc>
        <w:tc>
          <w:tcPr>
            <w:tcW w:w="759" w:type="dxa"/>
            <w:vAlign w:val="center"/>
          </w:tcPr>
          <w:p w14:paraId="5156878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5.00</w:t>
            </w:r>
          </w:p>
        </w:tc>
        <w:tc>
          <w:tcPr>
            <w:tcW w:w="690" w:type="dxa"/>
            <w:vAlign w:val="center"/>
          </w:tcPr>
          <w:p w14:paraId="06B287FE">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5.00</w:t>
            </w:r>
          </w:p>
        </w:tc>
        <w:tc>
          <w:tcPr>
            <w:tcW w:w="838" w:type="dxa"/>
            <w:vAlign w:val="center"/>
          </w:tcPr>
          <w:p w14:paraId="6B8738E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r>
      <w:tr w14:paraId="344BD1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340D8216">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14:paraId="22216279">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14:paraId="595EE2AF">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B13资金使用合规性</w:t>
            </w:r>
          </w:p>
        </w:tc>
        <w:tc>
          <w:tcPr>
            <w:tcW w:w="841" w:type="dxa"/>
            <w:vAlign w:val="center"/>
          </w:tcPr>
          <w:p w14:paraId="30186EC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合规</w:t>
            </w:r>
          </w:p>
        </w:tc>
        <w:tc>
          <w:tcPr>
            <w:tcW w:w="1110" w:type="dxa"/>
            <w:vAlign w:val="center"/>
          </w:tcPr>
          <w:p w14:paraId="5927DA5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合规</w:t>
            </w:r>
          </w:p>
        </w:tc>
        <w:tc>
          <w:tcPr>
            <w:tcW w:w="759" w:type="dxa"/>
            <w:vAlign w:val="center"/>
          </w:tcPr>
          <w:p w14:paraId="2C2C1AA8">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5.00</w:t>
            </w:r>
          </w:p>
        </w:tc>
        <w:tc>
          <w:tcPr>
            <w:tcW w:w="690" w:type="dxa"/>
            <w:vAlign w:val="center"/>
          </w:tcPr>
          <w:p w14:paraId="4E7B9DA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5.00</w:t>
            </w:r>
          </w:p>
        </w:tc>
        <w:tc>
          <w:tcPr>
            <w:tcW w:w="838" w:type="dxa"/>
            <w:vAlign w:val="center"/>
          </w:tcPr>
          <w:p w14:paraId="4CD6C4B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r>
      <w:tr w14:paraId="001BCB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72713C70">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restart"/>
            <w:vAlign w:val="center"/>
          </w:tcPr>
          <w:p w14:paraId="04178090">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r>
              <w:rPr>
                <w:rFonts w:hint="eastAsia"/>
                <w:color w:val="auto"/>
                <w:kern w:val="0"/>
                <w:sz w:val="20"/>
                <w:szCs w:val="20"/>
                <w:lang w:bidi="ar"/>
              </w:rPr>
              <w:t>B2组织实施（12.00分）</w:t>
            </w:r>
          </w:p>
        </w:tc>
        <w:tc>
          <w:tcPr>
            <w:tcW w:w="1201" w:type="pct"/>
            <w:vAlign w:val="center"/>
          </w:tcPr>
          <w:p w14:paraId="1DE39C38">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B21管理制度健全性</w:t>
            </w:r>
          </w:p>
        </w:tc>
        <w:tc>
          <w:tcPr>
            <w:tcW w:w="841" w:type="dxa"/>
            <w:vAlign w:val="center"/>
          </w:tcPr>
          <w:p w14:paraId="252EC85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健全</w:t>
            </w:r>
          </w:p>
        </w:tc>
        <w:tc>
          <w:tcPr>
            <w:tcW w:w="1110" w:type="dxa"/>
            <w:vAlign w:val="center"/>
          </w:tcPr>
          <w:p w14:paraId="7FBB157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健全</w:t>
            </w:r>
          </w:p>
        </w:tc>
        <w:tc>
          <w:tcPr>
            <w:tcW w:w="759" w:type="dxa"/>
            <w:vAlign w:val="center"/>
          </w:tcPr>
          <w:p w14:paraId="42E1C26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4.00</w:t>
            </w:r>
          </w:p>
        </w:tc>
        <w:tc>
          <w:tcPr>
            <w:tcW w:w="690" w:type="dxa"/>
            <w:vAlign w:val="center"/>
          </w:tcPr>
          <w:p w14:paraId="64F0F2C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4.00</w:t>
            </w:r>
          </w:p>
        </w:tc>
        <w:tc>
          <w:tcPr>
            <w:tcW w:w="838" w:type="dxa"/>
            <w:vAlign w:val="center"/>
          </w:tcPr>
          <w:p w14:paraId="194B1FA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r>
      <w:tr w14:paraId="18F9A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vMerge w:val="continue"/>
            <w:vAlign w:val="center"/>
          </w:tcPr>
          <w:p w14:paraId="453FA99B">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661" w:type="pct"/>
            <w:vMerge w:val="continue"/>
            <w:vAlign w:val="center"/>
          </w:tcPr>
          <w:p w14:paraId="31462B16">
            <w:pPr>
              <w:pageBreakBefore w:val="0"/>
              <w:widowControl/>
              <w:kinsoku/>
              <w:wordWrap/>
              <w:overflowPunct/>
              <w:topLinePunct w:val="0"/>
              <w:autoSpaceDE/>
              <w:autoSpaceDN/>
              <w:bidi w:val="0"/>
              <w:snapToGrid w:val="0"/>
              <w:spacing w:before="0" w:after="0" w:line="240" w:lineRule="auto"/>
              <w:ind w:firstLine="0" w:firstLineChars="0"/>
              <w:jc w:val="left"/>
              <w:rPr>
                <w:rFonts w:ascii="宋体" w:hAnsi="宋体" w:eastAsia="宋体" w:cs="宋体"/>
                <w:color w:val="auto"/>
                <w:sz w:val="20"/>
                <w:szCs w:val="20"/>
              </w:rPr>
            </w:pPr>
          </w:p>
        </w:tc>
        <w:tc>
          <w:tcPr>
            <w:tcW w:w="1201" w:type="pct"/>
            <w:vAlign w:val="center"/>
          </w:tcPr>
          <w:p w14:paraId="292BD47C">
            <w:pPr>
              <w:pageBreakBefore w:val="0"/>
              <w:widowControl/>
              <w:kinsoku/>
              <w:wordWrap/>
              <w:overflowPunct/>
              <w:topLinePunct w:val="0"/>
              <w:autoSpaceDE/>
              <w:autoSpaceDN/>
              <w:bidi w:val="0"/>
              <w:snapToGrid w:val="0"/>
              <w:spacing w:before="0" w:after="0" w:line="240" w:lineRule="auto"/>
              <w:ind w:firstLine="0" w:firstLineChars="0"/>
              <w:rPr>
                <w:rFonts w:ascii="宋体" w:hAnsi="宋体" w:eastAsia="宋体" w:cs="宋体"/>
                <w:color w:val="auto"/>
                <w:sz w:val="20"/>
                <w:szCs w:val="20"/>
              </w:rPr>
            </w:pPr>
            <w:r>
              <w:rPr>
                <w:rFonts w:hint="eastAsia"/>
                <w:color w:val="auto"/>
                <w:kern w:val="0"/>
                <w:sz w:val="20"/>
                <w:szCs w:val="20"/>
                <w:lang w:bidi="ar"/>
              </w:rPr>
              <w:t>B22制度执行有效性</w:t>
            </w:r>
          </w:p>
        </w:tc>
        <w:tc>
          <w:tcPr>
            <w:tcW w:w="841" w:type="dxa"/>
            <w:vAlign w:val="center"/>
          </w:tcPr>
          <w:p w14:paraId="6A1B141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有效</w:t>
            </w:r>
          </w:p>
        </w:tc>
        <w:tc>
          <w:tcPr>
            <w:tcW w:w="1110" w:type="dxa"/>
            <w:vAlign w:val="center"/>
          </w:tcPr>
          <w:p w14:paraId="25D1086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有效</w:t>
            </w:r>
          </w:p>
        </w:tc>
        <w:tc>
          <w:tcPr>
            <w:tcW w:w="759" w:type="dxa"/>
            <w:vAlign w:val="center"/>
          </w:tcPr>
          <w:p w14:paraId="72BFB48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8.00</w:t>
            </w:r>
          </w:p>
        </w:tc>
        <w:tc>
          <w:tcPr>
            <w:tcW w:w="690" w:type="dxa"/>
            <w:vAlign w:val="center"/>
          </w:tcPr>
          <w:p w14:paraId="0C58274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8.00</w:t>
            </w:r>
          </w:p>
        </w:tc>
        <w:tc>
          <w:tcPr>
            <w:tcW w:w="838" w:type="dxa"/>
            <w:vAlign w:val="center"/>
          </w:tcPr>
          <w:p w14:paraId="1800BD9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100.00%</w:t>
            </w:r>
          </w:p>
        </w:tc>
      </w:tr>
      <w:tr w14:paraId="7C9CE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7" w:type="pct"/>
            <w:gridSpan w:val="3"/>
            <w:vAlign w:val="center"/>
          </w:tcPr>
          <w:p w14:paraId="4BC88000">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b/>
                <w:bCs/>
                <w:color w:val="auto"/>
                <w:sz w:val="20"/>
                <w:szCs w:val="20"/>
              </w:rPr>
            </w:pPr>
            <w:r>
              <w:rPr>
                <w:rFonts w:hint="eastAsia"/>
                <w:b/>
                <w:bCs/>
                <w:color w:val="auto"/>
                <w:sz w:val="20"/>
                <w:szCs w:val="20"/>
              </w:rPr>
              <w:t>合计</w:t>
            </w:r>
          </w:p>
        </w:tc>
        <w:tc>
          <w:tcPr>
            <w:tcW w:w="841" w:type="dxa"/>
            <w:vAlign w:val="center"/>
          </w:tcPr>
          <w:p w14:paraId="2B97326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b/>
                <w:bCs/>
                <w:color w:val="auto"/>
                <w:sz w:val="20"/>
                <w:szCs w:val="20"/>
              </w:rPr>
            </w:pPr>
          </w:p>
        </w:tc>
        <w:tc>
          <w:tcPr>
            <w:tcW w:w="1110" w:type="dxa"/>
            <w:vAlign w:val="center"/>
          </w:tcPr>
          <w:p w14:paraId="123B5394">
            <w:pPr>
              <w:pageBreakBefore w:val="0"/>
              <w:widowControl/>
              <w:kinsoku/>
              <w:wordWrap/>
              <w:overflowPunct/>
              <w:topLinePunct w:val="0"/>
              <w:autoSpaceDE/>
              <w:autoSpaceDN/>
              <w:bidi w:val="0"/>
              <w:snapToGrid w:val="0"/>
              <w:spacing w:before="0" w:after="0" w:line="240" w:lineRule="auto"/>
              <w:ind w:firstLine="0" w:firstLineChars="0"/>
              <w:jc w:val="center"/>
              <w:rPr>
                <w:rFonts w:hint="eastAsia"/>
                <w:b/>
                <w:bCs/>
                <w:color w:val="auto"/>
                <w:sz w:val="20"/>
                <w:szCs w:val="20"/>
                <w:lang w:val="en-US" w:eastAsia="zh-CN"/>
              </w:rPr>
            </w:pPr>
          </w:p>
        </w:tc>
        <w:tc>
          <w:tcPr>
            <w:tcW w:w="759" w:type="dxa"/>
            <w:vAlign w:val="center"/>
          </w:tcPr>
          <w:p w14:paraId="3158983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b/>
                <w:bCs/>
                <w:color w:val="auto"/>
                <w:sz w:val="20"/>
                <w:szCs w:val="20"/>
              </w:rPr>
            </w:pPr>
            <w:r>
              <w:rPr>
                <w:rFonts w:hint="eastAsia"/>
                <w:b/>
                <w:bCs/>
                <w:color w:val="auto"/>
                <w:sz w:val="20"/>
                <w:szCs w:val="20"/>
                <w:lang w:val="en-US" w:eastAsia="zh-CN"/>
              </w:rPr>
              <w:t xml:space="preserve">25.00 </w:t>
            </w:r>
          </w:p>
        </w:tc>
        <w:tc>
          <w:tcPr>
            <w:tcW w:w="690" w:type="dxa"/>
            <w:vAlign w:val="center"/>
          </w:tcPr>
          <w:p w14:paraId="1EF9C7F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b/>
                <w:bCs/>
                <w:color w:val="auto"/>
                <w:sz w:val="20"/>
                <w:szCs w:val="20"/>
              </w:rPr>
            </w:pPr>
            <w:r>
              <w:rPr>
                <w:rFonts w:hint="eastAsia"/>
                <w:b/>
                <w:bCs/>
                <w:color w:val="auto"/>
                <w:sz w:val="20"/>
                <w:szCs w:val="20"/>
                <w:lang w:val="en-US" w:eastAsia="zh-CN"/>
              </w:rPr>
              <w:t xml:space="preserve">25.00 </w:t>
            </w:r>
          </w:p>
        </w:tc>
        <w:tc>
          <w:tcPr>
            <w:tcW w:w="838" w:type="dxa"/>
            <w:vAlign w:val="center"/>
          </w:tcPr>
          <w:p w14:paraId="5D9A39BA">
            <w:pPr>
              <w:pageBreakBefore w:val="0"/>
              <w:widowControl/>
              <w:kinsoku/>
              <w:wordWrap/>
              <w:overflowPunct/>
              <w:topLinePunct w:val="0"/>
              <w:autoSpaceDE/>
              <w:autoSpaceDN/>
              <w:bidi w:val="0"/>
              <w:snapToGrid w:val="0"/>
              <w:spacing w:before="0" w:after="0" w:line="240" w:lineRule="auto"/>
              <w:ind w:firstLine="0" w:firstLineChars="0"/>
              <w:jc w:val="center"/>
              <w:rPr>
                <w:rFonts w:hint="eastAsia"/>
                <w:b/>
                <w:bCs/>
                <w:color w:val="auto"/>
                <w:sz w:val="20"/>
                <w:szCs w:val="20"/>
              </w:rPr>
            </w:pPr>
            <w:r>
              <w:rPr>
                <w:rFonts w:hint="eastAsia"/>
                <w:b/>
                <w:bCs/>
                <w:color w:val="auto"/>
                <w:sz w:val="20"/>
                <w:szCs w:val="20"/>
                <w:lang w:val="en-US" w:eastAsia="zh-CN"/>
              </w:rPr>
              <w:t>100.00%</w:t>
            </w:r>
          </w:p>
        </w:tc>
      </w:tr>
    </w:tbl>
    <w:p w14:paraId="54AB6ED0">
      <w:pPr>
        <w:pageBreakBefore w:val="0"/>
        <w:kinsoku/>
        <w:wordWrap/>
        <w:overflowPunct/>
        <w:topLinePunct w:val="0"/>
        <w:autoSpaceDE/>
        <w:autoSpaceDN/>
        <w:bidi w:val="0"/>
        <w:snapToGrid w:val="0"/>
        <w:spacing w:before="0" w:after="0" w:line="360" w:lineRule="auto"/>
        <w:ind w:firstLine="422"/>
        <w:rPr>
          <w:rFonts w:eastAsia="宋体"/>
          <w:b/>
          <w:bCs/>
          <w:color w:val="FF0000"/>
        </w:rPr>
      </w:pPr>
    </w:p>
    <w:p w14:paraId="30E8B842">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r>
        <w:rPr>
          <w:b/>
          <w:bCs/>
          <w:color w:val="auto"/>
        </w:rPr>
        <w:t>：</w:t>
      </w:r>
    </w:p>
    <w:p w14:paraId="28FB43C2">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（1）B11资金到位率：</w:t>
      </w:r>
    </w:p>
    <w:p w14:paraId="4CD20AF4">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根据《关于提前下达2024年中央农业产业发展资金预算的通知》（昌州财农〔2023〕62号）</w:t>
      </w:r>
      <w:r>
        <w:rPr>
          <w:rFonts w:hint="eastAsia" w:cs="Times New Roman"/>
          <w:color w:val="auto"/>
          <w:szCs w:val="21"/>
          <w:lang w:eastAsia="zh-CN"/>
        </w:rPr>
        <w:t>、</w:t>
      </w:r>
      <w:r>
        <w:rPr>
          <w:rFonts w:hint="default" w:ascii="Times New Roman" w:hAnsi="Times New Roman" w:cs="Times New Roman"/>
          <w:color w:val="auto"/>
          <w:szCs w:val="21"/>
        </w:rPr>
        <w:t>《关于下达 2024年中央农业产业发展资金预算的通知》（昌州财农〔2024〕19号）</w:t>
      </w:r>
      <w:r>
        <w:rPr>
          <w:rFonts w:hint="eastAsia" w:cs="Times New Roman"/>
          <w:color w:val="auto"/>
          <w:szCs w:val="21"/>
          <w:lang w:eastAsia="zh-CN"/>
        </w:rPr>
        <w:t>、</w:t>
      </w:r>
      <w:r>
        <w:rPr>
          <w:rFonts w:hint="default" w:ascii="Times New Roman" w:hAnsi="Times New Roman" w:cs="Times New Roman"/>
          <w:color w:val="auto"/>
          <w:szCs w:val="21"/>
        </w:rPr>
        <w:t>《关于下达 2024 年自治区农机购置与应用补贴资金预算的通知》（昌州财农〔2024</w:t>
      </w:r>
      <w:r>
        <w:rPr>
          <w:rFonts w:hint="eastAsia" w:ascii="宋体" w:hAnsi="宋体" w:eastAsia="宋体" w:cs="宋体"/>
          <w:color w:val="auto"/>
          <w:szCs w:val="21"/>
        </w:rPr>
        <w:t>〕</w:t>
      </w:r>
      <w:r>
        <w:rPr>
          <w:rFonts w:hint="default" w:ascii="Times New Roman" w:hAnsi="Times New Roman" w:cs="Times New Roman"/>
          <w:color w:val="auto"/>
          <w:szCs w:val="21"/>
        </w:rPr>
        <w:t>27号</w:t>
      </w:r>
      <w:r>
        <w:rPr>
          <w:rFonts w:hint="eastAsia"/>
          <w:lang w:eastAsia="zh-CN"/>
        </w:rPr>
        <w:t>）</w:t>
      </w:r>
      <w:r>
        <w:rPr>
          <w:rFonts w:hint="eastAsia" w:ascii="Times New Roman" w:hAnsi="Times New Roman" w:cs="Times New Roman"/>
          <w:color w:val="auto"/>
          <w:szCs w:val="21"/>
          <w:lang w:val="en-US" w:eastAsia="zh-CN"/>
        </w:rPr>
        <w:t>显示</w:t>
      </w:r>
      <w:r>
        <w:rPr>
          <w:rFonts w:hint="default" w:ascii="Times New Roman" w:hAnsi="Times New Roman" w:cs="Times New Roman"/>
          <w:color w:val="auto"/>
          <w:szCs w:val="21"/>
        </w:rPr>
        <w:t>，项目预算资金确定为</w:t>
      </w:r>
      <w:r>
        <w:rPr>
          <w:rFonts w:hint="eastAsia" w:cs="Times New Roman"/>
          <w:color w:val="auto"/>
          <w:szCs w:val="21"/>
          <w:lang w:val="en-US" w:eastAsia="zh-CN"/>
        </w:rPr>
        <w:t>1,299.</w:t>
      </w:r>
      <w:r>
        <w:rPr>
          <w:rFonts w:hint="default" w:ascii="Times New Roman" w:hAnsi="Times New Roman" w:cs="Times New Roman"/>
          <w:color w:val="auto"/>
          <w:szCs w:val="21"/>
        </w:rPr>
        <w:t>00万元，项目实际到位资金</w:t>
      </w:r>
      <w:r>
        <w:rPr>
          <w:rFonts w:hint="eastAsia" w:cs="Times New Roman"/>
          <w:color w:val="auto"/>
          <w:szCs w:val="21"/>
          <w:lang w:val="en-US" w:eastAsia="zh-CN"/>
        </w:rPr>
        <w:t>1,299.</w:t>
      </w:r>
      <w:r>
        <w:rPr>
          <w:rFonts w:hint="default" w:ascii="Times New Roman" w:hAnsi="Times New Roman" w:cs="Times New Roman"/>
          <w:color w:val="auto"/>
          <w:szCs w:val="21"/>
        </w:rPr>
        <w:t>00万元，资金到位率100.00%。</w:t>
      </w:r>
    </w:p>
    <w:p w14:paraId="5F2DD9A2">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该指标满分为3.00分，根据评分标准得3.00分。</w:t>
      </w:r>
    </w:p>
    <w:p w14:paraId="7740A63C">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（2）B12预算执行率：</w:t>
      </w:r>
    </w:p>
    <w:p w14:paraId="26BDA88D">
      <w:pPr>
        <w:adjustRightInd w:val="0"/>
        <w:snapToGrid w:val="0"/>
        <w:ind w:firstLine="420"/>
        <w:rPr>
          <w:rFonts w:hint="default" w:ascii="Times New Roman" w:hAnsi="Times New Roman" w:eastAsia="宋体" w:cs="Times New Roman"/>
          <w:color w:val="auto"/>
          <w:szCs w:val="21"/>
          <w:lang w:val="en-US" w:eastAsia="zh-CN"/>
        </w:rPr>
      </w:pPr>
      <w:r>
        <w:rPr>
          <w:rFonts w:hint="default" w:ascii="Times New Roman" w:hAnsi="Times New Roman" w:cs="Times New Roman"/>
          <w:color w:val="auto"/>
          <w:szCs w:val="21"/>
        </w:rPr>
        <w:t>根据实施单位提供的</w:t>
      </w:r>
      <w:r>
        <w:rPr>
          <w:rFonts w:hint="eastAsia" w:cs="Times New Roman"/>
          <w:color w:val="auto"/>
          <w:szCs w:val="21"/>
          <w:lang w:val="en-US" w:eastAsia="zh-CN"/>
        </w:rPr>
        <w:t>国库集中支付凭证以及一卡通打卡明细</w:t>
      </w:r>
      <w:r>
        <w:rPr>
          <w:rFonts w:hint="default" w:ascii="Times New Roman" w:hAnsi="Times New Roman" w:cs="Times New Roman"/>
          <w:color w:val="auto"/>
          <w:szCs w:val="21"/>
        </w:rPr>
        <w:t>等资料显示，该项目实际支出资金1,298.94万元，预算执行率=（实际支出资金/实际到位金额）×100.00%=（</w:t>
      </w:r>
      <w:r>
        <w:rPr>
          <w:rFonts w:hint="eastAsia" w:cs="Times New Roman"/>
          <w:color w:val="auto"/>
          <w:szCs w:val="21"/>
          <w:lang w:val="en-US" w:eastAsia="zh-CN"/>
        </w:rPr>
        <w:t>1</w:t>
      </w:r>
      <w:r>
        <w:rPr>
          <w:rFonts w:hint="default" w:ascii="Times New Roman" w:hAnsi="Times New Roman" w:cs="Times New Roman"/>
          <w:color w:val="auto"/>
          <w:szCs w:val="21"/>
        </w:rPr>
        <w:t>,298.94 /</w:t>
      </w:r>
      <w:r>
        <w:rPr>
          <w:rFonts w:hint="eastAsia" w:cs="Times New Roman"/>
          <w:color w:val="auto"/>
          <w:szCs w:val="21"/>
          <w:lang w:val="en-US" w:eastAsia="zh-CN"/>
        </w:rPr>
        <w:t>1,299.</w:t>
      </w:r>
      <w:r>
        <w:rPr>
          <w:rFonts w:hint="default" w:ascii="Times New Roman" w:hAnsi="Times New Roman" w:cs="Times New Roman"/>
          <w:color w:val="auto"/>
          <w:szCs w:val="21"/>
        </w:rPr>
        <w:t>00）×100.00%=</w:t>
      </w:r>
      <w:r>
        <w:rPr>
          <w:rFonts w:hint="eastAsia" w:cs="Times New Roman"/>
          <w:color w:val="auto"/>
          <w:szCs w:val="21"/>
          <w:lang w:val="en-US" w:eastAsia="zh-CN"/>
        </w:rPr>
        <w:t>99.99</w:t>
      </w:r>
      <w:r>
        <w:rPr>
          <w:rFonts w:hint="default" w:ascii="Times New Roman" w:hAnsi="Times New Roman" w:cs="Times New Roman"/>
          <w:color w:val="auto"/>
          <w:szCs w:val="21"/>
        </w:rPr>
        <w:t>%。</w:t>
      </w:r>
      <w:r>
        <w:rPr>
          <w:rFonts w:hint="eastAsia" w:ascii="Times New Roman" w:hAnsi="Times New Roman" w:cs="Times New Roman"/>
          <w:color w:val="auto"/>
          <w:szCs w:val="21"/>
          <w:lang w:val="en-US" w:eastAsia="zh-CN"/>
        </w:rPr>
        <w:t>根据评分标准，项目完成且执行数控制在年度预算规模之内的，得5.00分</w:t>
      </w:r>
      <w:r>
        <w:rPr>
          <w:rFonts w:hint="eastAsia" w:cs="Times New Roman"/>
          <w:color w:val="auto"/>
          <w:szCs w:val="21"/>
          <w:lang w:val="en-US" w:eastAsia="zh-CN"/>
        </w:rPr>
        <w:t>。</w:t>
      </w:r>
    </w:p>
    <w:p w14:paraId="30A3DF7C">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该指标满分为5.00分，根据评分标准得5.00分。</w:t>
      </w:r>
    </w:p>
    <w:p w14:paraId="428D480C">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（3）B13资金使用合规性：</w:t>
      </w:r>
    </w:p>
    <w:p w14:paraId="1D67C7ED">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经</w:t>
      </w:r>
      <w:r>
        <w:rPr>
          <w:rFonts w:hint="eastAsia" w:ascii="Times New Roman" w:hAnsi="Times New Roman" w:cs="Times New Roman"/>
          <w:color w:val="auto"/>
          <w:szCs w:val="21"/>
          <w:lang w:val="en-US" w:eastAsia="zh-CN"/>
        </w:rPr>
        <w:t>查证</w:t>
      </w:r>
      <w:r>
        <w:rPr>
          <w:rFonts w:hint="default" w:ascii="Times New Roman" w:hAnsi="Times New Roman" w:cs="Times New Roman"/>
          <w:color w:val="auto"/>
          <w:szCs w:val="21"/>
        </w:rPr>
        <w:t>，</w:t>
      </w:r>
      <w:r>
        <w:rPr>
          <w:rFonts w:hint="eastAsia" w:ascii="Times New Roman" w:hAnsi="Times New Roman" w:cs="Times New Roman"/>
          <w:color w:val="auto"/>
          <w:szCs w:val="21"/>
          <w:lang w:val="en-US" w:eastAsia="zh-CN"/>
        </w:rPr>
        <w:t>项目</w:t>
      </w:r>
      <w:r>
        <w:rPr>
          <w:rFonts w:hint="default" w:ascii="Times New Roman" w:hAnsi="Times New Roman" w:cs="Times New Roman"/>
          <w:color w:val="auto"/>
          <w:szCs w:val="21"/>
        </w:rPr>
        <w:t>资金实际使用</w:t>
      </w:r>
      <w:r>
        <w:rPr>
          <w:rFonts w:hint="eastAsia" w:ascii="Times New Roman" w:hAnsi="Times New Roman" w:cs="Times New Roman"/>
          <w:color w:val="auto"/>
          <w:szCs w:val="21"/>
          <w:lang w:val="en-US" w:eastAsia="zh-CN"/>
        </w:rPr>
        <w:t>发放</w:t>
      </w:r>
      <w:r>
        <w:rPr>
          <w:rFonts w:hint="default" w:ascii="Times New Roman" w:hAnsi="Times New Roman" w:cs="Times New Roman"/>
          <w:color w:val="auto"/>
          <w:szCs w:val="21"/>
        </w:rPr>
        <w:t>农机购置</w:t>
      </w:r>
      <w:r>
        <w:rPr>
          <w:rFonts w:hint="eastAsia" w:ascii="Times New Roman" w:hAnsi="Times New Roman" w:cs="Times New Roman"/>
          <w:color w:val="auto"/>
          <w:szCs w:val="21"/>
          <w:lang w:val="en-US" w:eastAsia="zh-CN"/>
        </w:rPr>
        <w:t>与应用</w:t>
      </w:r>
      <w:r>
        <w:rPr>
          <w:rFonts w:hint="default" w:ascii="Times New Roman" w:hAnsi="Times New Roman" w:cs="Times New Roman"/>
          <w:color w:val="auto"/>
          <w:szCs w:val="21"/>
        </w:rPr>
        <w:t>补贴资金1298.</w:t>
      </w:r>
      <w:r>
        <w:rPr>
          <w:rFonts w:hint="eastAsia" w:cs="Times New Roman"/>
          <w:color w:val="auto"/>
          <w:szCs w:val="21"/>
          <w:lang w:val="en-US" w:eastAsia="zh-CN"/>
        </w:rPr>
        <w:t>2</w:t>
      </w:r>
      <w:r>
        <w:rPr>
          <w:rFonts w:hint="default" w:ascii="Times New Roman" w:hAnsi="Times New Roman" w:cs="Times New Roman"/>
          <w:color w:val="auto"/>
          <w:szCs w:val="21"/>
        </w:rPr>
        <w:t>4万元，发放农机报废补贴资金</w:t>
      </w:r>
      <w:r>
        <w:rPr>
          <w:rFonts w:hint="eastAsia" w:cs="Times New Roman"/>
          <w:color w:val="auto"/>
          <w:szCs w:val="21"/>
          <w:lang w:val="en-US" w:eastAsia="zh-CN"/>
        </w:rPr>
        <w:t>0.70</w:t>
      </w:r>
      <w:r>
        <w:rPr>
          <w:rFonts w:hint="default" w:ascii="Times New Roman" w:hAnsi="Times New Roman" w:cs="Times New Roman"/>
          <w:color w:val="auto"/>
          <w:szCs w:val="21"/>
        </w:rPr>
        <w:t>万元，</w:t>
      </w:r>
      <w:r>
        <w:rPr>
          <w:rFonts w:hint="eastAsia" w:ascii="Times New Roman" w:hAnsi="Times New Roman" w:cs="Times New Roman"/>
          <w:color w:val="auto"/>
          <w:szCs w:val="21"/>
          <w:lang w:val="en-US" w:eastAsia="zh-CN"/>
        </w:rPr>
        <w:t>与</w:t>
      </w:r>
      <w:r>
        <w:rPr>
          <w:rFonts w:hint="default" w:ascii="Times New Roman" w:hAnsi="Times New Roman" w:cs="Times New Roman"/>
          <w:color w:val="auto"/>
          <w:szCs w:val="21"/>
        </w:rPr>
        <w:t>《关于提前下达2024年中央农业产业发展资金预算的通知》（昌州财农〔2023〕62号）</w:t>
      </w:r>
      <w:r>
        <w:rPr>
          <w:rFonts w:hint="eastAsia" w:cs="Times New Roman"/>
          <w:color w:val="auto"/>
          <w:szCs w:val="21"/>
          <w:lang w:eastAsia="zh-CN"/>
        </w:rPr>
        <w:t>、</w:t>
      </w:r>
      <w:r>
        <w:rPr>
          <w:rFonts w:hint="default" w:ascii="Times New Roman" w:hAnsi="Times New Roman" w:cs="Times New Roman"/>
          <w:color w:val="auto"/>
          <w:szCs w:val="21"/>
        </w:rPr>
        <w:t>《关于下达 2024年中央农业产业发展资金预算的通知》（昌州财农〔2024〕19号）</w:t>
      </w:r>
      <w:r>
        <w:rPr>
          <w:rFonts w:hint="eastAsia" w:cs="Times New Roman"/>
          <w:color w:val="auto"/>
          <w:szCs w:val="21"/>
          <w:lang w:eastAsia="zh-CN"/>
        </w:rPr>
        <w:t>、</w:t>
      </w:r>
      <w:r>
        <w:rPr>
          <w:rFonts w:hint="default" w:ascii="Times New Roman" w:hAnsi="Times New Roman" w:cs="Times New Roman"/>
          <w:color w:val="auto"/>
          <w:szCs w:val="21"/>
        </w:rPr>
        <w:t>《关于下达 2024 年自治区农机购置与应用补贴资金预算的通知》（昌州财农〔2024</w:t>
      </w:r>
      <w:r>
        <w:rPr>
          <w:rFonts w:hint="eastAsia" w:ascii="宋体" w:hAnsi="宋体" w:eastAsia="宋体" w:cs="宋体"/>
          <w:color w:val="auto"/>
          <w:szCs w:val="21"/>
        </w:rPr>
        <w:t>〕</w:t>
      </w:r>
      <w:r>
        <w:rPr>
          <w:rFonts w:hint="default" w:ascii="Times New Roman" w:hAnsi="Times New Roman" w:cs="Times New Roman"/>
          <w:color w:val="auto"/>
          <w:szCs w:val="21"/>
        </w:rPr>
        <w:t>27号</w:t>
      </w:r>
      <w:r>
        <w:rPr>
          <w:rFonts w:hint="eastAsia"/>
          <w:lang w:eastAsia="zh-CN"/>
        </w:rPr>
        <w:t>）</w:t>
      </w:r>
      <w:r>
        <w:rPr>
          <w:rFonts w:hint="eastAsia" w:cs="Times New Roman"/>
          <w:color w:val="auto"/>
          <w:szCs w:val="21"/>
          <w:lang w:val="en-US" w:eastAsia="zh-CN"/>
        </w:rPr>
        <w:t>等</w:t>
      </w:r>
      <w:r>
        <w:rPr>
          <w:rFonts w:hint="default" w:ascii="Times New Roman" w:hAnsi="Times New Roman" w:cs="Times New Roman"/>
          <w:color w:val="auto"/>
          <w:szCs w:val="21"/>
        </w:rPr>
        <w:t>项目预算批复资金用途</w:t>
      </w:r>
      <w:r>
        <w:rPr>
          <w:rFonts w:hint="eastAsia" w:cs="Times New Roman"/>
          <w:color w:val="auto"/>
          <w:szCs w:val="21"/>
          <w:lang w:val="en-US" w:eastAsia="zh-CN"/>
        </w:rPr>
        <w:t>相符</w:t>
      </w:r>
      <w:r>
        <w:rPr>
          <w:rFonts w:hint="eastAsia" w:cs="Times New Roman"/>
          <w:color w:val="auto"/>
          <w:szCs w:val="21"/>
          <w:lang w:eastAsia="zh-CN"/>
        </w:rPr>
        <w:t>，</w:t>
      </w:r>
      <w:r>
        <w:rPr>
          <w:rFonts w:hint="eastAsia" w:cs="Times New Roman"/>
          <w:color w:val="auto"/>
          <w:szCs w:val="21"/>
          <w:lang w:val="en-US" w:eastAsia="zh-CN"/>
        </w:rPr>
        <w:t>未发现</w:t>
      </w:r>
      <w:r>
        <w:rPr>
          <w:rFonts w:hint="default" w:ascii="Times New Roman" w:hAnsi="Times New Roman" w:cs="Times New Roman"/>
          <w:color w:val="auto"/>
          <w:szCs w:val="21"/>
        </w:rPr>
        <w:t>项目资金使用存在截留、挤占、挪用、虚列支出的情况。</w:t>
      </w:r>
    </w:p>
    <w:p w14:paraId="5053D01B">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经查账，</w:t>
      </w:r>
      <w:r>
        <w:rPr>
          <w:rFonts w:hint="eastAsia" w:ascii="Times New Roman" w:hAnsi="Times New Roman" w:cs="Times New Roman"/>
          <w:color w:val="auto"/>
          <w:szCs w:val="21"/>
          <w:lang w:eastAsia="zh-CN"/>
        </w:rPr>
        <w:t>吉木萨尔县</w:t>
      </w:r>
      <w:r>
        <w:rPr>
          <w:rFonts w:hint="default" w:ascii="Times New Roman" w:hAnsi="Times New Roman" w:cs="Times New Roman"/>
          <w:color w:val="auto"/>
          <w:szCs w:val="21"/>
        </w:rPr>
        <w:t>农业农村局</w:t>
      </w:r>
      <w:r>
        <w:rPr>
          <w:rFonts w:hint="eastAsia" w:cs="Times New Roman"/>
          <w:color w:val="auto"/>
          <w:szCs w:val="21"/>
          <w:lang w:val="en-US" w:eastAsia="zh-CN"/>
        </w:rPr>
        <w:t>根据机具核验后的符合发放补贴台账汇总成发放明细表，根据系统核定好发放金额</w:t>
      </w:r>
      <w:r>
        <w:rPr>
          <w:rFonts w:hint="default" w:ascii="Times New Roman" w:hAnsi="Times New Roman" w:cs="Times New Roman"/>
          <w:color w:val="auto"/>
          <w:szCs w:val="21"/>
        </w:rPr>
        <w:t>提交资金申请报告，</w:t>
      </w:r>
      <w:r>
        <w:rPr>
          <w:rFonts w:hint="eastAsia" w:cs="Times New Roman"/>
          <w:color w:val="auto"/>
          <w:szCs w:val="21"/>
          <w:lang w:val="en-US" w:eastAsia="zh-CN"/>
        </w:rPr>
        <w:t>经吉木萨尔县农业农村局党组会议审议通过后上报财政部门，</w:t>
      </w:r>
      <w:r>
        <w:rPr>
          <w:rFonts w:hint="default" w:ascii="Times New Roman" w:hAnsi="Times New Roman" w:cs="Times New Roman"/>
          <w:color w:val="auto"/>
          <w:szCs w:val="21"/>
        </w:rPr>
        <w:t>审核后</w:t>
      </w:r>
      <w:r>
        <w:rPr>
          <w:rFonts w:hint="eastAsia" w:cs="Times New Roman"/>
          <w:color w:val="auto"/>
          <w:szCs w:val="21"/>
          <w:lang w:val="en-US" w:eastAsia="zh-CN"/>
        </w:rPr>
        <w:t>通过吉木萨尔县惠民惠农补贴资金代发户将</w:t>
      </w:r>
      <w:r>
        <w:rPr>
          <w:rFonts w:hint="default" w:ascii="Times New Roman" w:hAnsi="Times New Roman" w:cs="Times New Roman"/>
          <w:color w:val="auto"/>
          <w:szCs w:val="21"/>
        </w:rPr>
        <w:t>补贴资金</w:t>
      </w:r>
      <w:r>
        <w:rPr>
          <w:rFonts w:hint="eastAsia" w:cs="Times New Roman"/>
          <w:color w:val="auto"/>
          <w:szCs w:val="21"/>
          <w:lang w:val="en-US" w:eastAsia="zh-CN"/>
        </w:rPr>
        <w:t>直接</w:t>
      </w:r>
      <w:r>
        <w:rPr>
          <w:rFonts w:hint="default" w:ascii="Times New Roman" w:hAnsi="Times New Roman" w:cs="Times New Roman"/>
          <w:color w:val="auto"/>
          <w:szCs w:val="21"/>
        </w:rPr>
        <w:t>拨付至审核通过的</w:t>
      </w:r>
      <w:r>
        <w:rPr>
          <w:rFonts w:hint="eastAsia" w:cs="Times New Roman"/>
          <w:color w:val="auto"/>
          <w:szCs w:val="21"/>
          <w:lang w:val="en-US" w:eastAsia="zh-CN"/>
        </w:rPr>
        <w:t>购机者</w:t>
      </w:r>
      <w:r>
        <w:rPr>
          <w:rFonts w:hint="default" w:ascii="Times New Roman" w:hAnsi="Times New Roman" w:cs="Times New Roman"/>
          <w:color w:val="auto"/>
          <w:szCs w:val="21"/>
        </w:rPr>
        <w:t>银行卡</w:t>
      </w:r>
      <w:r>
        <w:rPr>
          <w:rFonts w:hint="eastAsia" w:cs="Times New Roman"/>
          <w:color w:val="auto"/>
          <w:szCs w:val="21"/>
          <w:lang w:val="en-US" w:eastAsia="zh-CN"/>
        </w:rPr>
        <w:t>中</w:t>
      </w:r>
      <w:r>
        <w:rPr>
          <w:rFonts w:hint="default" w:ascii="Times New Roman" w:hAnsi="Times New Roman" w:cs="Times New Roman"/>
          <w:color w:val="auto"/>
          <w:szCs w:val="21"/>
        </w:rPr>
        <w:t>，项目资金拨付有完整的审批程序和手续。</w:t>
      </w:r>
    </w:p>
    <w:p w14:paraId="55B3ECE0">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5</w:t>
      </w:r>
      <w:r>
        <w:rPr>
          <w:rFonts w:hint="default" w:ascii="Times New Roman" w:hAnsi="Times New Roman" w:cs="Times New Roman"/>
          <w:color w:val="auto"/>
        </w:rPr>
        <w:t>.00分，根据评分标准得</w:t>
      </w:r>
      <w:r>
        <w:rPr>
          <w:rFonts w:hint="eastAsia" w:ascii="Times New Roman" w:hAnsi="Times New Roman" w:cs="Times New Roman"/>
          <w:color w:val="auto"/>
          <w:lang w:val="en-US" w:eastAsia="zh-CN"/>
        </w:rPr>
        <w:t>5</w:t>
      </w:r>
      <w:r>
        <w:rPr>
          <w:rFonts w:hint="default" w:ascii="Times New Roman" w:hAnsi="Times New Roman" w:cs="Times New Roman"/>
          <w:color w:val="auto"/>
        </w:rPr>
        <w:t>.00分。</w:t>
      </w:r>
    </w:p>
    <w:p w14:paraId="4122A7EC">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（4）B21管理制度健全性：</w:t>
      </w:r>
    </w:p>
    <w:p w14:paraId="34E5AB5B">
      <w:pPr>
        <w:pStyle w:val="9"/>
        <w:rPr>
          <w:rFonts w:hint="default"/>
          <w:lang w:val="en-US" w:eastAsia="zh-CN"/>
        </w:rPr>
      </w:pPr>
      <w:r>
        <w:t>自治区农业农村厅、自治区财政厅下发关于印发《新疆维吾尔自治区2021-2023年农业机械购置补贴实施方案》的通知，</w:t>
      </w:r>
      <w:r>
        <w:rPr>
          <w:rFonts w:hint="default" w:ascii="Times New Roman" w:hAnsi="Times New Roman" w:cs="Times New Roman"/>
          <w:color w:val="auto"/>
          <w:szCs w:val="21"/>
        </w:rPr>
        <w:t>《关于印发&lt;新疆维吾尔自治区农业机械报废更新补贴实施方案&gt;的通知》（新农机〔2020〕151号）《关于印发</w:t>
      </w:r>
      <w:r>
        <w:rPr>
          <w:rFonts w:hint="eastAsia" w:cs="Times New Roman"/>
          <w:color w:val="auto"/>
          <w:szCs w:val="21"/>
          <w:lang w:val="en-US" w:eastAsia="zh-CN"/>
        </w:rPr>
        <w:t>&lt;</w:t>
      </w:r>
      <w:r>
        <w:rPr>
          <w:rFonts w:hint="default" w:ascii="Times New Roman" w:hAnsi="Times New Roman" w:cs="Times New Roman"/>
          <w:color w:val="auto"/>
          <w:szCs w:val="21"/>
        </w:rPr>
        <w:t>新疆维吾尔自治区2024-2026年农机购置与应用补贴实施方案</w:t>
      </w:r>
      <w:r>
        <w:rPr>
          <w:rFonts w:hint="eastAsia" w:cs="Times New Roman"/>
          <w:color w:val="auto"/>
          <w:szCs w:val="21"/>
          <w:lang w:val="en-US" w:eastAsia="zh-CN"/>
        </w:rPr>
        <w:t>&gt;</w:t>
      </w:r>
      <w:r>
        <w:rPr>
          <w:rFonts w:hint="default" w:ascii="Times New Roman" w:hAnsi="Times New Roman" w:cs="Times New Roman"/>
          <w:color w:val="auto"/>
          <w:szCs w:val="21"/>
        </w:rPr>
        <w:t>的通知》（新农机函〔2024</w:t>
      </w:r>
      <w:r>
        <w:rPr>
          <w:rFonts w:hint="eastAsia" w:ascii="宋体" w:hAnsi="宋体" w:eastAsia="宋体" w:cs="宋体"/>
          <w:color w:val="auto"/>
          <w:szCs w:val="21"/>
        </w:rPr>
        <w:t>〕</w:t>
      </w:r>
      <w:r>
        <w:rPr>
          <w:rFonts w:hint="default" w:ascii="Times New Roman" w:hAnsi="Times New Roman" w:cs="Times New Roman"/>
          <w:color w:val="auto"/>
          <w:szCs w:val="21"/>
        </w:rPr>
        <w:t>740号）</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同时吉木萨尔县根据上级文件制定了</w:t>
      </w:r>
      <w:r>
        <w:rPr>
          <w:rFonts w:hint="default" w:ascii="Times New Roman" w:hAnsi="Times New Roman" w:cs="Times New Roman"/>
          <w:color w:val="auto"/>
          <w:szCs w:val="21"/>
        </w:rPr>
        <w:t>《</w:t>
      </w:r>
      <w:r>
        <w:rPr>
          <w:rFonts w:hint="eastAsia" w:ascii="Times New Roman" w:hAnsi="Times New Roman" w:cs="Times New Roman"/>
          <w:color w:val="auto"/>
          <w:szCs w:val="21"/>
          <w:lang w:eastAsia="zh-CN"/>
        </w:rPr>
        <w:t>吉木萨尔县</w:t>
      </w:r>
      <w:r>
        <w:rPr>
          <w:rFonts w:hint="default" w:ascii="Times New Roman" w:hAnsi="Times New Roman" w:cs="Times New Roman"/>
          <w:color w:val="auto"/>
          <w:szCs w:val="21"/>
        </w:rPr>
        <w:t>202</w:t>
      </w:r>
      <w:r>
        <w:rPr>
          <w:rFonts w:hint="eastAsia" w:cs="Times New Roman"/>
          <w:color w:val="auto"/>
          <w:szCs w:val="21"/>
          <w:lang w:val="en-US" w:eastAsia="zh-CN"/>
        </w:rPr>
        <w:t>1</w:t>
      </w:r>
      <w:r>
        <w:rPr>
          <w:rFonts w:hint="default" w:ascii="Times New Roman" w:hAnsi="Times New Roman" w:cs="Times New Roman"/>
          <w:color w:val="auto"/>
          <w:szCs w:val="21"/>
        </w:rPr>
        <w:t>-202</w:t>
      </w:r>
      <w:r>
        <w:rPr>
          <w:rFonts w:hint="eastAsia" w:cs="Times New Roman"/>
          <w:color w:val="auto"/>
          <w:szCs w:val="21"/>
          <w:lang w:val="en-US" w:eastAsia="zh-CN"/>
        </w:rPr>
        <w:t>3</w:t>
      </w:r>
      <w:r>
        <w:rPr>
          <w:rFonts w:hint="default" w:ascii="Times New Roman" w:hAnsi="Times New Roman" w:cs="Times New Roman"/>
          <w:color w:val="auto"/>
          <w:szCs w:val="21"/>
        </w:rPr>
        <w:t>年农业机械购置补贴实施方案》《</w:t>
      </w:r>
      <w:r>
        <w:rPr>
          <w:rFonts w:hint="eastAsia" w:ascii="Times New Roman" w:hAnsi="Times New Roman" w:cs="Times New Roman"/>
          <w:color w:val="auto"/>
          <w:szCs w:val="21"/>
          <w:lang w:eastAsia="zh-CN"/>
        </w:rPr>
        <w:t>吉木萨尔县</w:t>
      </w:r>
      <w:r>
        <w:rPr>
          <w:rFonts w:hint="default" w:ascii="Times New Roman" w:hAnsi="Times New Roman" w:cs="Times New Roman"/>
          <w:color w:val="auto"/>
          <w:szCs w:val="21"/>
        </w:rPr>
        <w:t>202</w:t>
      </w:r>
      <w:r>
        <w:rPr>
          <w:rFonts w:hint="eastAsia" w:cs="Times New Roman"/>
          <w:color w:val="auto"/>
          <w:szCs w:val="21"/>
          <w:lang w:val="en-US" w:eastAsia="zh-CN"/>
        </w:rPr>
        <w:t>4</w:t>
      </w:r>
      <w:r>
        <w:rPr>
          <w:rFonts w:hint="default" w:ascii="Times New Roman" w:hAnsi="Times New Roman" w:cs="Times New Roman"/>
          <w:color w:val="auto"/>
          <w:szCs w:val="21"/>
        </w:rPr>
        <w:t>-202</w:t>
      </w:r>
      <w:r>
        <w:rPr>
          <w:rFonts w:hint="eastAsia" w:cs="Times New Roman"/>
          <w:color w:val="auto"/>
          <w:szCs w:val="21"/>
          <w:lang w:val="en-US" w:eastAsia="zh-CN"/>
        </w:rPr>
        <w:t>6</w:t>
      </w:r>
      <w:r>
        <w:rPr>
          <w:rFonts w:hint="default" w:ascii="Times New Roman" w:hAnsi="Times New Roman" w:cs="Times New Roman"/>
          <w:color w:val="auto"/>
          <w:szCs w:val="21"/>
        </w:rPr>
        <w:t>年农业机械购置补贴实施方案》</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吉木萨尔县2024年农业机械报废更新补贴政策实施方案</w:t>
      </w:r>
      <w:r>
        <w:rPr>
          <w:rFonts w:hint="eastAsia" w:ascii="Times New Roman" w:hAnsi="Times New Roman" w:cs="Times New Roman"/>
          <w:color w:val="auto"/>
          <w:szCs w:val="21"/>
          <w:lang w:eastAsia="zh-CN"/>
        </w:rPr>
        <w:t>》</w:t>
      </w:r>
      <w:r>
        <w:rPr>
          <w:rFonts w:hint="eastAsia" w:ascii="Times New Roman" w:hAnsi="Times New Roman" w:cs="Times New Roman"/>
          <w:color w:val="auto"/>
          <w:szCs w:val="21"/>
          <w:lang w:val="en-US" w:eastAsia="zh-CN"/>
        </w:rPr>
        <w:t>等业务实施方案，吉木萨尔县</w:t>
      </w:r>
      <w:r>
        <w:t>实施方案中明确补贴范围、补贴机具、补贴对象、补贴标准、资金分配方案和使用、具体操作流程等要求，实施方案详细</w:t>
      </w:r>
      <w:r>
        <w:rPr>
          <w:rFonts w:hint="eastAsia"/>
          <w:lang w:eastAsia="zh-CN"/>
        </w:rPr>
        <w:t>地</w:t>
      </w:r>
      <w:r>
        <w:t>对补贴流程审核流程及相关要点进行要求。</w:t>
      </w:r>
    </w:p>
    <w:p w14:paraId="3790A9A1">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财政部</w:t>
      </w:r>
      <w:r>
        <w:rPr>
          <w:rFonts w:hint="eastAsia" w:ascii="Times New Roman" w:hAnsi="Times New Roman" w:cs="Times New Roman"/>
          <w:color w:val="auto"/>
          <w:highlight w:val="none"/>
          <w:lang w:val="en-US" w:eastAsia="zh-CN"/>
        </w:rPr>
        <w:t>、</w:t>
      </w:r>
      <w:r>
        <w:rPr>
          <w:rFonts w:hint="eastAsia" w:cs="Times New Roman"/>
          <w:color w:val="auto"/>
          <w:highlight w:val="none"/>
          <w:lang w:val="en-US" w:eastAsia="zh-CN"/>
        </w:rPr>
        <w:t>农业农村部</w:t>
      </w:r>
      <w:r>
        <w:rPr>
          <w:rFonts w:hint="eastAsia" w:ascii="Times New Roman" w:hAnsi="Times New Roman" w:cs="Times New Roman"/>
          <w:color w:val="auto"/>
          <w:highlight w:val="none"/>
          <w:lang w:val="en-US" w:eastAsia="zh-CN"/>
        </w:rPr>
        <w:t>印发</w:t>
      </w:r>
      <w:r>
        <w:rPr>
          <w:rFonts w:hint="default" w:ascii="Times New Roman" w:hAnsi="Times New Roman" w:cs="Times New Roman"/>
          <w:color w:val="auto"/>
          <w:szCs w:val="21"/>
        </w:rPr>
        <w:t>《农业机械购置补贴专项资金使用管理暂行办法》</w:t>
      </w:r>
      <w:r>
        <w:rPr>
          <w:rFonts w:hint="default" w:ascii="Times New Roman" w:hAnsi="Times New Roman" w:cs="Times New Roman"/>
          <w:color w:val="auto"/>
          <w:highlight w:val="none"/>
          <w:lang w:val="en-US" w:eastAsia="zh-CN"/>
        </w:rPr>
        <w:t>中明确资金使用范围，资金分配，预算下达，预算绩效管理，预算执行和监督。《</w:t>
      </w:r>
      <w:r>
        <w:rPr>
          <w:rFonts w:hint="default" w:ascii="Times New Roman" w:hAnsi="Times New Roman" w:cs="Times New Roman"/>
          <w:color w:val="auto"/>
          <w:szCs w:val="21"/>
        </w:rPr>
        <w:t>吉木萨尔县农业农村局财务管理制度</w:t>
      </w:r>
      <w:r>
        <w:rPr>
          <w:rFonts w:hint="default" w:ascii="Times New Roman" w:hAnsi="Times New Roman" w:cs="Times New Roman"/>
          <w:color w:val="auto"/>
          <w:highlight w:val="none"/>
          <w:lang w:val="en-US" w:eastAsia="zh-CN"/>
        </w:rPr>
        <w:t>》明确支付审批程序，</w:t>
      </w:r>
      <w:r>
        <w:rPr>
          <w:rFonts w:hint="eastAsia" w:ascii="Times New Roman" w:hAnsi="Times New Roman" w:cs="Times New Roman"/>
          <w:color w:val="auto"/>
          <w:highlight w:val="none"/>
          <w:lang w:val="en-US" w:eastAsia="zh-CN"/>
        </w:rPr>
        <w:t>项目业务</w:t>
      </w:r>
      <w:r>
        <w:rPr>
          <w:rFonts w:hint="default" w:ascii="Times New Roman" w:hAnsi="Times New Roman" w:cs="Times New Roman"/>
          <w:color w:val="auto"/>
          <w:highlight w:val="none"/>
          <w:lang w:val="en-US" w:eastAsia="zh-CN"/>
        </w:rPr>
        <w:t>及财务制度基本健全。</w:t>
      </w:r>
    </w:p>
    <w:p w14:paraId="1F20F855">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4</w:t>
      </w:r>
      <w:r>
        <w:rPr>
          <w:rFonts w:hint="default" w:ascii="Times New Roman" w:hAnsi="Times New Roman" w:cs="Times New Roman"/>
          <w:color w:val="auto"/>
        </w:rPr>
        <w:t>.00分，根据评分标准得</w:t>
      </w:r>
      <w:r>
        <w:rPr>
          <w:rFonts w:hint="eastAsia" w:ascii="Times New Roman" w:hAnsi="Times New Roman" w:cs="Times New Roman"/>
          <w:color w:val="auto"/>
          <w:lang w:val="en-US" w:eastAsia="zh-CN"/>
        </w:rPr>
        <w:t>4</w:t>
      </w:r>
      <w:r>
        <w:rPr>
          <w:rFonts w:hint="default" w:ascii="Times New Roman" w:hAnsi="Times New Roman" w:cs="Times New Roman"/>
          <w:color w:val="auto"/>
        </w:rPr>
        <w:t>.00分。</w:t>
      </w:r>
    </w:p>
    <w:p w14:paraId="6FED0E3F">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（5）B22制度执行有效性：</w:t>
      </w:r>
    </w:p>
    <w:p w14:paraId="11F35D88">
      <w:pPr>
        <w:bidi w:val="0"/>
        <w:adjustRightInd w:val="0"/>
        <w:snapToGrid w:val="0"/>
        <w:ind w:firstLine="420" w:firstLineChars="200"/>
      </w:pPr>
      <w:r>
        <w:rPr>
          <w:rFonts w:hint="eastAsia"/>
          <w:lang w:val="en-US" w:eastAsia="zh-CN"/>
        </w:rPr>
        <w:t>①</w:t>
      </w:r>
      <w:r>
        <w:t>经查阅</w:t>
      </w:r>
      <w:r>
        <w:rPr>
          <w:rFonts w:hint="eastAsia" w:cs="Times New Roman"/>
          <w:color w:val="auto"/>
          <w:highlight w:val="none"/>
          <w:lang w:val="en-US" w:eastAsia="zh-CN"/>
        </w:rPr>
        <w:t>《新疆维吾尔自治区农机购置与应用补贴申请办理服务系统》</w:t>
      </w:r>
      <w:r>
        <w:t>，</w:t>
      </w:r>
      <w:r>
        <w:rPr>
          <w:rFonts w:hint="eastAsia"/>
          <w:color w:val="auto"/>
          <w:lang w:val="en-US" w:eastAsia="zh-CN"/>
        </w:rPr>
        <w:t>农机购置与应</w:t>
      </w:r>
      <w:r>
        <w:rPr>
          <w:rFonts w:hint="eastAsia"/>
          <w:color w:val="auto"/>
          <w:highlight w:val="none"/>
          <w:lang w:val="en-US" w:eastAsia="zh-CN"/>
        </w:rPr>
        <w:t>用补贴在</w:t>
      </w:r>
      <w:r>
        <w:rPr>
          <w:rFonts w:hint="eastAsia" w:cs="Times New Roman"/>
          <w:color w:val="auto"/>
          <w:highlight w:val="none"/>
          <w:lang w:val="en-US" w:eastAsia="zh-CN"/>
        </w:rPr>
        <w:t>《新疆维吾尔自治区农机购置与应用补贴申请办理服务系统》中操作，农机购置与应用补贴政策实行“自主购机、定额补贴、先购后补、县级结算、直补到卡（户）”。购机行为完成后，购机者自主通过“新疆农机补贴”手机APP提交补贴购机申请，同时按照系统要求提交购机人身份证号码，机具品目，机具型号、出厂编号[发动机号]，出厂日期，购机发票等信息，录入后由农业农村局负责科室工作人员对以上信息进行审核，对审核通过后，放入冻结状态，待上级资金到位后，按照方案要求优先用于以前年度超录机具，吉木萨尔县农业农村局负责科室工作人员根据到位资金整理补贴明细表，按照补贴明细打印出</w:t>
      </w:r>
      <w:r>
        <w:rPr>
          <w:rFonts w:hint="default" w:ascii="Times New Roman" w:hAnsi="Times New Roman" w:cs="Times New Roman"/>
        </w:rPr>
        <w:t>《农机购置补贴资金申请表》</w:t>
      </w:r>
      <w:r>
        <w:rPr>
          <w:rFonts w:hint="eastAsia" w:cs="Times New Roman"/>
          <w:lang w:eastAsia="zh-CN"/>
        </w:rPr>
        <w:t>、</w:t>
      </w:r>
      <w:r>
        <w:rPr>
          <w:rFonts w:hint="eastAsia" w:cs="Times New Roman"/>
          <w:color w:val="auto"/>
          <w:highlight w:val="none"/>
          <w:lang w:val="en-US" w:eastAsia="zh-CN"/>
        </w:rPr>
        <w:t>签署告知承诺书等，与</w:t>
      </w:r>
      <w:r>
        <w:rPr>
          <w:rFonts w:hint="eastAsia"/>
          <w:lang w:val="en-US" w:eastAsia="zh-CN"/>
        </w:rPr>
        <w:t>各乡镇农技站负责人组成核实组进行实地核查，核实无误后</w:t>
      </w:r>
      <w:r>
        <w:rPr>
          <w:rFonts w:hint="eastAsia" w:cs="Times New Roman"/>
          <w:color w:val="auto"/>
          <w:highlight w:val="none"/>
          <w:lang w:val="en-US" w:eastAsia="zh-CN"/>
        </w:rPr>
        <w:t>并让购机者对</w:t>
      </w:r>
      <w:r>
        <w:rPr>
          <w:rFonts w:hint="default" w:ascii="Times New Roman" w:hAnsi="Times New Roman" w:cs="Times New Roman"/>
        </w:rPr>
        <w:t>《农机购置补贴资金申请表》</w:t>
      </w:r>
      <w:r>
        <w:rPr>
          <w:rFonts w:hint="eastAsia" w:cs="Times New Roman"/>
          <w:lang w:eastAsia="zh-CN"/>
        </w:rPr>
        <w:t>、</w:t>
      </w:r>
      <w:r>
        <w:rPr>
          <w:rFonts w:hint="eastAsia" w:cs="Times New Roman"/>
          <w:color w:val="auto"/>
          <w:highlight w:val="none"/>
          <w:lang w:val="en-US" w:eastAsia="zh-CN"/>
        </w:rPr>
        <w:t>签署告知承诺书签字按手印承诺购买行为、发票购机价格等信息真实有效，县农业农村局按相关规定申办补贴。</w:t>
      </w:r>
      <w:r>
        <w:t>补贴机具核验流程符合补贴机具核验流程符合《关于印发&lt;新疆维吾尔自治区农机购置与应用补贴机具核验工作要点》要求审核补贴机具程序。</w:t>
      </w:r>
    </w:p>
    <w:p w14:paraId="487B0214">
      <w:pPr>
        <w:ind w:firstLine="664"/>
      </w:pPr>
      <w:r>
        <w:rPr>
          <w:rFonts w:hint="eastAsia"/>
          <w:lang w:val="en-US" w:eastAsia="zh-CN"/>
        </w:rPr>
        <w:t>②</w:t>
      </w:r>
      <w:r>
        <w:t>经查阅</w:t>
      </w:r>
      <w:r>
        <w:rPr>
          <w:rFonts w:hint="eastAsia" w:cs="Times New Roman"/>
          <w:color w:val="auto"/>
          <w:highlight w:val="none"/>
          <w:lang w:val="en-US" w:eastAsia="zh-CN"/>
        </w:rPr>
        <w:t>《新疆维吾尔自治区农机报废补贴辅助管理系统》等</w:t>
      </w:r>
      <w:r>
        <w:t>资料，</w:t>
      </w:r>
      <w:r>
        <w:rPr>
          <w:rFonts w:hint="eastAsia" w:ascii="Times New Roman" w:hAnsi="Times New Roman" w:cs="Times New Roman"/>
          <w:color w:val="auto"/>
          <w:highlight w:val="none"/>
          <w:lang w:val="en-US" w:eastAsia="zh-CN"/>
        </w:rPr>
        <w:t>机主携带身份证明等相关资料将拟报废的农业机械交售给回收企业，回收企业核对机主和拟报废的农机信息，对符合报废条件的，现场采集报废农业机械与机主的人机合影照片，在农机报废补贴辅助管理系统中录入机主和报废农机信息，</w:t>
      </w:r>
      <w:r>
        <w:rPr>
          <w:rFonts w:hint="eastAsia" w:cs="Times New Roman"/>
          <w:color w:val="auto"/>
          <w:highlight w:val="none"/>
          <w:lang w:val="en-US" w:eastAsia="zh-CN"/>
        </w:rPr>
        <w:t>吉木萨尔县</w:t>
      </w:r>
      <w:r>
        <w:rPr>
          <w:rFonts w:hint="eastAsia" w:ascii="Times New Roman" w:hAnsi="Times New Roman" w:cs="Times New Roman"/>
          <w:color w:val="auto"/>
          <w:highlight w:val="none"/>
          <w:lang w:val="en-US" w:eastAsia="zh-CN"/>
        </w:rPr>
        <w:t>农业农村局核查相关资料信息后，对报废农机进行实地核查，监督回收企业应及时对回收的农业机械进行解体或销毁，对国家禁止生产销售的发动机等部件进行破坏性处理。回收企业拆解处理后将相关信息上传至农机报废补贴辅助管理系统，</w:t>
      </w:r>
      <w:r>
        <w:rPr>
          <w:rFonts w:hint="eastAsia" w:cs="Times New Roman"/>
          <w:color w:val="auto"/>
          <w:highlight w:val="none"/>
          <w:lang w:val="en-US" w:eastAsia="zh-CN"/>
        </w:rPr>
        <w:t>吉木萨尔县</w:t>
      </w:r>
      <w:r>
        <w:rPr>
          <w:rFonts w:hint="eastAsia" w:ascii="Times New Roman" w:hAnsi="Times New Roman" w:cs="Times New Roman"/>
          <w:color w:val="auto"/>
          <w:highlight w:val="none"/>
          <w:lang w:val="en-US" w:eastAsia="zh-CN"/>
        </w:rPr>
        <w:t>农业农村局</w:t>
      </w:r>
      <w:r>
        <w:rPr>
          <w:rFonts w:hint="eastAsia"/>
          <w:color w:val="auto"/>
          <w:highlight w:val="none"/>
          <w:lang w:val="en-US" w:eastAsia="zh-CN"/>
        </w:rPr>
        <w:t>按相关规定申办补贴</w:t>
      </w:r>
      <w:r>
        <w:t>。机具报废补贴审核流程符合《关于印发＜</w:t>
      </w:r>
      <w:r>
        <w:rPr>
          <w:rFonts w:hint="eastAsia"/>
          <w:lang w:eastAsia="zh-CN"/>
        </w:rPr>
        <w:t>新疆维吾尔自治区</w:t>
      </w:r>
      <w:r>
        <w:t>农业机械报废更新补贴实施方案&gt;的通知》</w:t>
      </w:r>
      <w:r>
        <w:rPr>
          <w:rFonts w:hint="eastAsia"/>
          <w:lang w:eastAsia="zh-CN"/>
        </w:rPr>
        <w:t>（</w:t>
      </w:r>
      <w:r>
        <w:t>新农机〔2020〕l51号</w:t>
      </w:r>
      <w:r>
        <w:rPr>
          <w:rFonts w:hint="eastAsia"/>
          <w:lang w:eastAsia="zh-CN"/>
        </w:rPr>
        <w:t>）</w:t>
      </w:r>
      <w:r>
        <w:t>的要求</w:t>
      </w:r>
      <w:r>
        <w:rPr>
          <w:rFonts w:hint="eastAsia"/>
        </w:rPr>
        <w:t>。</w:t>
      </w:r>
    </w:p>
    <w:p w14:paraId="22E1D0EA">
      <w:pPr>
        <w:ind w:firstLine="664"/>
        <w:rPr>
          <w:rFonts w:hint="eastAsia"/>
          <w:lang w:val="en-US" w:eastAsia="zh-CN"/>
        </w:rPr>
      </w:pPr>
      <w:r>
        <w:rPr>
          <w:rFonts w:hint="eastAsia"/>
          <w:lang w:val="en-US" w:eastAsia="zh-CN"/>
        </w:rPr>
        <w:t>③经查阅</w:t>
      </w:r>
      <w:r>
        <w:rPr>
          <w:rFonts w:hint="eastAsia" w:cs="Times New Roman"/>
          <w:color w:val="auto"/>
          <w:highlight w:val="none"/>
          <w:lang w:val="en-US" w:eastAsia="zh-CN"/>
        </w:rPr>
        <w:t>吉木萨尔县人民政府官方网站显示。吉木萨尔县农业农村局在涉农补贴板块中公开了</w:t>
      </w:r>
      <w:r>
        <w:rPr>
          <w:rFonts w:hint="default" w:ascii="Times New Roman" w:hAnsi="Times New Roman" w:cs="Times New Roman"/>
          <w:color w:val="auto"/>
          <w:szCs w:val="21"/>
        </w:rPr>
        <w:t>《</w:t>
      </w:r>
      <w:r>
        <w:rPr>
          <w:rFonts w:hint="eastAsia" w:ascii="Times New Roman" w:hAnsi="Times New Roman" w:cs="Times New Roman"/>
          <w:color w:val="auto"/>
          <w:szCs w:val="21"/>
          <w:lang w:eastAsia="zh-CN"/>
        </w:rPr>
        <w:t>吉木萨尔县</w:t>
      </w:r>
      <w:r>
        <w:rPr>
          <w:rFonts w:hint="default" w:ascii="Times New Roman" w:hAnsi="Times New Roman" w:cs="Times New Roman"/>
          <w:color w:val="auto"/>
          <w:szCs w:val="21"/>
        </w:rPr>
        <w:t>202</w:t>
      </w:r>
      <w:r>
        <w:rPr>
          <w:rFonts w:hint="eastAsia" w:cs="Times New Roman"/>
          <w:color w:val="auto"/>
          <w:szCs w:val="21"/>
          <w:lang w:val="en-US" w:eastAsia="zh-CN"/>
        </w:rPr>
        <w:t>4</w:t>
      </w:r>
      <w:r>
        <w:rPr>
          <w:rFonts w:hint="default" w:ascii="Times New Roman" w:hAnsi="Times New Roman" w:cs="Times New Roman"/>
          <w:color w:val="auto"/>
          <w:szCs w:val="21"/>
        </w:rPr>
        <w:t>-202</w:t>
      </w:r>
      <w:r>
        <w:rPr>
          <w:rFonts w:hint="eastAsia" w:cs="Times New Roman"/>
          <w:color w:val="auto"/>
          <w:szCs w:val="21"/>
          <w:lang w:val="en-US" w:eastAsia="zh-CN"/>
        </w:rPr>
        <w:t>6</w:t>
      </w:r>
      <w:r>
        <w:rPr>
          <w:rFonts w:hint="default" w:ascii="Times New Roman" w:hAnsi="Times New Roman" w:cs="Times New Roman"/>
          <w:color w:val="auto"/>
          <w:szCs w:val="21"/>
        </w:rPr>
        <w:t>年农业机械购置补贴实施方案》</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关于新一轮农机购置与应用补贴政策衔接有关事项的公告</w:t>
      </w:r>
      <w:r>
        <w:rPr>
          <w:rFonts w:hint="eastAsia" w:ascii="Times New Roman" w:hAnsi="Times New Roman" w:cs="Times New Roman"/>
          <w:color w:val="auto"/>
          <w:szCs w:val="21"/>
          <w:lang w:eastAsia="zh-CN"/>
        </w:rPr>
        <w:t>》</w:t>
      </w:r>
      <w:r>
        <w:rPr>
          <w:rFonts w:hint="eastAsia" w:cs="Times New Roman"/>
          <w:color w:val="auto"/>
          <w:highlight w:val="none"/>
          <w:lang w:val="en-US" w:eastAsia="zh-CN"/>
        </w:rPr>
        <w:t>《2024年吉木萨尔县第一批农机补贴资金发放表》《吉木萨尔县2024年第二批农机购置与农机报废补贴实施情况公告》《2024年吉木萨尔县第二批农机补贴机具及报废机具资金发放表》等信息。</w:t>
      </w:r>
    </w:p>
    <w:p w14:paraId="023B4A02">
      <w:pPr>
        <w:ind w:firstLine="664"/>
        <w:rPr>
          <w:rFonts w:hint="eastAsia" w:cs="Times New Roman"/>
          <w:color w:val="auto"/>
          <w:highlight w:val="none"/>
          <w:lang w:val="en-US" w:eastAsia="zh-CN"/>
        </w:rPr>
      </w:pPr>
      <w:r>
        <w:rPr>
          <w:rFonts w:hint="eastAsia"/>
          <w:lang w:val="en-US" w:eastAsia="zh-CN"/>
        </w:rPr>
        <w:t>④根据项目单位提供的实地核验工作资料，2024年农机购置补贴均由吉木萨尔县农业农村局科室负责人</w:t>
      </w:r>
      <w:r>
        <w:rPr>
          <w:rFonts w:hint="eastAsia" w:cs="Times New Roman"/>
          <w:color w:val="auto"/>
          <w:highlight w:val="none"/>
          <w:lang w:val="en-US" w:eastAsia="zh-CN"/>
        </w:rPr>
        <w:t>与</w:t>
      </w:r>
      <w:r>
        <w:rPr>
          <w:rFonts w:hint="eastAsia"/>
          <w:lang w:val="en-US" w:eastAsia="zh-CN"/>
        </w:rPr>
        <w:t>各乡镇农技站负责人组成核实组按照乡镇进行实地核查，核实无误后</w:t>
      </w:r>
      <w:r>
        <w:rPr>
          <w:rFonts w:hint="eastAsia" w:cs="Times New Roman"/>
          <w:color w:val="auto"/>
          <w:highlight w:val="none"/>
          <w:lang w:val="en-US" w:eastAsia="zh-CN"/>
        </w:rPr>
        <w:t>并让购机者对</w:t>
      </w:r>
      <w:r>
        <w:rPr>
          <w:rFonts w:hint="default" w:ascii="Times New Roman" w:hAnsi="Times New Roman" w:cs="Times New Roman"/>
        </w:rPr>
        <w:t>《农机购置补贴资金申请表》</w:t>
      </w:r>
      <w:r>
        <w:rPr>
          <w:rFonts w:hint="eastAsia" w:cs="Times New Roman"/>
          <w:lang w:eastAsia="zh-CN"/>
        </w:rPr>
        <w:t>、</w:t>
      </w:r>
      <w:r>
        <w:rPr>
          <w:rFonts w:hint="eastAsia" w:cs="Times New Roman"/>
          <w:color w:val="auto"/>
          <w:highlight w:val="none"/>
          <w:lang w:val="en-US" w:eastAsia="zh-CN"/>
        </w:rPr>
        <w:t>签署告知承诺书签字按手印。</w:t>
      </w:r>
    </w:p>
    <w:p w14:paraId="1CA6915B">
      <w:pPr>
        <w:ind w:firstLine="664"/>
        <w:rPr>
          <w:rFonts w:hint="default" w:ascii="Times New Roman" w:hAnsi="Times New Roman" w:cs="Times New Roman"/>
          <w:color w:val="auto"/>
        </w:rPr>
      </w:pPr>
      <w:r>
        <w:rPr>
          <w:rFonts w:hint="eastAsia"/>
          <w:lang w:val="en-US" w:eastAsia="zh-CN"/>
        </w:rPr>
        <w:t>⑤</w:t>
      </w:r>
      <w:r>
        <w:rPr>
          <w:rFonts w:hint="eastAsia"/>
        </w:rPr>
        <w:t>通过查看</w:t>
      </w:r>
      <w:r>
        <w:rPr>
          <w:rFonts w:hint="eastAsia"/>
          <w:lang w:val="en-US" w:eastAsia="zh-CN"/>
        </w:rPr>
        <w:t>新疆维吾尔自治区农机购置与应用补贴信息实时公开系统</w:t>
      </w:r>
      <w:r>
        <w:rPr>
          <w:rFonts w:hint="eastAsia"/>
        </w:rPr>
        <w:t>可知，</w:t>
      </w:r>
      <w:r>
        <w:rPr>
          <w:rFonts w:hint="eastAsia"/>
          <w:lang w:val="en-US" w:eastAsia="zh-CN"/>
        </w:rPr>
        <w:t>吉木萨尔县</w:t>
      </w:r>
      <w:r>
        <w:rPr>
          <w:rFonts w:hint="eastAsia"/>
        </w:rPr>
        <w:t>对补助农机信息进行及时公开公示维护，系统中及时对补助县市、乡镇、所在乡</w:t>
      </w:r>
      <w:r>
        <w:rPr>
          <w:rFonts w:hint="eastAsia"/>
          <w:lang w:eastAsia="zh-CN"/>
        </w:rPr>
        <w:t>（</w:t>
      </w:r>
      <w:r>
        <w:rPr>
          <w:rFonts w:hint="eastAsia"/>
        </w:rPr>
        <w:t>镇</w:t>
      </w:r>
      <w:r>
        <w:rPr>
          <w:rFonts w:hint="eastAsia"/>
          <w:lang w:eastAsia="zh-CN"/>
        </w:rPr>
        <w:t>）</w:t>
      </w:r>
      <w:r>
        <w:rPr>
          <w:rFonts w:hint="eastAsia"/>
        </w:rPr>
        <w:t>、购机者姓名、机具品目、生产厂家、产品名称、购买机型、购买数量、经销商、购机日期、单台销售价格、单台中央补贴额、总补贴额、出厂编号、状态、超录申请等信息进行公开公示。</w:t>
      </w:r>
    </w:p>
    <w:p w14:paraId="430D1E14">
      <w:pPr>
        <w:adjustRightInd w:val="0"/>
        <w:snapToGrid w:val="0"/>
        <w:ind w:firstLine="420"/>
        <w:rPr>
          <w:color w:val="auto"/>
        </w:rPr>
      </w:pPr>
      <w:r>
        <w:rPr>
          <w:rFonts w:hint="default" w:ascii="Times New Roman" w:hAnsi="Times New Roman" w:cs="Times New Roman"/>
          <w:color w:val="auto"/>
        </w:rPr>
        <w:t>该指标满分为</w:t>
      </w:r>
      <w:r>
        <w:rPr>
          <w:rFonts w:hint="eastAsia" w:ascii="Times New Roman" w:hAnsi="Times New Roman" w:cs="Times New Roman"/>
          <w:color w:val="auto"/>
          <w:lang w:val="en-US" w:eastAsia="zh-CN"/>
        </w:rPr>
        <w:t>8</w:t>
      </w:r>
      <w:r>
        <w:rPr>
          <w:rFonts w:hint="default" w:ascii="Times New Roman" w:hAnsi="Times New Roman" w:cs="Times New Roman"/>
          <w:color w:val="auto"/>
        </w:rPr>
        <w:t>.00分，根据评分标准得</w:t>
      </w:r>
      <w:r>
        <w:rPr>
          <w:rFonts w:hint="eastAsia" w:cs="Times New Roman"/>
          <w:color w:val="auto"/>
          <w:lang w:val="en-US" w:eastAsia="zh-CN"/>
        </w:rPr>
        <w:t>8</w:t>
      </w:r>
      <w:r>
        <w:rPr>
          <w:rFonts w:hint="default" w:ascii="Times New Roman" w:hAnsi="Times New Roman" w:cs="Times New Roman"/>
          <w:color w:val="auto"/>
        </w:rPr>
        <w:t>.00分</w:t>
      </w:r>
      <w:r>
        <w:rPr>
          <w:color w:val="auto"/>
        </w:rPr>
        <w:t>。</w:t>
      </w:r>
    </w:p>
    <w:p w14:paraId="504107C4">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88" w:name="_Toc23156"/>
      <w:bookmarkStart w:id="89" w:name="_Toc32426"/>
      <w:r>
        <w:rPr>
          <w:rFonts w:ascii="Times New Roman" w:hAnsi="Times New Roman"/>
          <w:color w:val="auto"/>
        </w:rPr>
        <w:t>（三）项目产出情况</w:t>
      </w:r>
      <w:bookmarkEnd w:id="88"/>
      <w:bookmarkEnd w:id="89"/>
    </w:p>
    <w:p w14:paraId="368EE5DD">
      <w:pPr>
        <w:rPr>
          <w:b/>
          <w:bCs/>
          <w:color w:val="auto"/>
          <w:szCs w:val="16"/>
        </w:rPr>
      </w:pPr>
      <w:r>
        <w:rPr>
          <w:color w:val="auto"/>
        </w:rPr>
        <w:t>项目产出指标由</w:t>
      </w:r>
      <w:r>
        <w:rPr>
          <w:rFonts w:hint="eastAsia"/>
          <w:color w:val="auto"/>
        </w:rPr>
        <w:t>4</w:t>
      </w:r>
      <w:r>
        <w:rPr>
          <w:color w:val="auto"/>
        </w:rPr>
        <w:t>个二级和</w:t>
      </w:r>
      <w:r>
        <w:rPr>
          <w:rFonts w:hint="eastAsia"/>
          <w:color w:val="auto"/>
          <w:lang w:val="en-US" w:eastAsia="zh-CN"/>
        </w:rPr>
        <w:t>8</w:t>
      </w:r>
      <w:r>
        <w:rPr>
          <w:color w:val="auto"/>
        </w:rPr>
        <w:t>个三级指标构成，权重分</w:t>
      </w:r>
      <w:r>
        <w:rPr>
          <w:rFonts w:hint="eastAsia"/>
          <w:color w:val="auto"/>
        </w:rPr>
        <w:t>30.00</w:t>
      </w:r>
      <w:r>
        <w:rPr>
          <w:color w:val="auto"/>
        </w:rPr>
        <w:t>分，实际得分</w:t>
      </w:r>
      <w:r>
        <w:rPr>
          <w:rFonts w:hint="eastAsia"/>
          <w:color w:val="auto"/>
          <w:lang w:val="en-US" w:eastAsia="zh-CN"/>
        </w:rPr>
        <w:t>23.70</w:t>
      </w:r>
      <w:r>
        <w:rPr>
          <w:color w:val="auto"/>
        </w:rPr>
        <w:t>分</w:t>
      </w:r>
      <w:r>
        <w:rPr>
          <w:rFonts w:hint="eastAsia"/>
          <w:color w:val="auto"/>
        </w:rPr>
        <w:t>，得分率为</w:t>
      </w:r>
      <w:r>
        <w:rPr>
          <w:rFonts w:hint="eastAsia"/>
          <w:color w:val="auto"/>
          <w:lang w:val="en-US" w:eastAsia="zh-CN"/>
        </w:rPr>
        <w:t>79.01</w:t>
      </w:r>
      <w:r>
        <w:rPr>
          <w:rFonts w:hint="eastAsia"/>
          <w:color w:val="auto"/>
        </w:rPr>
        <w:t>%</w:t>
      </w:r>
      <w:r>
        <w:rPr>
          <w:color w:val="auto"/>
        </w:rPr>
        <w:t>。各指标业绩值和绩效分值如下表所示：</w:t>
      </w:r>
    </w:p>
    <w:p w14:paraId="0049976E">
      <w:pPr>
        <w:pageBreakBefore w:val="0"/>
        <w:kinsoku/>
        <w:wordWrap/>
        <w:overflowPunct/>
        <w:topLinePunct w:val="0"/>
        <w:autoSpaceDE/>
        <w:autoSpaceDN/>
        <w:bidi w:val="0"/>
        <w:snapToGrid w:val="0"/>
        <w:spacing w:before="0" w:after="0" w:line="360" w:lineRule="auto"/>
        <w:ind w:firstLine="0" w:firstLineChars="0"/>
        <w:jc w:val="center"/>
        <w:rPr>
          <w:rFonts w:eastAsia="黑体"/>
          <w:color w:val="auto"/>
          <w:szCs w:val="16"/>
        </w:rPr>
      </w:pPr>
      <w:r>
        <w:rPr>
          <w:b/>
          <w:bCs/>
          <w:color w:val="auto"/>
          <w:szCs w:val="16"/>
        </w:rPr>
        <w:t>表</w:t>
      </w:r>
      <w:r>
        <w:rPr>
          <w:rFonts w:hint="eastAsia"/>
          <w:b/>
          <w:bCs/>
          <w:color w:val="auto"/>
          <w:szCs w:val="16"/>
          <w:lang w:val="en-US" w:eastAsia="zh-CN"/>
        </w:rPr>
        <w:t>5</w:t>
      </w:r>
      <w:r>
        <w:rPr>
          <w:b/>
          <w:bCs/>
          <w:color w:val="auto"/>
          <w:szCs w:val="16"/>
        </w:rPr>
        <w:t>-3：项目产出指标及分值</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54"/>
        <w:gridCol w:w="1340"/>
        <w:gridCol w:w="1533"/>
        <w:gridCol w:w="1306"/>
        <w:gridCol w:w="1261"/>
        <w:gridCol w:w="606"/>
        <w:gridCol w:w="606"/>
        <w:gridCol w:w="802"/>
      </w:tblGrid>
      <w:tr w14:paraId="69932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0" w:type="auto"/>
            <w:vAlign w:val="center"/>
          </w:tcPr>
          <w:p w14:paraId="2DC322E3">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0" w:type="auto"/>
            <w:vAlign w:val="center"/>
          </w:tcPr>
          <w:p w14:paraId="02C44EFE">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0" w:type="auto"/>
            <w:vAlign w:val="center"/>
          </w:tcPr>
          <w:p w14:paraId="70D0FEE2">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1306" w:type="dxa"/>
            <w:vAlign w:val="center"/>
          </w:tcPr>
          <w:p w14:paraId="66ABC847">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1261" w:type="dxa"/>
            <w:vAlign w:val="center"/>
          </w:tcPr>
          <w:p w14:paraId="3FC7E6E3">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0" w:type="auto"/>
            <w:vAlign w:val="center"/>
          </w:tcPr>
          <w:p w14:paraId="1E528833">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0" w:type="auto"/>
            <w:vAlign w:val="center"/>
          </w:tcPr>
          <w:p w14:paraId="2EAFDF60">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0" w:type="auto"/>
            <w:vAlign w:val="center"/>
          </w:tcPr>
          <w:p w14:paraId="154575EF">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14:paraId="7F609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restart"/>
            <w:vAlign w:val="center"/>
          </w:tcPr>
          <w:p w14:paraId="1A3C52C3">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C产出</w:t>
            </w:r>
            <w:r>
              <w:rPr>
                <w:rFonts w:hint="eastAsia"/>
                <w:color w:val="auto"/>
                <w:kern w:val="0"/>
                <w:sz w:val="20"/>
                <w:szCs w:val="20"/>
                <w:lang w:val="en-US" w:eastAsia="zh-CN" w:bidi="ar"/>
              </w:rPr>
              <w:br w:type="textWrapping"/>
            </w:r>
            <w:r>
              <w:rPr>
                <w:rFonts w:hint="eastAsia"/>
                <w:color w:val="auto"/>
                <w:kern w:val="0"/>
                <w:sz w:val="20"/>
                <w:szCs w:val="20"/>
                <w:lang w:val="en-US" w:eastAsia="zh-CN" w:bidi="ar"/>
              </w:rPr>
              <w:t>（30.00分）</w:t>
            </w:r>
          </w:p>
        </w:tc>
        <w:tc>
          <w:tcPr>
            <w:tcW w:w="1340" w:type="dxa"/>
            <w:vMerge w:val="restart"/>
            <w:vAlign w:val="center"/>
          </w:tcPr>
          <w:p w14:paraId="3006FFB9">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C1产出数量（9.00分）</w:t>
            </w:r>
          </w:p>
        </w:tc>
        <w:tc>
          <w:tcPr>
            <w:tcW w:w="1533" w:type="dxa"/>
            <w:vAlign w:val="center"/>
          </w:tcPr>
          <w:p w14:paraId="18D8F4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eastAsia"/>
                <w:color w:val="auto"/>
                <w:kern w:val="0"/>
                <w:sz w:val="20"/>
                <w:szCs w:val="20"/>
                <w:lang w:bidi="ar"/>
              </w:rPr>
            </w:pPr>
            <w:r>
              <w:rPr>
                <w:rFonts w:hint="eastAsia" w:ascii="宋体" w:hAnsi="宋体" w:eastAsia="宋体" w:cs="宋体"/>
                <w:i w:val="0"/>
                <w:iCs w:val="0"/>
                <w:color w:val="000000"/>
                <w:kern w:val="0"/>
                <w:sz w:val="20"/>
                <w:szCs w:val="20"/>
                <w:u w:val="none"/>
                <w:lang w:val="en-US" w:eastAsia="zh-CN" w:bidi="ar"/>
              </w:rPr>
              <w:t>C11农机购置与应用补贴机具数</w:t>
            </w:r>
          </w:p>
        </w:tc>
        <w:tc>
          <w:tcPr>
            <w:tcW w:w="1306" w:type="dxa"/>
            <w:vAlign w:val="center"/>
          </w:tcPr>
          <w:p w14:paraId="4620229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≥996</w:t>
            </w:r>
            <w:r>
              <w:rPr>
                <w:rFonts w:hint="eastAsia" w:ascii="Times New Roman" w:hAnsi="Times New Roman" w:cs="Times New Roman"/>
                <w:color w:val="auto"/>
                <w:szCs w:val="21"/>
                <w:highlight w:val="none"/>
                <w:lang w:eastAsia="zh-CN"/>
              </w:rPr>
              <w:t>台（套）</w:t>
            </w:r>
          </w:p>
        </w:tc>
        <w:tc>
          <w:tcPr>
            <w:tcW w:w="1261" w:type="dxa"/>
            <w:vAlign w:val="center"/>
          </w:tcPr>
          <w:p w14:paraId="5236EC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 959</w:t>
            </w:r>
            <w:r>
              <w:rPr>
                <w:rFonts w:hint="eastAsia" w:ascii="Times New Roman" w:hAnsi="Times New Roman" w:cs="Times New Roman"/>
                <w:color w:val="auto"/>
                <w:szCs w:val="21"/>
                <w:highlight w:val="none"/>
                <w:lang w:eastAsia="zh-CN"/>
              </w:rPr>
              <w:t>台（套）</w:t>
            </w:r>
            <w:r>
              <w:rPr>
                <w:rFonts w:hint="eastAsia" w:ascii="宋体" w:hAnsi="宋体" w:eastAsia="宋体" w:cs="宋体"/>
                <w:i w:val="0"/>
                <w:iCs w:val="0"/>
                <w:color w:val="000000"/>
                <w:kern w:val="0"/>
                <w:sz w:val="20"/>
                <w:szCs w:val="20"/>
                <w:u w:val="none"/>
                <w:lang w:val="en-US" w:eastAsia="zh-CN" w:bidi="ar"/>
              </w:rPr>
              <w:t xml:space="preserve"> </w:t>
            </w:r>
          </w:p>
        </w:tc>
        <w:tc>
          <w:tcPr>
            <w:tcW w:w="606" w:type="dxa"/>
            <w:vAlign w:val="center"/>
          </w:tcPr>
          <w:p w14:paraId="608515E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8.00 </w:t>
            </w:r>
          </w:p>
        </w:tc>
        <w:tc>
          <w:tcPr>
            <w:tcW w:w="606" w:type="dxa"/>
            <w:vAlign w:val="center"/>
          </w:tcPr>
          <w:p w14:paraId="78BFFB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7.70 </w:t>
            </w:r>
          </w:p>
        </w:tc>
        <w:tc>
          <w:tcPr>
            <w:tcW w:w="802" w:type="dxa"/>
            <w:vAlign w:val="center"/>
          </w:tcPr>
          <w:p w14:paraId="4493D8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96.29%</w:t>
            </w:r>
          </w:p>
        </w:tc>
      </w:tr>
      <w:tr w14:paraId="072F8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5089ACE8">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continue"/>
            <w:vAlign w:val="center"/>
          </w:tcPr>
          <w:p w14:paraId="7FC482F9">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533" w:type="dxa"/>
            <w:vAlign w:val="center"/>
          </w:tcPr>
          <w:p w14:paraId="7CB0193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eastAsia"/>
                <w:color w:val="auto"/>
                <w:kern w:val="0"/>
                <w:sz w:val="20"/>
                <w:szCs w:val="20"/>
                <w:lang w:bidi="ar"/>
              </w:rPr>
            </w:pPr>
            <w:r>
              <w:rPr>
                <w:rFonts w:hint="eastAsia" w:ascii="宋体" w:hAnsi="宋体" w:eastAsia="宋体" w:cs="宋体"/>
                <w:i w:val="0"/>
                <w:iCs w:val="0"/>
                <w:color w:val="000000"/>
                <w:kern w:val="0"/>
                <w:sz w:val="20"/>
                <w:szCs w:val="20"/>
                <w:u w:val="none"/>
                <w:lang w:val="en-US" w:eastAsia="zh-CN" w:bidi="ar"/>
              </w:rPr>
              <w:t>C12农机报废补贴机具总数</w:t>
            </w:r>
          </w:p>
        </w:tc>
        <w:tc>
          <w:tcPr>
            <w:tcW w:w="1306" w:type="dxa"/>
            <w:vAlign w:val="center"/>
          </w:tcPr>
          <w:p w14:paraId="29590A5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≥2</w:t>
            </w:r>
            <w:r>
              <w:rPr>
                <w:rFonts w:hint="eastAsia" w:ascii="Times New Roman" w:hAnsi="Times New Roman" w:cs="Times New Roman"/>
                <w:color w:val="auto"/>
                <w:szCs w:val="21"/>
                <w:highlight w:val="none"/>
                <w:lang w:eastAsia="zh-CN"/>
              </w:rPr>
              <w:t>台</w:t>
            </w:r>
          </w:p>
        </w:tc>
        <w:tc>
          <w:tcPr>
            <w:tcW w:w="1261" w:type="dxa"/>
            <w:vAlign w:val="center"/>
          </w:tcPr>
          <w:p w14:paraId="0C1B50D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2</w:t>
            </w:r>
            <w:r>
              <w:rPr>
                <w:rFonts w:hint="eastAsia" w:ascii="Times New Roman" w:hAnsi="Times New Roman" w:cs="Times New Roman"/>
                <w:color w:val="auto"/>
                <w:szCs w:val="21"/>
                <w:highlight w:val="none"/>
                <w:lang w:eastAsia="zh-CN"/>
              </w:rPr>
              <w:t>台</w:t>
            </w:r>
          </w:p>
        </w:tc>
        <w:tc>
          <w:tcPr>
            <w:tcW w:w="606" w:type="dxa"/>
            <w:vAlign w:val="center"/>
          </w:tcPr>
          <w:p w14:paraId="517484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 </w:t>
            </w:r>
          </w:p>
        </w:tc>
        <w:tc>
          <w:tcPr>
            <w:tcW w:w="606" w:type="dxa"/>
            <w:vAlign w:val="center"/>
          </w:tcPr>
          <w:p w14:paraId="5A9E44A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 </w:t>
            </w:r>
          </w:p>
        </w:tc>
        <w:tc>
          <w:tcPr>
            <w:tcW w:w="802" w:type="dxa"/>
            <w:vAlign w:val="center"/>
          </w:tcPr>
          <w:p w14:paraId="25C159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F11A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020E18EC">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restart"/>
            <w:vAlign w:val="center"/>
          </w:tcPr>
          <w:p w14:paraId="3C52A8B9">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r>
              <w:rPr>
                <w:rFonts w:hint="eastAsia"/>
                <w:color w:val="auto"/>
                <w:kern w:val="0"/>
                <w:sz w:val="20"/>
                <w:szCs w:val="20"/>
                <w:lang w:val="en-US" w:eastAsia="zh-CN" w:bidi="ar"/>
              </w:rPr>
              <w:t>C2产出质量（6.00分）</w:t>
            </w:r>
          </w:p>
        </w:tc>
        <w:tc>
          <w:tcPr>
            <w:tcW w:w="1533" w:type="dxa"/>
            <w:vAlign w:val="center"/>
          </w:tcPr>
          <w:p w14:paraId="471567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color w:val="auto"/>
                <w:kern w:val="0"/>
                <w:sz w:val="20"/>
                <w:szCs w:val="20"/>
                <w:lang w:bidi="ar"/>
              </w:rPr>
            </w:pPr>
            <w:r>
              <w:rPr>
                <w:rFonts w:hint="default" w:ascii="Times New Roman" w:hAnsi="Times New Roman" w:eastAsia="宋体" w:cs="Times New Roman"/>
                <w:i w:val="0"/>
                <w:iCs w:val="0"/>
                <w:color w:val="000000"/>
                <w:kern w:val="0"/>
                <w:sz w:val="18"/>
                <w:szCs w:val="18"/>
                <w:u w:val="none"/>
                <w:lang w:val="en-US" w:eastAsia="zh-CN" w:bidi="ar"/>
              </w:rPr>
              <w:t>C21</w:t>
            </w:r>
            <w:r>
              <w:rPr>
                <w:rFonts w:hint="eastAsia" w:ascii="宋体" w:hAnsi="宋体" w:eastAsia="宋体" w:cs="宋体"/>
                <w:i w:val="0"/>
                <w:iCs w:val="0"/>
                <w:color w:val="000000"/>
                <w:kern w:val="0"/>
                <w:sz w:val="18"/>
                <w:szCs w:val="18"/>
                <w:u w:val="none"/>
                <w:lang w:val="en-US" w:eastAsia="zh-CN" w:bidi="ar"/>
              </w:rPr>
              <w:t>补贴对象认定准确率</w:t>
            </w:r>
          </w:p>
        </w:tc>
        <w:tc>
          <w:tcPr>
            <w:tcW w:w="1306" w:type="dxa"/>
            <w:vAlign w:val="center"/>
          </w:tcPr>
          <w:p w14:paraId="3198BCE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1261" w:type="dxa"/>
            <w:vAlign w:val="center"/>
          </w:tcPr>
          <w:p w14:paraId="0BDA74D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606" w:type="dxa"/>
            <w:vAlign w:val="center"/>
          </w:tcPr>
          <w:p w14:paraId="4CCAF3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5.00 </w:t>
            </w:r>
          </w:p>
        </w:tc>
        <w:tc>
          <w:tcPr>
            <w:tcW w:w="606" w:type="dxa"/>
            <w:vAlign w:val="center"/>
          </w:tcPr>
          <w:p w14:paraId="0475D07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5.00 </w:t>
            </w:r>
          </w:p>
        </w:tc>
        <w:tc>
          <w:tcPr>
            <w:tcW w:w="802" w:type="dxa"/>
            <w:vAlign w:val="center"/>
          </w:tcPr>
          <w:p w14:paraId="05567F1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1017B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58EF7E0A">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continue"/>
            <w:vAlign w:val="center"/>
          </w:tcPr>
          <w:p w14:paraId="71557D49">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533" w:type="dxa"/>
            <w:vAlign w:val="center"/>
          </w:tcPr>
          <w:p w14:paraId="663A8FF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color w:val="auto"/>
                <w:kern w:val="0"/>
                <w:sz w:val="20"/>
                <w:szCs w:val="20"/>
                <w:lang w:bidi="ar"/>
              </w:rPr>
            </w:pPr>
            <w:r>
              <w:rPr>
                <w:rFonts w:hint="default" w:ascii="Times New Roman" w:hAnsi="Times New Roman" w:eastAsia="宋体" w:cs="Times New Roman"/>
                <w:i w:val="0"/>
                <w:iCs w:val="0"/>
                <w:color w:val="000000"/>
                <w:kern w:val="0"/>
                <w:sz w:val="18"/>
                <w:szCs w:val="18"/>
                <w:u w:val="none"/>
                <w:lang w:val="en-US" w:eastAsia="zh-CN" w:bidi="ar"/>
              </w:rPr>
              <w:t>C22</w:t>
            </w:r>
            <w:r>
              <w:rPr>
                <w:rFonts w:hint="eastAsia" w:ascii="宋体" w:hAnsi="宋体" w:eastAsia="宋体" w:cs="宋体"/>
                <w:i w:val="0"/>
                <w:iCs w:val="0"/>
                <w:color w:val="000000"/>
                <w:kern w:val="0"/>
                <w:sz w:val="18"/>
                <w:szCs w:val="18"/>
                <w:u w:val="none"/>
                <w:lang w:val="en-US" w:eastAsia="zh-CN" w:bidi="ar"/>
              </w:rPr>
              <w:t>补贴标准达标率</w:t>
            </w:r>
          </w:p>
        </w:tc>
        <w:tc>
          <w:tcPr>
            <w:tcW w:w="1306" w:type="dxa"/>
            <w:vAlign w:val="center"/>
          </w:tcPr>
          <w:p w14:paraId="28A5B0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1261" w:type="dxa"/>
            <w:vAlign w:val="center"/>
          </w:tcPr>
          <w:p w14:paraId="7247B46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c>
          <w:tcPr>
            <w:tcW w:w="606" w:type="dxa"/>
            <w:vAlign w:val="center"/>
          </w:tcPr>
          <w:p w14:paraId="28E9F28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 </w:t>
            </w:r>
          </w:p>
        </w:tc>
        <w:tc>
          <w:tcPr>
            <w:tcW w:w="606" w:type="dxa"/>
            <w:vAlign w:val="center"/>
          </w:tcPr>
          <w:p w14:paraId="4A0B46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1.00 </w:t>
            </w:r>
          </w:p>
        </w:tc>
        <w:tc>
          <w:tcPr>
            <w:tcW w:w="802" w:type="dxa"/>
            <w:vAlign w:val="center"/>
          </w:tcPr>
          <w:p w14:paraId="694DFD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304B75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6260987B">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restart"/>
            <w:vAlign w:val="center"/>
          </w:tcPr>
          <w:p w14:paraId="150E510D">
            <w:pPr>
              <w:keepNext w:val="0"/>
              <w:keepLines w:val="0"/>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kern w:val="0"/>
                <w:sz w:val="20"/>
                <w:szCs w:val="20"/>
                <w:lang w:val="en-US" w:eastAsia="zh-CN" w:bidi="ar"/>
              </w:rPr>
            </w:pPr>
            <w:r>
              <w:rPr>
                <w:rFonts w:hint="eastAsia" w:ascii="Times New Roman" w:hAnsi="Times New Roman" w:eastAsia="宋体" w:cs="Times New Roman"/>
                <w:color w:val="auto"/>
                <w:kern w:val="0"/>
                <w:sz w:val="20"/>
                <w:szCs w:val="20"/>
                <w:lang w:val="en-US" w:eastAsia="zh-CN" w:bidi="ar"/>
              </w:rPr>
              <w:t>C3产出时效（</w:t>
            </w:r>
            <w:r>
              <w:rPr>
                <w:rFonts w:hint="eastAsia" w:cs="Times New Roman"/>
                <w:color w:val="auto"/>
                <w:kern w:val="0"/>
                <w:sz w:val="20"/>
                <w:szCs w:val="20"/>
                <w:lang w:val="en-US" w:eastAsia="zh-CN" w:bidi="ar"/>
              </w:rPr>
              <w:t>8</w:t>
            </w:r>
            <w:r>
              <w:rPr>
                <w:rFonts w:hint="eastAsia" w:ascii="Times New Roman" w:hAnsi="Times New Roman" w:eastAsia="宋体" w:cs="Times New Roman"/>
                <w:color w:val="auto"/>
                <w:kern w:val="0"/>
                <w:sz w:val="20"/>
                <w:szCs w:val="20"/>
                <w:lang w:val="en-US" w:eastAsia="zh-CN" w:bidi="ar"/>
              </w:rPr>
              <w:t>.00分）</w:t>
            </w:r>
          </w:p>
        </w:tc>
        <w:tc>
          <w:tcPr>
            <w:tcW w:w="1533" w:type="dxa"/>
            <w:vAlign w:val="center"/>
          </w:tcPr>
          <w:p w14:paraId="4054F17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C31</w:t>
            </w:r>
            <w:r>
              <w:rPr>
                <w:rFonts w:hint="eastAsia" w:ascii="宋体" w:hAnsi="宋体" w:cs="宋体"/>
                <w:i w:val="0"/>
                <w:iCs w:val="0"/>
                <w:color w:val="000000"/>
                <w:kern w:val="0"/>
                <w:sz w:val="20"/>
                <w:szCs w:val="20"/>
                <w:u w:val="none"/>
                <w:lang w:val="en-US" w:eastAsia="zh-CN" w:bidi="ar"/>
              </w:rPr>
              <w:t>机具补贴核验时限</w:t>
            </w:r>
          </w:p>
        </w:tc>
        <w:tc>
          <w:tcPr>
            <w:tcW w:w="1306" w:type="dxa"/>
            <w:vAlign w:val="center"/>
          </w:tcPr>
          <w:p w14:paraId="6609BEA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Times New Roman" w:hAnsi="Times New Roman" w:eastAsia="宋体" w:cs="Times New Roman"/>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w:t>
            </w:r>
            <w:r>
              <w:rPr>
                <w:rFonts w:hint="eastAsia" w:cs="Times New Roman"/>
                <w:i w:val="0"/>
                <w:iCs w:val="0"/>
                <w:color w:val="000000"/>
                <w:kern w:val="0"/>
                <w:sz w:val="20"/>
                <w:szCs w:val="20"/>
                <w:u w:val="none"/>
                <w:lang w:val="en-US" w:eastAsia="zh-CN" w:bidi="ar"/>
              </w:rPr>
              <w:t>15</w:t>
            </w:r>
            <w:r>
              <w:rPr>
                <w:rFonts w:ascii="仿宋_GB2312" w:hAnsi="宋体" w:eastAsia="仿宋_GB2312" w:cs="仿宋_GB2312"/>
                <w:i w:val="0"/>
                <w:iCs w:val="0"/>
                <w:color w:val="000000"/>
                <w:kern w:val="0"/>
                <w:sz w:val="20"/>
                <w:szCs w:val="20"/>
                <w:u w:val="none"/>
                <w:lang w:val="en-US" w:eastAsia="zh-CN" w:bidi="ar"/>
              </w:rPr>
              <w:t>个工作日</w:t>
            </w:r>
          </w:p>
        </w:tc>
        <w:tc>
          <w:tcPr>
            <w:tcW w:w="1261" w:type="dxa"/>
            <w:vAlign w:val="center"/>
          </w:tcPr>
          <w:p w14:paraId="14FFE41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eastAsia" w:cs="Times New Roman"/>
                <w:color w:val="auto"/>
                <w:kern w:val="0"/>
                <w:sz w:val="20"/>
                <w:szCs w:val="20"/>
                <w:lang w:val="en-US" w:eastAsia="zh-CN" w:bidi="ar"/>
              </w:rPr>
              <w:t>30个工作日</w:t>
            </w:r>
          </w:p>
        </w:tc>
        <w:tc>
          <w:tcPr>
            <w:tcW w:w="606" w:type="dxa"/>
            <w:vAlign w:val="center"/>
          </w:tcPr>
          <w:p w14:paraId="269FBFB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6.00 </w:t>
            </w:r>
          </w:p>
        </w:tc>
        <w:tc>
          <w:tcPr>
            <w:tcW w:w="606" w:type="dxa"/>
            <w:vAlign w:val="center"/>
          </w:tcPr>
          <w:p w14:paraId="68EB216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0.00 </w:t>
            </w:r>
          </w:p>
        </w:tc>
        <w:tc>
          <w:tcPr>
            <w:tcW w:w="802" w:type="dxa"/>
            <w:vAlign w:val="center"/>
          </w:tcPr>
          <w:p w14:paraId="7F77BFB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0.00%</w:t>
            </w:r>
          </w:p>
        </w:tc>
      </w:tr>
      <w:tr w14:paraId="6272F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6E57504C">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continue"/>
            <w:vAlign w:val="center"/>
          </w:tcPr>
          <w:p w14:paraId="17579FCE">
            <w:pPr>
              <w:keepNext w:val="0"/>
              <w:keepLines w:val="0"/>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kern w:val="0"/>
                <w:sz w:val="20"/>
                <w:szCs w:val="20"/>
                <w:lang w:val="en-US" w:eastAsia="zh-CN" w:bidi="ar"/>
              </w:rPr>
            </w:pPr>
          </w:p>
        </w:tc>
        <w:tc>
          <w:tcPr>
            <w:tcW w:w="1533" w:type="dxa"/>
            <w:shd w:val="clear" w:color="auto" w:fill="auto"/>
            <w:vAlign w:val="center"/>
          </w:tcPr>
          <w:p w14:paraId="2F5DF9E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C32机具补贴兑付时限</w:t>
            </w:r>
          </w:p>
        </w:tc>
        <w:tc>
          <w:tcPr>
            <w:tcW w:w="1306" w:type="dxa"/>
            <w:vAlign w:val="center"/>
          </w:tcPr>
          <w:p w14:paraId="40C69B0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w:t>
            </w:r>
            <w:r>
              <w:rPr>
                <w:rStyle w:val="45"/>
                <w:sz w:val="20"/>
                <w:szCs w:val="20"/>
                <w:lang w:val="en-US" w:eastAsia="zh-CN" w:bidi="ar"/>
              </w:rPr>
              <w:t>15</w:t>
            </w:r>
            <w:r>
              <w:rPr>
                <w:rFonts w:hint="eastAsia" w:ascii="仿宋_GB2312" w:hAnsi="宋体" w:eastAsia="仿宋_GB2312" w:cs="仿宋_GB2312"/>
                <w:i w:val="0"/>
                <w:iCs w:val="0"/>
                <w:color w:val="000000"/>
                <w:kern w:val="0"/>
                <w:sz w:val="20"/>
                <w:szCs w:val="20"/>
                <w:u w:val="none"/>
                <w:lang w:val="en-US" w:eastAsia="zh-CN" w:bidi="ar"/>
              </w:rPr>
              <w:t>个工作日</w:t>
            </w:r>
          </w:p>
        </w:tc>
        <w:tc>
          <w:tcPr>
            <w:tcW w:w="1261" w:type="dxa"/>
            <w:vAlign w:val="center"/>
          </w:tcPr>
          <w:p w14:paraId="27146D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color w:val="000000"/>
                <w:kern w:val="0"/>
                <w:sz w:val="20"/>
                <w:szCs w:val="20"/>
                <w:u w:val="none"/>
                <w:lang w:val="en-US" w:eastAsia="zh-CN" w:bidi="ar"/>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个工作日</w:t>
            </w:r>
          </w:p>
        </w:tc>
        <w:tc>
          <w:tcPr>
            <w:tcW w:w="606" w:type="dxa"/>
            <w:vAlign w:val="center"/>
          </w:tcPr>
          <w:p w14:paraId="2CDAEDD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2.00 </w:t>
            </w:r>
          </w:p>
        </w:tc>
        <w:tc>
          <w:tcPr>
            <w:tcW w:w="606" w:type="dxa"/>
            <w:vAlign w:val="center"/>
          </w:tcPr>
          <w:p w14:paraId="7DE90B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 xml:space="preserve">2.00 </w:t>
            </w:r>
          </w:p>
        </w:tc>
        <w:tc>
          <w:tcPr>
            <w:tcW w:w="802" w:type="dxa"/>
            <w:vAlign w:val="center"/>
          </w:tcPr>
          <w:p w14:paraId="43BBBD6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05B7C0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69C7A1EB">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restart"/>
            <w:vAlign w:val="center"/>
          </w:tcPr>
          <w:p w14:paraId="62B5F682">
            <w:pPr>
              <w:keepNext w:val="0"/>
              <w:keepLines w:val="0"/>
              <w:pageBreakBefore w:val="0"/>
              <w:widowControl/>
              <w:kinsoku/>
              <w:wordWrap/>
              <w:overflowPunct/>
              <w:topLinePunct w:val="0"/>
              <w:autoSpaceDE/>
              <w:autoSpaceDN/>
              <w:bidi w:val="0"/>
              <w:snapToGrid w:val="0"/>
              <w:spacing w:before="0" w:after="0" w:line="240" w:lineRule="auto"/>
              <w:ind w:firstLine="0" w:firstLineChars="0"/>
              <w:jc w:val="left"/>
              <w:rPr>
                <w:rFonts w:hint="eastAsia" w:ascii="Times New Roman" w:hAnsi="Times New Roman" w:eastAsia="宋体" w:cs="Times New Roman"/>
                <w:color w:val="auto"/>
                <w:kern w:val="0"/>
                <w:sz w:val="20"/>
                <w:szCs w:val="20"/>
                <w:lang w:val="en-US" w:eastAsia="zh-CN" w:bidi="ar"/>
              </w:rPr>
            </w:pPr>
            <w:r>
              <w:rPr>
                <w:rFonts w:hint="eastAsia" w:ascii="Times New Roman" w:hAnsi="Times New Roman" w:eastAsia="宋体" w:cs="Times New Roman"/>
                <w:color w:val="auto"/>
                <w:kern w:val="0"/>
                <w:sz w:val="20"/>
                <w:szCs w:val="20"/>
                <w:lang w:val="en-US" w:eastAsia="zh-CN" w:bidi="ar"/>
              </w:rPr>
              <w:t>C4产出成本（</w:t>
            </w:r>
            <w:r>
              <w:rPr>
                <w:rFonts w:hint="eastAsia" w:cs="Times New Roman"/>
                <w:color w:val="auto"/>
                <w:kern w:val="0"/>
                <w:sz w:val="20"/>
                <w:szCs w:val="20"/>
                <w:lang w:val="en-US" w:eastAsia="zh-CN" w:bidi="ar"/>
              </w:rPr>
              <w:t>7</w:t>
            </w:r>
            <w:r>
              <w:rPr>
                <w:rFonts w:hint="eastAsia" w:ascii="Times New Roman" w:hAnsi="Times New Roman" w:eastAsia="宋体" w:cs="Times New Roman"/>
                <w:color w:val="auto"/>
                <w:kern w:val="0"/>
                <w:sz w:val="20"/>
                <w:szCs w:val="20"/>
                <w:lang w:val="en-US" w:eastAsia="zh-CN" w:bidi="ar"/>
              </w:rPr>
              <w:t>.00分）</w:t>
            </w:r>
          </w:p>
        </w:tc>
        <w:tc>
          <w:tcPr>
            <w:tcW w:w="1533" w:type="dxa"/>
            <w:vAlign w:val="center"/>
          </w:tcPr>
          <w:p w14:paraId="425C494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000000"/>
                <w:kern w:val="0"/>
                <w:sz w:val="18"/>
                <w:szCs w:val="18"/>
                <w:u w:val="none"/>
                <w:lang w:val="en-US" w:eastAsia="zh-CN" w:bidi="ar"/>
              </w:rPr>
              <w:t>C41</w:t>
            </w:r>
            <w:r>
              <w:rPr>
                <w:rFonts w:hint="eastAsia" w:ascii="宋体" w:hAnsi="宋体" w:eastAsia="宋体" w:cs="宋体"/>
                <w:i w:val="0"/>
                <w:iCs w:val="0"/>
                <w:color w:val="000000"/>
                <w:kern w:val="0"/>
                <w:sz w:val="18"/>
                <w:szCs w:val="18"/>
                <w:u w:val="none"/>
                <w:lang w:val="en-US" w:eastAsia="zh-CN" w:bidi="ar"/>
              </w:rPr>
              <w:t>农机购置补贴支出</w:t>
            </w:r>
          </w:p>
        </w:tc>
        <w:tc>
          <w:tcPr>
            <w:tcW w:w="1306" w:type="dxa"/>
            <w:vAlign w:val="center"/>
          </w:tcPr>
          <w:p w14:paraId="2D5E4B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≤1,298.30万元</w:t>
            </w:r>
          </w:p>
        </w:tc>
        <w:tc>
          <w:tcPr>
            <w:tcW w:w="1261" w:type="dxa"/>
            <w:vAlign w:val="center"/>
          </w:tcPr>
          <w:p w14:paraId="62A41B8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1,298.24万元</w:t>
            </w:r>
          </w:p>
        </w:tc>
        <w:tc>
          <w:tcPr>
            <w:tcW w:w="606" w:type="dxa"/>
            <w:vAlign w:val="center"/>
          </w:tcPr>
          <w:p w14:paraId="091114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0"/>
                <w:szCs w:val="20"/>
                <w:u w:val="none"/>
                <w:lang w:val="en-US" w:eastAsia="zh-CN" w:bidi="ar"/>
              </w:rPr>
              <w:t xml:space="preserve">.00 </w:t>
            </w:r>
          </w:p>
        </w:tc>
        <w:tc>
          <w:tcPr>
            <w:tcW w:w="606" w:type="dxa"/>
            <w:vAlign w:val="center"/>
          </w:tcPr>
          <w:p w14:paraId="3FB2F9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cs="宋体"/>
                <w:i w:val="0"/>
                <w:iCs w:val="0"/>
                <w:color w:val="000000"/>
                <w:kern w:val="0"/>
                <w:sz w:val="20"/>
                <w:szCs w:val="20"/>
                <w:u w:val="none"/>
                <w:lang w:val="en-US" w:eastAsia="zh-CN" w:bidi="ar"/>
              </w:rPr>
              <w:t>6</w:t>
            </w:r>
            <w:r>
              <w:rPr>
                <w:rFonts w:hint="eastAsia" w:ascii="宋体" w:hAnsi="宋体" w:eastAsia="宋体" w:cs="宋体"/>
                <w:i w:val="0"/>
                <w:iCs w:val="0"/>
                <w:color w:val="000000"/>
                <w:kern w:val="0"/>
                <w:sz w:val="20"/>
                <w:szCs w:val="20"/>
                <w:u w:val="none"/>
                <w:lang w:val="en-US" w:eastAsia="zh-CN" w:bidi="ar"/>
              </w:rPr>
              <w:t xml:space="preserve">.00 </w:t>
            </w:r>
          </w:p>
        </w:tc>
        <w:tc>
          <w:tcPr>
            <w:tcW w:w="802" w:type="dxa"/>
            <w:vAlign w:val="center"/>
          </w:tcPr>
          <w:p w14:paraId="37A37DB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637EC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77FE9688">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340" w:type="dxa"/>
            <w:vMerge w:val="continue"/>
            <w:vAlign w:val="center"/>
          </w:tcPr>
          <w:p w14:paraId="1274BC1E">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bidi="ar"/>
              </w:rPr>
            </w:pPr>
          </w:p>
        </w:tc>
        <w:tc>
          <w:tcPr>
            <w:tcW w:w="1533" w:type="dxa"/>
            <w:vAlign w:val="center"/>
          </w:tcPr>
          <w:p w14:paraId="409FB6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color w:val="auto"/>
                <w:kern w:val="0"/>
                <w:sz w:val="20"/>
                <w:szCs w:val="20"/>
                <w:lang w:bidi="ar"/>
              </w:rPr>
            </w:pPr>
            <w:r>
              <w:rPr>
                <w:rFonts w:hint="default" w:ascii="Times New Roman" w:hAnsi="Times New Roman" w:eastAsia="宋体" w:cs="Times New Roman"/>
                <w:i w:val="0"/>
                <w:iCs w:val="0"/>
                <w:color w:val="000000"/>
                <w:kern w:val="0"/>
                <w:sz w:val="18"/>
                <w:szCs w:val="18"/>
                <w:u w:val="none"/>
                <w:lang w:val="en-US" w:eastAsia="zh-CN" w:bidi="ar"/>
              </w:rPr>
              <w:t>C42</w:t>
            </w:r>
            <w:r>
              <w:rPr>
                <w:rFonts w:hint="eastAsia" w:ascii="宋体" w:hAnsi="宋体" w:eastAsia="宋体" w:cs="宋体"/>
                <w:i w:val="0"/>
                <w:iCs w:val="0"/>
                <w:color w:val="000000"/>
                <w:kern w:val="0"/>
                <w:sz w:val="18"/>
                <w:szCs w:val="18"/>
                <w:u w:val="none"/>
                <w:lang w:val="en-US" w:eastAsia="zh-CN" w:bidi="ar"/>
              </w:rPr>
              <w:t>农机报废补贴支出</w:t>
            </w:r>
          </w:p>
        </w:tc>
        <w:tc>
          <w:tcPr>
            <w:tcW w:w="1306" w:type="dxa"/>
            <w:vAlign w:val="center"/>
          </w:tcPr>
          <w:p w14:paraId="5FF411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≤0.7万元</w:t>
            </w:r>
          </w:p>
        </w:tc>
        <w:tc>
          <w:tcPr>
            <w:tcW w:w="1261" w:type="dxa"/>
            <w:vAlign w:val="center"/>
          </w:tcPr>
          <w:p w14:paraId="69B336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0.7万元</w:t>
            </w:r>
          </w:p>
        </w:tc>
        <w:tc>
          <w:tcPr>
            <w:tcW w:w="606" w:type="dxa"/>
            <w:vAlign w:val="center"/>
          </w:tcPr>
          <w:p w14:paraId="3632AA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 xml:space="preserve">.00 </w:t>
            </w:r>
          </w:p>
        </w:tc>
        <w:tc>
          <w:tcPr>
            <w:tcW w:w="606" w:type="dxa"/>
            <w:vAlign w:val="center"/>
          </w:tcPr>
          <w:p w14:paraId="01AB8A1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cs="宋体"/>
                <w:i w:val="0"/>
                <w:iCs w:val="0"/>
                <w:color w:val="000000"/>
                <w:kern w:val="0"/>
                <w:sz w:val="20"/>
                <w:szCs w:val="20"/>
                <w:u w:val="none"/>
                <w:lang w:val="en-US" w:eastAsia="zh-CN" w:bidi="ar"/>
              </w:rPr>
              <w:t>1</w:t>
            </w:r>
            <w:r>
              <w:rPr>
                <w:rFonts w:hint="eastAsia" w:ascii="宋体" w:hAnsi="宋体" w:eastAsia="宋体" w:cs="宋体"/>
                <w:i w:val="0"/>
                <w:iCs w:val="0"/>
                <w:color w:val="000000"/>
                <w:kern w:val="0"/>
                <w:sz w:val="20"/>
                <w:szCs w:val="20"/>
                <w:u w:val="none"/>
                <w:lang w:val="en-US" w:eastAsia="zh-CN" w:bidi="ar"/>
              </w:rPr>
              <w:t xml:space="preserve">.00 </w:t>
            </w:r>
          </w:p>
        </w:tc>
        <w:tc>
          <w:tcPr>
            <w:tcW w:w="802" w:type="dxa"/>
            <w:vAlign w:val="center"/>
          </w:tcPr>
          <w:p w14:paraId="3597060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color w:val="auto"/>
                <w:kern w:val="0"/>
                <w:sz w:val="20"/>
                <w:szCs w:val="20"/>
                <w:lang w:val="en-US" w:eastAsia="zh-CN" w:bidi="ar"/>
              </w:rPr>
            </w:pPr>
            <w:r>
              <w:rPr>
                <w:rFonts w:hint="eastAsia" w:ascii="宋体" w:hAnsi="宋体" w:eastAsia="宋体" w:cs="宋体"/>
                <w:i w:val="0"/>
                <w:iCs w:val="0"/>
                <w:color w:val="000000"/>
                <w:kern w:val="0"/>
                <w:sz w:val="20"/>
                <w:szCs w:val="20"/>
                <w:u w:val="none"/>
                <w:lang w:val="en-US" w:eastAsia="zh-CN" w:bidi="ar"/>
              </w:rPr>
              <w:t>100.00%</w:t>
            </w:r>
          </w:p>
        </w:tc>
      </w:tr>
      <w:tr w14:paraId="7B729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gridSpan w:val="3"/>
            <w:vAlign w:val="center"/>
          </w:tcPr>
          <w:p w14:paraId="150F6859">
            <w:pPr>
              <w:keepNext w:val="0"/>
              <w:keepLines w:val="0"/>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b/>
                <w:bCs/>
                <w:color w:val="auto"/>
                <w:sz w:val="20"/>
                <w:szCs w:val="20"/>
              </w:rPr>
            </w:pPr>
            <w:r>
              <w:rPr>
                <w:rFonts w:hint="eastAsia" w:ascii="宋体" w:hAnsi="宋体" w:eastAsia="宋体" w:cs="宋体"/>
                <w:b/>
                <w:bCs/>
                <w:color w:val="auto"/>
                <w:sz w:val="20"/>
                <w:szCs w:val="20"/>
              </w:rPr>
              <w:t>合计</w:t>
            </w:r>
          </w:p>
        </w:tc>
        <w:tc>
          <w:tcPr>
            <w:tcW w:w="1306" w:type="dxa"/>
            <w:vAlign w:val="center"/>
          </w:tcPr>
          <w:p w14:paraId="2A503D13">
            <w:pPr>
              <w:keepNext w:val="0"/>
              <w:keepLines w:val="0"/>
              <w:pageBreakBefore w:val="0"/>
              <w:widowControl/>
              <w:kinsoku/>
              <w:wordWrap/>
              <w:overflowPunct/>
              <w:topLinePunct w:val="0"/>
              <w:autoSpaceDE/>
              <w:autoSpaceDN/>
              <w:bidi w:val="0"/>
              <w:spacing w:line="240" w:lineRule="auto"/>
              <w:ind w:firstLine="0" w:firstLineChars="0"/>
              <w:jc w:val="center"/>
              <w:rPr>
                <w:rFonts w:ascii="宋体" w:hAnsi="宋体" w:eastAsia="宋体" w:cs="宋体"/>
                <w:b/>
                <w:bCs/>
                <w:color w:val="auto"/>
                <w:sz w:val="20"/>
                <w:szCs w:val="20"/>
              </w:rPr>
            </w:pPr>
          </w:p>
        </w:tc>
        <w:tc>
          <w:tcPr>
            <w:tcW w:w="1261" w:type="dxa"/>
            <w:vAlign w:val="center"/>
          </w:tcPr>
          <w:p w14:paraId="0AE99A3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color w:val="auto"/>
                <w:sz w:val="20"/>
                <w:szCs w:val="20"/>
                <w:lang w:val="en-US" w:eastAsia="zh-CN"/>
              </w:rPr>
            </w:pPr>
          </w:p>
        </w:tc>
        <w:tc>
          <w:tcPr>
            <w:tcW w:w="606" w:type="dxa"/>
            <w:vAlign w:val="center"/>
          </w:tcPr>
          <w:p w14:paraId="64AFD94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宋体" w:hAnsi="宋体" w:eastAsia="宋体" w:cs="宋体"/>
                <w:b/>
                <w:bCs/>
                <w:color w:val="auto"/>
                <w:sz w:val="20"/>
                <w:szCs w:val="20"/>
              </w:rPr>
            </w:pPr>
            <w:r>
              <w:rPr>
                <w:rFonts w:hint="eastAsia" w:ascii="宋体" w:hAnsi="宋体" w:eastAsia="宋体" w:cs="宋体"/>
                <w:b/>
                <w:bCs/>
                <w:i w:val="0"/>
                <w:iCs w:val="0"/>
                <w:color w:val="000000"/>
                <w:kern w:val="0"/>
                <w:sz w:val="20"/>
                <w:szCs w:val="20"/>
                <w:u w:val="none"/>
                <w:lang w:val="en-US" w:eastAsia="zh-CN" w:bidi="ar"/>
              </w:rPr>
              <w:t xml:space="preserve">30.00 </w:t>
            </w:r>
          </w:p>
        </w:tc>
        <w:tc>
          <w:tcPr>
            <w:tcW w:w="606" w:type="dxa"/>
            <w:vAlign w:val="center"/>
          </w:tcPr>
          <w:p w14:paraId="13EA64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宋体" w:hAnsi="宋体" w:eastAsia="宋体" w:cs="宋体"/>
                <w:b/>
                <w:bCs/>
                <w:color w:val="auto"/>
                <w:sz w:val="20"/>
                <w:szCs w:val="20"/>
              </w:rPr>
            </w:pPr>
            <w:r>
              <w:rPr>
                <w:rFonts w:hint="eastAsia" w:ascii="宋体" w:hAnsi="宋体" w:eastAsia="宋体" w:cs="宋体"/>
                <w:b/>
                <w:bCs/>
                <w:i w:val="0"/>
                <w:iCs w:val="0"/>
                <w:color w:val="000000"/>
                <w:kern w:val="0"/>
                <w:sz w:val="20"/>
                <w:szCs w:val="20"/>
                <w:u w:val="none"/>
                <w:lang w:val="en-US" w:eastAsia="zh-CN" w:bidi="ar"/>
              </w:rPr>
              <w:t xml:space="preserve">23.70 </w:t>
            </w:r>
          </w:p>
        </w:tc>
        <w:tc>
          <w:tcPr>
            <w:tcW w:w="802" w:type="dxa"/>
            <w:vAlign w:val="center"/>
          </w:tcPr>
          <w:p w14:paraId="53F1D1A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宋体" w:hAnsi="宋体" w:eastAsia="宋体" w:cs="宋体"/>
                <w:b/>
                <w:bCs/>
                <w:color w:val="auto"/>
                <w:sz w:val="20"/>
                <w:szCs w:val="20"/>
              </w:rPr>
            </w:pPr>
            <w:r>
              <w:rPr>
                <w:rFonts w:hint="eastAsia" w:ascii="宋体" w:hAnsi="宋体" w:eastAsia="宋体" w:cs="宋体"/>
                <w:b/>
                <w:bCs/>
                <w:i w:val="0"/>
                <w:iCs w:val="0"/>
                <w:color w:val="000000"/>
                <w:kern w:val="0"/>
                <w:sz w:val="20"/>
                <w:szCs w:val="20"/>
                <w:u w:val="none"/>
                <w:lang w:val="en-US" w:eastAsia="zh-CN" w:bidi="ar"/>
              </w:rPr>
              <w:t>79.01%</w:t>
            </w:r>
          </w:p>
        </w:tc>
      </w:tr>
    </w:tbl>
    <w:p w14:paraId="45927E98">
      <w:pPr>
        <w:pageBreakBefore w:val="0"/>
        <w:kinsoku/>
        <w:wordWrap/>
        <w:overflowPunct/>
        <w:topLinePunct w:val="0"/>
        <w:autoSpaceDE/>
        <w:autoSpaceDN/>
        <w:bidi w:val="0"/>
        <w:snapToGrid w:val="0"/>
        <w:spacing w:before="0" w:after="0" w:line="360" w:lineRule="auto"/>
        <w:ind w:firstLine="422"/>
        <w:rPr>
          <w:rFonts w:eastAsia="宋体"/>
          <w:b/>
          <w:bCs/>
          <w:color w:val="auto"/>
        </w:rPr>
      </w:pPr>
    </w:p>
    <w:p w14:paraId="7E905312">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r>
        <w:rPr>
          <w:b/>
          <w:bCs/>
          <w:color w:val="auto"/>
        </w:rPr>
        <w:t>：</w:t>
      </w:r>
    </w:p>
    <w:p w14:paraId="7C58C71A">
      <w:pPr>
        <w:adjustRightInd w:val="0"/>
        <w:snapToGrid w:val="0"/>
        <w:ind w:firstLine="422"/>
        <w:rPr>
          <w:rFonts w:hint="default" w:ascii="Times New Roman" w:hAnsi="Times New Roman" w:cs="Times New Roman"/>
          <w:b/>
          <w:bCs/>
          <w:color w:val="auto"/>
        </w:rPr>
      </w:pPr>
      <w:r>
        <w:rPr>
          <w:rFonts w:hint="default" w:ascii="Times New Roman" w:hAnsi="Times New Roman" w:cs="Times New Roman"/>
          <w:b/>
          <w:bCs/>
          <w:color w:val="auto"/>
        </w:rPr>
        <w:t>（1）</w:t>
      </w:r>
      <w:r>
        <w:rPr>
          <w:rFonts w:hint="default" w:ascii="Times New Roman" w:hAnsi="Times New Roman" w:cs="Times New Roman"/>
          <w:b/>
          <w:bCs/>
          <w:color w:val="auto"/>
          <w:szCs w:val="21"/>
        </w:rPr>
        <w:t>C11农机购置与应用补贴机具数</w:t>
      </w:r>
      <w:r>
        <w:rPr>
          <w:rFonts w:hint="default" w:ascii="Times New Roman" w:hAnsi="Times New Roman" w:cs="Times New Roman"/>
          <w:b/>
          <w:bCs/>
          <w:color w:val="auto"/>
        </w:rPr>
        <w:t>：</w:t>
      </w:r>
    </w:p>
    <w:p w14:paraId="30FA96AA">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根据单位提供</w:t>
      </w:r>
      <w:r>
        <w:rPr>
          <w:rFonts w:hint="eastAsia" w:cs="Times New Roman"/>
          <w:color w:val="auto"/>
          <w:szCs w:val="21"/>
          <w:lang w:eastAsia="zh-CN"/>
        </w:rPr>
        <w:t>《2023年度县级补贴机具结算明细表》《</w:t>
      </w:r>
      <w:r>
        <w:rPr>
          <w:rFonts w:hint="default" w:ascii="Times New Roman" w:hAnsi="Times New Roman" w:cs="Times New Roman"/>
          <w:color w:val="auto"/>
          <w:szCs w:val="21"/>
        </w:rPr>
        <w:t>2024年度县级补贴机具结算明细表</w:t>
      </w:r>
      <w:r>
        <w:rPr>
          <w:rFonts w:hint="eastAsia" w:cs="Times New Roman"/>
          <w:color w:val="auto"/>
          <w:szCs w:val="21"/>
          <w:lang w:eastAsia="zh-CN"/>
        </w:rPr>
        <w:t>》（</w:t>
      </w:r>
      <w:r>
        <w:rPr>
          <w:rFonts w:hint="eastAsia" w:cs="Times New Roman"/>
          <w:color w:val="auto"/>
          <w:szCs w:val="21"/>
          <w:lang w:val="en-US" w:eastAsia="zh-CN"/>
        </w:rPr>
        <w:t>第一批</w:t>
      </w:r>
      <w:r>
        <w:rPr>
          <w:rFonts w:hint="eastAsia" w:cs="Times New Roman"/>
          <w:color w:val="auto"/>
          <w:szCs w:val="21"/>
          <w:lang w:eastAsia="zh-CN"/>
        </w:rPr>
        <w:t>）</w:t>
      </w:r>
      <w:r>
        <w:rPr>
          <w:rFonts w:hint="default" w:ascii="Times New Roman" w:hAnsi="Times New Roman" w:cs="Times New Roman"/>
          <w:color w:val="auto"/>
          <w:szCs w:val="21"/>
        </w:rPr>
        <w:t>及</w:t>
      </w:r>
      <w:r>
        <w:rPr>
          <w:rFonts w:hint="eastAsia" w:cs="Times New Roman"/>
          <w:color w:val="auto"/>
          <w:szCs w:val="21"/>
          <w:lang w:eastAsia="zh-CN"/>
        </w:rPr>
        <w:t>《2024年度县级补贴机具结算明细表》（</w:t>
      </w:r>
      <w:r>
        <w:rPr>
          <w:rFonts w:hint="eastAsia" w:cs="Times New Roman"/>
          <w:color w:val="auto"/>
          <w:szCs w:val="21"/>
          <w:lang w:val="en-US" w:eastAsia="zh-CN"/>
        </w:rPr>
        <w:t>第二批</w:t>
      </w:r>
      <w:r>
        <w:rPr>
          <w:rFonts w:hint="eastAsia" w:cs="Times New Roman"/>
          <w:color w:val="auto"/>
          <w:szCs w:val="21"/>
          <w:lang w:eastAsia="zh-CN"/>
        </w:rPr>
        <w:t>）</w:t>
      </w:r>
      <w:r>
        <w:rPr>
          <w:rFonts w:hint="eastAsia" w:cs="Times New Roman"/>
          <w:color w:val="auto"/>
          <w:szCs w:val="21"/>
          <w:lang w:val="en-US" w:eastAsia="zh-CN"/>
        </w:rPr>
        <w:t>等资料</w:t>
      </w:r>
      <w:r>
        <w:rPr>
          <w:rFonts w:hint="default" w:ascii="Times New Roman" w:hAnsi="Times New Roman" w:cs="Times New Roman"/>
          <w:color w:val="auto"/>
          <w:szCs w:val="21"/>
        </w:rPr>
        <w:t>显示，该项目实际已完成</w:t>
      </w:r>
      <w:r>
        <w:rPr>
          <w:rFonts w:hint="eastAsia" w:cs="Times New Roman"/>
          <w:color w:val="auto"/>
          <w:szCs w:val="21"/>
          <w:lang w:val="en-US" w:eastAsia="zh-CN"/>
        </w:rPr>
        <w:t>959</w:t>
      </w:r>
      <w:r>
        <w:rPr>
          <w:rFonts w:hint="eastAsia" w:ascii="Times New Roman" w:hAnsi="Times New Roman" w:cs="Times New Roman"/>
          <w:color w:val="auto"/>
          <w:szCs w:val="21"/>
          <w:highlight w:val="none"/>
          <w:lang w:eastAsia="zh-CN"/>
        </w:rPr>
        <w:t>台（套）</w:t>
      </w:r>
      <w:r>
        <w:rPr>
          <w:rFonts w:hint="default" w:ascii="Times New Roman" w:hAnsi="Times New Roman" w:cs="Times New Roman"/>
          <w:color w:val="auto"/>
          <w:szCs w:val="21"/>
        </w:rPr>
        <w:t>农机购置补贴发放任务。根据评分标准，实际完成值小于等于年度指标值，得分=实际完成率×分值</w:t>
      </w:r>
      <w:r>
        <w:rPr>
          <w:rFonts w:hint="eastAsia" w:cs="Times New Roman"/>
          <w:color w:val="auto"/>
          <w:szCs w:val="21"/>
          <w:lang w:val="en-US" w:eastAsia="zh-CN"/>
        </w:rPr>
        <w:t>=（959/969）</w:t>
      </w:r>
      <w:r>
        <w:rPr>
          <w:rFonts w:hint="default" w:ascii="Times New Roman" w:hAnsi="Times New Roman" w:cs="Times New Roman"/>
          <w:color w:val="auto"/>
          <w:szCs w:val="21"/>
        </w:rPr>
        <w:t>×</w:t>
      </w:r>
      <w:r>
        <w:rPr>
          <w:rFonts w:hint="eastAsia" w:cs="Times New Roman"/>
          <w:color w:val="auto"/>
          <w:szCs w:val="21"/>
          <w:lang w:val="en-US" w:eastAsia="zh-CN"/>
        </w:rPr>
        <w:t>8=7.70分</w:t>
      </w:r>
      <w:r>
        <w:rPr>
          <w:rFonts w:hint="default" w:ascii="Times New Roman" w:hAnsi="Times New Roman" w:cs="Times New Roman"/>
          <w:color w:val="auto"/>
          <w:szCs w:val="21"/>
        </w:rPr>
        <w:t>。</w:t>
      </w:r>
    </w:p>
    <w:p w14:paraId="11E637BD">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cs="Times New Roman"/>
          <w:color w:val="auto"/>
          <w:szCs w:val="21"/>
          <w:lang w:val="en-US" w:eastAsia="zh-CN"/>
        </w:rPr>
        <w:t>8</w:t>
      </w:r>
      <w:r>
        <w:rPr>
          <w:rFonts w:hint="eastAsia" w:ascii="Times New Roman" w:hAnsi="Times New Roman" w:cs="Times New Roman"/>
          <w:color w:val="auto"/>
          <w:szCs w:val="21"/>
          <w:lang w:val="en-US" w:eastAsia="zh-CN"/>
        </w:rPr>
        <w:t>.</w:t>
      </w:r>
      <w:r>
        <w:rPr>
          <w:rFonts w:hint="default" w:ascii="Times New Roman" w:hAnsi="Times New Roman" w:cs="Times New Roman"/>
          <w:color w:val="auto"/>
          <w:szCs w:val="21"/>
        </w:rPr>
        <w:t>00</w:t>
      </w:r>
      <w:r>
        <w:rPr>
          <w:rFonts w:hint="default" w:ascii="Times New Roman" w:hAnsi="Times New Roman" w:cs="Times New Roman"/>
          <w:color w:val="auto"/>
        </w:rPr>
        <w:t>分，根据评分标准得</w:t>
      </w:r>
      <w:r>
        <w:rPr>
          <w:rFonts w:hint="eastAsia" w:cs="Times New Roman"/>
          <w:color w:val="auto"/>
          <w:szCs w:val="21"/>
          <w:lang w:val="en-US" w:eastAsia="zh-CN"/>
        </w:rPr>
        <w:t>7.70</w:t>
      </w:r>
      <w:r>
        <w:rPr>
          <w:rFonts w:hint="default" w:ascii="Times New Roman" w:hAnsi="Times New Roman" w:cs="Times New Roman"/>
          <w:color w:val="auto"/>
        </w:rPr>
        <w:t>分。</w:t>
      </w:r>
    </w:p>
    <w:p w14:paraId="5B078DDC">
      <w:pPr>
        <w:adjustRightInd w:val="0"/>
        <w:snapToGrid w:val="0"/>
        <w:ind w:firstLine="422"/>
        <w:rPr>
          <w:rFonts w:hint="default" w:ascii="Times New Roman" w:hAnsi="Times New Roman" w:cs="Times New Roman"/>
          <w:b/>
          <w:bCs/>
          <w:color w:val="auto"/>
        </w:rPr>
      </w:pPr>
      <w:r>
        <w:rPr>
          <w:rFonts w:hint="default" w:ascii="Times New Roman" w:hAnsi="Times New Roman" w:cs="Times New Roman"/>
          <w:b/>
          <w:bCs/>
          <w:color w:val="auto"/>
        </w:rPr>
        <w:t>（2）</w:t>
      </w:r>
      <w:r>
        <w:rPr>
          <w:rFonts w:hint="default" w:ascii="Times New Roman" w:hAnsi="Times New Roman" w:cs="Times New Roman"/>
          <w:b/>
          <w:bCs/>
          <w:color w:val="auto"/>
          <w:szCs w:val="21"/>
        </w:rPr>
        <w:t>C12农机报废补贴机具总数</w:t>
      </w:r>
      <w:r>
        <w:rPr>
          <w:rFonts w:hint="default" w:ascii="Times New Roman" w:hAnsi="Times New Roman" w:cs="Times New Roman"/>
          <w:b/>
          <w:bCs/>
          <w:color w:val="auto"/>
        </w:rPr>
        <w:t>：</w:t>
      </w:r>
    </w:p>
    <w:p w14:paraId="1CEC3AAA">
      <w:pPr>
        <w:adjustRightInd w:val="0"/>
        <w:snapToGrid w:val="0"/>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rPr>
        <w:t>根据单位提供</w:t>
      </w:r>
      <w:r>
        <w:rPr>
          <w:rFonts w:hint="eastAsia" w:cs="Times New Roman"/>
          <w:color w:val="auto"/>
          <w:szCs w:val="21"/>
          <w:lang w:eastAsia="zh-CN"/>
        </w:rPr>
        <w:t>《</w:t>
      </w:r>
      <w:r>
        <w:rPr>
          <w:rFonts w:hint="default" w:ascii="Times New Roman" w:hAnsi="Times New Roman" w:cs="Times New Roman"/>
          <w:color w:val="auto"/>
          <w:szCs w:val="21"/>
        </w:rPr>
        <w:t>2024年老台乡第一批农机报废补贴实名制管理台账</w:t>
      </w:r>
      <w:r>
        <w:rPr>
          <w:rFonts w:hint="eastAsia" w:cs="Times New Roman"/>
          <w:color w:val="auto"/>
          <w:szCs w:val="21"/>
          <w:lang w:eastAsia="zh-CN"/>
        </w:rPr>
        <w:t>》</w:t>
      </w:r>
      <w:r>
        <w:rPr>
          <w:rFonts w:hint="default" w:ascii="Times New Roman" w:hAnsi="Times New Roman" w:cs="Times New Roman"/>
          <w:color w:val="auto"/>
          <w:szCs w:val="21"/>
        </w:rPr>
        <w:t>显示，该项目实</w:t>
      </w:r>
      <w:r>
        <w:rPr>
          <w:rFonts w:hint="default" w:ascii="Times New Roman" w:hAnsi="Times New Roman" w:cs="Times New Roman"/>
          <w:color w:val="auto"/>
          <w:szCs w:val="21"/>
          <w:highlight w:val="none"/>
        </w:rPr>
        <w:t>际已完成</w:t>
      </w:r>
      <w:r>
        <w:rPr>
          <w:rFonts w:hint="eastAsia" w:cs="Times New Roman"/>
          <w:color w:val="auto"/>
          <w:szCs w:val="21"/>
          <w:highlight w:val="none"/>
          <w:lang w:val="en-US" w:eastAsia="zh-CN"/>
        </w:rPr>
        <w:t>2</w:t>
      </w:r>
      <w:r>
        <w:rPr>
          <w:rFonts w:hint="eastAsia" w:ascii="Times New Roman" w:hAnsi="Times New Roman" w:cs="Times New Roman"/>
          <w:color w:val="auto"/>
          <w:szCs w:val="21"/>
          <w:highlight w:val="none"/>
          <w:lang w:eastAsia="zh-CN"/>
        </w:rPr>
        <w:t>台</w:t>
      </w:r>
      <w:r>
        <w:rPr>
          <w:rFonts w:hint="default" w:ascii="Times New Roman" w:hAnsi="Times New Roman" w:cs="Times New Roman"/>
          <w:color w:val="auto"/>
          <w:szCs w:val="21"/>
          <w:highlight w:val="none"/>
        </w:rPr>
        <w:t>农机报废补贴发放任务。</w:t>
      </w:r>
      <w:r>
        <w:rPr>
          <w:rFonts w:hint="eastAsia" w:cs="Times New Roman"/>
          <w:color w:val="auto"/>
          <w:szCs w:val="21"/>
          <w:highlight w:val="none"/>
          <w:lang w:val="en-US" w:eastAsia="zh-CN"/>
        </w:rPr>
        <w:t>达到预期目标，</w:t>
      </w:r>
      <w:r>
        <w:rPr>
          <w:rFonts w:hint="default" w:ascii="Times New Roman" w:hAnsi="Times New Roman" w:cs="Times New Roman"/>
          <w:color w:val="auto"/>
          <w:szCs w:val="21"/>
          <w:highlight w:val="none"/>
        </w:rPr>
        <w:t>得满分。</w:t>
      </w:r>
    </w:p>
    <w:p w14:paraId="61A71389">
      <w:pPr>
        <w:adjustRightInd w:val="0"/>
        <w:snapToGrid w:val="0"/>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w:t>
      </w:r>
      <w:r>
        <w:rPr>
          <w:rFonts w:hint="eastAsia" w:cs="Times New Roman"/>
          <w:color w:val="auto"/>
          <w:szCs w:val="21"/>
          <w:highlight w:val="none"/>
          <w:lang w:val="en-US" w:eastAsia="zh-CN"/>
        </w:rPr>
        <w:t>1</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分，根据评分标准得</w:t>
      </w:r>
      <w:r>
        <w:rPr>
          <w:rFonts w:hint="eastAsia" w:cs="Times New Roman"/>
          <w:color w:val="auto"/>
          <w:szCs w:val="21"/>
          <w:highlight w:val="none"/>
          <w:lang w:val="en-US" w:eastAsia="zh-CN"/>
        </w:rPr>
        <w:t>1</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w:t>
      </w:r>
    </w:p>
    <w:p w14:paraId="48C41A07">
      <w:pPr>
        <w:adjustRightInd w:val="0"/>
        <w:snapToGrid w:val="0"/>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（3）</w:t>
      </w:r>
      <w:r>
        <w:rPr>
          <w:rFonts w:hint="default" w:ascii="Times New Roman" w:hAnsi="Times New Roman" w:cs="Times New Roman"/>
          <w:b/>
          <w:bCs/>
          <w:color w:val="auto"/>
          <w:szCs w:val="21"/>
          <w:highlight w:val="none"/>
        </w:rPr>
        <w:t>C21补贴对象认定准确率</w:t>
      </w:r>
      <w:r>
        <w:rPr>
          <w:rFonts w:hint="default" w:ascii="Times New Roman" w:hAnsi="Times New Roman" w:cs="Times New Roman"/>
          <w:b/>
          <w:bCs/>
          <w:color w:val="auto"/>
          <w:highlight w:val="none"/>
        </w:rPr>
        <w:t>：</w:t>
      </w:r>
    </w:p>
    <w:p w14:paraId="5FB732F1">
      <w:pPr>
        <w:adjustRightInd w:val="0"/>
        <w:snapToGrid w:val="0"/>
        <w:ind w:firstLine="420"/>
        <w:rPr>
          <w:rFonts w:hint="default" w:ascii="Times New Roman" w:hAnsi="Times New Roman" w:cs="Times New Roman"/>
          <w:color w:val="auto"/>
          <w:szCs w:val="21"/>
          <w:highlight w:val="none"/>
        </w:rPr>
      </w:pPr>
      <w:r>
        <w:rPr>
          <w:rFonts w:hint="default" w:ascii="Times New Roman" w:hAnsi="Times New Roman" w:cs="Times New Roman"/>
          <w:color w:val="auto"/>
          <w:szCs w:val="21"/>
          <w:highlight w:val="none"/>
        </w:rPr>
        <w:t>该项目资金用于发放农机购置补贴及农机报废补贴，农机购置补贴及农机报废补贴对象均为从事农业生产的个人和农业生产经营组织。经绩效评价小组查阅农机购置与应用补贴纸质档案以及系统上传资</w:t>
      </w:r>
      <w:r>
        <w:rPr>
          <w:rFonts w:hint="eastAsia" w:cs="Times New Roman"/>
          <w:color w:val="auto"/>
          <w:szCs w:val="21"/>
          <w:highlight w:val="none"/>
          <w:lang w:val="en-US" w:eastAsia="zh-CN"/>
        </w:rPr>
        <w:t>料</w:t>
      </w:r>
      <w:r>
        <w:rPr>
          <w:rFonts w:hint="default" w:ascii="Times New Roman" w:hAnsi="Times New Roman" w:cs="Times New Roman"/>
          <w:color w:val="auto"/>
          <w:szCs w:val="21"/>
          <w:highlight w:val="none"/>
        </w:rPr>
        <w:t>，补贴对象符合申报条件。经查看新疆维吾尔自治区农机购置与应用补贴申请办理服务系统，项目单位在系统中对补贴对象的资料进行核查，核查通过后予以公示，公示无异议后对补贴对象予以确认，申请结算发放补贴，补贴对象审核按照政策文件要求执行。根据项目单位提供的</w:t>
      </w:r>
      <w:r>
        <w:rPr>
          <w:rFonts w:hint="eastAsia" w:cs="Times New Roman"/>
          <w:color w:val="auto"/>
          <w:szCs w:val="21"/>
          <w:highlight w:val="none"/>
          <w:lang w:eastAsia="zh-CN"/>
        </w:rPr>
        <w:t>《2023年度县级补贴机具结算明细表》《</w:t>
      </w:r>
      <w:r>
        <w:rPr>
          <w:rFonts w:hint="default" w:ascii="Times New Roman" w:hAnsi="Times New Roman" w:cs="Times New Roman"/>
          <w:color w:val="auto"/>
          <w:szCs w:val="21"/>
          <w:highlight w:val="none"/>
        </w:rPr>
        <w:t>2024年度县级补贴机具结算明细表</w:t>
      </w:r>
      <w:r>
        <w:rPr>
          <w:rFonts w:hint="eastAsia" w:cs="Times New Roman"/>
          <w:color w:val="auto"/>
          <w:szCs w:val="21"/>
          <w:highlight w:val="none"/>
          <w:lang w:eastAsia="zh-CN"/>
        </w:rPr>
        <w:t>》（</w:t>
      </w:r>
      <w:r>
        <w:rPr>
          <w:rFonts w:hint="eastAsia" w:cs="Times New Roman"/>
          <w:color w:val="auto"/>
          <w:szCs w:val="21"/>
          <w:highlight w:val="none"/>
          <w:lang w:val="en-US" w:eastAsia="zh-CN"/>
        </w:rPr>
        <w:t>第一批</w:t>
      </w:r>
      <w:r>
        <w:rPr>
          <w:rFonts w:hint="eastAsia" w:cs="Times New Roman"/>
          <w:color w:val="auto"/>
          <w:szCs w:val="21"/>
          <w:highlight w:val="none"/>
          <w:lang w:eastAsia="zh-CN"/>
        </w:rPr>
        <w:t>）</w:t>
      </w:r>
      <w:r>
        <w:rPr>
          <w:rFonts w:hint="default" w:ascii="Times New Roman" w:hAnsi="Times New Roman" w:cs="Times New Roman"/>
          <w:color w:val="auto"/>
          <w:szCs w:val="21"/>
          <w:highlight w:val="none"/>
        </w:rPr>
        <w:t>及</w:t>
      </w:r>
      <w:r>
        <w:rPr>
          <w:rFonts w:hint="eastAsia" w:cs="Times New Roman"/>
          <w:color w:val="auto"/>
          <w:szCs w:val="21"/>
          <w:highlight w:val="none"/>
          <w:lang w:eastAsia="zh-CN"/>
        </w:rPr>
        <w:t>《2024年度县级补贴机具结算明细表》（</w:t>
      </w:r>
      <w:r>
        <w:rPr>
          <w:rFonts w:hint="eastAsia" w:cs="Times New Roman"/>
          <w:color w:val="auto"/>
          <w:szCs w:val="21"/>
          <w:highlight w:val="none"/>
          <w:lang w:val="en-US" w:eastAsia="zh-CN"/>
        </w:rPr>
        <w:t>第二批</w:t>
      </w:r>
      <w:r>
        <w:rPr>
          <w:rFonts w:hint="eastAsia" w:cs="Times New Roman"/>
          <w:color w:val="auto"/>
          <w:szCs w:val="21"/>
          <w:highlight w:val="none"/>
          <w:lang w:eastAsia="zh-CN"/>
        </w:rPr>
        <w:t>）《</w:t>
      </w:r>
      <w:r>
        <w:rPr>
          <w:rFonts w:hint="default" w:ascii="Times New Roman" w:hAnsi="Times New Roman" w:cs="Times New Roman"/>
          <w:color w:val="auto"/>
          <w:szCs w:val="21"/>
          <w:highlight w:val="none"/>
        </w:rPr>
        <w:t>2024年老台乡第一批农机报废补贴实名制管理台账</w:t>
      </w:r>
      <w:r>
        <w:rPr>
          <w:rFonts w:hint="eastAsia" w:cs="Times New Roman"/>
          <w:color w:val="auto"/>
          <w:szCs w:val="21"/>
          <w:highlight w:val="none"/>
          <w:lang w:eastAsia="zh-CN"/>
        </w:rPr>
        <w:t>》</w:t>
      </w:r>
      <w:r>
        <w:rPr>
          <w:rFonts w:hint="default" w:ascii="Times New Roman" w:hAnsi="Times New Roman" w:cs="Times New Roman"/>
          <w:color w:val="auto"/>
          <w:szCs w:val="21"/>
          <w:highlight w:val="none"/>
        </w:rPr>
        <w:t>、网上公示结果</w:t>
      </w:r>
      <w:r>
        <w:rPr>
          <w:rFonts w:hint="eastAsia" w:cs="Times New Roman"/>
          <w:color w:val="auto"/>
          <w:szCs w:val="21"/>
          <w:highlight w:val="none"/>
          <w:lang w:val="en-US" w:eastAsia="zh-CN"/>
        </w:rPr>
        <w:t>等资料显示，</w:t>
      </w:r>
      <w:r>
        <w:rPr>
          <w:rFonts w:hint="default" w:ascii="Times New Roman" w:hAnsi="Times New Roman" w:cs="Times New Roman"/>
          <w:color w:val="auto"/>
          <w:szCs w:val="21"/>
          <w:highlight w:val="none"/>
        </w:rPr>
        <w:t>2024年共认定完成农机购置与应用补贴</w:t>
      </w:r>
      <w:r>
        <w:rPr>
          <w:rFonts w:hint="eastAsia" w:cs="Times New Roman"/>
          <w:color w:val="auto"/>
          <w:szCs w:val="21"/>
          <w:highlight w:val="none"/>
          <w:lang w:val="en-US" w:eastAsia="zh-CN"/>
        </w:rPr>
        <w:t>961</w:t>
      </w:r>
      <w:r>
        <w:rPr>
          <w:rFonts w:hint="eastAsia" w:ascii="Times New Roman" w:hAnsi="Times New Roman" w:cs="Times New Roman"/>
          <w:color w:val="auto"/>
          <w:szCs w:val="21"/>
          <w:highlight w:val="none"/>
          <w:lang w:eastAsia="zh-CN"/>
        </w:rPr>
        <w:t>台（套）</w:t>
      </w:r>
      <w:r>
        <w:rPr>
          <w:rFonts w:hint="default" w:ascii="Times New Roman" w:hAnsi="Times New Roman" w:cs="Times New Roman"/>
          <w:color w:val="auto"/>
          <w:szCs w:val="21"/>
          <w:highlight w:val="none"/>
        </w:rPr>
        <w:t>，其中农机购置补贴对象</w:t>
      </w:r>
      <w:r>
        <w:rPr>
          <w:rFonts w:hint="eastAsia" w:cs="Times New Roman"/>
          <w:color w:val="auto"/>
          <w:szCs w:val="21"/>
          <w:highlight w:val="none"/>
          <w:lang w:val="en-US" w:eastAsia="zh-CN"/>
        </w:rPr>
        <w:t>959</w:t>
      </w:r>
      <w:r>
        <w:rPr>
          <w:rFonts w:hint="eastAsia" w:ascii="Times New Roman" w:hAnsi="Times New Roman" w:cs="Times New Roman"/>
          <w:color w:val="auto"/>
          <w:szCs w:val="21"/>
          <w:highlight w:val="none"/>
          <w:lang w:eastAsia="zh-CN"/>
        </w:rPr>
        <w:t>台（套）</w:t>
      </w:r>
      <w:r>
        <w:rPr>
          <w:rFonts w:hint="default" w:ascii="Times New Roman" w:hAnsi="Times New Roman" w:cs="Times New Roman"/>
          <w:color w:val="auto"/>
          <w:szCs w:val="21"/>
          <w:highlight w:val="none"/>
        </w:rPr>
        <w:t>，农机报废补贴对象</w:t>
      </w:r>
      <w:r>
        <w:rPr>
          <w:rFonts w:hint="eastAsia" w:cs="Times New Roman"/>
          <w:color w:val="auto"/>
          <w:szCs w:val="21"/>
          <w:highlight w:val="none"/>
          <w:lang w:val="en-US" w:eastAsia="zh-CN"/>
        </w:rPr>
        <w:t>2</w:t>
      </w:r>
      <w:r>
        <w:rPr>
          <w:rFonts w:hint="default" w:ascii="Times New Roman" w:hAnsi="Times New Roman" w:cs="Times New Roman"/>
          <w:color w:val="auto"/>
          <w:szCs w:val="21"/>
          <w:highlight w:val="none"/>
        </w:rPr>
        <w:t>台。补贴对象认定准确率100.00%。</w:t>
      </w:r>
    </w:p>
    <w:p w14:paraId="285CA864">
      <w:pPr>
        <w:adjustRightInd w:val="0"/>
        <w:snapToGrid w:val="0"/>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w:t>
      </w:r>
      <w:r>
        <w:rPr>
          <w:rFonts w:hint="eastAsia" w:cs="Times New Roman"/>
          <w:color w:val="auto"/>
          <w:szCs w:val="21"/>
          <w:highlight w:val="none"/>
          <w:lang w:val="en-US" w:eastAsia="zh-CN"/>
        </w:rPr>
        <w:t>5</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分，根据评分标准得</w:t>
      </w:r>
      <w:r>
        <w:rPr>
          <w:rFonts w:hint="eastAsia" w:cs="Times New Roman"/>
          <w:color w:val="auto"/>
          <w:szCs w:val="21"/>
          <w:highlight w:val="none"/>
          <w:lang w:val="en-US" w:eastAsia="zh-CN"/>
        </w:rPr>
        <w:t>5</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w:t>
      </w:r>
    </w:p>
    <w:p w14:paraId="16E0F439">
      <w:pPr>
        <w:adjustRightInd w:val="0"/>
        <w:snapToGrid w:val="0"/>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（4）</w:t>
      </w:r>
      <w:r>
        <w:rPr>
          <w:rFonts w:hint="default" w:ascii="Times New Roman" w:hAnsi="Times New Roman" w:cs="Times New Roman"/>
          <w:b/>
          <w:bCs/>
          <w:color w:val="auto"/>
          <w:szCs w:val="21"/>
          <w:highlight w:val="none"/>
        </w:rPr>
        <w:t>C22补贴标准达标率</w:t>
      </w:r>
      <w:r>
        <w:rPr>
          <w:rFonts w:hint="default" w:ascii="Times New Roman" w:hAnsi="Times New Roman" w:cs="Times New Roman"/>
          <w:b/>
          <w:bCs/>
          <w:color w:val="auto"/>
          <w:highlight w:val="none"/>
        </w:rPr>
        <w:t>：</w:t>
      </w:r>
    </w:p>
    <w:p w14:paraId="07A32829">
      <w:pPr>
        <w:shd w:val="clear"/>
        <w:adjustRightInd w:val="0"/>
        <w:snapToGrid w:val="0"/>
        <w:ind w:firstLine="420"/>
        <w:rPr>
          <w:rFonts w:hint="default" w:ascii="Times New Roman" w:hAnsi="Times New Roman" w:cs="Times New Roman"/>
          <w:color w:val="auto"/>
          <w:highlight w:val="none"/>
        </w:rPr>
      </w:pPr>
      <w:r>
        <w:rPr>
          <w:rFonts w:hint="default"/>
          <w:color w:val="auto"/>
          <w:highlight w:val="none"/>
        </w:rPr>
        <w:t>经查看</w:t>
      </w:r>
      <w:r>
        <w:rPr>
          <w:rFonts w:hint="eastAsia"/>
          <w:color w:val="auto"/>
          <w:highlight w:val="none"/>
          <w:lang w:eastAsia="zh-CN"/>
        </w:rPr>
        <w:t>新疆维吾尔自治区农机购置与应用补贴申请办理服务系统、</w:t>
      </w:r>
      <w:r>
        <w:rPr>
          <w:rFonts w:hint="eastAsia"/>
          <w:color w:val="auto"/>
          <w:highlight w:val="none"/>
          <w:lang w:val="en-US" w:eastAsia="zh-CN"/>
        </w:rPr>
        <w:t>新疆维吾尔自治区农机报废补贴辅助管理系统显示</w:t>
      </w:r>
      <w:r>
        <w:rPr>
          <w:rFonts w:hint="eastAsia"/>
          <w:color w:val="auto"/>
          <w:highlight w:val="none"/>
          <w:lang w:eastAsia="zh-CN"/>
        </w:rPr>
        <w:t>，</w:t>
      </w:r>
      <w:r>
        <w:rPr>
          <w:rFonts w:hint="eastAsia"/>
          <w:color w:val="auto"/>
          <w:highlight w:val="none"/>
          <w:lang w:val="en-US" w:eastAsia="zh-CN"/>
        </w:rPr>
        <w:t>购置机具补贴标准和报废机具补贴标准均按照录入的机具种类型号由系统自动匹配补贴金额，</w:t>
      </w:r>
      <w:r>
        <w:rPr>
          <w:rFonts w:hint="default"/>
          <w:color w:val="auto"/>
          <w:highlight w:val="none"/>
        </w:rPr>
        <w:t>符合农机购置补贴及报废补贴发放标准</w:t>
      </w:r>
      <w:r>
        <w:rPr>
          <w:rFonts w:hint="eastAsia"/>
          <w:color w:val="auto"/>
          <w:highlight w:val="none"/>
          <w:lang w:eastAsia="zh-CN"/>
        </w:rPr>
        <w:t>。</w:t>
      </w:r>
      <w:r>
        <w:rPr>
          <w:rFonts w:hint="eastAsia"/>
          <w:color w:val="auto"/>
          <w:highlight w:val="none"/>
          <w:lang w:val="en-US" w:eastAsia="zh-CN"/>
        </w:rPr>
        <w:t>项目单位在系统中对补贴对象的资料进行核查，核查通过后予以公示，公示无异议后对补贴对象予以确认，申请结算发放补贴。补贴标准达标率</w:t>
      </w:r>
      <w:r>
        <w:rPr>
          <w:rFonts w:hint="default"/>
          <w:color w:val="auto"/>
          <w:highlight w:val="none"/>
        </w:rPr>
        <w:t>100.00%</w:t>
      </w:r>
      <w:r>
        <w:rPr>
          <w:rFonts w:hint="eastAsia"/>
          <w:highlight w:val="none"/>
          <w:lang w:eastAsia="zh-CN"/>
        </w:rPr>
        <w:t>。</w:t>
      </w:r>
    </w:p>
    <w:p w14:paraId="01893EAA">
      <w:pPr>
        <w:shd w:val="clear"/>
        <w:adjustRightInd w:val="0"/>
        <w:snapToGrid w:val="0"/>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w:t>
      </w:r>
      <w:r>
        <w:rPr>
          <w:rFonts w:hint="eastAsia" w:cs="Times New Roman"/>
          <w:color w:val="auto"/>
          <w:szCs w:val="21"/>
          <w:highlight w:val="none"/>
          <w:lang w:val="en-US" w:eastAsia="zh-CN"/>
        </w:rPr>
        <w:t>1.</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分，根据评分标准得</w:t>
      </w:r>
      <w:r>
        <w:rPr>
          <w:rFonts w:hint="eastAsia" w:cs="Times New Roman"/>
          <w:color w:val="auto"/>
          <w:highlight w:val="none"/>
          <w:lang w:val="en-US" w:eastAsia="zh-CN"/>
        </w:rPr>
        <w:t>1</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szCs w:val="21"/>
          <w:highlight w:val="none"/>
          <w:lang w:val="en-US" w:eastAsia="zh-CN"/>
        </w:rPr>
        <w:t>0</w:t>
      </w:r>
      <w:r>
        <w:rPr>
          <w:rFonts w:hint="default" w:ascii="Times New Roman" w:hAnsi="Times New Roman" w:cs="Times New Roman"/>
          <w:color w:val="auto"/>
          <w:highlight w:val="none"/>
        </w:rPr>
        <w:t>分。</w:t>
      </w:r>
    </w:p>
    <w:p w14:paraId="6034E123">
      <w:pPr>
        <w:shd w:val="clear"/>
        <w:adjustRightInd w:val="0"/>
        <w:snapToGrid w:val="0"/>
        <w:ind w:firstLine="422"/>
        <w:rPr>
          <w:rFonts w:hint="default" w:ascii="Times New Roman" w:hAnsi="Times New Roman" w:eastAsia="宋体" w:cs="Times New Roman"/>
          <w:b/>
          <w:bCs/>
          <w:color w:val="auto"/>
          <w:highlight w:val="none"/>
          <w:lang w:val="en-US" w:eastAsia="zh-CN"/>
        </w:rPr>
      </w:pPr>
      <w:r>
        <w:rPr>
          <w:rFonts w:hint="default" w:ascii="Times New Roman" w:hAnsi="Times New Roman" w:cs="Times New Roman"/>
          <w:b/>
          <w:bCs/>
          <w:color w:val="auto"/>
          <w:highlight w:val="none"/>
        </w:rPr>
        <w:t>（5）C31机具补贴</w:t>
      </w:r>
      <w:r>
        <w:rPr>
          <w:rFonts w:hint="eastAsia" w:cs="Times New Roman"/>
          <w:b/>
          <w:bCs/>
          <w:color w:val="auto"/>
          <w:highlight w:val="none"/>
          <w:lang w:val="en-US" w:eastAsia="zh-CN"/>
        </w:rPr>
        <w:t>核验时限</w:t>
      </w:r>
    </w:p>
    <w:p w14:paraId="617FDF29">
      <w:pPr>
        <w:pageBreakBefore w:val="0"/>
        <w:kinsoku/>
        <w:wordWrap/>
        <w:overflowPunct/>
        <w:topLinePunct w:val="0"/>
        <w:autoSpaceDE/>
        <w:autoSpaceDN/>
        <w:bidi w:val="0"/>
        <w:snapToGrid w:val="0"/>
        <w:spacing w:line="360" w:lineRule="auto"/>
        <w:ind w:firstLine="420" w:firstLineChars="200"/>
        <w:rPr>
          <w:rFonts w:hint="default"/>
          <w:color w:val="auto"/>
          <w:highlight w:val="none"/>
          <w:lang w:val="en-US" w:eastAsia="zh-CN"/>
        </w:rPr>
      </w:pPr>
      <w:r>
        <w:rPr>
          <w:rFonts w:hint="eastAsia"/>
          <w:color w:val="auto"/>
          <w:highlight w:val="none"/>
          <w:lang w:val="en-US" w:eastAsia="zh-CN"/>
        </w:rPr>
        <w:t>根</w:t>
      </w:r>
      <w:r>
        <w:rPr>
          <w:rFonts w:hint="eastAsia" w:ascii="Times New Roman" w:hAnsi="Times New Roman" w:cs="Times New Roman"/>
          <w:lang w:val="en-US" w:eastAsia="zh-CN"/>
        </w:rPr>
        <w:t>据</w:t>
      </w:r>
      <w:r>
        <w:rPr>
          <w:rFonts w:hint="eastAsia" w:ascii="Times New Roman" w:hAnsi="Times New Roman" w:cs="Times New Roman"/>
          <w:lang w:eastAsia="zh-CN"/>
        </w:rPr>
        <w:t>新疆维吾尔自治区农机购置与应用补贴申请办理服务系统</w:t>
      </w:r>
      <w:r>
        <w:rPr>
          <w:rFonts w:hint="eastAsia" w:ascii="Times New Roman" w:hAnsi="Times New Roman" w:cs="Times New Roman"/>
          <w:lang w:val="en-US" w:eastAsia="zh-CN"/>
        </w:rPr>
        <w:t>中导出2024年实际补贴农机具资金申请时间及核验时间</w:t>
      </w:r>
      <w:r>
        <w:rPr>
          <w:rFonts w:hint="eastAsia" w:cs="Times New Roman"/>
          <w:lang w:val="en-US" w:eastAsia="zh-CN"/>
        </w:rPr>
        <w:t>比较分析</w:t>
      </w:r>
      <w:r>
        <w:rPr>
          <w:rFonts w:hint="eastAsia" w:ascii="Times New Roman" w:hAnsi="Times New Roman" w:cs="Times New Roman"/>
          <w:lang w:val="en-US" w:eastAsia="zh-CN"/>
        </w:rPr>
        <w:t>，2024年实际发放农机具补贴申请受理核查时限平均为</w:t>
      </w:r>
      <w:r>
        <w:rPr>
          <w:rFonts w:hint="eastAsia" w:cs="Times New Roman"/>
          <w:lang w:val="en-US" w:eastAsia="zh-CN"/>
        </w:rPr>
        <w:t>30</w:t>
      </w:r>
      <w:r>
        <w:rPr>
          <w:rFonts w:hint="eastAsia" w:ascii="Times New Roman" w:hAnsi="Times New Roman" w:cs="Times New Roman"/>
          <w:lang w:val="en-US" w:eastAsia="zh-CN"/>
        </w:rPr>
        <w:t>个工作日（其中</w:t>
      </w:r>
      <w:r>
        <w:rPr>
          <w:rFonts w:hint="eastAsia" w:cs="Times New Roman"/>
          <w:lang w:val="en-US" w:eastAsia="zh-CN"/>
        </w:rPr>
        <w:t>2021年</w:t>
      </w:r>
      <w:r>
        <w:rPr>
          <w:rFonts w:hint="eastAsia" w:ascii="Times New Roman" w:hAnsi="Times New Roman" w:cs="Times New Roman"/>
          <w:lang w:val="en-US" w:eastAsia="zh-CN"/>
        </w:rPr>
        <w:t>录入</w:t>
      </w:r>
      <w:r>
        <w:rPr>
          <w:rFonts w:hint="eastAsia" w:cs="Times New Roman"/>
          <w:lang w:val="en-US" w:eastAsia="zh-CN"/>
        </w:rPr>
        <w:t>5</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农机具平均申请受理核查时限为2个工作日</w:t>
      </w:r>
      <w:r>
        <w:rPr>
          <w:rFonts w:hint="eastAsia" w:cs="Times New Roman"/>
          <w:lang w:val="en-US" w:eastAsia="zh-CN"/>
        </w:rPr>
        <w:t>，</w:t>
      </w:r>
      <w:r>
        <w:rPr>
          <w:rFonts w:hint="eastAsia" w:ascii="Times New Roman" w:hAnsi="Times New Roman" w:cs="Times New Roman"/>
          <w:lang w:val="en-US" w:eastAsia="zh-CN"/>
        </w:rPr>
        <w:t>2022年录入</w:t>
      </w:r>
      <w:r>
        <w:rPr>
          <w:rFonts w:hint="eastAsia" w:cs="Times New Roman"/>
          <w:lang w:val="en-US" w:eastAsia="zh-CN"/>
        </w:rPr>
        <w:t>150</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农机具平均申请受理核查时限为</w:t>
      </w:r>
      <w:r>
        <w:rPr>
          <w:rFonts w:hint="eastAsia" w:cs="Times New Roman"/>
          <w:lang w:val="en-US" w:eastAsia="zh-CN"/>
        </w:rPr>
        <w:t>15.56</w:t>
      </w:r>
      <w:r>
        <w:rPr>
          <w:rFonts w:hint="eastAsia" w:ascii="Times New Roman" w:hAnsi="Times New Roman" w:cs="Times New Roman"/>
          <w:lang w:val="en-US" w:eastAsia="zh-CN"/>
        </w:rPr>
        <w:t>个工作日，2023年录入</w:t>
      </w:r>
      <w:r>
        <w:rPr>
          <w:rFonts w:hint="eastAsia" w:cs="Times New Roman"/>
          <w:lang w:val="en-US" w:eastAsia="zh-CN"/>
        </w:rPr>
        <w:t>636</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农机具平均申请受理核查时限为</w:t>
      </w:r>
      <w:r>
        <w:rPr>
          <w:rFonts w:hint="eastAsia" w:cs="Times New Roman"/>
          <w:lang w:val="en-US" w:eastAsia="zh-CN"/>
        </w:rPr>
        <w:t>33</w:t>
      </w:r>
      <w:r>
        <w:rPr>
          <w:rFonts w:hint="eastAsia" w:ascii="Times New Roman" w:hAnsi="Times New Roman" w:cs="Times New Roman"/>
          <w:lang w:val="en-US" w:eastAsia="zh-CN"/>
        </w:rPr>
        <w:t>个工作日，2024年录入农机具</w:t>
      </w:r>
      <w:r>
        <w:rPr>
          <w:rFonts w:hint="eastAsia" w:cs="Times New Roman"/>
          <w:lang w:val="en-US" w:eastAsia="zh-CN"/>
        </w:rPr>
        <w:t>168</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平均申请受理核查时限为</w:t>
      </w:r>
      <w:r>
        <w:rPr>
          <w:rFonts w:hint="eastAsia" w:cs="Times New Roman"/>
          <w:lang w:val="en-US" w:eastAsia="zh-CN"/>
        </w:rPr>
        <w:t>35</w:t>
      </w:r>
      <w:r>
        <w:rPr>
          <w:rFonts w:hint="eastAsia" w:ascii="Times New Roman" w:hAnsi="Times New Roman" w:cs="Times New Roman"/>
          <w:lang w:val="en-US" w:eastAsia="zh-CN"/>
        </w:rPr>
        <w:t>个工作日）。机具补贴申请受理核查时限</w:t>
      </w:r>
      <w:r>
        <w:rPr>
          <w:rFonts w:hint="eastAsia" w:cs="Times New Roman"/>
          <w:lang w:val="en-US" w:eastAsia="zh-CN"/>
        </w:rPr>
        <w:t>超过15个工作日的共计398台，该部分</w:t>
      </w:r>
      <w:r>
        <w:rPr>
          <w:rFonts w:hint="eastAsia" w:ascii="Times New Roman" w:hAnsi="Times New Roman" w:cs="Times New Roman"/>
          <w:lang w:val="en-US" w:eastAsia="zh-CN"/>
        </w:rPr>
        <w:t>机具补贴申请受理核查时限与</w:t>
      </w:r>
      <w:r>
        <w:rPr>
          <w:rFonts w:hint="eastAsia" w:asciiTheme="minorEastAsia" w:hAnsiTheme="minorEastAsia" w:cstheme="minorEastAsia"/>
          <w:color w:val="auto"/>
          <w:highlight w:val="none"/>
          <w:lang w:val="en-US" w:eastAsia="zh-CN"/>
        </w:rPr>
        <w:t>《新疆维吾尔自治区2021-2023年农机购置与应用补贴实施方案》要求不符。根据评分标准扣3.00分。</w:t>
      </w:r>
    </w:p>
    <w:p w14:paraId="7D9CC3DB">
      <w:pPr>
        <w:shd w:val="clear"/>
        <w:adjustRightInd w:val="0"/>
        <w:snapToGrid w:val="0"/>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w:t>
      </w:r>
      <w:r>
        <w:rPr>
          <w:rFonts w:hint="eastAsia" w:cs="Times New Roman"/>
          <w:color w:val="auto"/>
          <w:szCs w:val="21"/>
          <w:highlight w:val="none"/>
          <w:lang w:val="en-US" w:eastAsia="zh-CN"/>
        </w:rPr>
        <w:t>6.</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分，根据评分标准得</w:t>
      </w:r>
      <w:r>
        <w:rPr>
          <w:rFonts w:hint="eastAsia" w:cs="Times New Roman"/>
          <w:color w:val="auto"/>
          <w:highlight w:val="none"/>
          <w:lang w:val="en-US" w:eastAsia="zh-CN"/>
        </w:rPr>
        <w:t>0</w:t>
      </w:r>
      <w:r>
        <w:rPr>
          <w:rFonts w:hint="eastAsia" w:ascii="Times New Roman" w:hAnsi="Times New Roman" w:cs="Times New Roman"/>
          <w:color w:val="auto"/>
          <w:highlight w:val="none"/>
          <w:lang w:val="en-US" w:eastAsia="zh-CN"/>
        </w:rPr>
        <w:t>.0</w:t>
      </w:r>
      <w:r>
        <w:rPr>
          <w:rFonts w:hint="eastAsia" w:ascii="Times New Roman" w:hAnsi="Times New Roman" w:cs="Times New Roman"/>
          <w:color w:val="auto"/>
          <w:szCs w:val="21"/>
          <w:highlight w:val="none"/>
          <w:lang w:val="en-US" w:eastAsia="zh-CN"/>
        </w:rPr>
        <w:t>0</w:t>
      </w:r>
      <w:r>
        <w:rPr>
          <w:rFonts w:hint="default" w:ascii="Times New Roman" w:hAnsi="Times New Roman" w:cs="Times New Roman"/>
          <w:color w:val="auto"/>
          <w:highlight w:val="none"/>
        </w:rPr>
        <w:t>分。</w:t>
      </w:r>
    </w:p>
    <w:p w14:paraId="4D805127">
      <w:pPr>
        <w:shd w:val="clear"/>
        <w:adjustRightInd w:val="0"/>
        <w:snapToGrid w:val="0"/>
        <w:ind w:firstLine="422"/>
        <w:rPr>
          <w:rFonts w:hint="default" w:ascii="Times New Roman" w:hAnsi="Times New Roman" w:cs="Times New Roman"/>
          <w:b/>
          <w:bCs/>
          <w:color w:val="auto"/>
          <w:highlight w:val="none"/>
        </w:rPr>
      </w:pPr>
      <w:r>
        <w:rPr>
          <w:rFonts w:hint="default" w:ascii="Times New Roman" w:hAnsi="Times New Roman" w:cs="Times New Roman"/>
          <w:b/>
          <w:bCs/>
          <w:color w:val="auto"/>
          <w:highlight w:val="none"/>
        </w:rPr>
        <w:t>（</w:t>
      </w:r>
      <w:r>
        <w:rPr>
          <w:rFonts w:hint="eastAsia" w:ascii="Times New Roman" w:hAnsi="Times New Roman" w:cs="Times New Roman"/>
          <w:b/>
          <w:bCs/>
          <w:color w:val="auto"/>
          <w:highlight w:val="none"/>
          <w:lang w:val="en-US" w:eastAsia="zh-CN"/>
        </w:rPr>
        <w:t>6</w:t>
      </w:r>
      <w:r>
        <w:rPr>
          <w:rFonts w:hint="default" w:ascii="Times New Roman" w:hAnsi="Times New Roman" w:cs="Times New Roman"/>
          <w:b/>
          <w:bCs/>
          <w:color w:val="auto"/>
          <w:highlight w:val="none"/>
        </w:rPr>
        <w:t>）C32机具补贴兑付时限</w:t>
      </w:r>
    </w:p>
    <w:p w14:paraId="658786BB">
      <w:pPr>
        <w:shd w:val="clear"/>
        <w:ind w:firstLine="664"/>
        <w:rPr>
          <w:rFonts w:hint="default" w:ascii="Times New Roman" w:hAnsi="Times New Roman" w:eastAsia="宋体" w:cs="Times New Roman"/>
          <w:highlight w:val="none"/>
          <w:lang w:val="en-US" w:eastAsia="zh-CN"/>
        </w:rPr>
      </w:pPr>
      <w:r>
        <w:rPr>
          <w:rFonts w:hint="eastAsia"/>
          <w:color w:val="auto"/>
          <w:highlight w:val="none"/>
          <w:lang w:val="en-US" w:eastAsia="zh-CN"/>
        </w:rPr>
        <w:t>根</w:t>
      </w:r>
      <w:r>
        <w:rPr>
          <w:rFonts w:hint="eastAsia" w:ascii="Times New Roman" w:hAnsi="Times New Roman" w:cs="Times New Roman"/>
          <w:lang w:val="en-US" w:eastAsia="zh-CN"/>
        </w:rPr>
        <w:t>据</w:t>
      </w:r>
      <w:r>
        <w:rPr>
          <w:rFonts w:hint="eastAsia" w:ascii="Times New Roman" w:hAnsi="Times New Roman" w:cs="Times New Roman"/>
          <w:lang w:eastAsia="zh-CN"/>
        </w:rPr>
        <w:t>新疆维吾尔自治区农机购置与应用补贴申请办理服务系统</w:t>
      </w:r>
      <w:r>
        <w:rPr>
          <w:rFonts w:hint="eastAsia" w:ascii="Times New Roman" w:hAnsi="Times New Roman" w:cs="Times New Roman"/>
          <w:lang w:val="en-US" w:eastAsia="zh-CN"/>
        </w:rPr>
        <w:t>中导出2024年实际补贴农机具申请结算资料</w:t>
      </w:r>
      <w:r>
        <w:rPr>
          <w:rFonts w:hint="eastAsia" w:cs="Times New Roman"/>
          <w:lang w:val="en-US" w:eastAsia="zh-CN"/>
        </w:rPr>
        <w:t>显示的</w:t>
      </w:r>
      <w:r>
        <w:rPr>
          <w:rFonts w:hint="eastAsia" w:ascii="Times New Roman" w:hAnsi="Times New Roman" w:cs="Times New Roman"/>
          <w:lang w:val="en-US" w:eastAsia="zh-CN"/>
        </w:rPr>
        <w:t>提交日期</w:t>
      </w:r>
      <w:r>
        <w:rPr>
          <w:rFonts w:hint="eastAsia" w:cs="Times New Roman"/>
          <w:lang w:val="en-US" w:eastAsia="zh-CN"/>
        </w:rPr>
        <w:t>和</w:t>
      </w:r>
      <w:r>
        <w:rPr>
          <w:rFonts w:hint="eastAsia" w:ascii="Times New Roman" w:hAnsi="Times New Roman" w:cs="Times New Roman"/>
          <w:lang w:val="en-US" w:eastAsia="zh-CN"/>
        </w:rPr>
        <w:t>结算日期</w:t>
      </w:r>
      <w:r>
        <w:rPr>
          <w:rFonts w:hint="eastAsia" w:cs="Times New Roman"/>
          <w:lang w:val="en-US" w:eastAsia="zh-CN"/>
        </w:rPr>
        <w:t>比较分析</w:t>
      </w:r>
      <w:r>
        <w:rPr>
          <w:rFonts w:hint="eastAsia" w:ascii="Times New Roman" w:hAnsi="Times New Roman" w:cs="Times New Roman"/>
          <w:lang w:val="en-US" w:eastAsia="zh-CN"/>
        </w:rPr>
        <w:t>，2024年实际发放农机具补贴申请受理核查时限平均为1个工作日（其中202</w:t>
      </w:r>
      <w:r>
        <w:rPr>
          <w:rFonts w:hint="eastAsia" w:cs="Times New Roman"/>
          <w:lang w:val="en-US" w:eastAsia="zh-CN"/>
        </w:rPr>
        <w:t>1</w:t>
      </w:r>
      <w:r>
        <w:rPr>
          <w:rFonts w:hint="eastAsia" w:ascii="Times New Roman" w:hAnsi="Times New Roman" w:cs="Times New Roman"/>
          <w:lang w:val="en-US" w:eastAsia="zh-CN"/>
        </w:rPr>
        <w:t>年录入</w:t>
      </w:r>
      <w:r>
        <w:rPr>
          <w:rFonts w:hint="eastAsia" w:cs="Times New Roman"/>
          <w:lang w:val="en-US" w:eastAsia="zh-CN"/>
        </w:rPr>
        <w:t>5</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农机具补贴平均兑付时限为</w:t>
      </w:r>
      <w:r>
        <w:rPr>
          <w:rFonts w:hint="eastAsia" w:cs="Times New Roman"/>
          <w:lang w:val="en-US" w:eastAsia="zh-CN"/>
        </w:rPr>
        <w:t>1</w:t>
      </w:r>
      <w:r>
        <w:rPr>
          <w:rFonts w:hint="eastAsia" w:ascii="Times New Roman" w:hAnsi="Times New Roman" w:cs="Times New Roman"/>
          <w:lang w:val="en-US" w:eastAsia="zh-CN"/>
        </w:rPr>
        <w:t>个工作日</w:t>
      </w:r>
      <w:r>
        <w:rPr>
          <w:rFonts w:hint="eastAsia" w:cs="Times New Roman"/>
          <w:lang w:val="en-US" w:eastAsia="zh-CN"/>
        </w:rPr>
        <w:t>，</w:t>
      </w:r>
      <w:r>
        <w:rPr>
          <w:rFonts w:hint="eastAsia" w:ascii="Times New Roman" w:hAnsi="Times New Roman" w:cs="Times New Roman"/>
          <w:lang w:val="en-US" w:eastAsia="zh-CN"/>
        </w:rPr>
        <w:t>2022年录入1</w:t>
      </w:r>
      <w:r>
        <w:rPr>
          <w:rFonts w:hint="eastAsia" w:cs="Times New Roman"/>
          <w:lang w:val="en-US" w:eastAsia="zh-CN"/>
        </w:rPr>
        <w:t>50</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农机具补贴平均兑付时限为</w:t>
      </w:r>
      <w:r>
        <w:rPr>
          <w:rFonts w:hint="eastAsia" w:cs="Times New Roman"/>
          <w:lang w:val="en-US" w:eastAsia="zh-CN"/>
        </w:rPr>
        <w:t>1</w:t>
      </w:r>
      <w:r>
        <w:rPr>
          <w:rFonts w:hint="eastAsia" w:ascii="Times New Roman" w:hAnsi="Times New Roman" w:cs="Times New Roman"/>
          <w:lang w:val="en-US" w:eastAsia="zh-CN"/>
        </w:rPr>
        <w:t>个工作日，2023年录入</w:t>
      </w:r>
      <w:r>
        <w:rPr>
          <w:rFonts w:hint="eastAsia" w:cs="Times New Roman"/>
          <w:lang w:val="en-US" w:eastAsia="zh-CN"/>
        </w:rPr>
        <w:t>636</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农机具补贴平均兑付时限为1个工作日，2024年录入</w:t>
      </w:r>
      <w:r>
        <w:rPr>
          <w:rFonts w:hint="eastAsia" w:cs="Times New Roman"/>
          <w:lang w:val="en-US" w:eastAsia="zh-CN"/>
        </w:rPr>
        <w:t>168</w:t>
      </w:r>
      <w:r>
        <w:rPr>
          <w:rFonts w:hint="eastAsia" w:ascii="Times New Roman" w:hAnsi="Times New Roman" w:cs="Times New Roman"/>
          <w:color w:val="auto"/>
          <w:szCs w:val="21"/>
          <w:highlight w:val="none"/>
          <w:lang w:eastAsia="zh-CN"/>
        </w:rPr>
        <w:t>台（套）</w:t>
      </w:r>
      <w:r>
        <w:rPr>
          <w:rFonts w:hint="eastAsia" w:ascii="Times New Roman" w:hAnsi="Times New Roman" w:cs="Times New Roman"/>
          <w:lang w:val="en-US" w:eastAsia="zh-CN"/>
        </w:rPr>
        <w:t>农机具补贴平均兑付时限为1个工作日）。机具补贴兑付时限</w:t>
      </w:r>
      <w:r>
        <w:rPr>
          <w:rFonts w:hint="eastAsia" w:cs="Times New Roman"/>
          <w:lang w:val="en-US" w:eastAsia="zh-CN"/>
        </w:rPr>
        <w:t>均在</w:t>
      </w:r>
      <w:r>
        <w:rPr>
          <w:rFonts w:hint="eastAsia" w:asciiTheme="minorEastAsia" w:hAnsiTheme="minorEastAsia" w:cstheme="minorEastAsia"/>
          <w:color w:val="auto"/>
          <w:highlight w:val="none"/>
          <w:lang w:val="en-US" w:eastAsia="zh-CN"/>
        </w:rPr>
        <w:t>《新疆维吾尔自治区2021-2023年农机购置与应用补贴实施方案》要求实际范围内</w:t>
      </w:r>
      <w:r>
        <w:rPr>
          <w:rFonts w:hint="eastAsia" w:ascii="Times New Roman" w:hAnsi="Times New Roman" w:cs="Times New Roman"/>
          <w:b w:val="0"/>
          <w:bCs w:val="0"/>
          <w:color w:val="auto"/>
          <w:highlight w:val="none"/>
          <w:lang w:val="en-US" w:eastAsia="zh-CN"/>
        </w:rPr>
        <w:t>。</w:t>
      </w:r>
      <w:r>
        <w:rPr>
          <w:rFonts w:hint="eastAsia" w:cs="Times New Roman"/>
          <w:highlight w:val="none"/>
          <w:lang w:val="en-US" w:eastAsia="zh-CN"/>
        </w:rPr>
        <w:t>根据评分标准，得满分。</w:t>
      </w:r>
    </w:p>
    <w:p w14:paraId="3F039907">
      <w:pPr>
        <w:shd w:val="clear"/>
        <w:adjustRightInd w:val="0"/>
        <w:snapToGrid w:val="0"/>
        <w:ind w:firstLine="420"/>
        <w:rPr>
          <w:rFonts w:hint="default" w:ascii="Times New Roman" w:hAnsi="Times New Roman" w:cs="Times New Roman"/>
          <w:color w:val="auto"/>
          <w:highlight w:val="none"/>
        </w:rPr>
      </w:pPr>
      <w:r>
        <w:rPr>
          <w:rFonts w:hint="default" w:ascii="Times New Roman" w:hAnsi="Times New Roman" w:cs="Times New Roman"/>
          <w:color w:val="auto"/>
          <w:highlight w:val="none"/>
        </w:rPr>
        <w:t>该指标满分为</w:t>
      </w:r>
      <w:r>
        <w:rPr>
          <w:rFonts w:hint="eastAsia" w:cs="Times New Roman"/>
          <w:color w:val="auto"/>
          <w:szCs w:val="21"/>
          <w:highlight w:val="none"/>
          <w:lang w:val="en-US" w:eastAsia="zh-CN"/>
        </w:rPr>
        <w:t>2</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分，根据评分标准得</w:t>
      </w:r>
      <w:r>
        <w:rPr>
          <w:rFonts w:hint="eastAsia" w:cs="Times New Roman"/>
          <w:color w:val="auto"/>
          <w:szCs w:val="21"/>
          <w:highlight w:val="none"/>
          <w:lang w:val="en-US" w:eastAsia="zh-CN"/>
        </w:rPr>
        <w:t>2</w:t>
      </w:r>
      <w:r>
        <w:rPr>
          <w:rFonts w:hint="default" w:ascii="Times New Roman" w:hAnsi="Times New Roman" w:cs="Times New Roman"/>
          <w:color w:val="auto"/>
          <w:szCs w:val="21"/>
          <w:highlight w:val="none"/>
        </w:rPr>
        <w:t>.00</w:t>
      </w:r>
      <w:r>
        <w:rPr>
          <w:rFonts w:hint="default" w:ascii="Times New Roman" w:hAnsi="Times New Roman" w:cs="Times New Roman"/>
          <w:color w:val="auto"/>
          <w:highlight w:val="none"/>
        </w:rPr>
        <w:t>分。</w:t>
      </w:r>
    </w:p>
    <w:p w14:paraId="02ED4643">
      <w:pPr>
        <w:adjustRightInd w:val="0"/>
        <w:snapToGrid w:val="0"/>
        <w:ind w:firstLine="422"/>
        <w:rPr>
          <w:rFonts w:hint="default" w:ascii="Times New Roman" w:hAnsi="Times New Roman" w:cs="Times New Roman"/>
          <w:b/>
          <w:bCs/>
          <w:color w:val="auto"/>
        </w:rPr>
      </w:pPr>
      <w:r>
        <w:rPr>
          <w:rFonts w:hint="default" w:ascii="Times New Roman" w:hAnsi="Times New Roman" w:cs="Times New Roman"/>
          <w:b/>
          <w:bCs/>
          <w:color w:val="auto"/>
        </w:rPr>
        <w:t>（</w:t>
      </w:r>
      <w:r>
        <w:rPr>
          <w:rFonts w:hint="eastAsia" w:cs="Times New Roman"/>
          <w:b/>
          <w:bCs/>
          <w:color w:val="auto"/>
          <w:lang w:val="en-US" w:eastAsia="zh-CN"/>
        </w:rPr>
        <w:t>7</w:t>
      </w:r>
      <w:r>
        <w:rPr>
          <w:rFonts w:hint="default" w:ascii="Times New Roman" w:hAnsi="Times New Roman" w:cs="Times New Roman"/>
          <w:b/>
          <w:bCs/>
          <w:color w:val="auto"/>
        </w:rPr>
        <w:t>）</w:t>
      </w:r>
      <w:r>
        <w:rPr>
          <w:rFonts w:hint="default" w:ascii="Times New Roman" w:hAnsi="Times New Roman" w:cs="Times New Roman"/>
          <w:b/>
          <w:bCs/>
          <w:color w:val="auto"/>
          <w:szCs w:val="21"/>
        </w:rPr>
        <w:t>C41农机购置补贴支出</w:t>
      </w:r>
      <w:r>
        <w:rPr>
          <w:rFonts w:hint="default" w:ascii="Times New Roman" w:hAnsi="Times New Roman" w:cs="Times New Roman"/>
          <w:b/>
          <w:bCs/>
          <w:color w:val="auto"/>
        </w:rPr>
        <w:t>：</w:t>
      </w:r>
    </w:p>
    <w:p w14:paraId="471A9B95">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经查证项</w:t>
      </w:r>
      <w:r>
        <w:rPr>
          <w:rFonts w:hint="default" w:cs="Times New Roman"/>
          <w:color w:val="auto"/>
          <w:szCs w:val="21"/>
          <w:lang w:val="en-US" w:eastAsia="zh-CN"/>
        </w:rPr>
        <w:t>目资金执行情况，项目实际农机购置补贴支出资金总额</w:t>
      </w:r>
      <w:r>
        <w:rPr>
          <w:rFonts w:hint="eastAsia" w:cs="Times New Roman"/>
          <w:color w:val="auto"/>
          <w:szCs w:val="21"/>
          <w:lang w:val="en-US" w:eastAsia="zh-CN"/>
        </w:rPr>
        <w:t>1,298.30</w:t>
      </w:r>
      <w:r>
        <w:rPr>
          <w:rFonts w:hint="default" w:cs="Times New Roman"/>
          <w:color w:val="auto"/>
          <w:szCs w:val="21"/>
          <w:lang w:val="en-US" w:eastAsia="zh-CN"/>
        </w:rPr>
        <w:t>万元，实际用于农机购置补贴资金1</w:t>
      </w:r>
      <w:r>
        <w:rPr>
          <w:rFonts w:hint="eastAsia" w:cs="Times New Roman"/>
          <w:color w:val="auto"/>
          <w:szCs w:val="21"/>
          <w:lang w:val="en-US" w:eastAsia="zh-CN"/>
        </w:rPr>
        <w:t>,</w:t>
      </w:r>
      <w:r>
        <w:rPr>
          <w:rFonts w:hint="default" w:cs="Times New Roman"/>
          <w:color w:val="auto"/>
          <w:szCs w:val="21"/>
          <w:lang w:val="en-US" w:eastAsia="zh-CN"/>
        </w:rPr>
        <w:t>298.24万元。</w:t>
      </w:r>
      <w:r>
        <w:rPr>
          <w:rFonts w:hint="eastAsia" w:cs="Times New Roman"/>
          <w:color w:val="auto"/>
          <w:szCs w:val="21"/>
          <w:lang w:val="en-US" w:eastAsia="zh-CN"/>
        </w:rPr>
        <w:t>达到预期目标，</w:t>
      </w:r>
      <w:r>
        <w:rPr>
          <w:rFonts w:hint="default" w:cs="Times New Roman"/>
          <w:color w:val="auto"/>
          <w:szCs w:val="21"/>
          <w:lang w:val="en-US" w:eastAsia="zh-CN"/>
        </w:rPr>
        <w:t>得满分。</w:t>
      </w:r>
    </w:p>
    <w:p w14:paraId="679A9305">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cs="Times New Roman"/>
          <w:color w:val="auto"/>
          <w:szCs w:val="21"/>
          <w:lang w:val="en-US" w:eastAsia="zh-CN"/>
        </w:rPr>
        <w:t>6</w:t>
      </w:r>
      <w:r>
        <w:rPr>
          <w:rFonts w:hint="default" w:ascii="Times New Roman" w:hAnsi="Times New Roman" w:cs="Times New Roman"/>
          <w:color w:val="auto"/>
          <w:szCs w:val="21"/>
        </w:rPr>
        <w:t>.00</w:t>
      </w:r>
      <w:r>
        <w:rPr>
          <w:rFonts w:hint="default" w:ascii="Times New Roman" w:hAnsi="Times New Roman" w:cs="Times New Roman"/>
          <w:color w:val="auto"/>
        </w:rPr>
        <w:t>分，根据评分标准得</w:t>
      </w:r>
      <w:r>
        <w:rPr>
          <w:rFonts w:hint="eastAsia" w:cs="Times New Roman"/>
          <w:color w:val="auto"/>
          <w:szCs w:val="21"/>
          <w:lang w:val="en-US" w:eastAsia="zh-CN"/>
        </w:rPr>
        <w:t>6</w:t>
      </w:r>
      <w:r>
        <w:rPr>
          <w:rFonts w:hint="default" w:ascii="Times New Roman" w:hAnsi="Times New Roman" w:cs="Times New Roman"/>
          <w:color w:val="auto"/>
          <w:szCs w:val="21"/>
        </w:rPr>
        <w:t>.00</w:t>
      </w:r>
      <w:r>
        <w:rPr>
          <w:rFonts w:hint="default" w:ascii="Times New Roman" w:hAnsi="Times New Roman" w:cs="Times New Roman"/>
          <w:color w:val="auto"/>
        </w:rPr>
        <w:t>分。</w:t>
      </w:r>
    </w:p>
    <w:p w14:paraId="38DF0DBF">
      <w:pPr>
        <w:adjustRightInd w:val="0"/>
        <w:snapToGrid w:val="0"/>
        <w:ind w:firstLine="422"/>
        <w:rPr>
          <w:rFonts w:hint="default" w:ascii="Times New Roman" w:hAnsi="Times New Roman" w:cs="Times New Roman"/>
          <w:b/>
          <w:bCs/>
          <w:color w:val="auto"/>
        </w:rPr>
      </w:pPr>
      <w:r>
        <w:rPr>
          <w:rFonts w:hint="default" w:ascii="Times New Roman" w:hAnsi="Times New Roman" w:cs="Times New Roman"/>
          <w:b/>
          <w:bCs/>
          <w:color w:val="auto"/>
        </w:rPr>
        <w:t>（</w:t>
      </w:r>
      <w:r>
        <w:rPr>
          <w:rFonts w:hint="eastAsia" w:cs="Times New Roman"/>
          <w:b/>
          <w:bCs/>
          <w:color w:val="auto"/>
          <w:lang w:val="en-US" w:eastAsia="zh-CN"/>
        </w:rPr>
        <w:t>8</w:t>
      </w:r>
      <w:r>
        <w:rPr>
          <w:rFonts w:hint="default" w:ascii="Times New Roman" w:hAnsi="Times New Roman" w:cs="Times New Roman"/>
          <w:b/>
          <w:bCs/>
          <w:color w:val="auto"/>
        </w:rPr>
        <w:t>）</w:t>
      </w:r>
      <w:r>
        <w:rPr>
          <w:rFonts w:hint="default" w:ascii="Times New Roman" w:hAnsi="Times New Roman" w:cs="Times New Roman"/>
          <w:b/>
          <w:bCs/>
          <w:color w:val="auto"/>
          <w:szCs w:val="21"/>
        </w:rPr>
        <w:t>C42农机报废补贴支出</w:t>
      </w:r>
      <w:r>
        <w:rPr>
          <w:rFonts w:hint="default" w:ascii="Times New Roman" w:hAnsi="Times New Roman" w:cs="Times New Roman"/>
          <w:b/>
          <w:bCs/>
          <w:color w:val="auto"/>
        </w:rPr>
        <w:t>：</w:t>
      </w:r>
    </w:p>
    <w:p w14:paraId="30302AE2">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经查证项目资金执行情况，项目实际支出资金总额</w:t>
      </w:r>
      <w:r>
        <w:rPr>
          <w:rFonts w:hint="eastAsia" w:cs="Times New Roman"/>
          <w:color w:val="auto"/>
          <w:szCs w:val="21"/>
          <w:lang w:val="en-US" w:eastAsia="zh-CN"/>
        </w:rPr>
        <w:t>0.70</w:t>
      </w:r>
      <w:r>
        <w:rPr>
          <w:rFonts w:hint="default" w:ascii="Times New Roman" w:hAnsi="Times New Roman" w:cs="Times New Roman"/>
          <w:color w:val="auto"/>
          <w:szCs w:val="21"/>
        </w:rPr>
        <w:t>万元，其中实际用于农机报废补贴资金</w:t>
      </w:r>
      <w:r>
        <w:rPr>
          <w:rFonts w:hint="eastAsia" w:cs="Times New Roman"/>
          <w:color w:val="auto"/>
          <w:szCs w:val="21"/>
          <w:lang w:val="en-US" w:eastAsia="zh-CN"/>
        </w:rPr>
        <w:t>0.7</w:t>
      </w:r>
      <w:r>
        <w:rPr>
          <w:rFonts w:hint="default" w:ascii="Times New Roman" w:hAnsi="Times New Roman" w:cs="Times New Roman"/>
          <w:color w:val="auto"/>
          <w:szCs w:val="21"/>
        </w:rPr>
        <w:t>万元。</w:t>
      </w:r>
      <w:r>
        <w:rPr>
          <w:rFonts w:hint="eastAsia" w:cs="Times New Roman"/>
          <w:color w:val="auto"/>
          <w:szCs w:val="21"/>
          <w:lang w:val="en-US" w:eastAsia="zh-CN"/>
        </w:rPr>
        <w:t>达到预期目标，</w:t>
      </w:r>
      <w:r>
        <w:rPr>
          <w:rFonts w:hint="default" w:ascii="Times New Roman" w:hAnsi="Times New Roman" w:cs="Times New Roman"/>
          <w:color w:val="auto"/>
          <w:szCs w:val="21"/>
        </w:rPr>
        <w:t>得满分。</w:t>
      </w:r>
    </w:p>
    <w:p w14:paraId="12D87B9A">
      <w:pPr>
        <w:adjustRightInd w:val="0"/>
        <w:snapToGrid w:val="0"/>
        <w:ind w:firstLine="420"/>
        <w:rPr>
          <w:color w:val="auto"/>
        </w:rPr>
      </w:pPr>
      <w:r>
        <w:rPr>
          <w:rFonts w:hint="default" w:ascii="Times New Roman" w:hAnsi="Times New Roman" w:cs="Times New Roman"/>
          <w:color w:val="auto"/>
        </w:rPr>
        <w:t>该指标满分为</w:t>
      </w:r>
      <w:r>
        <w:rPr>
          <w:rFonts w:hint="eastAsia" w:cs="Times New Roman"/>
          <w:color w:val="auto"/>
          <w:szCs w:val="21"/>
          <w:lang w:val="en-US" w:eastAsia="zh-CN"/>
        </w:rPr>
        <w:t>1</w:t>
      </w:r>
      <w:r>
        <w:rPr>
          <w:rFonts w:hint="default" w:ascii="Times New Roman" w:hAnsi="Times New Roman" w:cs="Times New Roman"/>
          <w:color w:val="auto"/>
          <w:szCs w:val="21"/>
        </w:rPr>
        <w:t>.00</w:t>
      </w:r>
      <w:r>
        <w:rPr>
          <w:rFonts w:hint="default" w:ascii="Times New Roman" w:hAnsi="Times New Roman" w:cs="Times New Roman"/>
          <w:color w:val="auto"/>
        </w:rPr>
        <w:t>分，根据评分标准得</w:t>
      </w:r>
      <w:r>
        <w:rPr>
          <w:rFonts w:hint="eastAsia" w:cs="Times New Roman"/>
          <w:color w:val="auto"/>
          <w:szCs w:val="21"/>
          <w:lang w:val="en-US" w:eastAsia="zh-CN"/>
        </w:rPr>
        <w:t>1</w:t>
      </w:r>
      <w:r>
        <w:rPr>
          <w:rFonts w:hint="default" w:ascii="Times New Roman" w:hAnsi="Times New Roman" w:cs="Times New Roman"/>
          <w:color w:val="auto"/>
          <w:szCs w:val="21"/>
        </w:rPr>
        <w:t>.00</w:t>
      </w:r>
      <w:r>
        <w:rPr>
          <w:rFonts w:hint="default" w:ascii="Times New Roman" w:hAnsi="Times New Roman" w:cs="Times New Roman"/>
          <w:color w:val="auto"/>
        </w:rPr>
        <w:t>分</w:t>
      </w:r>
      <w:r>
        <w:rPr>
          <w:color w:val="auto"/>
        </w:rPr>
        <w:t>。</w:t>
      </w:r>
    </w:p>
    <w:p w14:paraId="73566111">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90" w:name="_Toc7410"/>
      <w:bookmarkStart w:id="91" w:name="_Toc26285"/>
      <w:r>
        <w:rPr>
          <w:rFonts w:ascii="Times New Roman" w:hAnsi="Times New Roman"/>
          <w:color w:val="auto"/>
        </w:rPr>
        <w:t>（四）项目效益情况</w:t>
      </w:r>
      <w:bookmarkEnd w:id="90"/>
      <w:bookmarkEnd w:id="91"/>
    </w:p>
    <w:p w14:paraId="0C9DFF5B">
      <w:pPr>
        <w:pageBreakBefore w:val="0"/>
        <w:kinsoku/>
        <w:wordWrap/>
        <w:overflowPunct/>
        <w:topLinePunct w:val="0"/>
        <w:autoSpaceDE/>
        <w:autoSpaceDN/>
        <w:bidi w:val="0"/>
        <w:snapToGrid w:val="0"/>
        <w:spacing w:before="0" w:after="0" w:line="360" w:lineRule="auto"/>
        <w:ind w:firstLine="420"/>
        <w:rPr>
          <w:color w:val="auto"/>
        </w:rPr>
      </w:pPr>
      <w:r>
        <w:rPr>
          <w:color w:val="auto"/>
        </w:rPr>
        <w:t>项目效益指标由</w:t>
      </w:r>
      <w:r>
        <w:rPr>
          <w:rFonts w:hint="eastAsia"/>
          <w:color w:val="auto"/>
        </w:rPr>
        <w:t>2</w:t>
      </w:r>
      <w:r>
        <w:rPr>
          <w:color w:val="auto"/>
        </w:rPr>
        <w:t>个二级和</w:t>
      </w:r>
      <w:r>
        <w:rPr>
          <w:rFonts w:hint="eastAsia"/>
          <w:color w:val="auto"/>
          <w:lang w:val="en-US" w:eastAsia="zh-CN"/>
        </w:rPr>
        <w:t>6</w:t>
      </w:r>
      <w:r>
        <w:rPr>
          <w:color w:val="auto"/>
        </w:rPr>
        <w:t>个三级指标构成，权重分</w:t>
      </w:r>
      <w:r>
        <w:rPr>
          <w:rFonts w:hint="eastAsia"/>
          <w:color w:val="auto"/>
        </w:rPr>
        <w:t>35.00</w:t>
      </w:r>
      <w:r>
        <w:rPr>
          <w:color w:val="auto"/>
        </w:rPr>
        <w:t>分，实际得分</w:t>
      </w:r>
      <w:r>
        <w:rPr>
          <w:rFonts w:hint="eastAsia"/>
          <w:color w:val="auto"/>
          <w:lang w:val="en-US" w:eastAsia="zh-CN"/>
        </w:rPr>
        <w:t>33.79</w:t>
      </w:r>
      <w:r>
        <w:rPr>
          <w:color w:val="auto"/>
        </w:rPr>
        <w:t>分</w:t>
      </w:r>
      <w:r>
        <w:rPr>
          <w:rFonts w:hint="eastAsia"/>
          <w:color w:val="auto"/>
        </w:rPr>
        <w:t>，得分率为</w:t>
      </w:r>
      <w:r>
        <w:rPr>
          <w:rFonts w:hint="eastAsia"/>
          <w:color w:val="auto"/>
          <w:lang w:val="en-US" w:eastAsia="zh-CN"/>
        </w:rPr>
        <w:t>96.54</w:t>
      </w:r>
      <w:r>
        <w:rPr>
          <w:rFonts w:hint="eastAsia"/>
          <w:color w:val="auto"/>
        </w:rPr>
        <w:t>%</w:t>
      </w:r>
      <w:r>
        <w:rPr>
          <w:color w:val="auto"/>
        </w:rPr>
        <w:t>。各指标业绩值和绩效分值如下表所示：</w:t>
      </w:r>
    </w:p>
    <w:p w14:paraId="734016AA">
      <w:pPr>
        <w:pageBreakBefore w:val="0"/>
        <w:kinsoku/>
        <w:wordWrap/>
        <w:overflowPunct/>
        <w:topLinePunct w:val="0"/>
        <w:autoSpaceDE/>
        <w:autoSpaceDN/>
        <w:bidi w:val="0"/>
        <w:snapToGrid w:val="0"/>
        <w:spacing w:before="0" w:after="0" w:line="360" w:lineRule="auto"/>
        <w:ind w:firstLine="0" w:firstLineChars="0"/>
        <w:jc w:val="center"/>
        <w:rPr>
          <w:color w:val="auto"/>
        </w:rPr>
      </w:pPr>
      <w:r>
        <w:rPr>
          <w:b/>
          <w:bCs/>
          <w:color w:val="auto"/>
        </w:rPr>
        <w:t>表</w:t>
      </w:r>
      <w:r>
        <w:rPr>
          <w:rFonts w:hint="eastAsia"/>
          <w:b/>
          <w:bCs/>
          <w:color w:val="auto"/>
          <w:lang w:val="en-US" w:eastAsia="zh-CN"/>
        </w:rPr>
        <w:t>5</w:t>
      </w:r>
      <w:r>
        <w:rPr>
          <w:b/>
          <w:bCs/>
          <w:color w:val="auto"/>
        </w:rPr>
        <w:t>-4：项目效益指标及分值</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42"/>
        <w:gridCol w:w="1652"/>
        <w:gridCol w:w="1957"/>
        <w:gridCol w:w="943"/>
        <w:gridCol w:w="883"/>
        <w:gridCol w:w="606"/>
        <w:gridCol w:w="606"/>
        <w:gridCol w:w="819"/>
      </w:tblGrid>
      <w:tr w14:paraId="6E990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0" w:type="auto"/>
            <w:vAlign w:val="center"/>
          </w:tcPr>
          <w:p w14:paraId="344809D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一级指标</w:t>
            </w:r>
          </w:p>
        </w:tc>
        <w:tc>
          <w:tcPr>
            <w:tcW w:w="1652" w:type="dxa"/>
            <w:vAlign w:val="center"/>
          </w:tcPr>
          <w:p w14:paraId="39C5902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二级指标</w:t>
            </w:r>
          </w:p>
        </w:tc>
        <w:tc>
          <w:tcPr>
            <w:tcW w:w="1957" w:type="dxa"/>
            <w:vAlign w:val="center"/>
          </w:tcPr>
          <w:p w14:paraId="12DD0DC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三级指标</w:t>
            </w:r>
          </w:p>
        </w:tc>
        <w:tc>
          <w:tcPr>
            <w:tcW w:w="943" w:type="dxa"/>
            <w:vAlign w:val="center"/>
          </w:tcPr>
          <w:p w14:paraId="61192DB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目标值</w:t>
            </w:r>
          </w:p>
        </w:tc>
        <w:tc>
          <w:tcPr>
            <w:tcW w:w="883" w:type="dxa"/>
            <w:vAlign w:val="center"/>
          </w:tcPr>
          <w:p w14:paraId="5D2AD19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实际完成值</w:t>
            </w:r>
          </w:p>
        </w:tc>
        <w:tc>
          <w:tcPr>
            <w:tcW w:w="606" w:type="dxa"/>
            <w:vAlign w:val="center"/>
          </w:tcPr>
          <w:p w14:paraId="0D7415C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权重</w:t>
            </w:r>
          </w:p>
        </w:tc>
        <w:tc>
          <w:tcPr>
            <w:tcW w:w="0" w:type="auto"/>
            <w:vAlign w:val="center"/>
          </w:tcPr>
          <w:p w14:paraId="0F6118D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sz w:val="20"/>
                <w:szCs w:val="20"/>
              </w:rPr>
            </w:pPr>
            <w:r>
              <w:rPr>
                <w:rFonts w:hint="eastAsia" w:ascii="宋体" w:hAnsi="宋体" w:eastAsia="宋体" w:cs="宋体"/>
                <w:b/>
                <w:color w:val="auto"/>
                <w:kern w:val="0"/>
                <w:sz w:val="20"/>
                <w:szCs w:val="20"/>
                <w:lang w:bidi="ar"/>
              </w:rPr>
              <w:t>得分</w:t>
            </w:r>
          </w:p>
        </w:tc>
        <w:tc>
          <w:tcPr>
            <w:tcW w:w="0" w:type="auto"/>
            <w:vAlign w:val="center"/>
          </w:tcPr>
          <w:p w14:paraId="45523703">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宋体" w:hAnsi="宋体" w:eastAsia="宋体" w:cs="宋体"/>
                <w:b/>
                <w:color w:val="auto"/>
                <w:kern w:val="0"/>
                <w:sz w:val="20"/>
                <w:szCs w:val="20"/>
                <w:lang w:bidi="ar"/>
              </w:rPr>
            </w:pPr>
            <w:r>
              <w:rPr>
                <w:rFonts w:hint="eastAsia" w:ascii="宋体" w:hAnsi="宋体" w:eastAsia="宋体" w:cs="宋体"/>
                <w:b/>
                <w:color w:val="auto"/>
                <w:kern w:val="0"/>
                <w:sz w:val="20"/>
                <w:szCs w:val="20"/>
                <w:lang w:bidi="ar"/>
              </w:rPr>
              <w:t>得分率</w:t>
            </w:r>
          </w:p>
        </w:tc>
      </w:tr>
      <w:tr w14:paraId="2F7B1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restart"/>
            <w:vAlign w:val="center"/>
          </w:tcPr>
          <w:p w14:paraId="28F0C687">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D效益</w:t>
            </w:r>
            <w:r>
              <w:rPr>
                <w:rFonts w:hint="eastAsia"/>
                <w:color w:val="auto"/>
                <w:kern w:val="0"/>
                <w:sz w:val="20"/>
                <w:szCs w:val="20"/>
                <w:lang w:val="en-US" w:eastAsia="zh-CN" w:bidi="ar"/>
              </w:rPr>
              <w:br w:type="textWrapping"/>
            </w:r>
            <w:r>
              <w:rPr>
                <w:rFonts w:hint="eastAsia"/>
                <w:color w:val="auto"/>
                <w:kern w:val="0"/>
                <w:sz w:val="20"/>
                <w:szCs w:val="20"/>
                <w:lang w:val="en-US" w:eastAsia="zh-CN" w:bidi="ar"/>
              </w:rPr>
              <w:t>（35.00分）</w:t>
            </w:r>
          </w:p>
        </w:tc>
        <w:tc>
          <w:tcPr>
            <w:tcW w:w="1652" w:type="dxa"/>
            <w:vMerge w:val="restart"/>
            <w:vAlign w:val="center"/>
          </w:tcPr>
          <w:p w14:paraId="3FC26DFD">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D1社会效益指标（25.00分）</w:t>
            </w:r>
          </w:p>
        </w:tc>
        <w:tc>
          <w:tcPr>
            <w:tcW w:w="1957" w:type="dxa"/>
            <w:vAlign w:val="center"/>
          </w:tcPr>
          <w:p w14:paraId="4042E3B9">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D11农机购置与应用补贴直接受益户数</w:t>
            </w:r>
          </w:p>
        </w:tc>
        <w:tc>
          <w:tcPr>
            <w:tcW w:w="943" w:type="dxa"/>
            <w:vAlign w:val="center"/>
          </w:tcPr>
          <w:p w14:paraId="4CF02F86">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≥699户</w:t>
            </w:r>
          </w:p>
        </w:tc>
        <w:tc>
          <w:tcPr>
            <w:tcW w:w="883" w:type="dxa"/>
            <w:vAlign w:val="center"/>
          </w:tcPr>
          <w:p w14:paraId="41010DD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781户</w:t>
            </w:r>
          </w:p>
        </w:tc>
        <w:tc>
          <w:tcPr>
            <w:tcW w:w="606" w:type="dxa"/>
            <w:vAlign w:val="center"/>
          </w:tcPr>
          <w:p w14:paraId="5558B1C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7.00</w:t>
            </w:r>
          </w:p>
        </w:tc>
        <w:tc>
          <w:tcPr>
            <w:tcW w:w="0" w:type="auto"/>
            <w:vAlign w:val="center"/>
          </w:tcPr>
          <w:p w14:paraId="7C741C3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7.00</w:t>
            </w:r>
          </w:p>
        </w:tc>
        <w:tc>
          <w:tcPr>
            <w:tcW w:w="0" w:type="auto"/>
            <w:vAlign w:val="center"/>
          </w:tcPr>
          <w:p w14:paraId="519FF25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100.00%</w:t>
            </w:r>
          </w:p>
        </w:tc>
      </w:tr>
      <w:tr w14:paraId="525B5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69DFDF2A">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652" w:type="dxa"/>
            <w:vMerge w:val="continue"/>
            <w:vAlign w:val="center"/>
          </w:tcPr>
          <w:p w14:paraId="63EE99D6">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957" w:type="dxa"/>
            <w:vAlign w:val="center"/>
          </w:tcPr>
          <w:p w14:paraId="27FD49DA">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D12补贴政策知晓率</w:t>
            </w:r>
          </w:p>
        </w:tc>
        <w:tc>
          <w:tcPr>
            <w:tcW w:w="943" w:type="dxa"/>
            <w:vAlign w:val="center"/>
          </w:tcPr>
          <w:p w14:paraId="066F93A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100.00%</w:t>
            </w:r>
          </w:p>
        </w:tc>
        <w:tc>
          <w:tcPr>
            <w:tcW w:w="883" w:type="dxa"/>
            <w:vAlign w:val="center"/>
          </w:tcPr>
          <w:p w14:paraId="79CD631B">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96.98%</w:t>
            </w:r>
          </w:p>
        </w:tc>
        <w:tc>
          <w:tcPr>
            <w:tcW w:w="606" w:type="dxa"/>
            <w:vAlign w:val="center"/>
          </w:tcPr>
          <w:p w14:paraId="1BCB4FF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7.00</w:t>
            </w:r>
          </w:p>
        </w:tc>
        <w:tc>
          <w:tcPr>
            <w:tcW w:w="0" w:type="auto"/>
            <w:vAlign w:val="center"/>
          </w:tcPr>
          <w:p w14:paraId="6DEF122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6.79</w:t>
            </w:r>
          </w:p>
        </w:tc>
        <w:tc>
          <w:tcPr>
            <w:tcW w:w="0" w:type="auto"/>
            <w:vAlign w:val="center"/>
          </w:tcPr>
          <w:p w14:paraId="3F6C7EC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96.98%</w:t>
            </w:r>
          </w:p>
        </w:tc>
      </w:tr>
      <w:tr w14:paraId="4573B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22CE187E">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652" w:type="dxa"/>
            <w:vMerge w:val="continue"/>
            <w:vAlign w:val="center"/>
          </w:tcPr>
          <w:p w14:paraId="536D16E2">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957" w:type="dxa"/>
            <w:vAlign w:val="center"/>
          </w:tcPr>
          <w:p w14:paraId="1CEF3CC0">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val="en-US" w:eastAsia="zh-CN" w:bidi="ar"/>
              </w:rPr>
            </w:pPr>
            <w:r>
              <w:rPr>
                <w:rFonts w:hint="eastAsia"/>
                <w:color w:val="auto"/>
                <w:kern w:val="0"/>
                <w:sz w:val="20"/>
                <w:szCs w:val="20"/>
                <w:lang w:val="en-US" w:eastAsia="zh-CN" w:bidi="ar"/>
              </w:rPr>
              <w:t>D13农作物耕种收综合机械化率</w:t>
            </w:r>
          </w:p>
        </w:tc>
        <w:tc>
          <w:tcPr>
            <w:tcW w:w="943" w:type="dxa"/>
            <w:vAlign w:val="center"/>
          </w:tcPr>
          <w:p w14:paraId="303F2200">
            <w:pPr>
              <w:pageBreakBefore w:val="0"/>
              <w:widowControl/>
              <w:kinsoku/>
              <w:wordWrap/>
              <w:overflowPunct/>
              <w:topLinePunct w:val="0"/>
              <w:autoSpaceDE/>
              <w:autoSpaceDN/>
              <w:bidi w:val="0"/>
              <w:snapToGrid w:val="0"/>
              <w:spacing w:before="0" w:after="0" w:line="240" w:lineRule="auto"/>
              <w:ind w:firstLine="0" w:firstLineChars="0"/>
              <w:jc w:val="center"/>
              <w:rPr>
                <w:rFonts w:hint="default"/>
                <w:color w:val="auto"/>
                <w:kern w:val="0"/>
                <w:sz w:val="20"/>
                <w:szCs w:val="20"/>
                <w:lang w:val="en-US" w:eastAsia="zh-CN" w:bidi="ar"/>
              </w:rPr>
            </w:pPr>
            <w:r>
              <w:rPr>
                <w:rFonts w:hint="eastAsia"/>
                <w:color w:val="auto"/>
                <w:kern w:val="0"/>
                <w:sz w:val="20"/>
                <w:szCs w:val="20"/>
                <w:lang w:val="en-US" w:eastAsia="zh-CN" w:bidi="ar"/>
              </w:rPr>
              <w:t>≥98.7%</w:t>
            </w:r>
          </w:p>
        </w:tc>
        <w:tc>
          <w:tcPr>
            <w:tcW w:w="883" w:type="dxa"/>
            <w:vAlign w:val="center"/>
          </w:tcPr>
          <w:p w14:paraId="686A8832">
            <w:pPr>
              <w:pageBreakBefore w:val="0"/>
              <w:widowControl/>
              <w:kinsoku/>
              <w:wordWrap/>
              <w:overflowPunct/>
              <w:topLinePunct w:val="0"/>
              <w:autoSpaceDE/>
              <w:autoSpaceDN/>
              <w:bidi w:val="0"/>
              <w:snapToGrid w:val="0"/>
              <w:spacing w:before="0" w:after="0" w:line="240" w:lineRule="auto"/>
              <w:ind w:firstLine="0" w:firstLineChars="0"/>
              <w:jc w:val="center"/>
              <w:rPr>
                <w:rFonts w:hint="default"/>
                <w:color w:val="auto"/>
                <w:kern w:val="0"/>
                <w:sz w:val="20"/>
                <w:szCs w:val="20"/>
                <w:lang w:val="en-US" w:eastAsia="zh-CN" w:bidi="ar"/>
              </w:rPr>
            </w:pPr>
            <w:r>
              <w:rPr>
                <w:rFonts w:hint="eastAsia"/>
                <w:color w:val="auto"/>
                <w:kern w:val="0"/>
                <w:sz w:val="20"/>
                <w:szCs w:val="20"/>
                <w:lang w:val="en-US" w:eastAsia="zh-CN" w:bidi="ar"/>
              </w:rPr>
              <w:t>98.78%</w:t>
            </w:r>
          </w:p>
        </w:tc>
        <w:tc>
          <w:tcPr>
            <w:tcW w:w="606" w:type="dxa"/>
            <w:vAlign w:val="center"/>
          </w:tcPr>
          <w:p w14:paraId="3342E840">
            <w:pPr>
              <w:pageBreakBefore w:val="0"/>
              <w:widowControl/>
              <w:kinsoku/>
              <w:wordWrap/>
              <w:overflowPunct/>
              <w:topLinePunct w:val="0"/>
              <w:autoSpaceDE/>
              <w:autoSpaceDN/>
              <w:bidi w:val="0"/>
              <w:snapToGrid w:val="0"/>
              <w:spacing w:before="0" w:after="0" w:line="240" w:lineRule="auto"/>
              <w:ind w:firstLine="0" w:firstLineChars="0"/>
              <w:jc w:val="center"/>
              <w:rPr>
                <w:rFonts w:hint="default"/>
                <w:color w:val="auto"/>
                <w:kern w:val="0"/>
                <w:sz w:val="20"/>
                <w:szCs w:val="20"/>
                <w:lang w:val="en-US" w:eastAsia="zh-CN" w:bidi="ar"/>
              </w:rPr>
            </w:pPr>
            <w:r>
              <w:rPr>
                <w:rFonts w:hint="eastAsia"/>
                <w:color w:val="auto"/>
                <w:kern w:val="0"/>
                <w:sz w:val="20"/>
                <w:szCs w:val="20"/>
                <w:lang w:val="en-US" w:eastAsia="zh-CN" w:bidi="ar"/>
              </w:rPr>
              <w:t>6.00</w:t>
            </w:r>
          </w:p>
        </w:tc>
        <w:tc>
          <w:tcPr>
            <w:tcW w:w="0" w:type="auto"/>
            <w:vAlign w:val="center"/>
          </w:tcPr>
          <w:p w14:paraId="56A32DE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6.00</w:t>
            </w:r>
          </w:p>
        </w:tc>
        <w:tc>
          <w:tcPr>
            <w:tcW w:w="0" w:type="auto"/>
            <w:vAlign w:val="center"/>
          </w:tcPr>
          <w:p w14:paraId="2A5F604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100.00%</w:t>
            </w:r>
          </w:p>
        </w:tc>
      </w:tr>
      <w:tr w14:paraId="443431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677049D0">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652" w:type="dxa"/>
            <w:vMerge w:val="continue"/>
            <w:vAlign w:val="center"/>
          </w:tcPr>
          <w:p w14:paraId="5A863121">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957" w:type="dxa"/>
            <w:vAlign w:val="center"/>
          </w:tcPr>
          <w:p w14:paraId="7AFA4E51">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D14提升农业机械化生产社会化服务水平</w:t>
            </w:r>
          </w:p>
        </w:tc>
        <w:tc>
          <w:tcPr>
            <w:tcW w:w="943" w:type="dxa"/>
            <w:vAlign w:val="center"/>
          </w:tcPr>
          <w:p w14:paraId="0CAA7FC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有效提升</w:t>
            </w:r>
          </w:p>
        </w:tc>
        <w:tc>
          <w:tcPr>
            <w:tcW w:w="883" w:type="dxa"/>
            <w:vAlign w:val="center"/>
          </w:tcPr>
          <w:p w14:paraId="30B47513">
            <w:pPr>
              <w:pageBreakBefore w:val="0"/>
              <w:widowControl/>
              <w:kinsoku/>
              <w:wordWrap/>
              <w:overflowPunct/>
              <w:topLinePunct w:val="0"/>
              <w:autoSpaceDE/>
              <w:autoSpaceDN/>
              <w:bidi w:val="0"/>
              <w:snapToGrid w:val="0"/>
              <w:spacing w:before="0" w:after="0" w:line="240" w:lineRule="auto"/>
              <w:ind w:firstLine="0" w:firstLineChars="0"/>
              <w:jc w:val="center"/>
              <w:rPr>
                <w:rFonts w:hint="default"/>
                <w:color w:val="auto"/>
                <w:kern w:val="0"/>
                <w:sz w:val="20"/>
                <w:szCs w:val="20"/>
                <w:lang w:val="en-US" w:eastAsia="zh-CN" w:bidi="ar"/>
              </w:rPr>
            </w:pPr>
            <w:r>
              <w:rPr>
                <w:rFonts w:hint="eastAsia"/>
                <w:color w:val="auto"/>
                <w:kern w:val="0"/>
                <w:sz w:val="20"/>
                <w:szCs w:val="20"/>
                <w:lang w:val="en-US" w:eastAsia="zh-CN" w:bidi="ar"/>
              </w:rPr>
              <w:t>基本达成目标</w:t>
            </w:r>
          </w:p>
        </w:tc>
        <w:tc>
          <w:tcPr>
            <w:tcW w:w="606" w:type="dxa"/>
            <w:vAlign w:val="center"/>
          </w:tcPr>
          <w:p w14:paraId="73B112F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5.00</w:t>
            </w:r>
          </w:p>
        </w:tc>
        <w:tc>
          <w:tcPr>
            <w:tcW w:w="0" w:type="auto"/>
            <w:vAlign w:val="center"/>
          </w:tcPr>
          <w:p w14:paraId="6AD0B05F">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5.00</w:t>
            </w:r>
          </w:p>
        </w:tc>
        <w:tc>
          <w:tcPr>
            <w:tcW w:w="0" w:type="auto"/>
            <w:vAlign w:val="center"/>
          </w:tcPr>
          <w:p w14:paraId="09F7DD6C">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100.00%</w:t>
            </w:r>
          </w:p>
        </w:tc>
      </w:tr>
      <w:tr w14:paraId="26C08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72B4DFF5">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652" w:type="dxa"/>
            <w:vAlign w:val="center"/>
          </w:tcPr>
          <w:p w14:paraId="3916FA67">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D2可持续影响指标（5.00分）</w:t>
            </w:r>
          </w:p>
        </w:tc>
        <w:tc>
          <w:tcPr>
            <w:tcW w:w="1957" w:type="dxa"/>
            <w:vAlign w:val="center"/>
          </w:tcPr>
          <w:p w14:paraId="66D5B28A">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D21不断促进农业技术发展</w:t>
            </w:r>
          </w:p>
        </w:tc>
        <w:tc>
          <w:tcPr>
            <w:tcW w:w="943" w:type="dxa"/>
            <w:vAlign w:val="center"/>
          </w:tcPr>
          <w:p w14:paraId="7C1962A5">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不断促进</w:t>
            </w:r>
          </w:p>
        </w:tc>
        <w:tc>
          <w:tcPr>
            <w:tcW w:w="883" w:type="dxa"/>
            <w:vAlign w:val="center"/>
          </w:tcPr>
          <w:p w14:paraId="6D9C8E3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基本达成目标</w:t>
            </w:r>
          </w:p>
        </w:tc>
        <w:tc>
          <w:tcPr>
            <w:tcW w:w="606" w:type="dxa"/>
            <w:vAlign w:val="center"/>
          </w:tcPr>
          <w:p w14:paraId="6103BCFD">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5.00</w:t>
            </w:r>
          </w:p>
        </w:tc>
        <w:tc>
          <w:tcPr>
            <w:tcW w:w="0" w:type="auto"/>
            <w:vAlign w:val="center"/>
          </w:tcPr>
          <w:p w14:paraId="76C10EE9">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5.00</w:t>
            </w:r>
          </w:p>
        </w:tc>
        <w:tc>
          <w:tcPr>
            <w:tcW w:w="0" w:type="auto"/>
            <w:vAlign w:val="center"/>
          </w:tcPr>
          <w:p w14:paraId="509DA590">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100.00%</w:t>
            </w:r>
          </w:p>
        </w:tc>
      </w:tr>
      <w:tr w14:paraId="09D4AB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283C8723">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p>
        </w:tc>
        <w:tc>
          <w:tcPr>
            <w:tcW w:w="1652" w:type="dxa"/>
            <w:vAlign w:val="center"/>
          </w:tcPr>
          <w:p w14:paraId="4CA2EBE5">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D2服务对象满意度指标（5.00分）</w:t>
            </w:r>
          </w:p>
        </w:tc>
        <w:tc>
          <w:tcPr>
            <w:tcW w:w="1957" w:type="dxa"/>
            <w:vAlign w:val="center"/>
          </w:tcPr>
          <w:p w14:paraId="3A14EEB0">
            <w:pPr>
              <w:pageBreakBefore w:val="0"/>
              <w:widowControl/>
              <w:kinsoku/>
              <w:wordWrap/>
              <w:overflowPunct/>
              <w:topLinePunct w:val="0"/>
              <w:autoSpaceDE/>
              <w:autoSpaceDN/>
              <w:bidi w:val="0"/>
              <w:snapToGrid w:val="0"/>
              <w:spacing w:before="0" w:after="0" w:line="240" w:lineRule="auto"/>
              <w:ind w:firstLine="0" w:firstLineChars="0"/>
              <w:jc w:val="left"/>
              <w:rPr>
                <w:rFonts w:hint="eastAsia"/>
                <w:color w:val="auto"/>
                <w:kern w:val="0"/>
                <w:sz w:val="20"/>
                <w:szCs w:val="20"/>
                <w:lang w:bidi="ar"/>
              </w:rPr>
            </w:pPr>
            <w:r>
              <w:rPr>
                <w:rFonts w:hint="eastAsia"/>
                <w:color w:val="auto"/>
                <w:kern w:val="0"/>
                <w:sz w:val="20"/>
                <w:szCs w:val="20"/>
                <w:lang w:val="en-US" w:eastAsia="zh-CN" w:bidi="ar"/>
              </w:rPr>
              <w:t>D31农机购置补贴受益户满意度</w:t>
            </w:r>
          </w:p>
        </w:tc>
        <w:tc>
          <w:tcPr>
            <w:tcW w:w="943" w:type="dxa"/>
            <w:vAlign w:val="center"/>
          </w:tcPr>
          <w:p w14:paraId="6BF5994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≥95.00%</w:t>
            </w:r>
          </w:p>
        </w:tc>
        <w:tc>
          <w:tcPr>
            <w:tcW w:w="883" w:type="dxa"/>
            <w:vAlign w:val="center"/>
          </w:tcPr>
          <w:p w14:paraId="3C3CF712">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91.76%</w:t>
            </w:r>
          </w:p>
        </w:tc>
        <w:tc>
          <w:tcPr>
            <w:tcW w:w="606" w:type="dxa"/>
            <w:vAlign w:val="center"/>
          </w:tcPr>
          <w:p w14:paraId="59CC8151">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5.00</w:t>
            </w:r>
          </w:p>
        </w:tc>
        <w:tc>
          <w:tcPr>
            <w:tcW w:w="0" w:type="auto"/>
            <w:vAlign w:val="center"/>
          </w:tcPr>
          <w:p w14:paraId="20E66C47">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4.00</w:t>
            </w:r>
          </w:p>
        </w:tc>
        <w:tc>
          <w:tcPr>
            <w:tcW w:w="0" w:type="auto"/>
            <w:vAlign w:val="center"/>
          </w:tcPr>
          <w:p w14:paraId="62807643">
            <w:pPr>
              <w:pageBreakBefore w:val="0"/>
              <w:widowControl/>
              <w:kinsoku/>
              <w:wordWrap/>
              <w:overflowPunct/>
              <w:topLinePunct w:val="0"/>
              <w:autoSpaceDE/>
              <w:autoSpaceDN/>
              <w:bidi w:val="0"/>
              <w:snapToGrid w:val="0"/>
              <w:spacing w:before="0" w:after="0" w:line="240" w:lineRule="auto"/>
              <w:ind w:firstLine="0" w:firstLineChars="0"/>
              <w:jc w:val="center"/>
              <w:rPr>
                <w:rFonts w:hint="eastAsia"/>
                <w:color w:val="auto"/>
                <w:kern w:val="0"/>
                <w:sz w:val="20"/>
                <w:szCs w:val="20"/>
                <w:lang w:val="en-US" w:eastAsia="zh-CN" w:bidi="ar"/>
              </w:rPr>
            </w:pPr>
            <w:r>
              <w:rPr>
                <w:rFonts w:hint="eastAsia"/>
                <w:color w:val="auto"/>
                <w:kern w:val="0"/>
                <w:sz w:val="20"/>
                <w:szCs w:val="20"/>
                <w:lang w:val="en-US" w:eastAsia="zh-CN" w:bidi="ar"/>
              </w:rPr>
              <w:t>80.00%</w:t>
            </w:r>
          </w:p>
        </w:tc>
      </w:tr>
      <w:tr w14:paraId="5E217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gridSpan w:val="3"/>
            <w:vAlign w:val="center"/>
          </w:tcPr>
          <w:p w14:paraId="2019044B">
            <w:pPr>
              <w:pageBreakBefore w:val="0"/>
              <w:widowControl/>
              <w:kinsoku/>
              <w:wordWrap/>
              <w:overflowPunct/>
              <w:topLinePunct w:val="0"/>
              <w:autoSpaceDE/>
              <w:autoSpaceDN/>
              <w:bidi w:val="0"/>
              <w:snapToGrid w:val="0"/>
              <w:spacing w:before="0" w:after="0" w:line="240" w:lineRule="auto"/>
              <w:ind w:firstLine="0" w:firstLineChars="0"/>
              <w:jc w:val="center"/>
              <w:rPr>
                <w:rFonts w:ascii="宋体" w:hAnsi="宋体" w:eastAsia="宋体" w:cs="宋体"/>
                <w:b/>
                <w:bCs/>
                <w:color w:val="auto"/>
                <w:sz w:val="20"/>
                <w:szCs w:val="20"/>
              </w:rPr>
            </w:pPr>
            <w:r>
              <w:rPr>
                <w:rFonts w:hint="eastAsia"/>
                <w:b/>
                <w:bCs/>
                <w:color w:val="auto"/>
                <w:sz w:val="20"/>
                <w:szCs w:val="20"/>
              </w:rPr>
              <w:t>合计</w:t>
            </w:r>
          </w:p>
        </w:tc>
        <w:tc>
          <w:tcPr>
            <w:tcW w:w="943" w:type="dxa"/>
            <w:vAlign w:val="center"/>
          </w:tcPr>
          <w:p w14:paraId="5B33B00D">
            <w:pPr>
              <w:keepNext w:val="0"/>
              <w:keepLines w:val="0"/>
              <w:pageBreakBefore w:val="0"/>
              <w:widowControl/>
              <w:kinsoku/>
              <w:wordWrap/>
              <w:overflowPunct/>
              <w:topLinePunct w:val="0"/>
              <w:autoSpaceDE/>
              <w:autoSpaceDN/>
              <w:bidi w:val="0"/>
              <w:spacing w:line="240" w:lineRule="auto"/>
              <w:ind w:firstLine="0" w:firstLineChars="0"/>
              <w:jc w:val="center"/>
              <w:rPr>
                <w:rFonts w:ascii="宋体" w:hAnsi="宋体" w:eastAsia="宋体" w:cs="宋体"/>
                <w:b/>
                <w:bCs/>
                <w:color w:val="auto"/>
                <w:sz w:val="20"/>
                <w:szCs w:val="20"/>
              </w:rPr>
            </w:pPr>
          </w:p>
        </w:tc>
        <w:tc>
          <w:tcPr>
            <w:tcW w:w="883" w:type="dxa"/>
            <w:vAlign w:val="center"/>
          </w:tcPr>
          <w:p w14:paraId="4744E5D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color w:val="auto"/>
                <w:sz w:val="20"/>
                <w:szCs w:val="20"/>
                <w:lang w:val="en-US" w:eastAsia="zh-CN"/>
              </w:rPr>
            </w:pPr>
          </w:p>
        </w:tc>
        <w:tc>
          <w:tcPr>
            <w:tcW w:w="606" w:type="dxa"/>
            <w:vAlign w:val="center"/>
          </w:tcPr>
          <w:p w14:paraId="71AB0F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b/>
                <w:bCs/>
                <w:color w:val="auto"/>
                <w:sz w:val="20"/>
                <w:szCs w:val="20"/>
              </w:rPr>
            </w:pPr>
            <w:r>
              <w:rPr>
                <w:rFonts w:hint="eastAsia" w:ascii="宋体" w:hAnsi="宋体" w:eastAsia="宋体" w:cs="宋体"/>
                <w:b/>
                <w:bCs/>
                <w:i w:val="0"/>
                <w:iCs w:val="0"/>
                <w:color w:val="000000"/>
                <w:kern w:val="0"/>
                <w:sz w:val="20"/>
                <w:szCs w:val="20"/>
                <w:u w:val="none"/>
                <w:lang w:val="en-US" w:eastAsia="zh-CN" w:bidi="ar"/>
              </w:rPr>
              <w:t>35.00</w:t>
            </w:r>
          </w:p>
        </w:tc>
        <w:tc>
          <w:tcPr>
            <w:tcW w:w="0" w:type="auto"/>
            <w:vAlign w:val="center"/>
          </w:tcPr>
          <w:p w14:paraId="0DAF74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b/>
                <w:bCs/>
                <w:color w:val="auto"/>
                <w:sz w:val="20"/>
                <w:szCs w:val="20"/>
              </w:rPr>
            </w:pPr>
            <w:r>
              <w:rPr>
                <w:rFonts w:hint="eastAsia" w:ascii="宋体" w:hAnsi="宋体" w:eastAsia="宋体" w:cs="宋体"/>
                <w:b/>
                <w:bCs/>
                <w:i w:val="0"/>
                <w:iCs w:val="0"/>
                <w:color w:val="000000"/>
                <w:kern w:val="0"/>
                <w:sz w:val="20"/>
                <w:szCs w:val="20"/>
                <w:u w:val="none"/>
                <w:lang w:val="en-US" w:eastAsia="zh-CN" w:bidi="ar"/>
              </w:rPr>
              <w:t>33.79</w:t>
            </w:r>
          </w:p>
        </w:tc>
        <w:tc>
          <w:tcPr>
            <w:tcW w:w="0" w:type="auto"/>
            <w:vAlign w:val="center"/>
          </w:tcPr>
          <w:p w14:paraId="4DD2D65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b/>
                <w:bCs/>
                <w:color w:val="auto"/>
                <w:sz w:val="20"/>
                <w:szCs w:val="20"/>
              </w:rPr>
            </w:pPr>
            <w:r>
              <w:rPr>
                <w:rFonts w:hint="eastAsia" w:ascii="宋体" w:hAnsi="宋体" w:eastAsia="宋体" w:cs="宋体"/>
                <w:b/>
                <w:bCs/>
                <w:i w:val="0"/>
                <w:iCs w:val="0"/>
                <w:color w:val="000000"/>
                <w:kern w:val="0"/>
                <w:sz w:val="20"/>
                <w:szCs w:val="20"/>
                <w:u w:val="none"/>
                <w:lang w:val="en-US" w:eastAsia="zh-CN" w:bidi="ar"/>
              </w:rPr>
              <w:t>96.54%</w:t>
            </w:r>
          </w:p>
        </w:tc>
      </w:tr>
    </w:tbl>
    <w:p w14:paraId="41EAA238">
      <w:pPr>
        <w:pageBreakBefore w:val="0"/>
        <w:kinsoku/>
        <w:wordWrap/>
        <w:overflowPunct/>
        <w:topLinePunct w:val="0"/>
        <w:autoSpaceDE/>
        <w:autoSpaceDN/>
        <w:bidi w:val="0"/>
        <w:snapToGrid w:val="0"/>
        <w:spacing w:before="0" w:after="0" w:line="360" w:lineRule="auto"/>
        <w:ind w:firstLine="422"/>
        <w:rPr>
          <w:rFonts w:eastAsia="宋体"/>
          <w:b/>
          <w:bCs/>
          <w:color w:val="auto"/>
        </w:rPr>
      </w:pPr>
    </w:p>
    <w:p w14:paraId="65D5124F">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r>
        <w:rPr>
          <w:b/>
          <w:bCs/>
          <w:color w:val="auto"/>
        </w:rPr>
        <w:t>：</w:t>
      </w:r>
    </w:p>
    <w:p w14:paraId="37270D5C">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（1）D11农机购置与应用补贴直接受益户数：</w:t>
      </w:r>
    </w:p>
    <w:p w14:paraId="05E3AA4F">
      <w:pPr>
        <w:adjustRightInd w:val="0"/>
        <w:snapToGrid w:val="0"/>
        <w:ind w:firstLine="420"/>
        <w:rPr>
          <w:rFonts w:hint="default" w:ascii="Times New Roman" w:hAnsi="Times New Roman" w:eastAsia="宋体" w:cs="Times New Roman"/>
          <w:color w:val="auto"/>
          <w:szCs w:val="21"/>
          <w:lang w:val="en-US" w:eastAsia="zh-CN"/>
        </w:rPr>
      </w:pPr>
      <w:r>
        <w:rPr>
          <w:rFonts w:hint="default" w:ascii="Times New Roman" w:hAnsi="Times New Roman" w:eastAsia="宋体" w:cs="Times New Roman"/>
          <w:color w:val="auto"/>
          <w:szCs w:val="21"/>
          <w:lang w:val="en-US" w:eastAsia="zh-CN"/>
        </w:rPr>
        <w:t>根据单位提供</w:t>
      </w:r>
      <w:r>
        <w:rPr>
          <w:rFonts w:hint="eastAsia" w:ascii="Times New Roman" w:hAnsi="Times New Roman" w:eastAsia="宋体" w:cs="Times New Roman"/>
          <w:color w:val="auto"/>
          <w:szCs w:val="21"/>
          <w:lang w:val="en-US" w:eastAsia="zh-CN"/>
        </w:rPr>
        <w:t>《</w:t>
      </w:r>
      <w:r>
        <w:rPr>
          <w:rFonts w:hint="default" w:ascii="Times New Roman" w:hAnsi="Times New Roman" w:eastAsia="宋体" w:cs="Times New Roman"/>
          <w:color w:val="auto"/>
          <w:szCs w:val="21"/>
          <w:lang w:val="en-US" w:eastAsia="zh-CN"/>
        </w:rPr>
        <w:t>2024年度县级补贴机具结算明细表</w:t>
      </w:r>
      <w:r>
        <w:rPr>
          <w:rFonts w:hint="eastAsia" w:ascii="Times New Roman" w:hAnsi="Times New Roman" w:eastAsia="宋体" w:cs="Times New Roman"/>
          <w:color w:val="auto"/>
          <w:szCs w:val="21"/>
          <w:lang w:val="en-US" w:eastAsia="zh-CN"/>
        </w:rPr>
        <w:t>》</w:t>
      </w:r>
      <w:r>
        <w:rPr>
          <w:rFonts w:hint="default" w:ascii="Times New Roman" w:hAnsi="Times New Roman" w:eastAsia="宋体" w:cs="Times New Roman"/>
          <w:color w:val="auto"/>
          <w:szCs w:val="21"/>
          <w:lang w:val="en-US" w:eastAsia="zh-CN"/>
        </w:rPr>
        <w:t>及</w:t>
      </w:r>
      <w:r>
        <w:rPr>
          <w:rFonts w:hint="eastAsia" w:ascii="Times New Roman" w:hAnsi="Times New Roman" w:eastAsia="宋体" w:cs="Times New Roman"/>
          <w:color w:val="auto"/>
          <w:szCs w:val="21"/>
          <w:lang w:val="en-US" w:eastAsia="zh-CN"/>
        </w:rPr>
        <w:t>《清册汇总信息表》</w:t>
      </w:r>
      <w:r>
        <w:rPr>
          <w:rFonts w:hint="default" w:ascii="Times New Roman" w:hAnsi="Times New Roman" w:eastAsia="宋体" w:cs="Times New Roman"/>
          <w:color w:val="auto"/>
          <w:szCs w:val="21"/>
          <w:lang w:val="en-US" w:eastAsia="zh-CN"/>
        </w:rPr>
        <w:t>显示，该项目实际受益农户</w:t>
      </w:r>
      <w:r>
        <w:rPr>
          <w:rFonts w:hint="eastAsia" w:cs="Times New Roman"/>
          <w:color w:val="auto"/>
          <w:szCs w:val="21"/>
          <w:lang w:val="en-US" w:eastAsia="zh-CN"/>
        </w:rPr>
        <w:t>782</w:t>
      </w:r>
      <w:r>
        <w:rPr>
          <w:rFonts w:hint="default" w:ascii="Times New Roman" w:hAnsi="Times New Roman" w:eastAsia="宋体" w:cs="Times New Roman"/>
          <w:color w:val="auto"/>
          <w:szCs w:val="21"/>
          <w:lang w:val="en-US" w:eastAsia="zh-CN"/>
        </w:rPr>
        <w:t>户，其中：农机购置补贴受益户数</w:t>
      </w:r>
      <w:r>
        <w:rPr>
          <w:rFonts w:hint="eastAsia" w:cs="Times New Roman"/>
          <w:color w:val="auto"/>
          <w:szCs w:val="21"/>
          <w:lang w:val="en-US" w:eastAsia="zh-CN"/>
        </w:rPr>
        <w:t>781</w:t>
      </w:r>
      <w:r>
        <w:rPr>
          <w:rFonts w:hint="default" w:ascii="Times New Roman" w:hAnsi="Times New Roman" w:eastAsia="宋体" w:cs="Times New Roman"/>
          <w:color w:val="auto"/>
          <w:szCs w:val="21"/>
          <w:lang w:val="en-US" w:eastAsia="zh-CN"/>
        </w:rPr>
        <w:t>户，农机报废补贴受益户数</w:t>
      </w:r>
      <w:r>
        <w:rPr>
          <w:rFonts w:hint="eastAsia" w:ascii="Times New Roman" w:hAnsi="Times New Roman" w:eastAsia="宋体" w:cs="Times New Roman"/>
          <w:color w:val="auto"/>
          <w:szCs w:val="21"/>
          <w:lang w:val="en-US" w:eastAsia="zh-CN"/>
        </w:rPr>
        <w:t>1</w:t>
      </w:r>
      <w:r>
        <w:rPr>
          <w:rFonts w:hint="default" w:ascii="Times New Roman" w:hAnsi="Times New Roman" w:eastAsia="宋体" w:cs="Times New Roman"/>
          <w:color w:val="auto"/>
          <w:szCs w:val="21"/>
          <w:lang w:val="en-US" w:eastAsia="zh-CN"/>
        </w:rPr>
        <w:t>户。</w:t>
      </w:r>
      <w:r>
        <w:rPr>
          <w:rFonts w:hint="eastAsia" w:ascii="Times New Roman" w:hAnsi="Times New Roman" w:eastAsia="宋体" w:cs="Times New Roman"/>
          <w:color w:val="auto"/>
          <w:szCs w:val="21"/>
          <w:lang w:val="en-US" w:eastAsia="zh-CN"/>
        </w:rPr>
        <w:t>达成预期目标</w:t>
      </w:r>
      <w:r>
        <w:rPr>
          <w:rFonts w:hint="default" w:ascii="Times New Roman" w:hAnsi="Times New Roman" w:eastAsia="宋体" w:cs="Times New Roman"/>
          <w:color w:val="auto"/>
          <w:szCs w:val="21"/>
          <w:lang w:val="en-US" w:eastAsia="zh-CN"/>
        </w:rPr>
        <w:t>。</w:t>
      </w:r>
    </w:p>
    <w:p w14:paraId="1B8DF2C0">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该指标满分为7.00分，根据评分标准得7.00分。</w:t>
      </w:r>
    </w:p>
    <w:p w14:paraId="39A4EC93">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（2）D12补贴政策知晓率：</w:t>
      </w:r>
    </w:p>
    <w:p w14:paraId="41BC2AE5">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该效益指标主要采用公众评判法，通过问卷及抽样调查等方式评价补贴政策知晓率实现程度。依据问卷调查结果统计，本问卷调查对象为受益农户，共计</w:t>
      </w:r>
      <w:r>
        <w:rPr>
          <w:rFonts w:hint="eastAsia" w:cs="Times New Roman"/>
          <w:color w:val="auto"/>
          <w:szCs w:val="21"/>
          <w:lang w:val="en-US" w:eastAsia="zh-CN"/>
        </w:rPr>
        <w:t>199</w:t>
      </w:r>
      <w:r>
        <w:rPr>
          <w:rFonts w:hint="default" w:ascii="Times New Roman" w:hAnsi="Times New Roman" w:cs="Times New Roman"/>
          <w:color w:val="auto"/>
          <w:szCs w:val="21"/>
        </w:rPr>
        <w:t>份问卷调查统计分析，针对本指标问卷问题为“您认为通过该项目实施农机购置与应用补贴项目政策是否了解？”，统计结果显示：</w:t>
      </w:r>
      <w:r>
        <w:rPr>
          <w:rFonts w:hint="eastAsia" w:cs="Times New Roman"/>
          <w:color w:val="auto"/>
          <w:szCs w:val="21"/>
          <w:lang w:val="en-US" w:eastAsia="zh-CN"/>
        </w:rPr>
        <w:t>193</w:t>
      </w:r>
      <w:r>
        <w:rPr>
          <w:rFonts w:hint="default" w:ascii="Times New Roman" w:hAnsi="Times New Roman" w:cs="Times New Roman"/>
          <w:color w:val="auto"/>
          <w:szCs w:val="21"/>
        </w:rPr>
        <w:t>人选择“是”，</w:t>
      </w:r>
      <w:r>
        <w:rPr>
          <w:rFonts w:hint="eastAsia" w:cs="Times New Roman"/>
          <w:color w:val="auto"/>
          <w:szCs w:val="21"/>
          <w:lang w:val="en-US" w:eastAsia="zh-CN"/>
        </w:rPr>
        <w:t>6</w:t>
      </w:r>
      <w:r>
        <w:rPr>
          <w:rFonts w:hint="default" w:ascii="Times New Roman" w:hAnsi="Times New Roman" w:cs="Times New Roman"/>
          <w:color w:val="auto"/>
          <w:szCs w:val="21"/>
        </w:rPr>
        <w:t>人选择“否”。</w:t>
      </w:r>
    </w:p>
    <w:p w14:paraId="57B1ED99">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指标完成率=∑样本数（“是”×1.0+“否”×0）/总样本数×100.00%=∑样本数=</w:t>
      </w:r>
      <w:r>
        <w:rPr>
          <w:rFonts w:hint="eastAsia" w:ascii="Times New Roman" w:hAnsi="Times New Roman" w:cs="Times New Roman"/>
          <w:color w:val="auto"/>
          <w:szCs w:val="21"/>
          <w:lang w:eastAsia="zh-CN"/>
        </w:rPr>
        <w:t>（</w:t>
      </w:r>
      <w:r>
        <w:rPr>
          <w:rFonts w:hint="eastAsia" w:cs="Times New Roman"/>
          <w:color w:val="auto"/>
          <w:szCs w:val="21"/>
          <w:lang w:val="en-US" w:eastAsia="zh-CN"/>
        </w:rPr>
        <w:t>193</w:t>
      </w:r>
      <w:r>
        <w:rPr>
          <w:rFonts w:hint="default" w:ascii="Times New Roman" w:hAnsi="Times New Roman" w:cs="Times New Roman"/>
          <w:color w:val="auto"/>
          <w:szCs w:val="21"/>
        </w:rPr>
        <w:t>×1.0+</w:t>
      </w:r>
      <w:r>
        <w:rPr>
          <w:rFonts w:hint="eastAsia" w:cs="Times New Roman"/>
          <w:color w:val="auto"/>
          <w:szCs w:val="21"/>
          <w:lang w:val="en-US" w:eastAsia="zh-CN"/>
        </w:rPr>
        <w:t>6</w:t>
      </w:r>
      <w:r>
        <w:rPr>
          <w:rFonts w:hint="default" w:ascii="Times New Roman" w:hAnsi="Times New Roman" w:cs="Times New Roman"/>
          <w:color w:val="auto"/>
          <w:szCs w:val="21"/>
        </w:rPr>
        <w:t>×0</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w:t>
      </w:r>
      <w:r>
        <w:rPr>
          <w:rFonts w:hint="eastAsia" w:cs="Times New Roman"/>
          <w:color w:val="auto"/>
          <w:szCs w:val="21"/>
          <w:lang w:val="en-US" w:eastAsia="zh-CN"/>
        </w:rPr>
        <w:t>199</w:t>
      </w:r>
      <w:r>
        <w:rPr>
          <w:rFonts w:hint="default" w:ascii="Times New Roman" w:hAnsi="Times New Roman" w:cs="Times New Roman"/>
          <w:color w:val="auto"/>
          <w:szCs w:val="21"/>
        </w:rPr>
        <w:t>×100.00%=</w:t>
      </w:r>
      <w:r>
        <w:rPr>
          <w:rFonts w:hint="eastAsia" w:cs="Times New Roman"/>
          <w:color w:val="auto"/>
          <w:szCs w:val="21"/>
          <w:lang w:val="en-US" w:eastAsia="zh-CN"/>
        </w:rPr>
        <w:t>96.98</w:t>
      </w:r>
      <w:r>
        <w:rPr>
          <w:rFonts w:hint="default" w:ascii="Times New Roman" w:hAnsi="Times New Roman" w:cs="Times New Roman"/>
          <w:color w:val="auto"/>
          <w:szCs w:val="21"/>
        </w:rPr>
        <w:t>%。根据评分标准，实际完成值小于目标值，得分=实际完成值/目标值×分值=9</w:t>
      </w:r>
      <w:r>
        <w:rPr>
          <w:rFonts w:hint="eastAsia" w:cs="Times New Roman"/>
          <w:color w:val="auto"/>
          <w:szCs w:val="21"/>
          <w:lang w:val="en-US" w:eastAsia="zh-CN"/>
        </w:rPr>
        <w:t>6.98</w:t>
      </w:r>
      <w:r>
        <w:rPr>
          <w:rFonts w:hint="default" w:ascii="Times New Roman" w:hAnsi="Times New Roman" w:cs="Times New Roman"/>
          <w:color w:val="auto"/>
          <w:szCs w:val="21"/>
        </w:rPr>
        <w:t>%/</w:t>
      </w:r>
      <w:r>
        <w:rPr>
          <w:rFonts w:hint="default" w:ascii="Times New Roman" w:hAnsi="Times New Roman" w:cs="Times New Roman"/>
          <w:color w:val="auto"/>
          <w:szCs w:val="21"/>
          <w:lang w:eastAsia="zh-CN"/>
        </w:rPr>
        <w:t>100.00%</w:t>
      </w:r>
      <w:r>
        <w:rPr>
          <w:rFonts w:hint="default" w:ascii="Times New Roman" w:hAnsi="Times New Roman" w:cs="Times New Roman"/>
          <w:color w:val="auto"/>
          <w:szCs w:val="21"/>
        </w:rPr>
        <w:t>×</w:t>
      </w:r>
      <w:r>
        <w:rPr>
          <w:rFonts w:hint="eastAsia" w:cs="Times New Roman"/>
          <w:color w:val="auto"/>
          <w:szCs w:val="21"/>
          <w:lang w:val="en-US" w:eastAsia="zh-CN"/>
        </w:rPr>
        <w:t>7</w:t>
      </w:r>
      <w:r>
        <w:rPr>
          <w:rFonts w:hint="default" w:ascii="Times New Roman" w:hAnsi="Times New Roman" w:cs="Times New Roman"/>
          <w:color w:val="auto"/>
          <w:szCs w:val="21"/>
        </w:rPr>
        <w:t>=</w:t>
      </w:r>
      <w:r>
        <w:rPr>
          <w:rFonts w:hint="eastAsia" w:cs="Times New Roman"/>
          <w:color w:val="auto"/>
          <w:szCs w:val="21"/>
          <w:lang w:val="en-US" w:eastAsia="zh-CN"/>
        </w:rPr>
        <w:t>6.79</w:t>
      </w:r>
      <w:r>
        <w:rPr>
          <w:rFonts w:hint="default" w:ascii="Times New Roman" w:hAnsi="Times New Roman" w:cs="Times New Roman"/>
          <w:color w:val="auto"/>
          <w:szCs w:val="21"/>
        </w:rPr>
        <w:t>分。</w:t>
      </w:r>
    </w:p>
    <w:p w14:paraId="64125480">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cs="Times New Roman"/>
          <w:color w:val="auto"/>
          <w:lang w:val="en-US" w:eastAsia="zh-CN"/>
        </w:rPr>
        <w:t>7</w:t>
      </w:r>
      <w:r>
        <w:rPr>
          <w:rFonts w:hint="default" w:ascii="Times New Roman" w:hAnsi="Times New Roman" w:cs="Times New Roman"/>
          <w:color w:val="auto"/>
        </w:rPr>
        <w:t>.00分，根据评分标准得</w:t>
      </w:r>
      <w:r>
        <w:rPr>
          <w:rFonts w:hint="eastAsia" w:cs="Times New Roman"/>
          <w:color w:val="auto"/>
          <w:lang w:val="en-US" w:eastAsia="zh-CN"/>
        </w:rPr>
        <w:t>6.79</w:t>
      </w:r>
      <w:r>
        <w:rPr>
          <w:rFonts w:hint="default" w:ascii="Times New Roman" w:hAnsi="Times New Roman" w:cs="Times New Roman"/>
          <w:color w:val="auto"/>
        </w:rPr>
        <w:t>分。</w:t>
      </w:r>
    </w:p>
    <w:p w14:paraId="67BF119E">
      <w:pPr>
        <w:widowControl/>
        <w:numPr>
          <w:ilvl w:val="0"/>
          <w:numId w:val="2"/>
        </w:numPr>
        <w:adjustRightInd w:val="0"/>
        <w:snapToGrid w:val="0"/>
        <w:ind w:firstLine="422"/>
        <w:jc w:val="left"/>
        <w:rPr>
          <w:rFonts w:hint="eastAsia" w:cs="Times New Roman"/>
          <w:b/>
          <w:bCs/>
          <w:color w:val="auto"/>
          <w:lang w:eastAsia="zh-CN"/>
        </w:rPr>
      </w:pPr>
      <w:r>
        <w:rPr>
          <w:rFonts w:hint="default" w:ascii="Times New Roman" w:hAnsi="Times New Roman" w:cs="Times New Roman"/>
          <w:b/>
          <w:bCs/>
          <w:color w:val="auto"/>
        </w:rPr>
        <w:t>D13农作物耕种收综合机械化率</w:t>
      </w:r>
      <w:r>
        <w:rPr>
          <w:rFonts w:hint="eastAsia" w:cs="Times New Roman"/>
          <w:b/>
          <w:bCs/>
          <w:color w:val="auto"/>
          <w:lang w:eastAsia="zh-CN"/>
        </w:rPr>
        <w:t>：</w:t>
      </w:r>
    </w:p>
    <w:p w14:paraId="28FFD2B9">
      <w:pPr>
        <w:adjustRightInd w:val="0"/>
        <w:snapToGrid w:val="0"/>
        <w:ind w:firstLine="420"/>
        <w:rPr>
          <w:rFonts w:hint="default" w:ascii="Times New Roman" w:hAnsi="Times New Roman" w:cs="Times New Roman"/>
          <w:color w:val="auto"/>
        </w:rPr>
      </w:pPr>
      <w:r>
        <w:rPr>
          <w:rFonts w:hint="eastAsia" w:ascii="Times New Roman" w:hAnsi="Times New Roman" w:cs="Times New Roman"/>
          <w:color w:val="auto"/>
          <w:szCs w:val="21"/>
          <w:lang w:val="en-US" w:eastAsia="zh-CN"/>
        </w:rPr>
        <w:t>根据</w:t>
      </w:r>
      <w:r>
        <w:rPr>
          <w:rFonts w:hint="eastAsia" w:cs="Times New Roman"/>
          <w:color w:val="auto"/>
          <w:szCs w:val="21"/>
          <w:lang w:val="en-US" w:eastAsia="zh-CN"/>
        </w:rPr>
        <w:t>项目实施单位提供的</w:t>
      </w:r>
      <w:r>
        <w:rPr>
          <w:rFonts w:hint="eastAsia" w:ascii="Times New Roman" w:hAnsi="Times New Roman" w:cs="Times New Roman"/>
          <w:color w:val="auto"/>
          <w:szCs w:val="21"/>
          <w:lang w:val="en-US" w:eastAsia="zh-CN"/>
        </w:rPr>
        <w:t>《新疆棉花机收快线数据采集监测平台·农机化管理统计》系统显示，</w:t>
      </w:r>
      <w:r>
        <w:rPr>
          <w:rFonts w:hint="eastAsia" w:cs="Times New Roman"/>
          <w:color w:val="auto"/>
          <w:szCs w:val="21"/>
          <w:lang w:val="en-US" w:eastAsia="zh-CN"/>
        </w:rPr>
        <w:t>截至2024年12月31日，</w:t>
      </w:r>
      <w:r>
        <w:rPr>
          <w:rFonts w:hint="eastAsia" w:ascii="Times New Roman" w:hAnsi="Times New Roman" w:cs="Times New Roman"/>
          <w:color w:val="auto"/>
          <w:szCs w:val="21"/>
          <w:lang w:val="en-US" w:eastAsia="zh-CN"/>
        </w:rPr>
        <w:t>吉木萨尔县</w:t>
      </w:r>
      <w:r>
        <w:rPr>
          <w:rFonts w:hint="eastAsia" w:ascii="Times New Roman" w:hAnsi="Times New Roman" w:eastAsia="宋体" w:cs="Times New Roman"/>
          <w:color w:val="auto"/>
          <w:szCs w:val="21"/>
          <w:lang w:val="en-US" w:eastAsia="zh-CN"/>
        </w:rPr>
        <w:t>2024年</w:t>
      </w:r>
      <w:r>
        <w:rPr>
          <w:rFonts w:hint="default" w:ascii="Times New Roman" w:hAnsi="Times New Roman" w:eastAsia="宋体" w:cs="Times New Roman"/>
          <w:color w:val="auto"/>
          <w:szCs w:val="21"/>
          <w:lang w:val="en-US" w:eastAsia="zh-CN"/>
        </w:rPr>
        <w:t>农作物耕种收综合机械化率</w:t>
      </w:r>
      <w:r>
        <w:rPr>
          <w:rFonts w:hint="eastAsia" w:ascii="Times New Roman" w:hAnsi="Times New Roman" w:eastAsia="宋体" w:cs="Times New Roman"/>
          <w:color w:val="auto"/>
          <w:szCs w:val="21"/>
          <w:lang w:val="en-US" w:eastAsia="zh-CN"/>
        </w:rPr>
        <w:t>达到98.78%，达到预期目标。</w:t>
      </w:r>
    </w:p>
    <w:p w14:paraId="43432EE7">
      <w:pPr>
        <w:adjustRightInd w:val="0"/>
        <w:snapToGrid w:val="0"/>
        <w:ind w:firstLine="420"/>
        <w:rPr>
          <w:rFonts w:hint="eastAsia"/>
          <w:lang w:eastAsia="zh-CN"/>
        </w:rPr>
      </w:pPr>
      <w:r>
        <w:rPr>
          <w:rFonts w:hint="default" w:ascii="Times New Roman" w:hAnsi="Times New Roman" w:cs="Times New Roman"/>
          <w:color w:val="auto"/>
        </w:rPr>
        <w:t>该指标满分为</w:t>
      </w:r>
      <w:r>
        <w:rPr>
          <w:rFonts w:hint="eastAsia" w:cs="Times New Roman"/>
          <w:color w:val="auto"/>
          <w:lang w:val="en-US" w:eastAsia="zh-CN"/>
        </w:rPr>
        <w:t>6</w:t>
      </w:r>
      <w:r>
        <w:rPr>
          <w:rFonts w:hint="default" w:ascii="Times New Roman" w:hAnsi="Times New Roman" w:cs="Times New Roman"/>
          <w:color w:val="auto"/>
        </w:rPr>
        <w:t>.00分，根据评分标准得</w:t>
      </w:r>
      <w:r>
        <w:rPr>
          <w:rFonts w:hint="eastAsia" w:cs="Times New Roman"/>
          <w:color w:val="auto"/>
          <w:lang w:val="en-US" w:eastAsia="zh-CN"/>
        </w:rPr>
        <w:t>6</w:t>
      </w:r>
      <w:r>
        <w:rPr>
          <w:rFonts w:hint="eastAsia" w:ascii="Times New Roman" w:hAnsi="Times New Roman" w:cs="Times New Roman"/>
          <w:color w:val="auto"/>
          <w:lang w:val="en-US" w:eastAsia="zh-CN"/>
        </w:rPr>
        <w:t>.00</w:t>
      </w:r>
      <w:r>
        <w:rPr>
          <w:rFonts w:hint="default" w:ascii="Times New Roman" w:hAnsi="Times New Roman" w:cs="Times New Roman"/>
          <w:color w:val="auto"/>
        </w:rPr>
        <w:t>分。</w:t>
      </w:r>
    </w:p>
    <w:p w14:paraId="768DB5F0">
      <w:pPr>
        <w:widowControl/>
        <w:adjustRightInd w:val="0"/>
        <w:snapToGrid w:val="0"/>
        <w:ind w:firstLine="422"/>
        <w:jc w:val="left"/>
        <w:rPr>
          <w:rFonts w:hint="default" w:ascii="Times New Roman" w:hAnsi="Times New Roman" w:cs="Times New Roman"/>
          <w:color w:val="auto"/>
          <w:szCs w:val="21"/>
        </w:rPr>
      </w:pPr>
      <w:r>
        <w:rPr>
          <w:rFonts w:hint="eastAsia" w:cs="Times New Roman"/>
          <w:b/>
          <w:bCs/>
          <w:color w:val="auto"/>
          <w:lang w:eastAsia="zh-CN"/>
        </w:rPr>
        <w:t>（</w:t>
      </w:r>
      <w:r>
        <w:rPr>
          <w:rFonts w:hint="eastAsia" w:cs="Times New Roman"/>
          <w:b/>
          <w:bCs/>
          <w:color w:val="auto"/>
          <w:lang w:val="en-US" w:eastAsia="zh-CN"/>
        </w:rPr>
        <w:t>4</w:t>
      </w:r>
      <w:r>
        <w:rPr>
          <w:rFonts w:hint="eastAsia" w:cs="Times New Roman"/>
          <w:b/>
          <w:bCs/>
          <w:color w:val="auto"/>
          <w:lang w:eastAsia="zh-CN"/>
        </w:rPr>
        <w:t>）</w:t>
      </w:r>
      <w:r>
        <w:rPr>
          <w:rFonts w:hint="default" w:ascii="Times New Roman" w:hAnsi="Times New Roman" w:cs="Times New Roman"/>
          <w:b/>
          <w:bCs/>
          <w:color w:val="auto"/>
        </w:rPr>
        <w:t>D1</w:t>
      </w:r>
      <w:r>
        <w:rPr>
          <w:rFonts w:hint="eastAsia" w:cs="Times New Roman"/>
          <w:b/>
          <w:bCs/>
          <w:color w:val="auto"/>
          <w:lang w:val="en-US" w:eastAsia="zh-CN"/>
        </w:rPr>
        <w:t>4</w:t>
      </w:r>
      <w:r>
        <w:rPr>
          <w:rFonts w:hint="default" w:ascii="Times New Roman" w:hAnsi="Times New Roman" w:cs="Times New Roman"/>
          <w:b/>
          <w:bCs/>
          <w:color w:val="auto"/>
        </w:rPr>
        <w:t>提升农业机械化生产社会化服务水平：</w:t>
      </w:r>
    </w:p>
    <w:p w14:paraId="45825017">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该效益指标主要采用公众评判法，通过问卷及抽样调查等方式评价提升农业机械化生产社会化服务水平的效益实现程度。依据问卷调查结果统计，本问卷调查对象为</w:t>
      </w:r>
      <w:r>
        <w:rPr>
          <w:rFonts w:hint="eastAsia"/>
          <w:color w:val="auto"/>
          <w:lang w:val="en-US" w:eastAsia="zh-CN"/>
        </w:rPr>
        <w:t>吉木萨尔县各乡镇受益补贴农户</w:t>
      </w:r>
      <w:r>
        <w:rPr>
          <w:rFonts w:hint="default" w:ascii="Times New Roman" w:hAnsi="Times New Roman" w:cs="Times New Roman"/>
          <w:color w:val="auto"/>
          <w:szCs w:val="21"/>
        </w:rPr>
        <w:t>，共计</w:t>
      </w:r>
      <w:r>
        <w:rPr>
          <w:rFonts w:hint="eastAsia" w:cs="Times New Roman"/>
          <w:color w:val="auto"/>
          <w:szCs w:val="21"/>
          <w:lang w:val="en-US" w:eastAsia="zh-CN"/>
        </w:rPr>
        <w:t>199</w:t>
      </w:r>
      <w:r>
        <w:rPr>
          <w:rFonts w:hint="default" w:ascii="Times New Roman" w:hAnsi="Times New Roman" w:cs="Times New Roman"/>
          <w:color w:val="auto"/>
          <w:szCs w:val="21"/>
        </w:rPr>
        <w:t>份问卷调查统计分析，针对本指标问卷问题为“您认为通过该项目实施，农业机械化生产社会化服务水平提升程度如何？”，统计结果显示，</w:t>
      </w:r>
      <w:r>
        <w:rPr>
          <w:rFonts w:hint="eastAsia" w:cs="Times New Roman"/>
          <w:color w:val="auto"/>
          <w:szCs w:val="21"/>
          <w:lang w:val="en-US" w:eastAsia="zh-CN"/>
        </w:rPr>
        <w:t>101</w:t>
      </w:r>
      <w:r>
        <w:rPr>
          <w:rFonts w:hint="default" w:ascii="Times New Roman" w:hAnsi="Times New Roman" w:cs="Times New Roman"/>
          <w:color w:val="auto"/>
          <w:szCs w:val="21"/>
        </w:rPr>
        <w:t>人选择“显著”，</w:t>
      </w:r>
      <w:r>
        <w:rPr>
          <w:rFonts w:hint="eastAsia" w:cs="Times New Roman"/>
          <w:color w:val="auto"/>
          <w:szCs w:val="21"/>
          <w:lang w:val="en-US" w:eastAsia="zh-CN"/>
        </w:rPr>
        <w:t>77</w:t>
      </w:r>
      <w:r>
        <w:rPr>
          <w:rFonts w:hint="default" w:ascii="Times New Roman" w:hAnsi="Times New Roman" w:cs="Times New Roman"/>
          <w:color w:val="auto"/>
          <w:szCs w:val="21"/>
        </w:rPr>
        <w:t>人选择“较好”，</w:t>
      </w:r>
      <w:r>
        <w:rPr>
          <w:rFonts w:hint="eastAsia" w:cs="Times New Roman"/>
          <w:color w:val="auto"/>
          <w:szCs w:val="21"/>
          <w:lang w:val="en-US" w:eastAsia="zh-CN"/>
        </w:rPr>
        <w:t>19</w:t>
      </w:r>
      <w:r>
        <w:rPr>
          <w:rFonts w:hint="default" w:ascii="Times New Roman" w:hAnsi="Times New Roman" w:cs="Times New Roman"/>
          <w:color w:val="auto"/>
          <w:szCs w:val="21"/>
        </w:rPr>
        <w:t>人选择“一般”，</w:t>
      </w:r>
      <w:r>
        <w:rPr>
          <w:rFonts w:hint="eastAsia" w:cs="Times New Roman"/>
          <w:color w:val="auto"/>
          <w:szCs w:val="21"/>
          <w:lang w:val="en-US" w:eastAsia="zh-CN"/>
        </w:rPr>
        <w:t>2</w:t>
      </w:r>
      <w:r>
        <w:rPr>
          <w:rFonts w:hint="default" w:ascii="Times New Roman" w:hAnsi="Times New Roman" w:cs="Times New Roman"/>
          <w:color w:val="auto"/>
          <w:szCs w:val="21"/>
        </w:rPr>
        <w:t>人选择“较差”，</w:t>
      </w:r>
      <w:r>
        <w:rPr>
          <w:rFonts w:hint="eastAsia" w:cs="Times New Roman"/>
          <w:color w:val="auto"/>
          <w:szCs w:val="21"/>
          <w:lang w:val="en-US" w:eastAsia="zh-CN"/>
        </w:rPr>
        <w:t>0</w:t>
      </w:r>
      <w:r>
        <w:rPr>
          <w:rFonts w:hint="default" w:ascii="Times New Roman" w:hAnsi="Times New Roman" w:cs="Times New Roman"/>
          <w:color w:val="auto"/>
          <w:szCs w:val="21"/>
        </w:rPr>
        <w:t>人选择“</w:t>
      </w:r>
      <w:r>
        <w:rPr>
          <w:rFonts w:hint="default" w:ascii="Times New Roman" w:hAnsi="Times New Roman" w:cs="Times New Roman"/>
          <w:color w:val="auto"/>
          <w:szCs w:val="21"/>
          <w:lang w:val="en-US" w:eastAsia="zh-CN"/>
        </w:rPr>
        <w:t>无</w:t>
      </w:r>
      <w:r>
        <w:rPr>
          <w:rFonts w:hint="default" w:ascii="Times New Roman" w:hAnsi="Times New Roman" w:cs="Times New Roman"/>
          <w:color w:val="auto"/>
          <w:szCs w:val="21"/>
        </w:rPr>
        <w:t>”。指标完成率=∑样本数（“显著”×1.0+“较好”×0.8+“一般”×0.6+“较差”×0.3+“无”×0）/总样本数×100.00%=∑样本数</w:t>
      </w:r>
      <w:r>
        <w:rPr>
          <w:rFonts w:hint="eastAsia" w:ascii="Times New Roman" w:hAnsi="Times New Roman" w:cs="Times New Roman"/>
          <w:color w:val="auto"/>
          <w:szCs w:val="21"/>
          <w:lang w:eastAsia="zh-CN"/>
        </w:rPr>
        <w:t>（</w:t>
      </w:r>
      <w:r>
        <w:rPr>
          <w:rFonts w:hint="eastAsia" w:cs="Times New Roman"/>
          <w:color w:val="auto"/>
          <w:szCs w:val="21"/>
          <w:lang w:val="en-US" w:eastAsia="zh-CN"/>
        </w:rPr>
        <w:t>10</w:t>
      </w:r>
      <w:r>
        <w:rPr>
          <w:rFonts w:hint="default" w:ascii="Times New Roman" w:hAnsi="Times New Roman" w:cs="Times New Roman"/>
          <w:color w:val="auto"/>
          <w:szCs w:val="21"/>
        </w:rPr>
        <w:t>1×1+</w:t>
      </w:r>
      <w:r>
        <w:rPr>
          <w:rFonts w:hint="eastAsia" w:cs="Times New Roman"/>
          <w:color w:val="auto"/>
          <w:szCs w:val="21"/>
          <w:lang w:val="en-US" w:eastAsia="zh-CN"/>
        </w:rPr>
        <w:t>77</w:t>
      </w:r>
      <w:r>
        <w:rPr>
          <w:rFonts w:hint="default" w:ascii="Times New Roman" w:hAnsi="Times New Roman" w:cs="Times New Roman"/>
          <w:color w:val="auto"/>
          <w:szCs w:val="21"/>
        </w:rPr>
        <w:t>×0.8+</w:t>
      </w:r>
      <w:r>
        <w:rPr>
          <w:rFonts w:hint="eastAsia" w:cs="Times New Roman"/>
          <w:color w:val="auto"/>
          <w:szCs w:val="21"/>
          <w:lang w:val="en-US" w:eastAsia="zh-CN"/>
        </w:rPr>
        <w:t>19</w:t>
      </w:r>
      <w:r>
        <w:rPr>
          <w:rFonts w:hint="default" w:ascii="Times New Roman" w:hAnsi="Times New Roman" w:cs="Times New Roman"/>
          <w:color w:val="auto"/>
          <w:szCs w:val="21"/>
        </w:rPr>
        <w:t>×0.6+</w:t>
      </w:r>
      <w:r>
        <w:rPr>
          <w:rFonts w:hint="eastAsia" w:cs="Times New Roman"/>
          <w:color w:val="auto"/>
          <w:szCs w:val="21"/>
          <w:lang w:val="en-US" w:eastAsia="zh-CN"/>
        </w:rPr>
        <w:t>2</w:t>
      </w:r>
      <w:r>
        <w:rPr>
          <w:rFonts w:hint="default" w:ascii="Times New Roman" w:hAnsi="Times New Roman" w:cs="Times New Roman"/>
          <w:color w:val="auto"/>
          <w:szCs w:val="21"/>
        </w:rPr>
        <w:t>×0.3</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w:t>
      </w:r>
      <w:r>
        <w:rPr>
          <w:rFonts w:hint="eastAsia" w:cs="Times New Roman"/>
          <w:color w:val="auto"/>
          <w:szCs w:val="21"/>
          <w:lang w:val="en-US" w:eastAsia="zh-CN"/>
        </w:rPr>
        <w:t>199</w:t>
      </w:r>
      <w:r>
        <w:rPr>
          <w:rFonts w:hint="default" w:ascii="Times New Roman" w:hAnsi="Times New Roman" w:cs="Times New Roman"/>
          <w:color w:val="auto"/>
          <w:szCs w:val="21"/>
        </w:rPr>
        <w:t>×100.00%=</w:t>
      </w:r>
      <w:r>
        <w:rPr>
          <w:rFonts w:hint="eastAsia" w:cs="Times New Roman"/>
          <w:color w:val="auto"/>
          <w:szCs w:val="21"/>
          <w:lang w:val="en-US" w:eastAsia="zh-CN"/>
        </w:rPr>
        <w:t>84.55</w:t>
      </w:r>
      <w:r>
        <w:rPr>
          <w:rFonts w:hint="default" w:ascii="Times New Roman" w:hAnsi="Times New Roman" w:cs="Times New Roman"/>
          <w:color w:val="auto"/>
          <w:szCs w:val="21"/>
        </w:rPr>
        <w:t>%。根据评分标准，指标完成率在100.00%-80.00%之间，得满分。</w:t>
      </w:r>
    </w:p>
    <w:p w14:paraId="3234A130">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该指标满分为5.00分，根据评分标准得5.00分。</w:t>
      </w:r>
    </w:p>
    <w:p w14:paraId="50D667E9">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（4）D21不断促进农业技术发展：</w:t>
      </w:r>
    </w:p>
    <w:p w14:paraId="462FC089">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szCs w:val="21"/>
        </w:rPr>
        <w:t>该效益指标主要采用公众评判法，通过问卷及抽样调查等方式评价</w:t>
      </w:r>
      <w:r>
        <w:rPr>
          <w:rFonts w:hint="default" w:ascii="Times New Roman" w:hAnsi="Times New Roman" w:cs="Times New Roman"/>
          <w:color w:val="auto"/>
          <w:szCs w:val="21"/>
          <w:lang w:val="en-US" w:eastAsia="zh-CN"/>
        </w:rPr>
        <w:t>不断</w:t>
      </w:r>
      <w:r>
        <w:rPr>
          <w:rFonts w:hint="default" w:ascii="Times New Roman" w:hAnsi="Times New Roman" w:cs="Times New Roman"/>
          <w:b w:val="0"/>
          <w:bCs w:val="0"/>
          <w:color w:val="auto"/>
          <w:szCs w:val="21"/>
        </w:rPr>
        <w:t>促进农业技术发展</w:t>
      </w:r>
      <w:r>
        <w:rPr>
          <w:rFonts w:hint="default" w:ascii="Times New Roman" w:hAnsi="Times New Roman" w:cs="Times New Roman"/>
          <w:color w:val="auto"/>
          <w:szCs w:val="21"/>
        </w:rPr>
        <w:t>的效益实现程度。依据问卷调查结果统计，本问卷调查对象为</w:t>
      </w:r>
      <w:r>
        <w:rPr>
          <w:rFonts w:hint="eastAsia"/>
          <w:color w:val="auto"/>
          <w:lang w:val="en-US" w:eastAsia="zh-CN"/>
        </w:rPr>
        <w:t>吉木萨尔县各乡镇受益补贴农户</w:t>
      </w:r>
      <w:r>
        <w:rPr>
          <w:rFonts w:hint="default" w:ascii="Times New Roman" w:hAnsi="Times New Roman" w:cs="Times New Roman"/>
          <w:color w:val="auto"/>
          <w:szCs w:val="21"/>
        </w:rPr>
        <w:t>，共计</w:t>
      </w:r>
      <w:r>
        <w:rPr>
          <w:rFonts w:hint="eastAsia" w:cs="Times New Roman"/>
          <w:color w:val="auto"/>
          <w:szCs w:val="21"/>
          <w:lang w:val="en-US" w:eastAsia="zh-CN"/>
        </w:rPr>
        <w:t>199</w:t>
      </w:r>
      <w:r>
        <w:rPr>
          <w:rFonts w:hint="default" w:ascii="Times New Roman" w:hAnsi="Times New Roman" w:cs="Times New Roman"/>
          <w:color w:val="auto"/>
          <w:szCs w:val="21"/>
        </w:rPr>
        <w:t>份问卷调查统计分析，针对本指标问卷问题为“您认为通过该项目实施，对农业技术发展促进程度如何</w:t>
      </w:r>
      <w:r>
        <w:rPr>
          <w:rFonts w:hint="eastAsia" w:cs="Times New Roman"/>
          <w:color w:val="auto"/>
          <w:szCs w:val="21"/>
          <w:lang w:eastAsia="zh-CN"/>
        </w:rPr>
        <w:t>？</w:t>
      </w:r>
      <w:r>
        <w:rPr>
          <w:rFonts w:hint="default" w:ascii="Times New Roman" w:hAnsi="Times New Roman" w:cs="Times New Roman"/>
          <w:color w:val="auto"/>
          <w:szCs w:val="21"/>
        </w:rPr>
        <w:t>”，统计结果显示，</w:t>
      </w:r>
      <w:r>
        <w:rPr>
          <w:rFonts w:hint="eastAsia" w:cs="Times New Roman"/>
          <w:color w:val="auto"/>
          <w:szCs w:val="21"/>
          <w:lang w:val="en-US" w:eastAsia="zh-CN"/>
        </w:rPr>
        <w:t>99</w:t>
      </w:r>
      <w:r>
        <w:rPr>
          <w:rFonts w:hint="default" w:ascii="Times New Roman" w:hAnsi="Times New Roman" w:cs="Times New Roman"/>
          <w:color w:val="auto"/>
          <w:szCs w:val="21"/>
        </w:rPr>
        <w:t>人选择“显著”，</w:t>
      </w:r>
      <w:r>
        <w:rPr>
          <w:rFonts w:hint="eastAsia" w:cs="Times New Roman"/>
          <w:color w:val="auto"/>
          <w:szCs w:val="21"/>
          <w:lang w:val="en-US" w:eastAsia="zh-CN"/>
        </w:rPr>
        <w:t>90</w:t>
      </w:r>
      <w:r>
        <w:rPr>
          <w:rFonts w:hint="default" w:ascii="Times New Roman" w:hAnsi="Times New Roman" w:cs="Times New Roman"/>
          <w:color w:val="auto"/>
          <w:szCs w:val="21"/>
        </w:rPr>
        <w:t>人选择“较好”，</w:t>
      </w:r>
      <w:r>
        <w:rPr>
          <w:rFonts w:hint="eastAsia" w:cs="Times New Roman"/>
          <w:color w:val="auto"/>
          <w:szCs w:val="21"/>
          <w:lang w:val="en-US" w:eastAsia="zh-CN"/>
        </w:rPr>
        <w:t>10</w:t>
      </w:r>
      <w:r>
        <w:rPr>
          <w:rFonts w:hint="default" w:ascii="Times New Roman" w:hAnsi="Times New Roman" w:cs="Times New Roman"/>
          <w:color w:val="auto"/>
          <w:szCs w:val="21"/>
        </w:rPr>
        <w:t>人选择“一般”，0人选择“较差”，</w:t>
      </w:r>
      <w:r>
        <w:rPr>
          <w:rFonts w:hint="eastAsia" w:cs="Times New Roman"/>
          <w:color w:val="auto"/>
          <w:szCs w:val="21"/>
          <w:lang w:val="en-US" w:eastAsia="zh-CN"/>
        </w:rPr>
        <w:t>0</w:t>
      </w:r>
      <w:r>
        <w:rPr>
          <w:rFonts w:hint="default" w:ascii="Times New Roman" w:hAnsi="Times New Roman" w:cs="Times New Roman"/>
          <w:color w:val="auto"/>
          <w:szCs w:val="21"/>
        </w:rPr>
        <w:t>人选择“</w:t>
      </w:r>
      <w:r>
        <w:rPr>
          <w:rFonts w:hint="default" w:ascii="Times New Roman" w:hAnsi="Times New Roman" w:cs="Times New Roman"/>
          <w:color w:val="auto"/>
          <w:szCs w:val="21"/>
          <w:lang w:val="en-US" w:eastAsia="zh-CN"/>
        </w:rPr>
        <w:t>无</w:t>
      </w:r>
      <w:r>
        <w:rPr>
          <w:rFonts w:hint="default" w:ascii="Times New Roman" w:hAnsi="Times New Roman" w:cs="Times New Roman"/>
          <w:color w:val="auto"/>
          <w:szCs w:val="21"/>
        </w:rPr>
        <w:t>”。指标完成率=∑样本数（“显著”×1.0+“较好”×0.8+“一般”×0.6+“较差”×0.3+“无”×0）/总样本数×100.00%=∑样本数</w:t>
      </w:r>
      <w:r>
        <w:rPr>
          <w:rFonts w:hint="eastAsia" w:ascii="Times New Roman" w:hAnsi="Times New Roman" w:cs="Times New Roman"/>
          <w:color w:val="auto"/>
          <w:szCs w:val="21"/>
          <w:lang w:eastAsia="zh-CN"/>
        </w:rPr>
        <w:t>（</w:t>
      </w:r>
      <w:r>
        <w:rPr>
          <w:rFonts w:hint="eastAsia" w:cs="Times New Roman"/>
          <w:color w:val="auto"/>
          <w:szCs w:val="21"/>
          <w:lang w:val="en-US" w:eastAsia="zh-CN"/>
        </w:rPr>
        <w:t>99</w:t>
      </w:r>
      <w:r>
        <w:rPr>
          <w:rFonts w:hint="default" w:ascii="Times New Roman" w:hAnsi="Times New Roman" w:cs="Times New Roman"/>
          <w:color w:val="auto"/>
          <w:szCs w:val="21"/>
        </w:rPr>
        <w:t>×1+</w:t>
      </w:r>
      <w:r>
        <w:rPr>
          <w:rFonts w:hint="eastAsia" w:cs="Times New Roman"/>
          <w:color w:val="auto"/>
          <w:szCs w:val="21"/>
          <w:lang w:val="en-US" w:eastAsia="zh-CN"/>
        </w:rPr>
        <w:t>90</w:t>
      </w:r>
      <w:r>
        <w:rPr>
          <w:rFonts w:hint="default" w:ascii="Times New Roman" w:hAnsi="Times New Roman" w:cs="Times New Roman"/>
          <w:color w:val="auto"/>
          <w:szCs w:val="21"/>
        </w:rPr>
        <w:t>×0.8+</w:t>
      </w:r>
      <w:r>
        <w:rPr>
          <w:rFonts w:hint="eastAsia" w:cs="Times New Roman"/>
          <w:color w:val="auto"/>
          <w:szCs w:val="21"/>
          <w:lang w:val="en-US" w:eastAsia="zh-CN"/>
        </w:rPr>
        <w:t>10</w:t>
      </w:r>
      <w:r>
        <w:rPr>
          <w:rFonts w:hint="default" w:ascii="Times New Roman" w:hAnsi="Times New Roman" w:cs="Times New Roman"/>
          <w:color w:val="auto"/>
          <w:szCs w:val="21"/>
        </w:rPr>
        <w:t>×0.6+0×0.3+</w:t>
      </w:r>
      <w:r>
        <w:rPr>
          <w:rFonts w:hint="eastAsia" w:cs="Times New Roman"/>
          <w:color w:val="auto"/>
          <w:szCs w:val="21"/>
          <w:lang w:val="en-US" w:eastAsia="zh-CN"/>
        </w:rPr>
        <w:t>0</w:t>
      </w:r>
      <w:r>
        <w:rPr>
          <w:rFonts w:hint="default" w:ascii="Times New Roman" w:hAnsi="Times New Roman" w:cs="Times New Roman"/>
          <w:color w:val="auto"/>
          <w:szCs w:val="21"/>
        </w:rPr>
        <w:t>×0</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w:t>
      </w:r>
      <w:r>
        <w:rPr>
          <w:rFonts w:hint="eastAsia" w:cs="Times New Roman"/>
          <w:color w:val="auto"/>
          <w:szCs w:val="21"/>
          <w:lang w:val="en-US" w:eastAsia="zh-CN"/>
        </w:rPr>
        <w:t>199</w:t>
      </w:r>
      <w:r>
        <w:rPr>
          <w:rFonts w:hint="default" w:ascii="Times New Roman" w:hAnsi="Times New Roman" w:cs="Times New Roman"/>
          <w:color w:val="auto"/>
          <w:szCs w:val="21"/>
        </w:rPr>
        <w:t>×100.00%=</w:t>
      </w:r>
      <w:r>
        <w:rPr>
          <w:rFonts w:hint="eastAsia" w:cs="Times New Roman"/>
          <w:color w:val="auto"/>
          <w:szCs w:val="21"/>
          <w:lang w:val="en-US" w:eastAsia="zh-CN"/>
        </w:rPr>
        <w:t>88.94</w:t>
      </w:r>
      <w:r>
        <w:rPr>
          <w:rFonts w:hint="default" w:ascii="Times New Roman" w:hAnsi="Times New Roman" w:cs="Times New Roman"/>
          <w:color w:val="auto"/>
          <w:szCs w:val="21"/>
        </w:rPr>
        <w:t>%。根据评分标准，指标完成率在100.00%-80.00%之间，得满分。</w:t>
      </w:r>
    </w:p>
    <w:p w14:paraId="2902F974">
      <w:pPr>
        <w:adjustRightInd w:val="0"/>
        <w:snapToGrid w:val="0"/>
        <w:ind w:firstLine="420"/>
        <w:rPr>
          <w:rFonts w:hint="default" w:ascii="Times New Roman" w:hAnsi="Times New Roman" w:cs="Times New Roman"/>
          <w:color w:val="auto"/>
        </w:rPr>
      </w:pPr>
      <w:r>
        <w:rPr>
          <w:rFonts w:hint="default" w:ascii="Times New Roman" w:hAnsi="Times New Roman" w:cs="Times New Roman"/>
          <w:color w:val="auto"/>
        </w:rPr>
        <w:t>该指标满分为</w:t>
      </w:r>
      <w:r>
        <w:rPr>
          <w:rFonts w:hint="eastAsia" w:cs="Times New Roman"/>
          <w:color w:val="auto"/>
          <w:lang w:val="en-US" w:eastAsia="zh-CN"/>
        </w:rPr>
        <w:t>5</w:t>
      </w:r>
      <w:r>
        <w:rPr>
          <w:rFonts w:hint="default" w:ascii="Times New Roman" w:hAnsi="Times New Roman" w:cs="Times New Roman"/>
          <w:color w:val="auto"/>
        </w:rPr>
        <w:t>.00分，根据评分标准得</w:t>
      </w:r>
      <w:r>
        <w:rPr>
          <w:rFonts w:hint="eastAsia" w:cs="Times New Roman"/>
          <w:color w:val="auto"/>
          <w:lang w:val="en-US" w:eastAsia="zh-CN"/>
        </w:rPr>
        <w:t>5</w:t>
      </w:r>
      <w:r>
        <w:rPr>
          <w:rFonts w:hint="default" w:ascii="Times New Roman" w:hAnsi="Times New Roman" w:cs="Times New Roman"/>
          <w:color w:val="auto"/>
        </w:rPr>
        <w:t>.00分。</w:t>
      </w:r>
    </w:p>
    <w:p w14:paraId="0DAE7958">
      <w:pPr>
        <w:widowControl/>
        <w:adjustRightInd w:val="0"/>
        <w:snapToGrid w:val="0"/>
        <w:ind w:firstLine="422"/>
        <w:jc w:val="left"/>
        <w:rPr>
          <w:rFonts w:hint="default" w:ascii="Times New Roman" w:hAnsi="Times New Roman" w:cs="Times New Roman"/>
          <w:color w:val="auto"/>
          <w:szCs w:val="21"/>
        </w:rPr>
      </w:pPr>
      <w:r>
        <w:rPr>
          <w:rFonts w:hint="default" w:ascii="Times New Roman" w:hAnsi="Times New Roman" w:cs="Times New Roman"/>
          <w:b/>
          <w:bCs/>
          <w:color w:val="auto"/>
        </w:rPr>
        <w:t>（5）D31</w:t>
      </w:r>
      <w:r>
        <w:rPr>
          <w:rFonts w:hint="default" w:ascii="Times New Roman" w:hAnsi="Times New Roman" w:cs="Times New Roman"/>
          <w:b/>
          <w:bCs/>
          <w:color w:val="auto"/>
          <w:lang w:val="en-US" w:eastAsia="zh-CN"/>
        </w:rPr>
        <w:t>农机购置补贴受益户满意度</w:t>
      </w:r>
      <w:r>
        <w:rPr>
          <w:rFonts w:hint="default" w:ascii="Times New Roman" w:hAnsi="Times New Roman" w:cs="Times New Roman"/>
          <w:b/>
          <w:bCs/>
          <w:color w:val="auto"/>
        </w:rPr>
        <w:t>：</w:t>
      </w:r>
    </w:p>
    <w:p w14:paraId="5123B28C">
      <w:pPr>
        <w:adjustRightInd w:val="0"/>
        <w:snapToGrid w:val="0"/>
        <w:ind w:firstLine="420"/>
        <w:rPr>
          <w:rFonts w:hint="default" w:ascii="Times New Roman" w:hAnsi="Times New Roman" w:eastAsia="宋体" w:cs="Times New Roman"/>
          <w:color w:val="auto"/>
          <w:lang w:eastAsia="zh-CN"/>
        </w:rPr>
      </w:pPr>
      <w:r>
        <w:rPr>
          <w:rFonts w:hint="default" w:ascii="Times New Roman" w:hAnsi="Times New Roman" w:cs="Times New Roman"/>
          <w:color w:val="auto"/>
          <w:szCs w:val="21"/>
        </w:rPr>
        <w:t>该效益指标主要采用公众评判法，通过问卷及抽样调查等方式评价农机购置补贴受益户</w:t>
      </w:r>
      <w:r>
        <w:rPr>
          <w:rFonts w:hint="eastAsia" w:ascii="Times New Roman" w:hAnsi="Times New Roman" w:eastAsia="宋体" w:cs="Times New Roman"/>
          <w:color w:val="auto"/>
          <w:lang w:val="en-US" w:eastAsia="zh-CN"/>
        </w:rPr>
        <w:t>满意度的</w:t>
      </w:r>
      <w:r>
        <w:rPr>
          <w:rFonts w:hint="default" w:ascii="Times New Roman" w:hAnsi="Times New Roman" w:eastAsia="宋体" w:cs="Times New Roman"/>
          <w:color w:val="auto"/>
          <w:lang w:val="en-US" w:eastAsia="zh-CN"/>
        </w:rPr>
        <w:t>实现程度。依据问卷调查结果统计，本问卷调查对象为</w:t>
      </w:r>
      <w:r>
        <w:rPr>
          <w:rFonts w:hint="eastAsia" w:ascii="Times New Roman" w:hAnsi="Times New Roman" w:eastAsia="宋体" w:cs="Times New Roman"/>
          <w:color w:val="auto"/>
          <w:lang w:val="en-US" w:eastAsia="zh-CN"/>
        </w:rPr>
        <w:t>吉木萨尔县各乡镇</w:t>
      </w:r>
      <w:r>
        <w:rPr>
          <w:rFonts w:hint="default" w:ascii="Times New Roman" w:hAnsi="Times New Roman" w:eastAsia="宋体" w:cs="Times New Roman"/>
          <w:color w:val="auto"/>
          <w:lang w:val="en-US" w:eastAsia="zh-CN"/>
        </w:rPr>
        <w:t>农机购置补贴受益户，共计</w:t>
      </w:r>
      <w:r>
        <w:rPr>
          <w:rFonts w:hint="eastAsia" w:ascii="Times New Roman" w:hAnsi="Times New Roman" w:eastAsia="宋体" w:cs="Times New Roman"/>
          <w:color w:val="auto"/>
          <w:lang w:val="en-US" w:eastAsia="zh-CN"/>
        </w:rPr>
        <w:t>199</w:t>
      </w:r>
      <w:r>
        <w:rPr>
          <w:rFonts w:hint="default" w:ascii="Times New Roman" w:hAnsi="Times New Roman" w:eastAsia="宋体" w:cs="Times New Roman"/>
          <w:color w:val="auto"/>
          <w:lang w:val="en-US" w:eastAsia="zh-CN"/>
        </w:rPr>
        <w:t>份问卷调查统计分析，针对本指标问卷问题为“您对该项目的实施过程及效果是否满意？”</w:t>
      </w:r>
      <w:r>
        <w:rPr>
          <w:rFonts w:hint="default" w:ascii="Times New Roman" w:hAnsi="Times New Roman" w:cs="Times New Roman"/>
          <w:color w:val="auto"/>
          <w:szCs w:val="21"/>
        </w:rPr>
        <w:t>，统计结果显示，</w:t>
      </w:r>
      <w:r>
        <w:rPr>
          <w:rFonts w:hint="eastAsia" w:cs="Times New Roman"/>
          <w:color w:val="auto"/>
          <w:szCs w:val="21"/>
          <w:lang w:val="en-US" w:eastAsia="zh-CN"/>
        </w:rPr>
        <w:t>136</w:t>
      </w:r>
      <w:r>
        <w:rPr>
          <w:rFonts w:hint="default" w:ascii="Times New Roman" w:hAnsi="Times New Roman" w:cs="Times New Roman"/>
          <w:color w:val="auto"/>
          <w:szCs w:val="21"/>
        </w:rPr>
        <w:t>人选择“非常满意”，</w:t>
      </w:r>
      <w:r>
        <w:rPr>
          <w:rFonts w:hint="eastAsia" w:cs="Times New Roman"/>
          <w:color w:val="auto"/>
          <w:szCs w:val="21"/>
          <w:lang w:val="en-US" w:eastAsia="zh-CN"/>
        </w:rPr>
        <w:t>47</w:t>
      </w:r>
      <w:r>
        <w:rPr>
          <w:rFonts w:hint="default" w:ascii="Times New Roman" w:hAnsi="Times New Roman" w:cs="Times New Roman"/>
          <w:color w:val="auto"/>
          <w:szCs w:val="21"/>
        </w:rPr>
        <w:t>人选择“比较满意”，</w:t>
      </w:r>
      <w:r>
        <w:rPr>
          <w:rFonts w:hint="eastAsia" w:cs="Times New Roman"/>
          <w:color w:val="auto"/>
          <w:szCs w:val="21"/>
          <w:lang w:val="en-US" w:eastAsia="zh-CN"/>
        </w:rPr>
        <w:t>15</w:t>
      </w:r>
      <w:r>
        <w:rPr>
          <w:rFonts w:hint="default" w:ascii="Times New Roman" w:hAnsi="Times New Roman" w:cs="Times New Roman"/>
          <w:color w:val="auto"/>
          <w:szCs w:val="21"/>
        </w:rPr>
        <w:t>人选择“一般”，</w:t>
      </w:r>
      <w:r>
        <w:rPr>
          <w:rFonts w:hint="eastAsia" w:cs="Times New Roman"/>
          <w:color w:val="auto"/>
          <w:szCs w:val="21"/>
          <w:lang w:val="en-US" w:eastAsia="zh-CN"/>
        </w:rPr>
        <w:t>0</w:t>
      </w:r>
      <w:r>
        <w:rPr>
          <w:rFonts w:hint="default" w:ascii="Times New Roman" w:hAnsi="Times New Roman" w:cs="Times New Roman"/>
          <w:color w:val="auto"/>
          <w:szCs w:val="21"/>
        </w:rPr>
        <w:t>人选择“不太满意”，</w:t>
      </w:r>
      <w:r>
        <w:rPr>
          <w:rFonts w:hint="eastAsia" w:cs="Times New Roman"/>
          <w:color w:val="auto"/>
          <w:szCs w:val="21"/>
          <w:lang w:val="en-US" w:eastAsia="zh-CN"/>
        </w:rPr>
        <w:t>1</w:t>
      </w:r>
      <w:r>
        <w:rPr>
          <w:rFonts w:hint="default" w:ascii="Times New Roman" w:hAnsi="Times New Roman" w:cs="Times New Roman"/>
          <w:color w:val="auto"/>
          <w:szCs w:val="21"/>
        </w:rPr>
        <w:t>人选择“不满意”。指标完成率=∑样本数（“很满意”×1.0+“满意”×0.8+“一般”×0.6+“不满意”×0.3+“很不满意”×0）/总样本数×100.00%=∑样本数</w:t>
      </w:r>
      <w:r>
        <w:rPr>
          <w:rFonts w:hint="eastAsia" w:ascii="Times New Roman" w:hAnsi="Times New Roman" w:cs="Times New Roman"/>
          <w:color w:val="auto"/>
          <w:szCs w:val="21"/>
          <w:lang w:eastAsia="zh-CN"/>
        </w:rPr>
        <w:t>（</w:t>
      </w:r>
      <w:r>
        <w:rPr>
          <w:rFonts w:hint="eastAsia" w:cs="Times New Roman"/>
          <w:color w:val="auto"/>
          <w:szCs w:val="21"/>
          <w:lang w:val="en-US" w:eastAsia="zh-CN"/>
        </w:rPr>
        <w:t>13</w:t>
      </w:r>
      <w:r>
        <w:rPr>
          <w:rFonts w:hint="default" w:ascii="Times New Roman" w:hAnsi="Times New Roman" w:cs="Times New Roman"/>
          <w:color w:val="auto"/>
          <w:szCs w:val="21"/>
        </w:rPr>
        <w:t>6×1+</w:t>
      </w:r>
      <w:r>
        <w:rPr>
          <w:rFonts w:hint="eastAsia" w:cs="Times New Roman"/>
          <w:color w:val="auto"/>
          <w:szCs w:val="21"/>
          <w:lang w:val="en-US" w:eastAsia="zh-CN"/>
        </w:rPr>
        <w:t>47</w:t>
      </w:r>
      <w:r>
        <w:rPr>
          <w:rFonts w:hint="default" w:ascii="Times New Roman" w:hAnsi="Times New Roman" w:cs="Times New Roman"/>
          <w:color w:val="auto"/>
          <w:szCs w:val="21"/>
        </w:rPr>
        <w:t>×0.8+</w:t>
      </w:r>
      <w:r>
        <w:rPr>
          <w:rFonts w:hint="eastAsia" w:cs="Times New Roman"/>
          <w:color w:val="auto"/>
          <w:szCs w:val="21"/>
          <w:lang w:val="en-US" w:eastAsia="zh-CN"/>
        </w:rPr>
        <w:t>15</w:t>
      </w:r>
      <w:r>
        <w:rPr>
          <w:rFonts w:hint="default" w:ascii="Times New Roman" w:hAnsi="Times New Roman" w:cs="Times New Roman"/>
          <w:color w:val="auto"/>
          <w:szCs w:val="21"/>
        </w:rPr>
        <w:t>×0.6+</w:t>
      </w:r>
      <w:r>
        <w:rPr>
          <w:rFonts w:hint="eastAsia" w:cs="Times New Roman"/>
          <w:color w:val="auto"/>
          <w:szCs w:val="21"/>
          <w:lang w:val="en-US" w:eastAsia="zh-CN"/>
        </w:rPr>
        <w:t>0</w:t>
      </w:r>
      <w:r>
        <w:rPr>
          <w:rFonts w:hint="default" w:ascii="Times New Roman" w:hAnsi="Times New Roman" w:cs="Times New Roman"/>
          <w:color w:val="auto"/>
          <w:szCs w:val="21"/>
        </w:rPr>
        <w:t>×0.3+</w:t>
      </w:r>
      <w:r>
        <w:rPr>
          <w:rFonts w:hint="eastAsia" w:cs="Times New Roman"/>
          <w:color w:val="auto"/>
          <w:szCs w:val="21"/>
          <w:lang w:val="en-US" w:eastAsia="zh-CN"/>
        </w:rPr>
        <w:t>1</w:t>
      </w:r>
      <w:r>
        <w:rPr>
          <w:rFonts w:hint="default" w:ascii="Times New Roman" w:hAnsi="Times New Roman" w:cs="Times New Roman"/>
          <w:color w:val="auto"/>
          <w:szCs w:val="21"/>
        </w:rPr>
        <w:t>×0</w:t>
      </w:r>
      <w:r>
        <w:rPr>
          <w:rFonts w:hint="eastAsia" w:ascii="Times New Roman" w:hAnsi="Times New Roman" w:cs="Times New Roman"/>
          <w:color w:val="auto"/>
          <w:szCs w:val="21"/>
          <w:lang w:eastAsia="zh-CN"/>
        </w:rPr>
        <w:t>）</w:t>
      </w:r>
      <w:r>
        <w:rPr>
          <w:rFonts w:hint="default" w:ascii="Times New Roman" w:hAnsi="Times New Roman" w:cs="Times New Roman"/>
          <w:color w:val="auto"/>
          <w:szCs w:val="21"/>
        </w:rPr>
        <w:t>/</w:t>
      </w:r>
      <w:r>
        <w:rPr>
          <w:rFonts w:hint="eastAsia" w:cs="Times New Roman"/>
          <w:color w:val="auto"/>
          <w:szCs w:val="21"/>
          <w:lang w:val="en-US" w:eastAsia="zh-CN"/>
        </w:rPr>
        <w:t>199</w:t>
      </w:r>
      <w:r>
        <w:rPr>
          <w:rFonts w:hint="default" w:ascii="Times New Roman" w:hAnsi="Times New Roman" w:cs="Times New Roman"/>
          <w:color w:val="auto"/>
          <w:szCs w:val="21"/>
        </w:rPr>
        <w:t>×100.00%=9</w:t>
      </w:r>
      <w:r>
        <w:rPr>
          <w:rFonts w:hint="eastAsia" w:cs="Times New Roman"/>
          <w:color w:val="auto"/>
          <w:szCs w:val="21"/>
          <w:lang w:val="en-US" w:eastAsia="zh-CN"/>
        </w:rPr>
        <w:t>1.76</w:t>
      </w:r>
      <w:r>
        <w:rPr>
          <w:rFonts w:hint="default" w:ascii="Times New Roman" w:hAnsi="Times New Roman" w:cs="Times New Roman"/>
          <w:color w:val="auto"/>
          <w:szCs w:val="21"/>
        </w:rPr>
        <w:t>%。根据评分标准，实际完成值小于95.00%且大于等于80.00%，得</w:t>
      </w:r>
      <w:r>
        <w:rPr>
          <w:rFonts w:hint="eastAsia" w:cs="Times New Roman"/>
          <w:color w:val="auto"/>
          <w:szCs w:val="21"/>
          <w:lang w:val="en-US" w:eastAsia="zh-CN"/>
        </w:rPr>
        <w:t>4</w:t>
      </w:r>
      <w:r>
        <w:rPr>
          <w:rFonts w:hint="default" w:ascii="Times New Roman" w:hAnsi="Times New Roman" w:cs="Times New Roman"/>
          <w:color w:val="auto"/>
          <w:szCs w:val="21"/>
        </w:rPr>
        <w:t>.00分</w:t>
      </w:r>
      <w:r>
        <w:rPr>
          <w:rFonts w:hint="default" w:ascii="Times New Roman" w:hAnsi="Times New Roman" w:cs="Times New Roman"/>
          <w:color w:val="auto"/>
          <w:szCs w:val="21"/>
          <w:lang w:eastAsia="zh-CN"/>
        </w:rPr>
        <w:t>。</w:t>
      </w:r>
    </w:p>
    <w:p w14:paraId="52488E5B">
      <w:pPr>
        <w:adjustRightInd w:val="0"/>
        <w:snapToGrid w:val="0"/>
        <w:ind w:firstLine="420"/>
        <w:rPr>
          <w:rFonts w:ascii="Times New Roman" w:hAnsi="Times New Roman" w:cs="Times New Roman"/>
          <w:color w:val="auto"/>
        </w:rPr>
      </w:pPr>
      <w:r>
        <w:rPr>
          <w:rFonts w:hint="default" w:ascii="Times New Roman" w:hAnsi="Times New Roman" w:cs="Times New Roman"/>
          <w:color w:val="auto"/>
        </w:rPr>
        <w:t>该指标满分为</w:t>
      </w:r>
      <w:r>
        <w:rPr>
          <w:rFonts w:hint="eastAsia" w:cs="Times New Roman"/>
          <w:color w:val="auto"/>
          <w:lang w:val="en-US" w:eastAsia="zh-CN"/>
        </w:rPr>
        <w:t>5</w:t>
      </w:r>
      <w:r>
        <w:rPr>
          <w:rFonts w:hint="default" w:ascii="Times New Roman" w:hAnsi="Times New Roman" w:cs="Times New Roman"/>
          <w:color w:val="auto"/>
        </w:rPr>
        <w:t>.00分，根据评分标准得</w:t>
      </w:r>
      <w:r>
        <w:rPr>
          <w:rFonts w:hint="eastAsia" w:cs="Times New Roman"/>
          <w:color w:val="auto"/>
          <w:lang w:val="en-US" w:eastAsia="zh-CN"/>
        </w:rPr>
        <w:t>4</w:t>
      </w:r>
      <w:r>
        <w:rPr>
          <w:rFonts w:hint="default" w:ascii="Times New Roman" w:hAnsi="Times New Roman" w:cs="Times New Roman"/>
          <w:color w:val="auto"/>
        </w:rPr>
        <w:t>.00分</w:t>
      </w:r>
      <w:r>
        <w:rPr>
          <w:rFonts w:ascii="Times New Roman" w:hAnsi="Times New Roman" w:cs="Times New Roman"/>
          <w:color w:val="auto"/>
        </w:rPr>
        <w:t>。</w:t>
      </w:r>
    </w:p>
    <w:p w14:paraId="1018A7D5">
      <w:pPr>
        <w:pStyle w:val="2"/>
        <w:pageBreakBefore w:val="0"/>
        <w:widowControl w:val="0"/>
        <w:kinsoku/>
        <w:wordWrap/>
        <w:overflowPunct/>
        <w:topLinePunct w:val="0"/>
        <w:autoSpaceDE/>
        <w:autoSpaceDN/>
        <w:bidi w:val="0"/>
        <w:adjustRightInd w:val="0"/>
        <w:snapToGrid w:val="0"/>
        <w:spacing w:before="0" w:after="0" w:line="360" w:lineRule="auto"/>
        <w:ind w:firstLine="482"/>
        <w:textAlignment w:val="auto"/>
        <w:rPr>
          <w:color w:val="auto"/>
        </w:rPr>
      </w:pPr>
      <w:bookmarkStart w:id="92" w:name="_Toc10082"/>
      <w:r>
        <w:rPr>
          <w:rFonts w:hint="eastAsia"/>
          <w:color w:val="auto"/>
        </w:rPr>
        <w:t>六</w:t>
      </w:r>
      <w:r>
        <w:rPr>
          <w:color w:val="auto"/>
        </w:rPr>
        <w:t>、主要经验及</w:t>
      </w:r>
      <w:r>
        <w:rPr>
          <w:rFonts w:hint="eastAsia" w:ascii="Times New Roman" w:hAnsi="Times New Roman" w:cs="Times New Roman"/>
          <w:color w:val="auto"/>
        </w:rPr>
        <w:t>做法</w:t>
      </w:r>
      <w:r>
        <w:rPr>
          <w:color w:val="auto"/>
        </w:rPr>
        <w:t>、存在的问题及原因分析</w:t>
      </w:r>
      <w:bookmarkEnd w:id="85"/>
      <w:bookmarkEnd w:id="92"/>
    </w:p>
    <w:p w14:paraId="1C35CF84">
      <w:pPr>
        <w:pStyle w:val="3"/>
        <w:pageBreakBefore w:val="0"/>
        <w:kinsoku/>
        <w:wordWrap/>
        <w:overflowPunct/>
        <w:topLinePunct w:val="0"/>
        <w:autoSpaceDE/>
        <w:autoSpaceDN/>
        <w:bidi w:val="0"/>
        <w:snapToGrid w:val="0"/>
        <w:spacing w:before="0" w:after="0" w:line="360" w:lineRule="auto"/>
        <w:ind w:firstLine="482"/>
        <w:rPr>
          <w:color w:val="auto"/>
        </w:rPr>
      </w:pPr>
      <w:bookmarkStart w:id="93" w:name="_Toc27651"/>
      <w:bookmarkStart w:id="94" w:name="_Toc16974"/>
      <w:bookmarkStart w:id="95" w:name="_Toc15518"/>
      <w:bookmarkStart w:id="96" w:name="_Toc14662"/>
      <w:r>
        <w:rPr>
          <w:color w:val="auto"/>
        </w:rPr>
        <w:t>（一）主要经验及</w:t>
      </w:r>
      <w:r>
        <w:rPr>
          <w:rFonts w:ascii="Times New Roman" w:hAnsi="Times New Roman" w:cs="Times New Roman"/>
          <w:color w:val="auto"/>
        </w:rPr>
        <w:t>做法</w:t>
      </w:r>
      <w:bookmarkEnd w:id="93"/>
      <w:bookmarkEnd w:id="94"/>
      <w:bookmarkEnd w:id="95"/>
      <w:bookmarkEnd w:id="96"/>
    </w:p>
    <w:p w14:paraId="2D202C53">
      <w:pPr>
        <w:pageBreakBefore w:val="0"/>
        <w:kinsoku/>
        <w:wordWrap/>
        <w:overflowPunct/>
        <w:topLinePunct w:val="0"/>
        <w:autoSpaceDE/>
        <w:autoSpaceDN/>
        <w:bidi w:val="0"/>
        <w:snapToGrid w:val="0"/>
        <w:spacing w:line="360" w:lineRule="auto"/>
        <w:ind w:firstLine="420"/>
        <w:rPr>
          <w:rFonts w:hint="default" w:ascii="Times New Roman" w:hAnsi="Times New Roman" w:eastAsia="宋体" w:cs="Times New Roman"/>
          <w:color w:val="auto"/>
          <w:highlight w:val="yellow"/>
          <w:lang w:eastAsia="zh-CN"/>
        </w:rPr>
      </w:pPr>
      <w:bookmarkStart w:id="97" w:name="_Toc13318"/>
      <w:bookmarkStart w:id="98" w:name="_Toc370"/>
      <w:bookmarkStart w:id="99" w:name="_Toc4015"/>
      <w:r>
        <w:rPr>
          <w:rFonts w:hint="default" w:ascii="Times New Roman" w:hAnsi="Times New Roman" w:cs="Times New Roman"/>
          <w:color w:val="auto"/>
          <w:highlight w:val="none"/>
          <w:lang w:val="en-US" w:eastAsia="zh-CN"/>
        </w:rPr>
        <w:t>项目实施过程遵循自治区</w:t>
      </w:r>
      <w:r>
        <w:rPr>
          <w:rFonts w:hint="eastAsia" w:ascii="Times New Roman" w:hAnsi="Times New Roman" w:cs="Times New Roman"/>
          <w:color w:val="auto"/>
          <w:highlight w:val="none"/>
          <w:lang w:val="en-US" w:eastAsia="zh-CN"/>
        </w:rPr>
        <w:t>农业农村局</w:t>
      </w:r>
      <w:r>
        <w:rPr>
          <w:rFonts w:hint="default" w:ascii="Times New Roman" w:hAnsi="Times New Roman" w:cs="Times New Roman"/>
          <w:color w:val="auto"/>
          <w:highlight w:val="none"/>
          <w:lang w:val="en-US" w:eastAsia="zh-CN"/>
        </w:rPr>
        <w:t>部署工作要求编制《</w:t>
      </w:r>
      <w:r>
        <w:rPr>
          <w:rFonts w:hint="eastAsia" w:ascii="Times New Roman" w:hAnsi="Times New Roman" w:cs="Times New Roman"/>
          <w:color w:val="auto"/>
          <w:highlight w:val="none"/>
          <w:lang w:val="en-US" w:eastAsia="zh-CN"/>
        </w:rPr>
        <w:t>吉木萨尔县</w:t>
      </w:r>
      <w:r>
        <w:rPr>
          <w:rFonts w:hint="default" w:ascii="Times New Roman" w:hAnsi="Times New Roman" w:cs="Times New Roman"/>
          <w:color w:val="auto"/>
          <w:highlight w:val="none"/>
          <w:lang w:val="en-US" w:eastAsia="zh-CN"/>
        </w:rPr>
        <w:t>2021-2023年农机购置补贴实施方案》《</w:t>
      </w:r>
      <w:r>
        <w:rPr>
          <w:rFonts w:hint="eastAsia" w:ascii="Times New Roman" w:hAnsi="Times New Roman" w:cs="Times New Roman"/>
          <w:color w:val="auto"/>
          <w:highlight w:val="none"/>
          <w:lang w:val="en-US" w:eastAsia="zh-CN"/>
        </w:rPr>
        <w:t>吉木萨尔县</w:t>
      </w:r>
      <w:r>
        <w:rPr>
          <w:rFonts w:hint="default" w:ascii="Times New Roman" w:hAnsi="Times New Roman" w:cs="Times New Roman"/>
          <w:color w:val="auto"/>
          <w:highlight w:val="none"/>
          <w:lang w:val="en-US" w:eastAsia="zh-CN"/>
        </w:rPr>
        <w:t>2024年</w:t>
      </w:r>
      <w:r>
        <w:rPr>
          <w:rFonts w:hint="eastAsia" w:ascii="Times New Roman" w:hAnsi="Times New Roman" w:cs="Times New Roman"/>
          <w:color w:val="auto"/>
          <w:highlight w:val="none"/>
          <w:lang w:val="en-US" w:eastAsia="zh-CN"/>
        </w:rPr>
        <w:t>-2026年</w:t>
      </w:r>
      <w:r>
        <w:rPr>
          <w:rFonts w:hint="default" w:ascii="Times New Roman" w:hAnsi="Times New Roman" w:cs="Times New Roman"/>
          <w:color w:val="auto"/>
          <w:highlight w:val="none"/>
          <w:lang w:val="en-US" w:eastAsia="zh-CN"/>
        </w:rPr>
        <w:t>农机购置补贴实施方案》</w:t>
      </w:r>
      <w:r>
        <w:rPr>
          <w:rFonts w:hint="eastAsia" w:cs="Times New Roman"/>
          <w:color w:val="auto"/>
          <w:lang w:val="en-US" w:eastAsia="zh-CN"/>
        </w:rPr>
        <w:t>《吉木萨尔县2024年农业机械报废更新补贴政策实施方案》等</w:t>
      </w:r>
      <w:r>
        <w:rPr>
          <w:rFonts w:hint="default" w:ascii="Times New Roman" w:hAnsi="Times New Roman" w:cs="Times New Roman"/>
          <w:color w:val="auto"/>
          <w:highlight w:val="none"/>
          <w:lang w:val="en-US" w:eastAsia="zh-CN"/>
        </w:rPr>
        <w:t>，</w:t>
      </w:r>
      <w:r>
        <w:rPr>
          <w:rFonts w:hint="eastAsia" w:ascii="Times New Roman" w:hAnsi="Times New Roman" w:cs="Times New Roman"/>
          <w:color w:val="auto"/>
          <w:highlight w:val="none"/>
          <w:lang w:val="en-US" w:eastAsia="zh-CN"/>
        </w:rPr>
        <w:t>通过</w:t>
      </w:r>
      <w:r>
        <w:rPr>
          <w:rFonts w:hint="eastAsia"/>
          <w:color w:val="auto"/>
          <w:highlight w:val="none"/>
          <w:lang w:val="en-US" w:eastAsia="zh-CN"/>
        </w:rPr>
        <w:t>新疆维吾尔自治区农机购置与应用补贴申请办理服务系统、农机报废补贴辅助管理系统提升办理效率，</w:t>
      </w:r>
      <w:r>
        <w:rPr>
          <w:rFonts w:hint="eastAsia"/>
        </w:rPr>
        <w:t>有效带动</w:t>
      </w:r>
      <w:r>
        <w:rPr>
          <w:rFonts w:hint="eastAsia"/>
          <w:lang w:val="en-US" w:eastAsia="zh-CN"/>
        </w:rPr>
        <w:t>吉木萨尔</w:t>
      </w:r>
      <w:r>
        <w:rPr>
          <w:rFonts w:hint="eastAsia"/>
        </w:rPr>
        <w:t>农机作业水平不断提高，截止202</w:t>
      </w:r>
      <w:r>
        <w:rPr>
          <w:rFonts w:hint="eastAsia"/>
          <w:lang w:val="en-US" w:eastAsia="zh-CN"/>
        </w:rPr>
        <w:t>4</w:t>
      </w:r>
      <w:r>
        <w:rPr>
          <w:rFonts w:hint="eastAsia"/>
        </w:rPr>
        <w:t>年底农作物耕种收综合机械化率达到了</w:t>
      </w:r>
      <w:r>
        <w:rPr>
          <w:rFonts w:hint="eastAsia"/>
          <w:lang w:val="en-US" w:eastAsia="zh-CN"/>
        </w:rPr>
        <w:t>97.87</w:t>
      </w:r>
      <w:r>
        <w:rPr>
          <w:rFonts w:hint="eastAsia"/>
        </w:rPr>
        <w:t>%。</w:t>
      </w:r>
      <w:r>
        <w:rPr>
          <w:rFonts w:hint="eastAsia" w:ascii="Times New Roman" w:hAnsi="Times New Roman" w:cs="Times New Roman"/>
          <w:color w:val="auto"/>
          <w:highlight w:val="none"/>
          <w:lang w:val="en-US" w:eastAsia="zh-CN"/>
        </w:rPr>
        <w:t>有效激发农户购机积极性，推动全县农业现代化发展</w:t>
      </w:r>
      <w:r>
        <w:rPr>
          <w:rFonts w:hint="default" w:ascii="Times New Roman" w:hAnsi="Times New Roman" w:cs="Times New Roman"/>
          <w:color w:val="auto"/>
          <w:highlight w:val="none"/>
          <w:lang w:eastAsia="zh-CN"/>
        </w:rPr>
        <w:t>。</w:t>
      </w:r>
    </w:p>
    <w:p w14:paraId="19290585">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100" w:name="_Toc9538"/>
      <w:r>
        <w:rPr>
          <w:rFonts w:ascii="Times New Roman" w:hAnsi="Times New Roman"/>
          <w:color w:val="auto"/>
        </w:rPr>
        <w:t>（二）存在的问题</w:t>
      </w:r>
      <w:bookmarkEnd w:id="97"/>
      <w:bookmarkEnd w:id="98"/>
      <w:bookmarkEnd w:id="99"/>
      <w:bookmarkEnd w:id="100"/>
    </w:p>
    <w:p w14:paraId="196290E5">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b/>
          <w:bCs/>
          <w:lang w:val="en-US" w:eastAsia="zh-CN"/>
        </w:rPr>
      </w:pPr>
      <w:r>
        <w:rPr>
          <w:rFonts w:hint="eastAsia" w:ascii="Times New Roman" w:hAnsi="Times New Roman" w:cs="Times New Roman"/>
          <w:b/>
          <w:bCs/>
          <w:lang w:val="en-US" w:eastAsia="zh-CN"/>
        </w:rPr>
        <w:t>1.</w:t>
      </w:r>
      <w:r>
        <w:rPr>
          <w:rFonts w:hint="default" w:ascii="Times New Roman" w:hAnsi="Times New Roman" w:cs="Times New Roman"/>
          <w:b/>
          <w:bCs/>
          <w:color w:val="auto"/>
        </w:rPr>
        <w:t>机具补贴</w:t>
      </w:r>
      <w:r>
        <w:rPr>
          <w:rFonts w:hint="eastAsia" w:cs="Times New Roman"/>
          <w:b/>
          <w:bCs/>
          <w:color w:val="auto"/>
          <w:lang w:val="en-US" w:eastAsia="zh-CN"/>
        </w:rPr>
        <w:t>核验时限超时</w:t>
      </w:r>
    </w:p>
    <w:p w14:paraId="2B4C756A">
      <w:pPr>
        <w:keepNext w:val="0"/>
        <w:keepLines w:val="0"/>
        <w:pageBreakBefore w:val="0"/>
        <w:kinsoku/>
        <w:wordWrap/>
        <w:overflowPunct/>
        <w:topLinePunct w:val="0"/>
        <w:autoSpaceDE/>
        <w:autoSpaceDN/>
        <w:bidi w:val="0"/>
        <w:adjustRightInd w:val="0"/>
        <w:snapToGrid w:val="0"/>
        <w:ind w:firstLine="422"/>
        <w:textAlignment w:val="auto"/>
        <w:rPr>
          <w:rFonts w:hint="eastAsia" w:ascii="Times New Roman" w:hAnsi="Times New Roman" w:cs="Times New Roman"/>
          <w:b/>
          <w:bCs/>
          <w:lang w:val="en-US" w:eastAsia="zh-CN"/>
        </w:rPr>
      </w:pPr>
      <w:r>
        <w:rPr>
          <w:rFonts w:hint="eastAsia"/>
          <w:color w:val="auto"/>
          <w:highlight w:val="none"/>
          <w:lang w:val="en-US" w:eastAsia="zh-CN"/>
        </w:rPr>
        <w:t>根</w:t>
      </w:r>
      <w:r>
        <w:rPr>
          <w:rFonts w:hint="eastAsia" w:ascii="Times New Roman" w:hAnsi="Times New Roman" w:cs="Times New Roman"/>
          <w:lang w:val="en-US" w:eastAsia="zh-CN"/>
        </w:rPr>
        <w:t>据</w:t>
      </w:r>
      <w:r>
        <w:rPr>
          <w:rFonts w:hint="eastAsia" w:ascii="Times New Roman" w:hAnsi="Times New Roman" w:cs="Times New Roman"/>
          <w:lang w:eastAsia="zh-CN"/>
        </w:rPr>
        <w:t>新疆维吾尔自治区农机购置与应用补贴申请办理服务系统</w:t>
      </w:r>
      <w:r>
        <w:rPr>
          <w:rFonts w:hint="eastAsia" w:ascii="Times New Roman" w:hAnsi="Times New Roman" w:cs="Times New Roman"/>
          <w:lang w:val="en-US" w:eastAsia="zh-CN"/>
        </w:rPr>
        <w:t>中导出2024年实际补贴农机具资金申请时间及核验时间</w:t>
      </w:r>
      <w:r>
        <w:rPr>
          <w:rFonts w:hint="eastAsia" w:cs="Times New Roman"/>
          <w:lang w:val="en-US" w:eastAsia="zh-CN"/>
        </w:rPr>
        <w:t>比较分析</w:t>
      </w:r>
      <w:r>
        <w:rPr>
          <w:rFonts w:hint="eastAsia" w:ascii="Times New Roman" w:hAnsi="Times New Roman" w:cs="Times New Roman"/>
          <w:lang w:val="en-US" w:eastAsia="zh-CN"/>
        </w:rPr>
        <w:t>，2024年实际发放农机具补贴申请受理核查时限平均为</w:t>
      </w:r>
      <w:r>
        <w:rPr>
          <w:rFonts w:hint="eastAsia" w:cs="Times New Roman"/>
          <w:lang w:val="en-US" w:eastAsia="zh-CN"/>
        </w:rPr>
        <w:t>30</w:t>
      </w:r>
      <w:r>
        <w:rPr>
          <w:rFonts w:hint="eastAsia" w:ascii="Times New Roman" w:hAnsi="Times New Roman" w:cs="Times New Roman"/>
          <w:lang w:val="en-US" w:eastAsia="zh-CN"/>
        </w:rPr>
        <w:t>个工作日（其中</w:t>
      </w:r>
      <w:r>
        <w:rPr>
          <w:rFonts w:hint="eastAsia" w:cs="Times New Roman"/>
          <w:lang w:val="en-US" w:eastAsia="zh-CN"/>
        </w:rPr>
        <w:t>2021年</w:t>
      </w:r>
      <w:r>
        <w:rPr>
          <w:rFonts w:hint="eastAsia" w:ascii="Times New Roman" w:hAnsi="Times New Roman" w:cs="Times New Roman"/>
          <w:lang w:val="en-US" w:eastAsia="zh-CN"/>
        </w:rPr>
        <w:t>录入</w:t>
      </w:r>
      <w:r>
        <w:rPr>
          <w:rFonts w:hint="eastAsia" w:cs="Times New Roman"/>
          <w:lang w:val="en-US" w:eastAsia="zh-CN"/>
        </w:rPr>
        <w:t>5</w:t>
      </w:r>
      <w:r>
        <w:rPr>
          <w:rFonts w:hint="eastAsia" w:ascii="Times New Roman" w:hAnsi="Times New Roman" w:cs="Times New Roman"/>
          <w:lang w:val="en-US" w:eastAsia="zh-CN"/>
        </w:rPr>
        <w:t>台农机具平均申请受理核查时限为2个工作日</w:t>
      </w:r>
      <w:r>
        <w:rPr>
          <w:rFonts w:hint="eastAsia" w:cs="Times New Roman"/>
          <w:lang w:val="en-US" w:eastAsia="zh-CN"/>
        </w:rPr>
        <w:t>，</w:t>
      </w:r>
      <w:r>
        <w:rPr>
          <w:rFonts w:hint="eastAsia" w:ascii="Times New Roman" w:hAnsi="Times New Roman" w:cs="Times New Roman"/>
          <w:lang w:val="en-US" w:eastAsia="zh-CN"/>
        </w:rPr>
        <w:t>2022年录入</w:t>
      </w:r>
      <w:r>
        <w:rPr>
          <w:rFonts w:hint="eastAsia" w:cs="Times New Roman"/>
          <w:lang w:val="en-US" w:eastAsia="zh-CN"/>
        </w:rPr>
        <w:t>150</w:t>
      </w:r>
      <w:r>
        <w:rPr>
          <w:rFonts w:hint="eastAsia" w:ascii="Times New Roman" w:hAnsi="Times New Roman" w:cs="Times New Roman"/>
          <w:lang w:val="en-US" w:eastAsia="zh-CN"/>
        </w:rPr>
        <w:t>台农机具平均申请受理核查时限为</w:t>
      </w:r>
      <w:r>
        <w:rPr>
          <w:rFonts w:hint="eastAsia" w:cs="Times New Roman"/>
          <w:lang w:val="en-US" w:eastAsia="zh-CN"/>
        </w:rPr>
        <w:t>15.56</w:t>
      </w:r>
      <w:r>
        <w:rPr>
          <w:rFonts w:hint="eastAsia" w:ascii="Times New Roman" w:hAnsi="Times New Roman" w:cs="Times New Roman"/>
          <w:lang w:val="en-US" w:eastAsia="zh-CN"/>
        </w:rPr>
        <w:t>个工作日，2023年录入</w:t>
      </w:r>
      <w:r>
        <w:rPr>
          <w:rFonts w:hint="eastAsia" w:cs="Times New Roman"/>
          <w:lang w:val="en-US" w:eastAsia="zh-CN"/>
        </w:rPr>
        <w:t>636</w:t>
      </w:r>
      <w:r>
        <w:rPr>
          <w:rFonts w:hint="eastAsia" w:ascii="Times New Roman" w:hAnsi="Times New Roman" w:cs="Times New Roman"/>
          <w:lang w:val="en-US" w:eastAsia="zh-CN"/>
        </w:rPr>
        <w:t>台农机具平均申请受理核查时限为</w:t>
      </w:r>
      <w:r>
        <w:rPr>
          <w:rFonts w:hint="eastAsia" w:cs="Times New Roman"/>
          <w:lang w:val="en-US" w:eastAsia="zh-CN"/>
        </w:rPr>
        <w:t>33</w:t>
      </w:r>
      <w:r>
        <w:rPr>
          <w:rFonts w:hint="eastAsia" w:ascii="Times New Roman" w:hAnsi="Times New Roman" w:cs="Times New Roman"/>
          <w:lang w:val="en-US" w:eastAsia="zh-CN"/>
        </w:rPr>
        <w:t>个工作日，2024年录入农机具</w:t>
      </w:r>
      <w:r>
        <w:rPr>
          <w:rFonts w:hint="eastAsia" w:cs="Times New Roman"/>
          <w:lang w:val="en-US" w:eastAsia="zh-CN"/>
        </w:rPr>
        <w:t>168</w:t>
      </w:r>
      <w:r>
        <w:rPr>
          <w:rFonts w:hint="eastAsia" w:ascii="Times New Roman" w:hAnsi="Times New Roman" w:cs="Times New Roman"/>
          <w:lang w:val="en-US" w:eastAsia="zh-CN"/>
        </w:rPr>
        <w:t>台平均申请受理核查时限为</w:t>
      </w:r>
      <w:r>
        <w:rPr>
          <w:rFonts w:hint="eastAsia" w:cs="Times New Roman"/>
          <w:lang w:val="en-US" w:eastAsia="zh-CN"/>
        </w:rPr>
        <w:t>35</w:t>
      </w:r>
      <w:r>
        <w:rPr>
          <w:rFonts w:hint="eastAsia" w:ascii="Times New Roman" w:hAnsi="Times New Roman" w:cs="Times New Roman"/>
          <w:lang w:val="en-US" w:eastAsia="zh-CN"/>
        </w:rPr>
        <w:t>个工作日）。机具补贴申请受理核查时限</w:t>
      </w:r>
      <w:r>
        <w:rPr>
          <w:rFonts w:hint="eastAsia" w:cs="Times New Roman"/>
          <w:lang w:val="en-US" w:eastAsia="zh-CN"/>
        </w:rPr>
        <w:t>超过15个工作日的共计398台，该部分</w:t>
      </w:r>
      <w:r>
        <w:rPr>
          <w:rFonts w:hint="eastAsia" w:ascii="Times New Roman" w:hAnsi="Times New Roman" w:cs="Times New Roman"/>
          <w:lang w:val="en-US" w:eastAsia="zh-CN"/>
        </w:rPr>
        <w:t>机具补贴申请受理核查时限与</w:t>
      </w:r>
      <w:r>
        <w:rPr>
          <w:rFonts w:hint="eastAsia" w:asciiTheme="minorEastAsia" w:hAnsiTheme="minorEastAsia" w:cstheme="minorEastAsia"/>
          <w:color w:val="auto"/>
          <w:highlight w:val="none"/>
          <w:lang w:val="en-US" w:eastAsia="zh-CN"/>
        </w:rPr>
        <w:t>《新疆维吾尔自治区2021-2023年农机购置与应用补贴实施方案》要求不符</w:t>
      </w:r>
      <w:r>
        <w:rPr>
          <w:rFonts w:hint="eastAsia" w:ascii="Times New Roman" w:hAnsi="Times New Roman" w:cs="Times New Roman"/>
          <w:lang w:val="en-US" w:eastAsia="zh-CN"/>
        </w:rPr>
        <w:t>。</w:t>
      </w:r>
    </w:p>
    <w:p w14:paraId="742559FC">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b/>
          <w:bCs/>
          <w:lang w:val="en-US" w:eastAsia="zh-CN"/>
        </w:rPr>
      </w:pPr>
      <w:r>
        <w:rPr>
          <w:rFonts w:hint="eastAsia" w:cs="Times New Roman"/>
          <w:b/>
          <w:bCs/>
          <w:lang w:val="en-US" w:eastAsia="zh-CN"/>
        </w:rPr>
        <w:t>2.</w:t>
      </w:r>
      <w:r>
        <w:rPr>
          <w:rFonts w:hint="eastAsia" w:cs="Times New Roman"/>
          <w:b/>
          <w:bCs/>
          <w:color w:val="auto"/>
          <w:highlight w:val="none"/>
          <w:lang w:val="en-US" w:eastAsia="zh-CN"/>
        </w:rPr>
        <w:t>农机购置补贴受益户满意度有待提升</w:t>
      </w:r>
    </w:p>
    <w:p w14:paraId="4B3B6AF3">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lang w:val="en-US" w:eastAsia="zh-Hans"/>
        </w:rPr>
      </w:pPr>
      <w:r>
        <w:rPr>
          <w:rFonts w:hint="eastAsia"/>
          <w:color w:val="auto"/>
          <w:highlight w:val="none"/>
          <w:lang w:val="en-US" w:eastAsia="zh-CN"/>
        </w:rPr>
        <w:t>本次调研评价通过向</w:t>
      </w:r>
      <w:r>
        <w:rPr>
          <w:rFonts w:hint="eastAsia" w:cs="Times New Roman"/>
          <w:color w:val="auto"/>
          <w:highlight w:val="none"/>
          <w:lang w:val="en-US" w:eastAsia="zh-CN"/>
        </w:rPr>
        <w:t>受益农户</w:t>
      </w:r>
      <w:r>
        <w:rPr>
          <w:rFonts w:hint="eastAsia"/>
          <w:color w:val="auto"/>
          <w:highlight w:val="none"/>
          <w:lang w:val="en-US" w:eastAsia="zh-CN"/>
        </w:rPr>
        <w:t>发放并收回调查问卷199份，根据调研数据统计情况分析得出，购机者</w:t>
      </w:r>
      <w:r>
        <w:rPr>
          <w:rFonts w:hint="eastAsia" w:cs="Times New Roman"/>
          <w:color w:val="auto"/>
          <w:highlight w:val="none"/>
          <w:lang w:val="en-US" w:eastAsia="zh-CN"/>
        </w:rPr>
        <w:t>受益户</w:t>
      </w:r>
      <w:r>
        <w:rPr>
          <w:rFonts w:hint="eastAsia"/>
          <w:color w:val="auto"/>
          <w:highlight w:val="none"/>
          <w:lang w:val="en-US" w:eastAsia="zh-CN"/>
        </w:rPr>
        <w:t>对项目实施综合满意度还有待提高，经调研了解主要原因</w:t>
      </w:r>
      <w:r>
        <w:rPr>
          <w:rFonts w:hint="eastAsia" w:ascii="Times New Roman" w:hAnsi="Times New Roman" w:eastAsia="宋体" w:cs="Times New Roman"/>
          <w:lang w:val="en-US" w:eastAsia="zh-CN"/>
        </w:rPr>
        <w:t>是补贴发放时间太长</w:t>
      </w:r>
      <w:r>
        <w:rPr>
          <w:rFonts w:hint="eastAsia" w:cs="Times New Roman"/>
          <w:lang w:val="en-US" w:eastAsia="zh-CN"/>
        </w:rPr>
        <w:t>，</w:t>
      </w:r>
      <w:r>
        <w:rPr>
          <w:rFonts w:hint="eastAsia" w:ascii="Times New Roman" w:hAnsi="Times New Roman" w:eastAsia="宋体" w:cs="Times New Roman"/>
          <w:lang w:val="en-US" w:eastAsia="zh-CN"/>
        </w:rPr>
        <w:t>系统不是很稳定及提交缓慢</w:t>
      </w:r>
      <w:r>
        <w:rPr>
          <w:rFonts w:hint="default" w:ascii="Times New Roman" w:hAnsi="Times New Roman" w:eastAsia="宋体" w:cs="Times New Roman"/>
          <w:lang w:val="en-US" w:eastAsia="zh-Hans"/>
        </w:rPr>
        <w:t>。</w:t>
      </w:r>
    </w:p>
    <w:p w14:paraId="361FE086">
      <w:pPr>
        <w:pStyle w:val="2"/>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lang w:val="en-US" w:eastAsia="zh-CN"/>
        </w:rPr>
      </w:pPr>
      <w:bookmarkStart w:id="101" w:name="_Toc15177"/>
      <w:bookmarkStart w:id="102" w:name="_Toc13947"/>
      <w:bookmarkStart w:id="103" w:name="_Toc8112"/>
      <w:bookmarkStart w:id="104" w:name="_Toc2900"/>
      <w:r>
        <w:rPr>
          <w:rFonts w:hint="eastAsia" w:ascii="Times New Roman" w:hAnsi="Times New Roman" w:cs="Times New Roman"/>
          <w:color w:val="auto"/>
        </w:rPr>
        <w:t>七</w:t>
      </w:r>
      <w:r>
        <w:rPr>
          <w:rFonts w:ascii="Times New Roman" w:hAnsi="Times New Roman" w:cs="Times New Roman"/>
          <w:color w:val="auto"/>
        </w:rPr>
        <w:t>、有</w:t>
      </w:r>
      <w:r>
        <w:rPr>
          <w:rFonts w:ascii="Times New Roman" w:hAnsi="Times New Roman" w:cs="Times New Roman"/>
          <w:color w:val="auto"/>
          <w:lang w:val="en-US" w:eastAsia="zh-CN"/>
        </w:rPr>
        <w:t>关</w:t>
      </w:r>
      <w:r>
        <w:rPr>
          <w:rFonts w:hint="eastAsia" w:ascii="Times New Roman" w:hAnsi="Times New Roman" w:cs="Times New Roman"/>
          <w:color w:val="auto"/>
          <w:lang w:val="en-US" w:eastAsia="zh-CN"/>
        </w:rPr>
        <w:t>建议</w:t>
      </w:r>
      <w:bookmarkEnd w:id="101"/>
      <w:bookmarkEnd w:id="102"/>
      <w:bookmarkEnd w:id="103"/>
      <w:bookmarkEnd w:id="104"/>
    </w:p>
    <w:p w14:paraId="0EFC9C39">
      <w:pPr>
        <w:keepNext w:val="0"/>
        <w:keepLines w:val="0"/>
        <w:pageBreakBefore w:val="0"/>
        <w:kinsoku/>
        <w:wordWrap/>
        <w:overflowPunct/>
        <w:topLinePunct w:val="0"/>
        <w:autoSpaceDE/>
        <w:autoSpaceDN/>
        <w:bidi w:val="0"/>
        <w:adjustRightInd w:val="0"/>
        <w:snapToGrid w:val="0"/>
        <w:textAlignment w:val="auto"/>
        <w:rPr>
          <w:rFonts w:hint="eastAsia" w:cs="Times New Roman"/>
          <w:b/>
          <w:bCs/>
          <w:lang w:val="en-US" w:eastAsia="zh-CN"/>
        </w:rPr>
      </w:pPr>
      <w:r>
        <w:rPr>
          <w:rFonts w:hint="eastAsia" w:ascii="Times New Roman" w:hAnsi="Times New Roman" w:cs="Times New Roman"/>
          <w:b/>
          <w:bCs/>
          <w:lang w:val="en-US" w:eastAsia="zh-CN"/>
        </w:rPr>
        <w:t>1.</w:t>
      </w:r>
      <w:r>
        <w:rPr>
          <w:rFonts w:hint="eastAsia" w:cs="Times New Roman"/>
          <w:b/>
          <w:bCs/>
          <w:lang w:val="en-US" w:eastAsia="zh-CN"/>
        </w:rPr>
        <w:t>严格按照政策文件落实补助发放工作，加强项目执行管理，确保项目精准施策</w:t>
      </w:r>
    </w:p>
    <w:p w14:paraId="65EFE351">
      <w:pPr>
        <w:keepNext w:val="0"/>
        <w:keepLines w:val="0"/>
        <w:pageBreakBefore w:val="0"/>
        <w:kinsoku/>
        <w:wordWrap/>
        <w:overflowPunct/>
        <w:topLinePunct w:val="0"/>
        <w:autoSpaceDE/>
        <w:autoSpaceDN/>
        <w:bidi w:val="0"/>
        <w:adjustRightInd w:val="0"/>
        <w:snapToGrid w:val="0"/>
        <w:textAlignment w:val="auto"/>
        <w:rPr>
          <w:rFonts w:hint="eastAsia" w:cs="Times New Roman"/>
          <w:color w:val="auto"/>
          <w:highlight w:val="none"/>
          <w:lang w:val="en-US" w:eastAsia="zh-CN"/>
        </w:rPr>
      </w:pPr>
      <w:r>
        <w:rPr>
          <w:rFonts w:hint="eastAsia" w:cs="Times New Roman"/>
          <w:color w:val="auto"/>
          <w:highlight w:val="none"/>
          <w:lang w:val="en-US" w:eastAsia="zh-CN"/>
        </w:rPr>
        <w:t>建议项目单位联合各级部门单位针对补贴政策执行的难点和痛点，认真总结经验，按照自治区更新的</w:t>
      </w:r>
      <w:r>
        <w:rPr>
          <w:rFonts w:hint="eastAsia" w:cs="Times New Roman"/>
          <w:color w:val="auto"/>
          <w:szCs w:val="21"/>
          <w:lang w:eastAsia="zh-CN"/>
        </w:rPr>
        <w:t>《</w:t>
      </w:r>
      <w:r>
        <w:rPr>
          <w:rFonts w:hint="default" w:ascii="Times New Roman" w:hAnsi="Times New Roman" w:cs="Times New Roman"/>
          <w:color w:val="auto"/>
          <w:szCs w:val="21"/>
        </w:rPr>
        <w:t>关于印发</w:t>
      </w:r>
      <w:r>
        <w:rPr>
          <w:rFonts w:hint="eastAsia" w:cs="Times New Roman"/>
          <w:color w:val="auto"/>
          <w:szCs w:val="21"/>
          <w:lang w:val="en-US" w:eastAsia="zh-CN"/>
        </w:rPr>
        <w:t>&lt;</w:t>
      </w:r>
      <w:r>
        <w:rPr>
          <w:rFonts w:hint="default" w:ascii="Times New Roman" w:hAnsi="Times New Roman" w:cs="Times New Roman"/>
          <w:color w:val="auto"/>
          <w:szCs w:val="21"/>
        </w:rPr>
        <w:t>新疆维吾尔自治区2024-2026年农机购置与应用补贴实施方案</w:t>
      </w:r>
      <w:r>
        <w:rPr>
          <w:rFonts w:hint="eastAsia" w:cs="Times New Roman"/>
          <w:color w:val="auto"/>
          <w:szCs w:val="21"/>
          <w:lang w:val="en-US" w:eastAsia="zh-CN"/>
        </w:rPr>
        <w:t>&gt;</w:t>
      </w:r>
      <w:r>
        <w:rPr>
          <w:rFonts w:hint="default" w:ascii="Times New Roman" w:hAnsi="Times New Roman" w:cs="Times New Roman"/>
          <w:color w:val="auto"/>
          <w:szCs w:val="21"/>
        </w:rPr>
        <w:t>的通知</w:t>
      </w:r>
      <w:r>
        <w:rPr>
          <w:rFonts w:hint="eastAsia" w:cs="Times New Roman"/>
          <w:color w:val="auto"/>
          <w:szCs w:val="21"/>
          <w:lang w:eastAsia="zh-CN"/>
        </w:rPr>
        <w:t>》（</w:t>
      </w:r>
      <w:r>
        <w:rPr>
          <w:rFonts w:hint="default" w:ascii="Times New Roman" w:hAnsi="Times New Roman" w:cs="Times New Roman"/>
          <w:color w:val="auto"/>
          <w:szCs w:val="21"/>
        </w:rPr>
        <w:t>新农机函</w:t>
      </w:r>
      <w:r>
        <w:rPr>
          <w:rFonts w:hint="eastAsia" w:ascii="宋体" w:hAnsi="宋体" w:eastAsia="宋体" w:cs="宋体"/>
          <w:color w:val="auto"/>
          <w:szCs w:val="21"/>
        </w:rPr>
        <w:t>〔</w:t>
      </w:r>
      <w:r>
        <w:rPr>
          <w:rFonts w:hint="default" w:ascii="Times New Roman" w:hAnsi="Times New Roman" w:cs="Times New Roman"/>
          <w:color w:val="auto"/>
          <w:szCs w:val="21"/>
        </w:rPr>
        <w:t>2024</w:t>
      </w:r>
      <w:r>
        <w:rPr>
          <w:rFonts w:hint="eastAsia" w:ascii="宋体" w:hAnsi="宋体" w:eastAsia="宋体" w:cs="宋体"/>
          <w:color w:val="auto"/>
          <w:szCs w:val="21"/>
        </w:rPr>
        <w:t>〕</w:t>
      </w:r>
      <w:r>
        <w:rPr>
          <w:rFonts w:hint="default" w:ascii="Times New Roman" w:hAnsi="Times New Roman" w:cs="Times New Roman"/>
          <w:color w:val="auto"/>
          <w:szCs w:val="21"/>
        </w:rPr>
        <w:t>740号</w:t>
      </w:r>
      <w:r>
        <w:rPr>
          <w:rFonts w:hint="eastAsia" w:cs="Times New Roman"/>
          <w:color w:val="auto"/>
          <w:szCs w:val="21"/>
          <w:lang w:eastAsia="zh-CN"/>
        </w:rPr>
        <w:t>）</w:t>
      </w:r>
      <w:r>
        <w:rPr>
          <w:rFonts w:hint="eastAsia" w:cs="Times New Roman"/>
          <w:color w:val="auto"/>
          <w:highlight w:val="none"/>
          <w:lang w:val="en-US" w:eastAsia="zh-CN"/>
        </w:rPr>
        <w:t>等政策文件要求，落实好今后农机购置与应用补贴的政策执行力度，加强对录入农机具核验过程的监督管理，提高信息审核的准确性，结合新疆维吾尔自治区农机购置与应用补贴申请办理服务系统对机具补贴申请受理核查时限、机具补贴兑付时限的超时预警，加强对办理时限的把控，提升受理审核及补贴兑付的工作效率，确保项目精准施策。</w:t>
      </w:r>
    </w:p>
    <w:p w14:paraId="098A0B76">
      <w:pPr>
        <w:keepNext w:val="0"/>
        <w:keepLines w:val="0"/>
        <w:pageBreakBefore w:val="0"/>
        <w:kinsoku/>
        <w:wordWrap/>
        <w:overflowPunct/>
        <w:topLinePunct w:val="0"/>
        <w:autoSpaceDE/>
        <w:autoSpaceDN/>
        <w:bidi w:val="0"/>
        <w:adjustRightInd w:val="0"/>
        <w:snapToGrid w:val="0"/>
        <w:ind w:firstLine="422"/>
        <w:textAlignment w:val="auto"/>
        <w:rPr>
          <w:rFonts w:hint="default" w:ascii="Times New Roman" w:hAnsi="Times New Roman" w:eastAsia="宋体" w:cs="Times New Roman"/>
          <w:b/>
          <w:bCs/>
          <w:lang w:val="en-US" w:eastAsia="zh-CN"/>
        </w:rPr>
      </w:pPr>
      <w:bookmarkStart w:id="105" w:name="_Toc28189"/>
      <w:bookmarkStart w:id="106" w:name="_Toc32445"/>
      <w:r>
        <w:rPr>
          <w:rFonts w:hint="eastAsia" w:ascii="Times New Roman" w:hAnsi="Times New Roman" w:cs="Times New Roman"/>
          <w:b/>
          <w:bCs/>
          <w:lang w:val="en-US" w:eastAsia="zh-CN"/>
        </w:rPr>
        <w:t>2.</w:t>
      </w:r>
      <w:r>
        <w:rPr>
          <w:rFonts w:hint="default" w:ascii="Times New Roman" w:hAnsi="Times New Roman" w:cs="Times New Roman"/>
          <w:b/>
          <w:bCs/>
          <w:lang w:eastAsia="zh-Hans"/>
        </w:rPr>
        <w:t>加强政策宣传</w:t>
      </w:r>
      <w:r>
        <w:rPr>
          <w:rFonts w:hint="eastAsia" w:ascii="Times New Roman" w:hAnsi="Times New Roman" w:cs="Times New Roman"/>
          <w:b/>
          <w:bCs/>
          <w:lang w:eastAsia="zh-CN"/>
        </w:rPr>
        <w:t>，</w:t>
      </w:r>
      <w:r>
        <w:rPr>
          <w:rFonts w:hint="eastAsia" w:ascii="Times New Roman" w:hAnsi="Times New Roman" w:cs="Times New Roman"/>
          <w:b/>
          <w:bCs/>
          <w:lang w:val="en-US" w:eastAsia="zh-CN"/>
        </w:rPr>
        <w:t>提高公开透明度</w:t>
      </w:r>
    </w:p>
    <w:p w14:paraId="45DC8779">
      <w:pPr>
        <w:keepNext w:val="0"/>
        <w:keepLines w:val="0"/>
        <w:pageBreakBefore w:val="0"/>
        <w:kinsoku/>
        <w:wordWrap/>
        <w:overflowPunct/>
        <w:topLinePunct w:val="0"/>
        <w:autoSpaceDE/>
        <w:autoSpaceDN/>
        <w:bidi w:val="0"/>
        <w:adjustRightInd w:val="0"/>
        <w:snapToGrid w:val="0"/>
        <w:ind w:firstLine="420" w:firstLineChars="200"/>
        <w:textAlignment w:val="auto"/>
        <w:rPr>
          <w:rFonts w:hint="default" w:ascii="Times New Roman" w:hAnsi="Times New Roman" w:cs="Times New Roman"/>
          <w:lang w:eastAsia="zh-CN"/>
        </w:rPr>
      </w:pPr>
      <w:r>
        <w:rPr>
          <w:rFonts w:hint="eastAsia" w:ascii="Times New Roman" w:hAnsi="Times New Roman" w:cs="Times New Roman"/>
          <w:lang w:val="en-US" w:eastAsia="zh-CN"/>
        </w:rPr>
        <w:t>建议</w:t>
      </w:r>
      <w:r>
        <w:rPr>
          <w:rFonts w:hint="default" w:ascii="Times New Roman" w:hAnsi="Times New Roman" w:cs="Times New Roman"/>
          <w:lang w:eastAsia="zh-Hans"/>
        </w:rPr>
        <w:t>项目</w:t>
      </w:r>
      <w:r>
        <w:rPr>
          <w:rFonts w:hint="default" w:ascii="Times New Roman" w:hAnsi="Times New Roman" w:cs="Times New Roman"/>
          <w:lang w:val="en-US" w:eastAsia="zh-CN"/>
        </w:rPr>
        <w:t>实施</w:t>
      </w:r>
      <w:r>
        <w:rPr>
          <w:rFonts w:hint="default" w:ascii="Times New Roman" w:hAnsi="Times New Roman" w:cs="Times New Roman"/>
          <w:lang w:eastAsia="zh-Hans"/>
        </w:rPr>
        <w:t>单位应通过门户网站、微信公众号以及电话一对一沟通等方式传达相关政策，提高各部门及农户对政策的知晓度，</w:t>
      </w:r>
      <w:r>
        <w:rPr>
          <w:rFonts w:hint="eastAsia" w:ascii="Times New Roman" w:hAnsi="Times New Roman" w:cs="Times New Roman"/>
          <w:lang w:val="en-US" w:eastAsia="zh-CN"/>
        </w:rPr>
        <w:t>促使</w:t>
      </w:r>
      <w:r>
        <w:rPr>
          <w:rFonts w:hint="default" w:ascii="Times New Roman" w:hAnsi="Times New Roman" w:cs="Times New Roman"/>
          <w:lang w:eastAsia="zh-Hans"/>
        </w:rPr>
        <w:t>符合条件的农户都能</w:t>
      </w:r>
      <w:r>
        <w:rPr>
          <w:rFonts w:hint="eastAsia" w:ascii="Times New Roman" w:hAnsi="Times New Roman" w:cs="Times New Roman"/>
          <w:lang w:val="en-US" w:eastAsia="zh-CN"/>
        </w:rPr>
        <w:t>及时了解</w:t>
      </w:r>
      <w:r>
        <w:rPr>
          <w:rFonts w:hint="default" w:ascii="Times New Roman" w:hAnsi="Times New Roman" w:cs="Times New Roman"/>
          <w:lang w:eastAsia="zh-Hans"/>
        </w:rPr>
        <w:t>政策</w:t>
      </w:r>
      <w:r>
        <w:rPr>
          <w:rFonts w:hint="eastAsia" w:ascii="Times New Roman" w:hAnsi="Times New Roman" w:cs="Times New Roman"/>
          <w:lang w:val="en-US" w:eastAsia="zh-CN"/>
        </w:rPr>
        <w:t>并按时申报</w:t>
      </w:r>
      <w:r>
        <w:rPr>
          <w:rFonts w:hint="eastAsia"/>
        </w:rPr>
        <w:t>。</w:t>
      </w:r>
    </w:p>
    <w:p w14:paraId="507EDA24">
      <w:pPr>
        <w:keepNext/>
        <w:keepLines/>
        <w:pageBreakBefore w:val="0"/>
        <w:widowControl w:val="0"/>
        <w:numPr>
          <w:ilvl w:val="0"/>
          <w:numId w:val="3"/>
        </w:numPr>
        <w:kinsoku/>
        <w:wordWrap/>
        <w:overflowPunct/>
        <w:topLinePunct w:val="0"/>
        <w:autoSpaceDE/>
        <w:autoSpaceDN/>
        <w:bidi w:val="0"/>
        <w:adjustRightInd w:val="0"/>
        <w:snapToGrid w:val="0"/>
        <w:spacing w:before="0" w:after="0" w:line="360" w:lineRule="auto"/>
        <w:ind w:firstLine="482"/>
        <w:textAlignment w:val="auto"/>
        <w:outlineLvl w:val="0"/>
        <w:rPr>
          <w:rFonts w:hint="eastAsia" w:ascii="Times New Roman" w:hAnsi="Times New Roman" w:eastAsia="宋体" w:cs="Times New Roman"/>
          <w:b/>
          <w:bCs/>
          <w:color w:val="auto"/>
          <w:kern w:val="44"/>
          <w:sz w:val="24"/>
          <w:szCs w:val="44"/>
          <w:lang w:val="en-US" w:eastAsia="zh-CN" w:bidi="ar-SA"/>
        </w:rPr>
      </w:pPr>
      <w:r>
        <w:rPr>
          <w:rFonts w:hint="eastAsia" w:ascii="Times New Roman" w:hAnsi="Times New Roman" w:eastAsia="宋体" w:cs="Times New Roman"/>
          <w:b/>
          <w:bCs/>
          <w:color w:val="auto"/>
          <w:kern w:val="44"/>
          <w:sz w:val="24"/>
          <w:szCs w:val="44"/>
          <w:lang w:val="en-US" w:eastAsia="zh-CN" w:bidi="ar-SA"/>
        </w:rPr>
        <w:t>绩效评价结果应用建议</w:t>
      </w:r>
      <w:bookmarkEnd w:id="105"/>
    </w:p>
    <w:p w14:paraId="0C2B0C14">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1"/>
        <w:rPr>
          <w:rFonts w:hint="eastAsia" w:ascii="Times New Roman" w:hAnsi="Times New Roman" w:eastAsia="宋体" w:cs="Times New Roman"/>
          <w:b/>
          <w:bCs/>
          <w:color w:val="auto"/>
          <w:kern w:val="2"/>
          <w:sz w:val="21"/>
          <w:szCs w:val="21"/>
          <w:lang w:val="en-US" w:eastAsia="zh-CN" w:bidi="ar-SA"/>
        </w:rPr>
      </w:pPr>
      <w:bookmarkStart w:id="107" w:name="_Toc26482"/>
      <w:r>
        <w:rPr>
          <w:rFonts w:hint="eastAsia" w:ascii="Times New Roman" w:hAnsi="Times New Roman"/>
          <w:b/>
          <w:bCs/>
          <w:color w:val="auto"/>
          <w:lang w:val="en-US" w:eastAsia="zh-CN"/>
        </w:rPr>
        <w:t>（一）绩效结果挂钩次年预算资金安排</w:t>
      </w:r>
      <w:bookmarkEnd w:id="107"/>
    </w:p>
    <w:p w14:paraId="2F03D338">
      <w:pPr>
        <w:keepNext w:val="0"/>
        <w:keepLines w:val="0"/>
        <w:pageBreakBefore w:val="0"/>
        <w:kinsoku/>
        <w:wordWrap/>
        <w:overflowPunct/>
        <w:topLinePunct w:val="0"/>
        <w:autoSpaceDE/>
        <w:autoSpaceDN/>
        <w:bidi w:val="0"/>
        <w:adjustRightInd w:val="0"/>
        <w:snapToGrid w:val="0"/>
        <w:ind w:firstLine="420" w:firstLineChars="200"/>
        <w:textAlignment w:val="auto"/>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eastAsia="宋体" w:cs="Times New Roman"/>
          <w:b w:val="0"/>
          <w:bCs w:val="0"/>
          <w:color w:val="auto"/>
          <w:kern w:val="2"/>
          <w:sz w:val="21"/>
          <w:szCs w:val="21"/>
          <w:lang w:val="en-US" w:eastAsia="zh-CN" w:bidi="ar-SA"/>
        </w:rPr>
        <w:t>为有效提高财政预算资金的经济性、效率性、效益性和公平性，建议将本次绩效评价结果作为预算单位次年预算编制的重要依据，并优化支出结构、完善相关办法、改进预算管理。</w:t>
      </w:r>
    </w:p>
    <w:p w14:paraId="61FF002B">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1"/>
        <w:rPr>
          <w:rFonts w:hint="eastAsia" w:ascii="Times New Roman" w:hAnsi="Times New Roman"/>
          <w:b/>
          <w:bCs/>
          <w:color w:val="auto"/>
          <w:lang w:val="en-US" w:eastAsia="zh-CN"/>
        </w:rPr>
      </w:pPr>
      <w:bookmarkStart w:id="108" w:name="_Toc13400"/>
      <w:r>
        <w:rPr>
          <w:rFonts w:hint="eastAsia" w:ascii="Times New Roman" w:hAnsi="Times New Roman"/>
          <w:b/>
          <w:bCs/>
          <w:color w:val="auto"/>
          <w:lang w:val="en-US" w:eastAsia="zh-CN"/>
        </w:rPr>
        <w:t>（二）绩效结果挂钩整改措施</w:t>
      </w:r>
      <w:bookmarkEnd w:id="108"/>
    </w:p>
    <w:p w14:paraId="6B9E2159">
      <w:pPr>
        <w:keepNext w:val="0"/>
        <w:keepLines w:val="0"/>
        <w:pageBreakBefore w:val="0"/>
        <w:kinsoku/>
        <w:wordWrap/>
        <w:overflowPunct/>
        <w:topLinePunct w:val="0"/>
        <w:autoSpaceDE/>
        <w:autoSpaceDN/>
        <w:bidi w:val="0"/>
        <w:adjustRightInd w:val="0"/>
        <w:snapToGrid w:val="0"/>
        <w:ind w:firstLine="420" w:firstLineChars="200"/>
        <w:textAlignment w:val="auto"/>
        <w:rPr>
          <w:rFonts w:hint="eastAsia" w:ascii="Times New Roman" w:hAnsi="Times New Roman"/>
          <w:color w:val="auto"/>
          <w:lang w:val="en-US" w:eastAsia="zh-CN"/>
        </w:rPr>
      </w:pPr>
      <w:r>
        <w:rPr>
          <w:rFonts w:hint="eastAsia" w:ascii="Times New Roman" w:hAnsi="Times New Roman"/>
          <w:color w:val="auto"/>
          <w:lang w:val="en-US" w:eastAsia="zh-CN"/>
        </w:rPr>
        <w:t>根据本次绩效评价报告中所反馈的问题和建议，由项目实施单位及时研究制定整改措施，积极落实整改要求，切实改进资金管理和项目</w:t>
      </w:r>
      <w:r>
        <w:rPr>
          <w:rFonts w:hint="eastAsia" w:ascii="Times New Roman" w:hAnsi="Times New Roman" w:eastAsia="宋体" w:cs="Times New Roman"/>
          <w:b w:val="0"/>
          <w:bCs w:val="0"/>
          <w:color w:val="auto"/>
          <w:kern w:val="2"/>
          <w:sz w:val="21"/>
          <w:szCs w:val="21"/>
          <w:lang w:val="en-US" w:eastAsia="zh-CN" w:bidi="ar-SA"/>
        </w:rPr>
        <w:t>管理</w:t>
      </w:r>
      <w:r>
        <w:rPr>
          <w:rFonts w:hint="eastAsia" w:ascii="Times New Roman" w:hAnsi="Times New Roman"/>
          <w:color w:val="auto"/>
          <w:lang w:val="en-US" w:eastAsia="zh-CN"/>
        </w:rPr>
        <w:t>，并在规定的时间内，将整改情况向</w:t>
      </w:r>
      <w:r>
        <w:rPr>
          <w:rFonts w:hint="eastAsia"/>
          <w:color w:val="auto"/>
          <w:lang w:val="en-US" w:eastAsia="zh-CN"/>
        </w:rPr>
        <w:t>吉木萨尔县财政局</w:t>
      </w:r>
      <w:r>
        <w:rPr>
          <w:rFonts w:hint="eastAsia" w:ascii="Times New Roman" w:hAnsi="Times New Roman"/>
          <w:color w:val="auto"/>
          <w:lang w:val="en-US" w:eastAsia="zh-CN"/>
        </w:rPr>
        <w:t>行文报告，并附《绩效评价结果整改报告》。</w:t>
      </w:r>
    </w:p>
    <w:p w14:paraId="4912AD68">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1"/>
        <w:rPr>
          <w:rFonts w:hint="eastAsia" w:ascii="Times New Roman" w:hAnsi="Times New Roman"/>
          <w:b/>
          <w:bCs/>
          <w:color w:val="auto"/>
          <w:lang w:val="en-US" w:eastAsia="zh-CN"/>
        </w:rPr>
      </w:pPr>
      <w:bookmarkStart w:id="109" w:name="_Toc2345"/>
      <w:r>
        <w:rPr>
          <w:rFonts w:hint="eastAsia" w:ascii="Times New Roman" w:hAnsi="Times New Roman"/>
          <w:b/>
          <w:bCs/>
          <w:color w:val="auto"/>
          <w:lang w:val="en-US" w:eastAsia="zh-CN"/>
        </w:rPr>
        <w:t>（三）绩效结果挂钩报告公开</w:t>
      </w:r>
      <w:bookmarkEnd w:id="109"/>
    </w:p>
    <w:p w14:paraId="7F252A9B">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eastAsia" w:ascii="Times New Roman" w:hAnsi="Times New Roman" w:eastAsia="宋体" w:cs="Times New Roman"/>
          <w:b w:val="0"/>
          <w:bCs w:val="0"/>
          <w:color w:val="auto"/>
          <w:kern w:val="2"/>
          <w:sz w:val="21"/>
          <w:szCs w:val="21"/>
          <w:lang w:val="en-US" w:eastAsia="zh-CN" w:bidi="ar-SA"/>
        </w:rPr>
      </w:pPr>
      <w:r>
        <w:rPr>
          <w:rFonts w:hint="eastAsia" w:ascii="Times New Roman" w:hAnsi="Times New Roman"/>
          <w:color w:val="auto"/>
          <w:lang w:val="en-US" w:eastAsia="zh-CN"/>
        </w:rPr>
        <w:t>积极推进评价结果和评价报告</w:t>
      </w:r>
      <w:r>
        <w:rPr>
          <w:rFonts w:hint="eastAsia" w:ascii="Times New Roman" w:hAnsi="Times New Roman" w:eastAsia="宋体" w:cs="Times New Roman"/>
          <w:b w:val="0"/>
          <w:bCs w:val="0"/>
          <w:color w:val="auto"/>
          <w:kern w:val="2"/>
          <w:sz w:val="21"/>
          <w:szCs w:val="21"/>
          <w:lang w:val="en-US" w:eastAsia="zh-CN" w:bidi="ar-SA"/>
        </w:rPr>
        <w:t>等绩效信息的公开。按照政府信息公开有关规定，由</w:t>
      </w:r>
      <w:r>
        <w:rPr>
          <w:rFonts w:hint="eastAsia" w:cs="Times New Roman"/>
          <w:b w:val="0"/>
          <w:bCs w:val="0"/>
          <w:color w:val="auto"/>
          <w:kern w:val="2"/>
          <w:sz w:val="21"/>
          <w:szCs w:val="21"/>
          <w:lang w:val="en-US" w:eastAsia="zh-CN" w:bidi="ar-SA"/>
        </w:rPr>
        <w:t>吉木萨尔县财政局</w:t>
      </w:r>
      <w:r>
        <w:rPr>
          <w:rFonts w:hint="eastAsia" w:ascii="Times New Roman" w:hAnsi="Times New Roman" w:eastAsia="宋体" w:cs="Times New Roman"/>
          <w:b w:val="0"/>
          <w:bCs w:val="0"/>
          <w:color w:val="auto"/>
          <w:kern w:val="2"/>
          <w:sz w:val="21"/>
          <w:szCs w:val="21"/>
          <w:lang w:val="en-US" w:eastAsia="zh-CN" w:bidi="ar-SA"/>
        </w:rPr>
        <w:t>将本次绩效评价的结果信息进行公开，加强社会和舆论监督，提高财政资金使用透明度。</w:t>
      </w:r>
    </w:p>
    <w:p w14:paraId="5103BBA4">
      <w:pPr>
        <w:pStyle w:val="2"/>
        <w:pageBreakBefore w:val="0"/>
        <w:widowControl w:val="0"/>
        <w:numPr>
          <w:ilvl w:val="0"/>
          <w:numId w:val="3"/>
        </w:numPr>
        <w:kinsoku/>
        <w:wordWrap/>
        <w:overflowPunct/>
        <w:topLinePunct w:val="0"/>
        <w:autoSpaceDE/>
        <w:autoSpaceDN/>
        <w:bidi w:val="0"/>
        <w:adjustRightInd w:val="0"/>
        <w:snapToGrid w:val="0"/>
        <w:spacing w:before="0" w:after="0" w:line="360" w:lineRule="auto"/>
        <w:ind w:firstLine="482"/>
        <w:textAlignment w:val="auto"/>
        <w:rPr>
          <w:rFonts w:hint="eastAsia" w:ascii="Times New Roman" w:hAnsi="Times New Roman" w:cs="Times New Roman"/>
          <w:color w:val="auto"/>
        </w:rPr>
      </w:pPr>
      <w:bookmarkStart w:id="110" w:name="_Toc26008"/>
      <w:r>
        <w:rPr>
          <w:rFonts w:hint="eastAsia" w:ascii="Times New Roman" w:hAnsi="Times New Roman" w:cs="Times New Roman"/>
          <w:color w:val="auto"/>
        </w:rPr>
        <w:t>其他需要说明的问题</w:t>
      </w:r>
      <w:bookmarkEnd w:id="106"/>
      <w:bookmarkEnd w:id="110"/>
    </w:p>
    <w:p w14:paraId="15CE7F71">
      <w:pPr>
        <w:pageBreakBefore w:val="0"/>
        <w:kinsoku/>
        <w:wordWrap/>
        <w:overflowPunct/>
        <w:topLinePunct w:val="0"/>
        <w:autoSpaceDE/>
        <w:autoSpaceDN/>
        <w:bidi w:val="0"/>
        <w:snapToGrid w:val="0"/>
        <w:spacing w:line="360" w:lineRule="auto"/>
        <w:ind w:firstLine="420"/>
        <w:rPr>
          <w:color w:val="auto"/>
        </w:rPr>
      </w:pPr>
      <w:r>
        <w:rPr>
          <w:rFonts w:hint="eastAsia"/>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14:paraId="56F66297">
      <w:pPr>
        <w:pageBreakBefore w:val="0"/>
        <w:kinsoku/>
        <w:wordWrap/>
        <w:overflowPunct/>
        <w:topLinePunct w:val="0"/>
        <w:autoSpaceDE/>
        <w:autoSpaceDN/>
        <w:bidi w:val="0"/>
        <w:snapToGrid w:val="0"/>
        <w:spacing w:before="0" w:after="0" w:line="240" w:lineRule="auto"/>
        <w:ind w:firstLine="420"/>
        <w:rPr>
          <w:color w:val="auto"/>
        </w:rPr>
      </w:pP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14:paraId="1A67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3137C337">
            <w:pPr>
              <w:pageBreakBefore w:val="0"/>
              <w:kinsoku/>
              <w:wordWrap/>
              <w:overflowPunct/>
              <w:topLinePunct w:val="0"/>
              <w:autoSpaceDE/>
              <w:autoSpaceDN/>
              <w:bidi w:val="0"/>
              <w:snapToGrid w:val="0"/>
              <w:spacing w:before="0" w:after="0" w:line="240" w:lineRule="auto"/>
              <w:ind w:firstLine="420"/>
              <w:rPr>
                <w:color w:val="auto"/>
              </w:rPr>
            </w:pPr>
          </w:p>
        </w:tc>
        <w:tc>
          <w:tcPr>
            <w:tcW w:w="4798" w:type="dxa"/>
            <w:tcBorders>
              <w:top w:val="nil"/>
              <w:left w:val="nil"/>
              <w:bottom w:val="nil"/>
              <w:right w:val="nil"/>
            </w:tcBorders>
            <w:vAlign w:val="center"/>
          </w:tcPr>
          <w:p w14:paraId="3B214D1E">
            <w:pPr>
              <w:pageBreakBefore w:val="0"/>
              <w:kinsoku/>
              <w:wordWrap/>
              <w:overflowPunct/>
              <w:topLinePunct w:val="0"/>
              <w:autoSpaceDE/>
              <w:autoSpaceDN/>
              <w:bidi w:val="0"/>
              <w:snapToGrid w:val="0"/>
              <w:spacing w:before="0" w:after="0" w:line="240" w:lineRule="auto"/>
              <w:ind w:firstLine="0" w:firstLineChars="0"/>
              <w:rPr>
                <w:color w:val="auto"/>
              </w:rPr>
            </w:pPr>
            <w:r>
              <w:rPr>
                <w:rFonts w:eastAsia="黑体"/>
                <w:color w:val="auto"/>
              </w:rPr>
              <w:t>评价机构：新疆驰远天合有限责任会计师事务所</w:t>
            </w:r>
          </w:p>
        </w:tc>
      </w:tr>
      <w:tr w14:paraId="636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07FFA5AA">
            <w:pPr>
              <w:pageBreakBefore w:val="0"/>
              <w:kinsoku/>
              <w:wordWrap/>
              <w:overflowPunct/>
              <w:topLinePunct w:val="0"/>
              <w:autoSpaceDE/>
              <w:autoSpaceDN/>
              <w:bidi w:val="0"/>
              <w:snapToGrid w:val="0"/>
              <w:spacing w:before="0" w:after="0" w:line="240" w:lineRule="auto"/>
              <w:ind w:firstLine="420"/>
              <w:rPr>
                <w:color w:val="auto"/>
              </w:rPr>
            </w:pPr>
          </w:p>
        </w:tc>
        <w:tc>
          <w:tcPr>
            <w:tcW w:w="4798" w:type="dxa"/>
            <w:tcBorders>
              <w:top w:val="nil"/>
              <w:left w:val="nil"/>
              <w:bottom w:val="nil"/>
              <w:right w:val="nil"/>
            </w:tcBorders>
            <w:vAlign w:val="center"/>
          </w:tcPr>
          <w:p w14:paraId="42DD4208">
            <w:pPr>
              <w:pageBreakBefore w:val="0"/>
              <w:kinsoku/>
              <w:wordWrap/>
              <w:overflowPunct/>
              <w:topLinePunct w:val="0"/>
              <w:autoSpaceDE/>
              <w:autoSpaceDN/>
              <w:bidi w:val="0"/>
              <w:snapToGrid w:val="0"/>
              <w:spacing w:before="0" w:after="0" w:line="240" w:lineRule="auto"/>
              <w:ind w:firstLine="0" w:firstLineChars="0"/>
              <w:rPr>
                <w:color w:val="auto"/>
              </w:rPr>
            </w:pPr>
            <w:r>
              <w:rPr>
                <w:rFonts w:eastAsia="黑体"/>
                <w:color w:val="auto"/>
              </w:rPr>
              <w:t>评价时间：202</w:t>
            </w:r>
            <w:r>
              <w:rPr>
                <w:rFonts w:hint="eastAsia" w:eastAsia="黑体"/>
                <w:color w:val="auto"/>
                <w:lang w:val="en-US" w:eastAsia="zh-CN"/>
              </w:rPr>
              <w:t>5</w:t>
            </w:r>
            <w:r>
              <w:rPr>
                <w:rFonts w:eastAsia="黑体"/>
                <w:color w:val="auto"/>
              </w:rPr>
              <w:t>年</w:t>
            </w:r>
            <w:r>
              <w:rPr>
                <w:rFonts w:hint="eastAsia" w:eastAsia="黑体"/>
                <w:color w:val="auto"/>
                <w:lang w:val="en-US" w:eastAsia="zh-CN"/>
              </w:rPr>
              <w:t>8</w:t>
            </w:r>
            <w:r>
              <w:rPr>
                <w:rFonts w:hint="eastAsia" w:eastAsia="黑体"/>
                <w:color w:val="auto"/>
              </w:rPr>
              <w:t>月</w:t>
            </w:r>
          </w:p>
        </w:tc>
      </w:tr>
    </w:tbl>
    <w:p w14:paraId="06D6F033">
      <w:pPr>
        <w:pageBreakBefore w:val="0"/>
        <w:kinsoku/>
        <w:wordWrap/>
        <w:overflowPunct/>
        <w:topLinePunct w:val="0"/>
        <w:autoSpaceDE/>
        <w:autoSpaceDN/>
        <w:bidi w:val="0"/>
        <w:snapToGrid w:val="0"/>
        <w:spacing w:line="360" w:lineRule="auto"/>
        <w:ind w:firstLine="3150" w:firstLineChars="1500"/>
        <w:rPr>
          <w:rFonts w:eastAsia="黑体"/>
          <w:color w:val="auto"/>
        </w:rPr>
        <w:sectPr>
          <w:footerReference r:id="rId14" w:type="default"/>
          <w:pgSz w:w="11906" w:h="16838"/>
          <w:pgMar w:top="1440" w:right="1800" w:bottom="1440" w:left="1800" w:header="851" w:footer="850" w:gutter="0"/>
          <w:pgNumType w:start="1"/>
          <w:cols w:space="425" w:num="1"/>
          <w:docGrid w:type="lines" w:linePitch="312" w:charSpace="0"/>
        </w:sectPr>
      </w:pPr>
    </w:p>
    <w:p w14:paraId="1A7845C2">
      <w:pPr>
        <w:pStyle w:val="2"/>
        <w:pageBreakBefore w:val="0"/>
        <w:kinsoku/>
        <w:wordWrap/>
        <w:overflowPunct/>
        <w:topLinePunct w:val="0"/>
        <w:autoSpaceDE/>
        <w:autoSpaceDN/>
        <w:bidi w:val="0"/>
        <w:snapToGrid w:val="0"/>
        <w:spacing w:line="360" w:lineRule="auto"/>
        <w:ind w:firstLine="0" w:firstLineChars="0"/>
        <w:rPr>
          <w:color w:val="auto"/>
        </w:rPr>
      </w:pPr>
      <w:bookmarkStart w:id="111" w:name="_Toc22357"/>
      <w:bookmarkStart w:id="112" w:name="_Toc25777"/>
      <w:bookmarkStart w:id="113" w:name="_Toc26098"/>
      <w:bookmarkStart w:id="114" w:name="_Toc6006"/>
      <w:bookmarkStart w:id="115" w:name="_Toc12265"/>
      <w:r>
        <w:rPr>
          <w:color w:val="auto"/>
        </w:rPr>
        <w:t>附件1：绩效评价指标体系及综合评价表</w:t>
      </w:r>
      <w:bookmarkEnd w:id="111"/>
    </w:p>
    <w:p w14:paraId="01F95FA0">
      <w:pPr>
        <w:pageBreakBefore w:val="0"/>
        <w:kinsoku/>
        <w:wordWrap/>
        <w:overflowPunct/>
        <w:topLinePunct w:val="0"/>
        <w:autoSpaceDE/>
        <w:autoSpaceDN/>
        <w:bidi w:val="0"/>
        <w:snapToGrid w:val="0"/>
        <w:spacing w:line="360" w:lineRule="auto"/>
        <w:ind w:firstLine="422"/>
        <w:jc w:val="center"/>
        <w:rPr>
          <w:rFonts w:eastAsia="宋体"/>
          <w:b/>
          <w:bCs/>
          <w:color w:val="auto"/>
        </w:rPr>
      </w:pPr>
      <w:r>
        <w:rPr>
          <w:rFonts w:hint="eastAsia"/>
          <w:b/>
          <w:bCs/>
          <w:color w:val="auto"/>
          <w:lang w:eastAsia="zh-CN"/>
        </w:rPr>
        <w:t>农机购置与应用补贴项目</w:t>
      </w:r>
      <w:r>
        <w:rPr>
          <w:rFonts w:eastAsia="宋体"/>
          <w:b/>
          <w:bCs/>
          <w:color w:val="auto"/>
        </w:rPr>
        <w:t>绩效评价指标体系及综合评分表</w:t>
      </w:r>
    </w:p>
    <w:tbl>
      <w:tblPr>
        <w:tblStyle w:val="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942"/>
        <w:gridCol w:w="864"/>
        <w:gridCol w:w="1004"/>
        <w:gridCol w:w="1869"/>
        <w:gridCol w:w="5136"/>
        <w:gridCol w:w="1040"/>
        <w:gridCol w:w="828"/>
        <w:gridCol w:w="832"/>
        <w:gridCol w:w="737"/>
        <w:gridCol w:w="922"/>
      </w:tblGrid>
      <w:tr w14:paraId="36644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blHeader/>
        </w:trPr>
        <w:tc>
          <w:tcPr>
            <w:tcW w:w="942" w:type="dxa"/>
            <w:shd w:val="clear" w:color="auto" w:fill="auto"/>
            <w:vAlign w:val="center"/>
          </w:tcPr>
          <w:p w14:paraId="15EBEF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864" w:type="dxa"/>
            <w:shd w:val="clear" w:color="auto" w:fill="auto"/>
            <w:vAlign w:val="center"/>
          </w:tcPr>
          <w:p w14:paraId="7ECAE7B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004" w:type="dxa"/>
            <w:shd w:val="clear" w:color="auto" w:fill="auto"/>
            <w:vAlign w:val="center"/>
          </w:tcPr>
          <w:p w14:paraId="08FFF4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869" w:type="dxa"/>
            <w:shd w:val="clear" w:color="auto" w:fill="auto"/>
            <w:vAlign w:val="center"/>
          </w:tcPr>
          <w:p w14:paraId="662C452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5136" w:type="dxa"/>
            <w:shd w:val="clear" w:color="auto" w:fill="auto"/>
            <w:vAlign w:val="center"/>
          </w:tcPr>
          <w:p w14:paraId="2227306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评价标准</w:t>
            </w:r>
          </w:p>
        </w:tc>
        <w:tc>
          <w:tcPr>
            <w:tcW w:w="1040" w:type="dxa"/>
            <w:shd w:val="clear" w:color="auto" w:fill="auto"/>
            <w:vAlign w:val="center"/>
          </w:tcPr>
          <w:p w14:paraId="24B08F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目标值</w:t>
            </w:r>
          </w:p>
        </w:tc>
        <w:tc>
          <w:tcPr>
            <w:tcW w:w="828" w:type="dxa"/>
            <w:shd w:val="clear" w:color="auto" w:fill="auto"/>
            <w:vAlign w:val="center"/>
          </w:tcPr>
          <w:p w14:paraId="04FD6B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实际完成值</w:t>
            </w:r>
          </w:p>
        </w:tc>
        <w:tc>
          <w:tcPr>
            <w:tcW w:w="832" w:type="dxa"/>
            <w:shd w:val="clear" w:color="auto" w:fill="auto"/>
            <w:vAlign w:val="center"/>
          </w:tcPr>
          <w:p w14:paraId="4E7FDB7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标杆分值</w:t>
            </w:r>
          </w:p>
        </w:tc>
        <w:tc>
          <w:tcPr>
            <w:tcW w:w="737" w:type="dxa"/>
            <w:shd w:val="clear" w:color="auto" w:fill="auto"/>
            <w:vAlign w:val="center"/>
          </w:tcPr>
          <w:p w14:paraId="7A2B12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指标得分</w:t>
            </w:r>
          </w:p>
        </w:tc>
        <w:tc>
          <w:tcPr>
            <w:tcW w:w="922" w:type="dxa"/>
            <w:shd w:val="clear" w:color="auto" w:fill="auto"/>
            <w:vAlign w:val="center"/>
          </w:tcPr>
          <w:p w14:paraId="0791CDA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得分率</w:t>
            </w:r>
          </w:p>
        </w:tc>
      </w:tr>
      <w:tr w14:paraId="0489C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42" w:type="dxa"/>
            <w:vMerge w:val="restart"/>
            <w:shd w:val="clear" w:color="auto" w:fill="auto"/>
            <w:vAlign w:val="center"/>
          </w:tcPr>
          <w:p w14:paraId="48D99E3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A决策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（10.00分）　</w:t>
            </w:r>
          </w:p>
        </w:tc>
        <w:tc>
          <w:tcPr>
            <w:tcW w:w="864" w:type="dxa"/>
            <w:vMerge w:val="restart"/>
            <w:shd w:val="clear" w:color="auto" w:fill="auto"/>
            <w:vAlign w:val="center"/>
          </w:tcPr>
          <w:p w14:paraId="0A4B140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 项目立项（3.00分）　</w:t>
            </w:r>
          </w:p>
        </w:tc>
        <w:tc>
          <w:tcPr>
            <w:tcW w:w="1004" w:type="dxa"/>
            <w:shd w:val="clear" w:color="auto" w:fill="auto"/>
            <w:vAlign w:val="center"/>
          </w:tcPr>
          <w:p w14:paraId="3D4E462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A11立项依据充分性</w:t>
            </w:r>
          </w:p>
        </w:tc>
        <w:tc>
          <w:tcPr>
            <w:tcW w:w="1869" w:type="dxa"/>
            <w:shd w:val="clear" w:color="auto" w:fill="auto"/>
            <w:vAlign w:val="center"/>
          </w:tcPr>
          <w:p w14:paraId="33904EF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5136" w:type="dxa"/>
            <w:shd w:val="clear" w:color="auto" w:fill="auto"/>
            <w:vAlign w:val="center"/>
          </w:tcPr>
          <w:p w14:paraId="066FCF1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①项目立项是否符合国家法律法规、国民经济发展规划和相关政策；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②项目立项是否符合行业发展规划和政策要求；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③项目立项是否与部门职责范围相符，属于部门履职所需；</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④项目是否属于公共财政支持范围，是否符合中央、地方事权支出责任划分原则；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⑤项目是否与相关部门同类项目或部门内部相关项目重复。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以上五项中，若存在任意不符合情况，每发现一处不符扣0.5分，扣完为止。</w:t>
            </w:r>
          </w:p>
        </w:tc>
        <w:tc>
          <w:tcPr>
            <w:tcW w:w="1040" w:type="dxa"/>
            <w:shd w:val="clear" w:color="auto" w:fill="auto"/>
            <w:vAlign w:val="center"/>
          </w:tcPr>
          <w:p w14:paraId="1DDBEB3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充分</w:t>
            </w:r>
          </w:p>
        </w:tc>
        <w:tc>
          <w:tcPr>
            <w:tcW w:w="828" w:type="dxa"/>
            <w:shd w:val="clear" w:color="auto" w:fill="auto"/>
            <w:vAlign w:val="center"/>
          </w:tcPr>
          <w:p w14:paraId="6D188B8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充分</w:t>
            </w:r>
          </w:p>
        </w:tc>
        <w:tc>
          <w:tcPr>
            <w:tcW w:w="832" w:type="dxa"/>
            <w:shd w:val="clear" w:color="auto" w:fill="auto"/>
            <w:vAlign w:val="center"/>
          </w:tcPr>
          <w:p w14:paraId="1E19B7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737" w:type="dxa"/>
            <w:shd w:val="clear" w:color="auto" w:fill="auto"/>
            <w:vAlign w:val="center"/>
          </w:tcPr>
          <w:p w14:paraId="403717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922" w:type="dxa"/>
            <w:shd w:val="clear" w:color="auto" w:fill="auto"/>
            <w:vAlign w:val="center"/>
          </w:tcPr>
          <w:p w14:paraId="0E8ABC4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A0A2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2D967841">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4F2A7CFD">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sz w:val="18"/>
                <w:szCs w:val="18"/>
                <w:u w:val="none"/>
              </w:rPr>
            </w:pPr>
          </w:p>
        </w:tc>
        <w:tc>
          <w:tcPr>
            <w:tcW w:w="1004" w:type="dxa"/>
            <w:shd w:val="clear" w:color="auto" w:fill="auto"/>
            <w:vAlign w:val="center"/>
          </w:tcPr>
          <w:p w14:paraId="4EA0758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A12立项程序规范性</w:t>
            </w:r>
          </w:p>
        </w:tc>
        <w:tc>
          <w:tcPr>
            <w:tcW w:w="1869" w:type="dxa"/>
            <w:shd w:val="clear" w:color="auto" w:fill="auto"/>
            <w:vAlign w:val="center"/>
          </w:tcPr>
          <w:p w14:paraId="7070C02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5136" w:type="dxa"/>
            <w:shd w:val="clear" w:color="auto" w:fill="auto"/>
            <w:vAlign w:val="center"/>
          </w:tcPr>
          <w:p w14:paraId="6F52C14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①项目是否按照规定的程序申请设立；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②审批文件、材料是否符合相关要求；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③事前是否已经过必要的可行性研究、专家论证、风险评估、绩效评估、集体决策。</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以上三项中，每发现一处不符扣0.5分，扣完为止。</w:t>
            </w:r>
          </w:p>
        </w:tc>
        <w:tc>
          <w:tcPr>
            <w:tcW w:w="1040" w:type="dxa"/>
            <w:shd w:val="clear" w:color="auto" w:fill="auto"/>
            <w:vAlign w:val="center"/>
          </w:tcPr>
          <w:p w14:paraId="3BAD37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合规</w:t>
            </w:r>
          </w:p>
        </w:tc>
        <w:tc>
          <w:tcPr>
            <w:tcW w:w="828" w:type="dxa"/>
            <w:shd w:val="clear" w:color="auto" w:fill="auto"/>
            <w:vAlign w:val="center"/>
          </w:tcPr>
          <w:p w14:paraId="07C0A72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合规</w:t>
            </w:r>
          </w:p>
        </w:tc>
        <w:tc>
          <w:tcPr>
            <w:tcW w:w="832" w:type="dxa"/>
            <w:shd w:val="clear" w:color="auto" w:fill="auto"/>
            <w:vAlign w:val="center"/>
          </w:tcPr>
          <w:p w14:paraId="0D355A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737" w:type="dxa"/>
            <w:shd w:val="clear" w:color="auto" w:fill="auto"/>
            <w:vAlign w:val="center"/>
          </w:tcPr>
          <w:p w14:paraId="3AEFE0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922" w:type="dxa"/>
            <w:shd w:val="clear" w:color="auto" w:fill="auto"/>
            <w:vAlign w:val="center"/>
          </w:tcPr>
          <w:p w14:paraId="17FB24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4A1DA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699F44B3">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restart"/>
            <w:shd w:val="clear" w:color="auto" w:fill="auto"/>
            <w:vAlign w:val="center"/>
          </w:tcPr>
          <w:p w14:paraId="76DD386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 绩效目标（4.00分）　</w:t>
            </w:r>
          </w:p>
        </w:tc>
        <w:tc>
          <w:tcPr>
            <w:tcW w:w="1004" w:type="dxa"/>
            <w:shd w:val="clear" w:color="auto" w:fill="auto"/>
            <w:vAlign w:val="center"/>
          </w:tcPr>
          <w:p w14:paraId="08D3C85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A21绩效目标合理性</w:t>
            </w:r>
          </w:p>
        </w:tc>
        <w:tc>
          <w:tcPr>
            <w:tcW w:w="1869" w:type="dxa"/>
            <w:shd w:val="clear" w:color="auto" w:fill="auto"/>
            <w:vAlign w:val="center"/>
          </w:tcPr>
          <w:p w14:paraId="2A7A2A1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5136" w:type="dxa"/>
            <w:shd w:val="clear" w:color="auto" w:fill="auto"/>
            <w:vAlign w:val="center"/>
          </w:tcPr>
          <w:p w14:paraId="51770C8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①项目是否有绩效目标；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②项目绩效目标与实际工作内容是否具有相关性；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③项目预期产出效益和效果是否符合正常的业绩水平；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④是否与预算确定的项目投资额或资金量相匹配。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若①不符合，则此指标不得分；若①符合，则每发现一处不符扣0.5分，扣完为止。</w:t>
            </w:r>
          </w:p>
        </w:tc>
        <w:tc>
          <w:tcPr>
            <w:tcW w:w="1040" w:type="dxa"/>
            <w:shd w:val="clear" w:color="auto" w:fill="auto"/>
            <w:vAlign w:val="center"/>
          </w:tcPr>
          <w:p w14:paraId="5150DD9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合理</w:t>
            </w:r>
          </w:p>
        </w:tc>
        <w:tc>
          <w:tcPr>
            <w:tcW w:w="828" w:type="dxa"/>
            <w:shd w:val="clear" w:color="auto" w:fill="auto"/>
            <w:vAlign w:val="center"/>
          </w:tcPr>
          <w:p w14:paraId="211F148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合理</w:t>
            </w:r>
          </w:p>
        </w:tc>
        <w:tc>
          <w:tcPr>
            <w:tcW w:w="832" w:type="dxa"/>
            <w:shd w:val="clear" w:color="auto" w:fill="auto"/>
            <w:vAlign w:val="center"/>
          </w:tcPr>
          <w:p w14:paraId="2B7CB2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737" w:type="dxa"/>
            <w:shd w:val="clear" w:color="auto" w:fill="auto"/>
            <w:vAlign w:val="center"/>
          </w:tcPr>
          <w:p w14:paraId="78F5D1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922" w:type="dxa"/>
            <w:shd w:val="clear" w:color="auto" w:fill="auto"/>
            <w:vAlign w:val="center"/>
          </w:tcPr>
          <w:p w14:paraId="051667C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565BD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284F3BBF">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3069C7FA">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sz w:val="18"/>
                <w:szCs w:val="18"/>
                <w:u w:val="none"/>
              </w:rPr>
            </w:pPr>
          </w:p>
        </w:tc>
        <w:tc>
          <w:tcPr>
            <w:tcW w:w="1004" w:type="dxa"/>
            <w:shd w:val="clear" w:color="auto" w:fill="auto"/>
            <w:vAlign w:val="center"/>
          </w:tcPr>
          <w:p w14:paraId="5671DD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A22绩效指标明确性</w:t>
            </w:r>
          </w:p>
        </w:tc>
        <w:tc>
          <w:tcPr>
            <w:tcW w:w="1869" w:type="dxa"/>
            <w:shd w:val="clear" w:color="auto" w:fill="auto"/>
            <w:vAlign w:val="center"/>
          </w:tcPr>
          <w:p w14:paraId="35770944">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5136" w:type="dxa"/>
            <w:shd w:val="clear" w:color="auto" w:fill="auto"/>
            <w:vAlign w:val="center"/>
          </w:tcPr>
          <w:p w14:paraId="526B966D">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1040" w:type="dxa"/>
            <w:shd w:val="clear" w:color="auto" w:fill="auto"/>
            <w:vAlign w:val="center"/>
          </w:tcPr>
          <w:p w14:paraId="54D73D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明确</w:t>
            </w:r>
          </w:p>
        </w:tc>
        <w:tc>
          <w:tcPr>
            <w:tcW w:w="828" w:type="dxa"/>
            <w:shd w:val="clear" w:color="auto" w:fill="auto"/>
            <w:vAlign w:val="center"/>
          </w:tcPr>
          <w:p w14:paraId="325F53D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明确</w:t>
            </w:r>
          </w:p>
        </w:tc>
        <w:tc>
          <w:tcPr>
            <w:tcW w:w="832" w:type="dxa"/>
            <w:shd w:val="clear" w:color="auto" w:fill="auto"/>
            <w:vAlign w:val="center"/>
          </w:tcPr>
          <w:p w14:paraId="16DA09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737" w:type="dxa"/>
            <w:shd w:val="clear" w:color="auto" w:fill="auto"/>
            <w:vAlign w:val="center"/>
          </w:tcPr>
          <w:p w14:paraId="5A2A77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922" w:type="dxa"/>
            <w:shd w:val="clear" w:color="auto" w:fill="auto"/>
            <w:vAlign w:val="center"/>
          </w:tcPr>
          <w:p w14:paraId="0A757D5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5BB04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65D45AF0">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restart"/>
            <w:shd w:val="clear" w:color="auto" w:fill="auto"/>
            <w:vAlign w:val="center"/>
          </w:tcPr>
          <w:p w14:paraId="3094FC0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 资金投入（3.00分）</w:t>
            </w:r>
          </w:p>
        </w:tc>
        <w:tc>
          <w:tcPr>
            <w:tcW w:w="1004" w:type="dxa"/>
            <w:shd w:val="clear" w:color="auto" w:fill="auto"/>
            <w:vAlign w:val="center"/>
          </w:tcPr>
          <w:p w14:paraId="1710B3D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A31预算编制科学性</w:t>
            </w:r>
          </w:p>
        </w:tc>
        <w:tc>
          <w:tcPr>
            <w:tcW w:w="1869" w:type="dxa"/>
            <w:shd w:val="clear" w:color="auto" w:fill="auto"/>
            <w:vAlign w:val="center"/>
          </w:tcPr>
          <w:p w14:paraId="6333A11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5136" w:type="dxa"/>
            <w:shd w:val="clear" w:color="auto" w:fill="auto"/>
            <w:vAlign w:val="center"/>
          </w:tcPr>
          <w:p w14:paraId="5315EFB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①预算编制是否经过科学论证；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②预算内容与项目内容是否匹配；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③预算额度测算依据是否充分，是否按照标准编制；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④预算确定的项目投资额或资金量是否与工作任务相匹配。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每发现一处不符扣0.5分，扣完为止。</w:t>
            </w:r>
          </w:p>
        </w:tc>
        <w:tc>
          <w:tcPr>
            <w:tcW w:w="1040" w:type="dxa"/>
            <w:shd w:val="clear" w:color="auto" w:fill="auto"/>
            <w:vAlign w:val="center"/>
          </w:tcPr>
          <w:p w14:paraId="00B6E6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w:t>
            </w:r>
          </w:p>
        </w:tc>
        <w:tc>
          <w:tcPr>
            <w:tcW w:w="828" w:type="dxa"/>
            <w:shd w:val="clear" w:color="auto" w:fill="auto"/>
            <w:vAlign w:val="center"/>
          </w:tcPr>
          <w:p w14:paraId="0ADA83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科学</w:t>
            </w:r>
          </w:p>
        </w:tc>
        <w:tc>
          <w:tcPr>
            <w:tcW w:w="832" w:type="dxa"/>
            <w:shd w:val="clear" w:color="auto" w:fill="auto"/>
            <w:vAlign w:val="center"/>
          </w:tcPr>
          <w:p w14:paraId="4CAC089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737" w:type="dxa"/>
            <w:shd w:val="clear" w:color="auto" w:fill="auto"/>
            <w:vAlign w:val="center"/>
          </w:tcPr>
          <w:p w14:paraId="3FE3F0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922" w:type="dxa"/>
            <w:shd w:val="clear" w:color="auto" w:fill="auto"/>
            <w:vAlign w:val="center"/>
          </w:tcPr>
          <w:p w14:paraId="21ADE67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45934D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041FDEBB">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670D7F63">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sz w:val="18"/>
                <w:szCs w:val="18"/>
                <w:u w:val="none"/>
              </w:rPr>
            </w:pPr>
          </w:p>
        </w:tc>
        <w:tc>
          <w:tcPr>
            <w:tcW w:w="1004" w:type="dxa"/>
            <w:shd w:val="clear" w:color="auto" w:fill="auto"/>
            <w:vAlign w:val="center"/>
          </w:tcPr>
          <w:p w14:paraId="09F7168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A32资金分配合理性</w:t>
            </w:r>
          </w:p>
        </w:tc>
        <w:tc>
          <w:tcPr>
            <w:tcW w:w="1869" w:type="dxa"/>
            <w:shd w:val="clear" w:color="auto" w:fill="auto"/>
            <w:vAlign w:val="center"/>
          </w:tcPr>
          <w:p w14:paraId="4F77B8B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5136" w:type="dxa"/>
            <w:shd w:val="clear" w:color="auto" w:fill="auto"/>
            <w:vAlign w:val="center"/>
          </w:tcPr>
          <w:p w14:paraId="01100899">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①预算资金分配依据是否充分；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②资金分配额度是否合理，与项目单位或地方实际是否相适应。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以上每发现一处不符扣0.5分，扣完为止。</w:t>
            </w:r>
          </w:p>
        </w:tc>
        <w:tc>
          <w:tcPr>
            <w:tcW w:w="1040" w:type="dxa"/>
            <w:shd w:val="clear" w:color="auto" w:fill="auto"/>
            <w:vAlign w:val="center"/>
          </w:tcPr>
          <w:p w14:paraId="2E25C2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合理</w:t>
            </w:r>
          </w:p>
        </w:tc>
        <w:tc>
          <w:tcPr>
            <w:tcW w:w="828" w:type="dxa"/>
            <w:shd w:val="clear" w:color="auto" w:fill="auto"/>
            <w:vAlign w:val="center"/>
          </w:tcPr>
          <w:p w14:paraId="04D5760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合理</w:t>
            </w:r>
          </w:p>
        </w:tc>
        <w:tc>
          <w:tcPr>
            <w:tcW w:w="832" w:type="dxa"/>
            <w:shd w:val="clear" w:color="auto" w:fill="auto"/>
            <w:vAlign w:val="center"/>
          </w:tcPr>
          <w:p w14:paraId="2A30205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737" w:type="dxa"/>
            <w:shd w:val="clear" w:color="auto" w:fill="auto"/>
            <w:vAlign w:val="center"/>
          </w:tcPr>
          <w:p w14:paraId="25FC6D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1.50 </w:t>
            </w:r>
          </w:p>
        </w:tc>
        <w:tc>
          <w:tcPr>
            <w:tcW w:w="922" w:type="dxa"/>
            <w:shd w:val="clear" w:color="auto" w:fill="auto"/>
            <w:vAlign w:val="center"/>
          </w:tcPr>
          <w:p w14:paraId="6DFDAFF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7907D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815" w:type="dxa"/>
            <w:gridSpan w:val="5"/>
            <w:shd w:val="clear" w:color="auto" w:fill="auto"/>
            <w:vAlign w:val="center"/>
          </w:tcPr>
          <w:p w14:paraId="2C8107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040" w:type="dxa"/>
            <w:shd w:val="clear" w:color="auto" w:fill="auto"/>
            <w:vAlign w:val="center"/>
          </w:tcPr>
          <w:p w14:paraId="526E4D2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18"/>
                <w:szCs w:val="18"/>
                <w:u w:val="none"/>
              </w:rPr>
            </w:pPr>
          </w:p>
        </w:tc>
        <w:tc>
          <w:tcPr>
            <w:tcW w:w="828" w:type="dxa"/>
            <w:shd w:val="clear" w:color="auto" w:fill="auto"/>
            <w:vAlign w:val="center"/>
          </w:tcPr>
          <w:p w14:paraId="6332F29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18"/>
                <w:szCs w:val="18"/>
                <w:u w:val="none"/>
              </w:rPr>
            </w:pPr>
          </w:p>
        </w:tc>
        <w:tc>
          <w:tcPr>
            <w:tcW w:w="832" w:type="dxa"/>
            <w:shd w:val="clear" w:color="auto" w:fill="auto"/>
            <w:vAlign w:val="center"/>
          </w:tcPr>
          <w:p w14:paraId="295860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10.00 </w:t>
            </w:r>
          </w:p>
        </w:tc>
        <w:tc>
          <w:tcPr>
            <w:tcW w:w="737" w:type="dxa"/>
            <w:shd w:val="clear" w:color="auto" w:fill="auto"/>
            <w:vAlign w:val="center"/>
          </w:tcPr>
          <w:p w14:paraId="2F694A8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10.00 </w:t>
            </w:r>
          </w:p>
        </w:tc>
        <w:tc>
          <w:tcPr>
            <w:tcW w:w="922" w:type="dxa"/>
            <w:shd w:val="clear" w:color="auto" w:fill="auto"/>
            <w:vAlign w:val="center"/>
          </w:tcPr>
          <w:p w14:paraId="31DBFBD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100.00%</w:t>
            </w:r>
          </w:p>
        </w:tc>
      </w:tr>
      <w:tr w14:paraId="350E8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restart"/>
            <w:shd w:val="clear" w:color="auto" w:fill="auto"/>
            <w:vAlign w:val="center"/>
          </w:tcPr>
          <w:p w14:paraId="435CAD5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B过程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（25.00分）</w:t>
            </w:r>
          </w:p>
        </w:tc>
        <w:tc>
          <w:tcPr>
            <w:tcW w:w="864" w:type="dxa"/>
            <w:vMerge w:val="restart"/>
            <w:shd w:val="clear" w:color="auto" w:fill="auto"/>
            <w:vAlign w:val="center"/>
          </w:tcPr>
          <w:p w14:paraId="6EC95B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 资金管理（13.00分）　</w:t>
            </w:r>
          </w:p>
        </w:tc>
        <w:tc>
          <w:tcPr>
            <w:tcW w:w="1004" w:type="dxa"/>
            <w:shd w:val="clear" w:color="auto" w:fill="auto"/>
            <w:vAlign w:val="center"/>
          </w:tcPr>
          <w:p w14:paraId="34895E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B11资金到位率</w:t>
            </w:r>
          </w:p>
        </w:tc>
        <w:tc>
          <w:tcPr>
            <w:tcW w:w="1869" w:type="dxa"/>
            <w:shd w:val="clear" w:color="auto" w:fill="auto"/>
            <w:vAlign w:val="center"/>
          </w:tcPr>
          <w:p w14:paraId="7DF06119">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5136" w:type="dxa"/>
            <w:shd w:val="clear" w:color="auto" w:fill="auto"/>
            <w:vAlign w:val="center"/>
          </w:tcPr>
          <w:p w14:paraId="168B859A">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项目完成且资金到位数满足年度预算规模需求，得3分；项目尚未完成，资金到位率小于100%且大于等于80%的得2分，资金到位率小于80%且大于等于60%的得1.50分，资金到位率小于60%的不得分。</w:t>
            </w:r>
          </w:p>
        </w:tc>
        <w:tc>
          <w:tcPr>
            <w:tcW w:w="1040" w:type="dxa"/>
            <w:shd w:val="clear" w:color="auto" w:fill="auto"/>
            <w:vAlign w:val="center"/>
          </w:tcPr>
          <w:p w14:paraId="42BFEA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8" w:type="dxa"/>
            <w:shd w:val="clear" w:color="auto" w:fill="auto"/>
            <w:vAlign w:val="center"/>
          </w:tcPr>
          <w:p w14:paraId="1F23B2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32" w:type="dxa"/>
            <w:shd w:val="clear" w:color="auto" w:fill="auto"/>
            <w:vAlign w:val="center"/>
          </w:tcPr>
          <w:p w14:paraId="28706B0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 </w:t>
            </w:r>
          </w:p>
        </w:tc>
        <w:tc>
          <w:tcPr>
            <w:tcW w:w="737" w:type="dxa"/>
            <w:shd w:val="clear" w:color="auto" w:fill="auto"/>
            <w:vAlign w:val="center"/>
          </w:tcPr>
          <w:p w14:paraId="3FAA4C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3.00 </w:t>
            </w:r>
          </w:p>
        </w:tc>
        <w:tc>
          <w:tcPr>
            <w:tcW w:w="922" w:type="dxa"/>
            <w:shd w:val="clear" w:color="auto" w:fill="auto"/>
            <w:vAlign w:val="center"/>
          </w:tcPr>
          <w:p w14:paraId="624F0D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61F2C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6D6DEDB4">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2E445C0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50DA6EF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B12预算执行率</w:t>
            </w:r>
          </w:p>
        </w:tc>
        <w:tc>
          <w:tcPr>
            <w:tcW w:w="1869" w:type="dxa"/>
            <w:shd w:val="clear" w:color="auto" w:fill="auto"/>
            <w:vAlign w:val="center"/>
          </w:tcPr>
          <w:p w14:paraId="27A7425D">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5136" w:type="dxa"/>
            <w:shd w:val="clear" w:color="auto" w:fill="auto"/>
            <w:vAlign w:val="center"/>
          </w:tcPr>
          <w:p w14:paraId="4C19C59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项目完成且执行数控制在年度预算规模之内的，得5分；项目尚未完成，预算执行率小于100%且大于等于80%的得3分，预算执行率小于80%且大于等于60%的得2分，预算执行率小于60%的不得分。</w:t>
            </w:r>
          </w:p>
        </w:tc>
        <w:tc>
          <w:tcPr>
            <w:tcW w:w="1040" w:type="dxa"/>
            <w:shd w:val="clear" w:color="auto" w:fill="auto"/>
            <w:vAlign w:val="center"/>
          </w:tcPr>
          <w:p w14:paraId="136C90B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8" w:type="dxa"/>
            <w:shd w:val="clear" w:color="auto" w:fill="auto"/>
            <w:vAlign w:val="center"/>
          </w:tcPr>
          <w:p w14:paraId="2AA67E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99.99%</w:t>
            </w:r>
          </w:p>
        </w:tc>
        <w:tc>
          <w:tcPr>
            <w:tcW w:w="832" w:type="dxa"/>
            <w:shd w:val="clear" w:color="auto" w:fill="auto"/>
            <w:vAlign w:val="center"/>
          </w:tcPr>
          <w:p w14:paraId="769FC03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737" w:type="dxa"/>
            <w:shd w:val="clear" w:color="auto" w:fill="auto"/>
            <w:vAlign w:val="center"/>
          </w:tcPr>
          <w:p w14:paraId="4925B0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922" w:type="dxa"/>
            <w:shd w:val="clear" w:color="auto" w:fill="auto"/>
            <w:vAlign w:val="center"/>
          </w:tcPr>
          <w:p w14:paraId="1BC59DE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1F6CB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480DFBC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3AFB3C4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74153A3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B13资金使用合规性</w:t>
            </w:r>
          </w:p>
        </w:tc>
        <w:tc>
          <w:tcPr>
            <w:tcW w:w="1869" w:type="dxa"/>
            <w:shd w:val="clear" w:color="auto" w:fill="auto"/>
            <w:vAlign w:val="center"/>
          </w:tcPr>
          <w:p w14:paraId="2FA4ABE6">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考察项目单位资金的使用规范程度。项目资金使用是否符合相关法律法规、制度和规定，用以反映和考核项目资金使用的规范性和安全性。</w:t>
            </w:r>
          </w:p>
        </w:tc>
        <w:tc>
          <w:tcPr>
            <w:tcW w:w="5136" w:type="dxa"/>
            <w:shd w:val="clear" w:color="auto" w:fill="auto"/>
            <w:vAlign w:val="center"/>
          </w:tcPr>
          <w:p w14:paraId="0F345AEF">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②是否符合项目预算批复或合同规定的用途；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③是否存在截留、挤占、挪用、虚列支出等情况；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④资金的拨付是否有完整的审批程序和手续。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以上四项不满足①或②或③时属于严重违规事项，本项指标不得分，在符合①、②和③的条件下，其他各项符合则得分，否则，每发现一处不符扣0.5分，扣完为止。</w:t>
            </w:r>
          </w:p>
        </w:tc>
        <w:tc>
          <w:tcPr>
            <w:tcW w:w="1040" w:type="dxa"/>
            <w:shd w:val="clear" w:color="auto" w:fill="auto"/>
            <w:vAlign w:val="center"/>
          </w:tcPr>
          <w:p w14:paraId="2EECE3A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合规</w:t>
            </w:r>
          </w:p>
        </w:tc>
        <w:tc>
          <w:tcPr>
            <w:tcW w:w="828" w:type="dxa"/>
            <w:shd w:val="clear" w:color="auto" w:fill="auto"/>
            <w:vAlign w:val="center"/>
          </w:tcPr>
          <w:p w14:paraId="7B1316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合规</w:t>
            </w:r>
          </w:p>
        </w:tc>
        <w:tc>
          <w:tcPr>
            <w:tcW w:w="832" w:type="dxa"/>
            <w:shd w:val="clear" w:color="auto" w:fill="auto"/>
            <w:vAlign w:val="center"/>
          </w:tcPr>
          <w:p w14:paraId="0D647C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737" w:type="dxa"/>
            <w:shd w:val="clear" w:color="auto" w:fill="auto"/>
            <w:vAlign w:val="center"/>
          </w:tcPr>
          <w:p w14:paraId="593691F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922" w:type="dxa"/>
            <w:shd w:val="clear" w:color="auto" w:fill="auto"/>
            <w:vAlign w:val="center"/>
          </w:tcPr>
          <w:p w14:paraId="11F1A6E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CDBAE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46CB0D9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restart"/>
            <w:shd w:val="clear" w:color="auto" w:fill="auto"/>
            <w:vAlign w:val="center"/>
          </w:tcPr>
          <w:p w14:paraId="5F4C912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 组织实施（12.00分）　</w:t>
            </w:r>
          </w:p>
        </w:tc>
        <w:tc>
          <w:tcPr>
            <w:tcW w:w="1004" w:type="dxa"/>
            <w:shd w:val="clear" w:color="auto" w:fill="auto"/>
            <w:vAlign w:val="center"/>
          </w:tcPr>
          <w:p w14:paraId="0A6F70D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B21管理制度健全性</w:t>
            </w:r>
          </w:p>
        </w:tc>
        <w:tc>
          <w:tcPr>
            <w:tcW w:w="1869" w:type="dxa"/>
            <w:shd w:val="clear" w:color="auto" w:fill="auto"/>
            <w:vAlign w:val="center"/>
          </w:tcPr>
          <w:p w14:paraId="51A50228">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5136" w:type="dxa"/>
            <w:shd w:val="clear" w:color="auto" w:fill="auto"/>
            <w:vAlign w:val="center"/>
          </w:tcPr>
          <w:p w14:paraId="603796F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①是否已制定或具有相应的财务和业务管理制度；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②财务和业务管理制度是否合法、合规、完整。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以上两项分别占50%的权重分，符合则得分；存在部分制度缺失、内容不完整或不满足管理要求的，每发现一处不符扣0.5分，各权重分扣完为止。</w:t>
            </w:r>
          </w:p>
        </w:tc>
        <w:tc>
          <w:tcPr>
            <w:tcW w:w="1040" w:type="dxa"/>
            <w:shd w:val="clear" w:color="auto" w:fill="auto"/>
            <w:vAlign w:val="center"/>
          </w:tcPr>
          <w:p w14:paraId="2CA048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健全</w:t>
            </w:r>
          </w:p>
        </w:tc>
        <w:tc>
          <w:tcPr>
            <w:tcW w:w="828" w:type="dxa"/>
            <w:shd w:val="clear" w:color="auto" w:fill="auto"/>
            <w:vAlign w:val="center"/>
          </w:tcPr>
          <w:p w14:paraId="33110E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健全</w:t>
            </w:r>
          </w:p>
        </w:tc>
        <w:tc>
          <w:tcPr>
            <w:tcW w:w="832" w:type="dxa"/>
            <w:shd w:val="clear" w:color="auto" w:fill="auto"/>
            <w:vAlign w:val="center"/>
          </w:tcPr>
          <w:p w14:paraId="0257709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737" w:type="dxa"/>
            <w:shd w:val="clear" w:color="auto" w:fill="auto"/>
            <w:vAlign w:val="center"/>
          </w:tcPr>
          <w:p w14:paraId="4E7A69F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922" w:type="dxa"/>
            <w:shd w:val="clear" w:color="auto" w:fill="auto"/>
            <w:vAlign w:val="center"/>
          </w:tcPr>
          <w:p w14:paraId="3641BF2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294FEF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083EFF8D">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6F158D1C">
            <w:pPr>
              <w:keepNext w:val="0"/>
              <w:keepLines w:val="0"/>
              <w:pageBreakBefore w:val="0"/>
              <w:widowControl/>
              <w:kinsoku/>
              <w:wordWrap/>
              <w:overflowPunct/>
              <w:topLinePunct w:val="0"/>
              <w:autoSpaceDE/>
              <w:autoSpaceDN/>
              <w:bidi w:val="0"/>
              <w:spacing w:line="240" w:lineRule="auto"/>
              <w:ind w:firstLine="0" w:firstLineChars="0"/>
              <w:jc w:val="left"/>
              <w:rPr>
                <w:rFonts w:hint="eastAsia" w:ascii="宋体" w:hAnsi="宋体" w:eastAsia="宋体" w:cs="宋体"/>
                <w:i w:val="0"/>
                <w:iCs w:val="0"/>
                <w:color w:val="000000"/>
                <w:sz w:val="18"/>
                <w:szCs w:val="18"/>
                <w:u w:val="none"/>
              </w:rPr>
            </w:pPr>
          </w:p>
        </w:tc>
        <w:tc>
          <w:tcPr>
            <w:tcW w:w="1004" w:type="dxa"/>
            <w:shd w:val="clear" w:color="auto" w:fill="auto"/>
            <w:vAlign w:val="center"/>
          </w:tcPr>
          <w:p w14:paraId="07D1B03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B22制度执行有效性</w:t>
            </w:r>
          </w:p>
        </w:tc>
        <w:tc>
          <w:tcPr>
            <w:tcW w:w="1869" w:type="dxa"/>
            <w:shd w:val="clear" w:color="auto" w:fill="auto"/>
            <w:vAlign w:val="center"/>
          </w:tcPr>
          <w:p w14:paraId="53B64C25">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5136" w:type="dxa"/>
            <w:shd w:val="clear" w:color="auto" w:fill="auto"/>
            <w:vAlign w:val="center"/>
          </w:tcPr>
          <w:p w14:paraId="230CC80F">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①机具投档审核流程是否符合《关于印发&lt;新疆维吾尔自治区农机购置补贴机具投档审核工作规程（试行）&gt;的通知》（新农机发〔2020〕9号），审核信息内容是否准确，有无缺失和错误。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②补贴机具核验流程是否符合《关于印发&lt;新疆维吾尔自治区农机购置与应用补贴机具核验工作要点》，审核信息内容是否准确，有无缺失和错误。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③机具报废补贴审核流程是否符合《关于印发＜新疆维吾尔自治区农业机械报废更新补贴实施方案&gt;的通知》</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新农机〔2020〕l51号</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，审核信息内容是否准确，有无缺失和错误。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④是否将投档审核结果进行公示公开，按照要求进行公示公开，公示时间及内容符合要求的，是否有内容缺失或公示时间不足的情况。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⑤是否按照要求对补贴申请信息进行公示公开，公示时间及内容符合要求的。</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以上四项中，分别占20%的权重分，各项符合则得分，否则扣除相应权重的分值，扣完为止。</w:t>
            </w:r>
          </w:p>
        </w:tc>
        <w:tc>
          <w:tcPr>
            <w:tcW w:w="1040" w:type="dxa"/>
            <w:shd w:val="clear" w:color="auto" w:fill="auto"/>
            <w:vAlign w:val="center"/>
          </w:tcPr>
          <w:p w14:paraId="5F28F6B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w:t>
            </w:r>
          </w:p>
        </w:tc>
        <w:tc>
          <w:tcPr>
            <w:tcW w:w="828" w:type="dxa"/>
            <w:shd w:val="clear" w:color="auto" w:fill="auto"/>
            <w:vAlign w:val="center"/>
          </w:tcPr>
          <w:p w14:paraId="7939D52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w:t>
            </w:r>
          </w:p>
        </w:tc>
        <w:tc>
          <w:tcPr>
            <w:tcW w:w="832" w:type="dxa"/>
            <w:shd w:val="clear" w:color="auto" w:fill="auto"/>
            <w:vAlign w:val="center"/>
          </w:tcPr>
          <w:p w14:paraId="2F1B1C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8.00 </w:t>
            </w:r>
          </w:p>
        </w:tc>
        <w:tc>
          <w:tcPr>
            <w:tcW w:w="737" w:type="dxa"/>
            <w:shd w:val="clear" w:color="auto" w:fill="auto"/>
            <w:vAlign w:val="center"/>
          </w:tcPr>
          <w:p w14:paraId="5AB8F8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8.00 </w:t>
            </w:r>
          </w:p>
        </w:tc>
        <w:tc>
          <w:tcPr>
            <w:tcW w:w="922" w:type="dxa"/>
            <w:shd w:val="clear" w:color="auto" w:fill="auto"/>
            <w:vAlign w:val="center"/>
          </w:tcPr>
          <w:p w14:paraId="254BB0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27294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815" w:type="dxa"/>
            <w:gridSpan w:val="5"/>
            <w:shd w:val="clear" w:color="auto" w:fill="auto"/>
            <w:vAlign w:val="center"/>
          </w:tcPr>
          <w:p w14:paraId="3CAB18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040" w:type="dxa"/>
            <w:shd w:val="clear" w:color="auto" w:fill="auto"/>
            <w:vAlign w:val="center"/>
          </w:tcPr>
          <w:p w14:paraId="21AB115A">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18"/>
                <w:szCs w:val="18"/>
                <w:u w:val="none"/>
              </w:rPr>
            </w:pPr>
          </w:p>
        </w:tc>
        <w:tc>
          <w:tcPr>
            <w:tcW w:w="828" w:type="dxa"/>
            <w:shd w:val="clear" w:color="auto" w:fill="auto"/>
            <w:vAlign w:val="center"/>
          </w:tcPr>
          <w:p w14:paraId="1307D782">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18"/>
                <w:szCs w:val="18"/>
                <w:u w:val="none"/>
              </w:rPr>
            </w:pPr>
          </w:p>
        </w:tc>
        <w:tc>
          <w:tcPr>
            <w:tcW w:w="832" w:type="dxa"/>
            <w:shd w:val="clear" w:color="auto" w:fill="auto"/>
            <w:vAlign w:val="center"/>
          </w:tcPr>
          <w:p w14:paraId="1F93CE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25.00 </w:t>
            </w:r>
          </w:p>
        </w:tc>
        <w:tc>
          <w:tcPr>
            <w:tcW w:w="737" w:type="dxa"/>
            <w:shd w:val="clear" w:color="auto" w:fill="auto"/>
            <w:vAlign w:val="center"/>
          </w:tcPr>
          <w:p w14:paraId="62E0C8E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25.00 </w:t>
            </w:r>
          </w:p>
        </w:tc>
        <w:tc>
          <w:tcPr>
            <w:tcW w:w="922" w:type="dxa"/>
            <w:shd w:val="clear" w:color="auto" w:fill="auto"/>
            <w:vAlign w:val="center"/>
          </w:tcPr>
          <w:p w14:paraId="6149FC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100.00%</w:t>
            </w:r>
          </w:p>
        </w:tc>
      </w:tr>
      <w:tr w14:paraId="5DCAF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restart"/>
            <w:shd w:val="clear" w:color="auto" w:fill="auto"/>
            <w:vAlign w:val="center"/>
          </w:tcPr>
          <w:p w14:paraId="30884E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C产出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（30.00分）</w:t>
            </w:r>
          </w:p>
        </w:tc>
        <w:tc>
          <w:tcPr>
            <w:tcW w:w="864" w:type="dxa"/>
            <w:vMerge w:val="restart"/>
            <w:shd w:val="clear" w:color="auto" w:fill="auto"/>
            <w:vAlign w:val="center"/>
          </w:tcPr>
          <w:p w14:paraId="1DEBE8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C1产出数量（9.00分）</w:t>
            </w:r>
          </w:p>
        </w:tc>
        <w:tc>
          <w:tcPr>
            <w:tcW w:w="1004" w:type="dxa"/>
            <w:shd w:val="clear" w:color="auto" w:fill="auto"/>
            <w:vAlign w:val="center"/>
          </w:tcPr>
          <w:p w14:paraId="0807D99A">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C11农机购置与应用补贴机具数</w:t>
            </w:r>
          </w:p>
        </w:tc>
        <w:tc>
          <w:tcPr>
            <w:tcW w:w="1869" w:type="dxa"/>
            <w:shd w:val="clear" w:color="auto" w:fill="auto"/>
            <w:vAlign w:val="center"/>
          </w:tcPr>
          <w:p w14:paraId="3617FF1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5136" w:type="dxa"/>
            <w:shd w:val="clear" w:color="auto" w:fill="auto"/>
            <w:vAlign w:val="center"/>
          </w:tcPr>
          <w:p w14:paraId="7126CF3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实际完成值=（实际农机购置与应用补贴机具数/计划应农机购置与应用补贴机具数）×100%。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①实际完成值等于目标值，得满分；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②实际完成值小于目标值，得分=实际完成值/目标值×标杆分值。</w:t>
            </w:r>
          </w:p>
        </w:tc>
        <w:tc>
          <w:tcPr>
            <w:tcW w:w="1040" w:type="dxa"/>
            <w:shd w:val="clear" w:color="auto" w:fill="auto"/>
            <w:vAlign w:val="center"/>
          </w:tcPr>
          <w:p w14:paraId="795453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≥996台</w:t>
            </w:r>
            <w:r>
              <w:rPr>
                <w:rFonts w:hint="eastAsia" w:ascii="宋体" w:hAnsi="宋体" w:cs="宋体"/>
                <w:i w:val="0"/>
                <w:iCs w:val="0"/>
                <w:color w:val="000000"/>
                <w:kern w:val="0"/>
                <w:sz w:val="18"/>
                <w:szCs w:val="18"/>
                <w:u w:val="none"/>
                <w:lang w:val="en-US" w:eastAsia="zh-CN" w:bidi="ar"/>
              </w:rPr>
              <w:t>（套）</w:t>
            </w:r>
          </w:p>
        </w:tc>
        <w:tc>
          <w:tcPr>
            <w:tcW w:w="828" w:type="dxa"/>
            <w:shd w:val="clear" w:color="auto" w:fill="auto"/>
            <w:vAlign w:val="center"/>
          </w:tcPr>
          <w:p w14:paraId="75A622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959台</w:t>
            </w:r>
            <w:r>
              <w:rPr>
                <w:rFonts w:hint="eastAsia" w:ascii="宋体" w:hAnsi="宋体" w:cs="宋体"/>
                <w:i w:val="0"/>
                <w:iCs w:val="0"/>
                <w:color w:val="000000"/>
                <w:kern w:val="0"/>
                <w:sz w:val="18"/>
                <w:szCs w:val="18"/>
                <w:u w:val="none"/>
                <w:lang w:val="en-US" w:eastAsia="zh-CN" w:bidi="ar"/>
              </w:rPr>
              <w:t>（套）</w:t>
            </w:r>
            <w:r>
              <w:rPr>
                <w:rFonts w:hint="eastAsia" w:ascii="宋体" w:hAnsi="宋体" w:eastAsia="宋体" w:cs="宋体"/>
                <w:i w:val="0"/>
                <w:iCs w:val="0"/>
                <w:color w:val="000000"/>
                <w:kern w:val="0"/>
                <w:sz w:val="18"/>
                <w:szCs w:val="18"/>
                <w:u w:val="none"/>
                <w:lang w:val="en-US" w:eastAsia="zh-CN" w:bidi="ar"/>
              </w:rPr>
              <w:t xml:space="preserve"> </w:t>
            </w:r>
          </w:p>
        </w:tc>
        <w:tc>
          <w:tcPr>
            <w:tcW w:w="832" w:type="dxa"/>
            <w:shd w:val="clear" w:color="auto" w:fill="auto"/>
            <w:vAlign w:val="center"/>
          </w:tcPr>
          <w:p w14:paraId="0B6020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8.00 </w:t>
            </w:r>
          </w:p>
        </w:tc>
        <w:tc>
          <w:tcPr>
            <w:tcW w:w="737" w:type="dxa"/>
            <w:shd w:val="clear" w:color="auto" w:fill="auto"/>
            <w:vAlign w:val="center"/>
          </w:tcPr>
          <w:p w14:paraId="30885B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7.70 </w:t>
            </w:r>
          </w:p>
        </w:tc>
        <w:tc>
          <w:tcPr>
            <w:tcW w:w="922" w:type="dxa"/>
            <w:shd w:val="clear" w:color="auto" w:fill="auto"/>
            <w:vAlign w:val="center"/>
          </w:tcPr>
          <w:p w14:paraId="7A927E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96.29%</w:t>
            </w:r>
          </w:p>
        </w:tc>
      </w:tr>
      <w:tr w14:paraId="29D27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560CA62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04D241C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7EA47E4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C12农机报废补贴机具总数</w:t>
            </w:r>
          </w:p>
        </w:tc>
        <w:tc>
          <w:tcPr>
            <w:tcW w:w="1869" w:type="dxa"/>
            <w:shd w:val="clear" w:color="auto" w:fill="auto"/>
            <w:vAlign w:val="center"/>
          </w:tcPr>
          <w:p w14:paraId="621E36B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项目实施的实际产出数与计划产出数的比率，用以反映和考核项目产出数量目标的实现程度。</w:t>
            </w:r>
          </w:p>
        </w:tc>
        <w:tc>
          <w:tcPr>
            <w:tcW w:w="5136" w:type="dxa"/>
            <w:shd w:val="clear" w:color="auto" w:fill="auto"/>
            <w:vAlign w:val="center"/>
          </w:tcPr>
          <w:p w14:paraId="634D783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实际完成值=（实际农机报废补贴机具总数/计划应农机报废补贴机具总数）×100%。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①实际完成值等于目标值，得满分；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②实际完成值小于目标值，得分=实际完成值/目标值×标杆分值。</w:t>
            </w:r>
          </w:p>
        </w:tc>
        <w:tc>
          <w:tcPr>
            <w:tcW w:w="1040" w:type="dxa"/>
            <w:shd w:val="clear" w:color="auto" w:fill="auto"/>
            <w:vAlign w:val="center"/>
          </w:tcPr>
          <w:p w14:paraId="41928A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≥2台</w:t>
            </w:r>
          </w:p>
        </w:tc>
        <w:tc>
          <w:tcPr>
            <w:tcW w:w="828" w:type="dxa"/>
            <w:shd w:val="clear" w:color="auto" w:fill="auto"/>
            <w:vAlign w:val="center"/>
          </w:tcPr>
          <w:p w14:paraId="0E90DA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2台</w:t>
            </w:r>
          </w:p>
        </w:tc>
        <w:tc>
          <w:tcPr>
            <w:tcW w:w="832" w:type="dxa"/>
            <w:shd w:val="clear" w:color="auto" w:fill="auto"/>
            <w:vAlign w:val="center"/>
          </w:tcPr>
          <w:p w14:paraId="11156BB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737" w:type="dxa"/>
            <w:shd w:val="clear" w:color="auto" w:fill="auto"/>
            <w:vAlign w:val="center"/>
          </w:tcPr>
          <w:p w14:paraId="3A0E0B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922" w:type="dxa"/>
            <w:shd w:val="clear" w:color="auto" w:fill="auto"/>
            <w:vAlign w:val="center"/>
          </w:tcPr>
          <w:p w14:paraId="675C10A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5249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29684D8A">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restart"/>
            <w:shd w:val="clear" w:color="auto" w:fill="auto"/>
            <w:vAlign w:val="center"/>
          </w:tcPr>
          <w:p w14:paraId="02A1DFE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C2产出质量（6.00分）</w:t>
            </w:r>
          </w:p>
        </w:tc>
        <w:tc>
          <w:tcPr>
            <w:tcW w:w="1004" w:type="dxa"/>
            <w:shd w:val="clear" w:color="auto" w:fill="auto"/>
            <w:vAlign w:val="center"/>
          </w:tcPr>
          <w:p w14:paraId="6D1702A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C21</w:t>
            </w:r>
            <w:r>
              <w:rPr>
                <w:rFonts w:hint="eastAsia" w:ascii="宋体" w:hAnsi="宋体" w:eastAsia="宋体" w:cs="宋体"/>
                <w:i w:val="0"/>
                <w:iCs w:val="0"/>
                <w:color w:val="000000"/>
                <w:kern w:val="0"/>
                <w:sz w:val="18"/>
                <w:szCs w:val="18"/>
                <w:u w:val="none"/>
                <w:lang w:val="en-US" w:eastAsia="zh-CN" w:bidi="ar"/>
              </w:rPr>
              <w:t>补贴对象认定准确率</w:t>
            </w:r>
          </w:p>
        </w:tc>
        <w:tc>
          <w:tcPr>
            <w:tcW w:w="1869" w:type="dxa"/>
            <w:shd w:val="clear" w:color="auto" w:fill="auto"/>
            <w:vAlign w:val="center"/>
          </w:tcPr>
          <w:p w14:paraId="77E657A4">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考核农机购置与应用补贴机具补贴对象认定准确率完成情况。</w:t>
            </w:r>
          </w:p>
        </w:tc>
        <w:tc>
          <w:tcPr>
            <w:tcW w:w="5136" w:type="dxa"/>
            <w:shd w:val="clear" w:color="auto" w:fill="auto"/>
            <w:vAlign w:val="center"/>
          </w:tcPr>
          <w:p w14:paraId="6655A38A">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实际完成率=实际符合补贴对象数量/实际补贴对象总数量×100%。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实际完成率符合预期指标值得满分；预期指标未完成，且实际完成率大于60%的，按超过的比重赋分，计算公式为：得分=（实际完成率-60%）/（1-60%）×指标分值；完成率小于60%为不及格，不得分。</w:t>
            </w:r>
          </w:p>
        </w:tc>
        <w:tc>
          <w:tcPr>
            <w:tcW w:w="1040" w:type="dxa"/>
            <w:shd w:val="clear" w:color="auto" w:fill="auto"/>
            <w:vAlign w:val="center"/>
          </w:tcPr>
          <w:p w14:paraId="208BF1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8" w:type="dxa"/>
            <w:shd w:val="clear" w:color="auto" w:fill="auto"/>
            <w:vAlign w:val="center"/>
          </w:tcPr>
          <w:p w14:paraId="2F00B30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32" w:type="dxa"/>
            <w:shd w:val="clear" w:color="auto" w:fill="auto"/>
            <w:vAlign w:val="center"/>
          </w:tcPr>
          <w:p w14:paraId="418707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737" w:type="dxa"/>
            <w:shd w:val="clear" w:color="auto" w:fill="auto"/>
            <w:vAlign w:val="center"/>
          </w:tcPr>
          <w:p w14:paraId="6B0C8D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922" w:type="dxa"/>
            <w:shd w:val="clear" w:color="auto" w:fill="auto"/>
            <w:vAlign w:val="center"/>
          </w:tcPr>
          <w:p w14:paraId="7E26E42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78BFF4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0DAD32F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26EB91E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6C04D93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C22</w:t>
            </w:r>
            <w:r>
              <w:rPr>
                <w:rFonts w:hint="eastAsia" w:ascii="宋体" w:hAnsi="宋体" w:eastAsia="宋体" w:cs="宋体"/>
                <w:i w:val="0"/>
                <w:iCs w:val="0"/>
                <w:color w:val="000000"/>
                <w:kern w:val="0"/>
                <w:sz w:val="18"/>
                <w:szCs w:val="18"/>
                <w:u w:val="none"/>
                <w:lang w:val="en-US" w:eastAsia="zh-CN" w:bidi="ar"/>
              </w:rPr>
              <w:t>补贴标准达标率</w:t>
            </w:r>
          </w:p>
        </w:tc>
        <w:tc>
          <w:tcPr>
            <w:tcW w:w="1869" w:type="dxa"/>
            <w:shd w:val="clear" w:color="auto" w:fill="auto"/>
            <w:vAlign w:val="center"/>
          </w:tcPr>
          <w:p w14:paraId="479F7BEC">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考核农机购置与应用补贴机具标准达标率完成情况。</w:t>
            </w:r>
          </w:p>
        </w:tc>
        <w:tc>
          <w:tcPr>
            <w:tcW w:w="5136" w:type="dxa"/>
            <w:shd w:val="clear" w:color="auto" w:fill="auto"/>
            <w:vAlign w:val="center"/>
          </w:tcPr>
          <w:p w14:paraId="02BEFE38">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实际完成率=实际按照标准补贴的机具数量/实际补贴总机具数量×100%。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实际完成率符合预期指标值得满分；预期指标未完成，且实际完成率大于60%的，按超过的比重赋分，计算公式为：得分=（实际完成率-60%）/（1-60%）×指标分值；完成率小于60%为不及格，不得分。</w:t>
            </w:r>
          </w:p>
        </w:tc>
        <w:tc>
          <w:tcPr>
            <w:tcW w:w="1040" w:type="dxa"/>
            <w:shd w:val="clear" w:color="auto" w:fill="auto"/>
            <w:vAlign w:val="center"/>
          </w:tcPr>
          <w:p w14:paraId="7BBD25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8" w:type="dxa"/>
            <w:shd w:val="clear" w:color="auto" w:fill="auto"/>
            <w:vAlign w:val="center"/>
          </w:tcPr>
          <w:p w14:paraId="57991D1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32" w:type="dxa"/>
            <w:shd w:val="clear" w:color="auto" w:fill="auto"/>
            <w:vAlign w:val="center"/>
          </w:tcPr>
          <w:p w14:paraId="520155A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737" w:type="dxa"/>
            <w:shd w:val="clear" w:color="auto" w:fill="auto"/>
            <w:vAlign w:val="center"/>
          </w:tcPr>
          <w:p w14:paraId="3CF1408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922" w:type="dxa"/>
            <w:shd w:val="clear" w:color="auto" w:fill="auto"/>
            <w:vAlign w:val="center"/>
          </w:tcPr>
          <w:p w14:paraId="6CEC7C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436904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5876638B">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restart"/>
            <w:shd w:val="clear" w:color="auto" w:fill="auto"/>
            <w:vAlign w:val="center"/>
          </w:tcPr>
          <w:p w14:paraId="65229F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C3产出时效（8.00分）</w:t>
            </w:r>
          </w:p>
        </w:tc>
        <w:tc>
          <w:tcPr>
            <w:tcW w:w="1004" w:type="dxa"/>
            <w:shd w:val="clear" w:color="auto" w:fill="auto"/>
            <w:vAlign w:val="center"/>
          </w:tcPr>
          <w:p w14:paraId="63E714E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C31机具补贴核验时限</w:t>
            </w:r>
          </w:p>
        </w:tc>
        <w:tc>
          <w:tcPr>
            <w:tcW w:w="1869" w:type="dxa"/>
            <w:shd w:val="clear" w:color="auto" w:fill="auto"/>
            <w:vAlign w:val="center"/>
          </w:tcPr>
          <w:p w14:paraId="077C19F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考核县级及以下农机化主管部门在受理购机者补贴申请后，限时办理情况。</w:t>
            </w:r>
          </w:p>
        </w:tc>
        <w:tc>
          <w:tcPr>
            <w:tcW w:w="5136" w:type="dxa"/>
            <w:shd w:val="clear" w:color="auto" w:fill="auto"/>
            <w:vAlign w:val="center"/>
          </w:tcPr>
          <w:p w14:paraId="3747741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农业农村部办公厅财政部办公厅《关于进一步加强农机购置补贴政策监管强化纪律约束的通知》要求：县级及以下农机化主管部门在受理购机者补贴申请后，应于30个工作日内完成形式审核，并送同级财政部门。《新疆维吾尔自治区农机购置与应用补贴机具核验工作要点》要求：在2个工作日内完成资料审核，在13个工作日内完成机具核验和复核登记。在实际核查过程中发现存在超时限的情况，不得分。</w:t>
            </w:r>
          </w:p>
        </w:tc>
        <w:tc>
          <w:tcPr>
            <w:tcW w:w="1040" w:type="dxa"/>
            <w:shd w:val="clear" w:color="auto" w:fill="auto"/>
            <w:vAlign w:val="center"/>
          </w:tcPr>
          <w:p w14:paraId="388A77A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r>
              <w:rPr>
                <w:rFonts w:hint="eastAsia" w:ascii="宋体" w:hAnsi="宋体" w:cs="宋体"/>
                <w:i w:val="0"/>
                <w:iCs w:val="0"/>
                <w:color w:val="000000"/>
                <w:kern w:val="0"/>
                <w:sz w:val="18"/>
                <w:szCs w:val="18"/>
                <w:u w:val="none"/>
                <w:lang w:val="en-US" w:eastAsia="zh-CN" w:bidi="ar"/>
              </w:rPr>
              <w:t>15</w:t>
            </w:r>
            <w:r>
              <w:rPr>
                <w:rFonts w:ascii="仿宋_GB2312" w:hAnsi="宋体" w:eastAsia="仿宋_GB2312" w:cs="仿宋_GB2312"/>
                <w:i w:val="0"/>
                <w:iCs w:val="0"/>
                <w:color w:val="000000"/>
                <w:kern w:val="0"/>
                <w:sz w:val="18"/>
                <w:szCs w:val="18"/>
                <w:u w:val="none"/>
                <w:lang w:val="en-US" w:eastAsia="zh-CN" w:bidi="ar"/>
              </w:rPr>
              <w:t>个工作日</w:t>
            </w:r>
          </w:p>
        </w:tc>
        <w:tc>
          <w:tcPr>
            <w:tcW w:w="828" w:type="dxa"/>
            <w:shd w:val="clear" w:color="auto" w:fill="auto"/>
            <w:vAlign w:val="center"/>
          </w:tcPr>
          <w:p w14:paraId="1F5C7C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宋体" w:hAnsi="宋体" w:eastAsia="宋体" w:cs="宋体"/>
                <w:i w:val="0"/>
                <w:iCs w:val="0"/>
                <w:color w:val="000000"/>
                <w:sz w:val="18"/>
                <w:szCs w:val="18"/>
                <w:u w:val="none"/>
                <w:lang w:val="en-US" w:eastAsia="zh-CN"/>
              </w:rPr>
            </w:pPr>
            <w:r>
              <w:rPr>
                <w:rFonts w:hint="eastAsia" w:ascii="宋体" w:hAnsi="宋体" w:cs="宋体"/>
                <w:i w:val="0"/>
                <w:iCs w:val="0"/>
                <w:color w:val="000000"/>
                <w:sz w:val="18"/>
                <w:szCs w:val="18"/>
                <w:u w:val="none"/>
                <w:lang w:val="en-US" w:eastAsia="zh-CN"/>
              </w:rPr>
              <w:t xml:space="preserve">30个工作日 </w:t>
            </w:r>
          </w:p>
        </w:tc>
        <w:tc>
          <w:tcPr>
            <w:tcW w:w="832" w:type="dxa"/>
            <w:shd w:val="clear" w:color="auto" w:fill="auto"/>
            <w:vAlign w:val="center"/>
          </w:tcPr>
          <w:p w14:paraId="62356CD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 </w:t>
            </w:r>
          </w:p>
        </w:tc>
        <w:tc>
          <w:tcPr>
            <w:tcW w:w="737" w:type="dxa"/>
            <w:shd w:val="clear" w:color="auto" w:fill="auto"/>
            <w:vAlign w:val="center"/>
          </w:tcPr>
          <w:p w14:paraId="3D9F24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0.00 </w:t>
            </w:r>
          </w:p>
        </w:tc>
        <w:tc>
          <w:tcPr>
            <w:tcW w:w="922" w:type="dxa"/>
            <w:shd w:val="clear" w:color="auto" w:fill="auto"/>
            <w:vAlign w:val="center"/>
          </w:tcPr>
          <w:p w14:paraId="0719C6D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0.00%</w:t>
            </w:r>
          </w:p>
        </w:tc>
      </w:tr>
      <w:tr w14:paraId="4DC26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17871B3D">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4A69B15F">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0A63483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C32机具补贴兑付时限</w:t>
            </w:r>
          </w:p>
        </w:tc>
        <w:tc>
          <w:tcPr>
            <w:tcW w:w="1869" w:type="dxa"/>
            <w:shd w:val="clear" w:color="auto" w:fill="auto"/>
            <w:vAlign w:val="center"/>
          </w:tcPr>
          <w:p w14:paraId="01934DF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考核县级及以下农机化主管部门对符合要求的补贴申请的资金兑付限时办理情况。</w:t>
            </w:r>
          </w:p>
        </w:tc>
        <w:tc>
          <w:tcPr>
            <w:tcW w:w="5136" w:type="dxa"/>
            <w:shd w:val="clear" w:color="auto" w:fill="auto"/>
            <w:vAlign w:val="center"/>
          </w:tcPr>
          <w:p w14:paraId="2C6C010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农业农村部办公厅财政部办公厅《关于进一步加强农机购置补贴政策监管强化纪律约束的通知》要求：县级及以下财政部门根据农机化主管部门提供的材料依据，对符合要求的于30个工作日内通过国库集中支付的方式兑付资金。因资金不足需要延期兑付的，应告知购机者，并及时与同级农业主管部门联合向上汇报。在实际核查过程中发现存在超时限的情况，不得分。</w:t>
            </w:r>
          </w:p>
        </w:tc>
        <w:tc>
          <w:tcPr>
            <w:tcW w:w="1040" w:type="dxa"/>
            <w:shd w:val="clear" w:color="auto" w:fill="auto"/>
            <w:vAlign w:val="center"/>
          </w:tcPr>
          <w:p w14:paraId="3449396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r>
              <w:rPr>
                <w:rFonts w:ascii="仿宋_GB2312" w:hAnsi="宋体" w:eastAsia="仿宋_GB2312" w:cs="仿宋_GB2312"/>
                <w:i w:val="0"/>
                <w:iCs w:val="0"/>
                <w:color w:val="000000"/>
                <w:kern w:val="0"/>
                <w:sz w:val="18"/>
                <w:szCs w:val="18"/>
                <w:u w:val="none"/>
                <w:lang w:val="en-US" w:eastAsia="zh-CN" w:bidi="ar"/>
              </w:rPr>
              <w:t>个工作日</w:t>
            </w:r>
          </w:p>
        </w:tc>
        <w:tc>
          <w:tcPr>
            <w:tcW w:w="828" w:type="dxa"/>
            <w:shd w:val="clear" w:color="auto" w:fill="auto"/>
            <w:vAlign w:val="center"/>
          </w:tcPr>
          <w:p w14:paraId="2B87F87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cs="宋体"/>
                <w:i w:val="0"/>
                <w:iCs w:val="0"/>
                <w:color w:val="000000"/>
                <w:kern w:val="0"/>
                <w:sz w:val="18"/>
                <w:szCs w:val="18"/>
                <w:u w:val="none"/>
                <w:lang w:val="en-US" w:eastAsia="zh-CN" w:bidi="ar"/>
              </w:rPr>
              <w:t>1</w:t>
            </w:r>
            <w:r>
              <w:rPr>
                <w:rFonts w:hint="eastAsia" w:ascii="宋体" w:hAnsi="宋体" w:eastAsia="宋体" w:cs="宋体"/>
                <w:i w:val="0"/>
                <w:iCs w:val="0"/>
                <w:color w:val="000000"/>
                <w:kern w:val="0"/>
                <w:sz w:val="18"/>
                <w:szCs w:val="18"/>
                <w:u w:val="none"/>
                <w:lang w:val="en-US" w:eastAsia="zh-CN" w:bidi="ar"/>
              </w:rPr>
              <w:t>个工作日</w:t>
            </w:r>
          </w:p>
        </w:tc>
        <w:tc>
          <w:tcPr>
            <w:tcW w:w="832" w:type="dxa"/>
            <w:shd w:val="clear" w:color="auto" w:fill="auto"/>
            <w:vAlign w:val="center"/>
          </w:tcPr>
          <w:p w14:paraId="2C154B4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737" w:type="dxa"/>
            <w:shd w:val="clear" w:color="auto" w:fill="auto"/>
            <w:vAlign w:val="center"/>
          </w:tcPr>
          <w:p w14:paraId="0267DD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2.00 </w:t>
            </w:r>
          </w:p>
        </w:tc>
        <w:tc>
          <w:tcPr>
            <w:tcW w:w="922" w:type="dxa"/>
            <w:shd w:val="clear" w:color="auto" w:fill="auto"/>
            <w:vAlign w:val="center"/>
          </w:tcPr>
          <w:p w14:paraId="6EEBE2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8C8F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6627637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restart"/>
            <w:shd w:val="clear" w:color="auto" w:fill="auto"/>
            <w:vAlign w:val="center"/>
          </w:tcPr>
          <w:p w14:paraId="54C2237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C4产出成本（7.00分）</w:t>
            </w:r>
          </w:p>
        </w:tc>
        <w:tc>
          <w:tcPr>
            <w:tcW w:w="1004" w:type="dxa"/>
            <w:shd w:val="clear" w:color="auto" w:fill="auto"/>
            <w:vAlign w:val="center"/>
          </w:tcPr>
          <w:p w14:paraId="18B9405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C41</w:t>
            </w:r>
            <w:r>
              <w:rPr>
                <w:rFonts w:hint="eastAsia" w:ascii="宋体" w:hAnsi="宋体" w:eastAsia="宋体" w:cs="宋体"/>
                <w:i w:val="0"/>
                <w:iCs w:val="0"/>
                <w:color w:val="000000"/>
                <w:kern w:val="0"/>
                <w:sz w:val="18"/>
                <w:szCs w:val="18"/>
                <w:u w:val="none"/>
                <w:lang w:val="en-US" w:eastAsia="zh-CN" w:bidi="ar"/>
              </w:rPr>
              <w:t>农机购置补贴支出</w:t>
            </w:r>
          </w:p>
        </w:tc>
        <w:tc>
          <w:tcPr>
            <w:tcW w:w="1869" w:type="dxa"/>
            <w:shd w:val="clear" w:color="auto" w:fill="auto"/>
            <w:vAlign w:val="center"/>
          </w:tcPr>
          <w:p w14:paraId="5640355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考核农机购置补贴支出发放标准是否符合政策规定。</w:t>
            </w:r>
          </w:p>
        </w:tc>
        <w:tc>
          <w:tcPr>
            <w:tcW w:w="5136" w:type="dxa"/>
            <w:shd w:val="clear" w:color="auto" w:fill="auto"/>
            <w:vAlign w:val="center"/>
          </w:tcPr>
          <w:p w14:paraId="45124E4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实际完成值=（实际支付资金数/计划应支付资金数）×100%。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①实际完成值大于年度指标值，得0分；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②实际完成值小于等于年度指标值，且偏离程度小于20%，得满分；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③实际完成值小于年度指标值，且偏离程度大于等于20%，得0分。</w:t>
            </w:r>
          </w:p>
        </w:tc>
        <w:tc>
          <w:tcPr>
            <w:tcW w:w="1040" w:type="dxa"/>
            <w:shd w:val="clear" w:color="auto" w:fill="auto"/>
            <w:vAlign w:val="center"/>
          </w:tcPr>
          <w:p w14:paraId="11380A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≤1,298.30万元</w:t>
            </w:r>
          </w:p>
        </w:tc>
        <w:tc>
          <w:tcPr>
            <w:tcW w:w="828" w:type="dxa"/>
            <w:shd w:val="clear" w:color="auto" w:fill="auto"/>
            <w:vAlign w:val="center"/>
          </w:tcPr>
          <w:p w14:paraId="70C1DAD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1,298.24万元</w:t>
            </w:r>
          </w:p>
        </w:tc>
        <w:tc>
          <w:tcPr>
            <w:tcW w:w="832" w:type="dxa"/>
            <w:shd w:val="clear" w:color="auto" w:fill="auto"/>
            <w:vAlign w:val="center"/>
          </w:tcPr>
          <w:p w14:paraId="4100A0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 </w:t>
            </w:r>
          </w:p>
        </w:tc>
        <w:tc>
          <w:tcPr>
            <w:tcW w:w="737" w:type="dxa"/>
            <w:shd w:val="clear" w:color="auto" w:fill="auto"/>
            <w:vAlign w:val="center"/>
          </w:tcPr>
          <w:p w14:paraId="42CE2E4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 </w:t>
            </w:r>
          </w:p>
        </w:tc>
        <w:tc>
          <w:tcPr>
            <w:tcW w:w="922" w:type="dxa"/>
            <w:shd w:val="clear" w:color="auto" w:fill="auto"/>
            <w:vAlign w:val="center"/>
          </w:tcPr>
          <w:p w14:paraId="02DEB50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5B9F1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6DFB0A2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08750B47">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4D83A2D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C42</w:t>
            </w:r>
            <w:r>
              <w:rPr>
                <w:rFonts w:hint="eastAsia" w:ascii="宋体" w:hAnsi="宋体" w:eastAsia="宋体" w:cs="宋体"/>
                <w:i w:val="0"/>
                <w:iCs w:val="0"/>
                <w:color w:val="000000"/>
                <w:kern w:val="0"/>
                <w:sz w:val="18"/>
                <w:szCs w:val="18"/>
                <w:u w:val="none"/>
                <w:lang w:val="en-US" w:eastAsia="zh-CN" w:bidi="ar"/>
              </w:rPr>
              <w:t>农机报废补贴支出</w:t>
            </w:r>
          </w:p>
        </w:tc>
        <w:tc>
          <w:tcPr>
            <w:tcW w:w="1869" w:type="dxa"/>
            <w:shd w:val="clear" w:color="auto" w:fill="auto"/>
            <w:vAlign w:val="center"/>
          </w:tcPr>
          <w:p w14:paraId="14CF108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考核农机报废补贴支出发放标准是否符合政策规定。</w:t>
            </w:r>
          </w:p>
        </w:tc>
        <w:tc>
          <w:tcPr>
            <w:tcW w:w="5136" w:type="dxa"/>
            <w:shd w:val="clear" w:color="auto" w:fill="auto"/>
            <w:vAlign w:val="center"/>
          </w:tcPr>
          <w:p w14:paraId="117B1979">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实际完成值=（实际支付资金数/计划应支付资金数）×100%。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①实际完成值大于年度指标值，得0分；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②实际完成值小于等于年度指标值，且偏离程度小于20%，得满分；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③实际完成值小于年度指标值，且偏离程度大于等于20%，得0分。</w:t>
            </w:r>
          </w:p>
        </w:tc>
        <w:tc>
          <w:tcPr>
            <w:tcW w:w="1040" w:type="dxa"/>
            <w:shd w:val="clear" w:color="auto" w:fill="auto"/>
            <w:vAlign w:val="center"/>
          </w:tcPr>
          <w:p w14:paraId="1CE0C5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≤0.7万元</w:t>
            </w:r>
          </w:p>
        </w:tc>
        <w:tc>
          <w:tcPr>
            <w:tcW w:w="828" w:type="dxa"/>
            <w:shd w:val="clear" w:color="auto" w:fill="auto"/>
            <w:vAlign w:val="center"/>
          </w:tcPr>
          <w:p w14:paraId="5DE895F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0.7万元</w:t>
            </w:r>
          </w:p>
        </w:tc>
        <w:tc>
          <w:tcPr>
            <w:tcW w:w="832" w:type="dxa"/>
            <w:shd w:val="clear" w:color="auto" w:fill="auto"/>
            <w:vAlign w:val="center"/>
          </w:tcPr>
          <w:p w14:paraId="1F8B6B9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737" w:type="dxa"/>
            <w:shd w:val="clear" w:color="auto" w:fill="auto"/>
            <w:noWrap/>
            <w:vAlign w:val="center"/>
          </w:tcPr>
          <w:p w14:paraId="137A0C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 </w:t>
            </w:r>
          </w:p>
        </w:tc>
        <w:tc>
          <w:tcPr>
            <w:tcW w:w="922" w:type="dxa"/>
            <w:shd w:val="clear" w:color="auto" w:fill="auto"/>
            <w:vAlign w:val="center"/>
          </w:tcPr>
          <w:p w14:paraId="120DC4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DE89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815" w:type="dxa"/>
            <w:gridSpan w:val="5"/>
            <w:shd w:val="clear" w:color="auto" w:fill="auto"/>
            <w:vAlign w:val="center"/>
          </w:tcPr>
          <w:p w14:paraId="507B21C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040" w:type="dxa"/>
            <w:shd w:val="clear" w:color="auto" w:fill="auto"/>
            <w:vAlign w:val="center"/>
          </w:tcPr>
          <w:p w14:paraId="3212CEDC">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18"/>
                <w:szCs w:val="18"/>
                <w:u w:val="none"/>
              </w:rPr>
            </w:pPr>
          </w:p>
        </w:tc>
        <w:tc>
          <w:tcPr>
            <w:tcW w:w="828" w:type="dxa"/>
            <w:shd w:val="clear" w:color="auto" w:fill="auto"/>
            <w:vAlign w:val="center"/>
          </w:tcPr>
          <w:p w14:paraId="59F62D9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b/>
                <w:bCs/>
                <w:i w:val="0"/>
                <w:iCs w:val="0"/>
                <w:color w:val="000000"/>
                <w:sz w:val="18"/>
                <w:szCs w:val="18"/>
                <w:u w:val="none"/>
              </w:rPr>
            </w:pPr>
          </w:p>
        </w:tc>
        <w:tc>
          <w:tcPr>
            <w:tcW w:w="832" w:type="dxa"/>
            <w:shd w:val="clear" w:color="auto" w:fill="auto"/>
            <w:vAlign w:val="center"/>
          </w:tcPr>
          <w:p w14:paraId="4F1C8A0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30.00 </w:t>
            </w:r>
          </w:p>
        </w:tc>
        <w:tc>
          <w:tcPr>
            <w:tcW w:w="737" w:type="dxa"/>
            <w:shd w:val="clear" w:color="auto" w:fill="auto"/>
            <w:vAlign w:val="center"/>
          </w:tcPr>
          <w:p w14:paraId="66C21A4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23.70 </w:t>
            </w:r>
          </w:p>
        </w:tc>
        <w:tc>
          <w:tcPr>
            <w:tcW w:w="922" w:type="dxa"/>
            <w:shd w:val="clear" w:color="auto" w:fill="auto"/>
            <w:vAlign w:val="center"/>
          </w:tcPr>
          <w:p w14:paraId="7B8AD4E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79.01%</w:t>
            </w:r>
          </w:p>
        </w:tc>
      </w:tr>
      <w:tr w14:paraId="54302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restart"/>
            <w:shd w:val="clear" w:color="auto" w:fill="auto"/>
            <w:vAlign w:val="center"/>
          </w:tcPr>
          <w:p w14:paraId="7537983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D效益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（35.00分）</w:t>
            </w:r>
          </w:p>
        </w:tc>
        <w:tc>
          <w:tcPr>
            <w:tcW w:w="864" w:type="dxa"/>
            <w:vMerge w:val="restart"/>
            <w:shd w:val="clear" w:color="auto" w:fill="auto"/>
            <w:vAlign w:val="center"/>
          </w:tcPr>
          <w:p w14:paraId="566CE3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D1社会效益指标（25.00分）</w:t>
            </w:r>
          </w:p>
        </w:tc>
        <w:tc>
          <w:tcPr>
            <w:tcW w:w="1004" w:type="dxa"/>
            <w:shd w:val="clear" w:color="auto" w:fill="auto"/>
            <w:vAlign w:val="center"/>
          </w:tcPr>
          <w:p w14:paraId="2E1980C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D11农机购置与应用补贴直接受益户数</w:t>
            </w:r>
          </w:p>
        </w:tc>
        <w:tc>
          <w:tcPr>
            <w:tcW w:w="1869" w:type="dxa"/>
            <w:shd w:val="clear" w:color="auto" w:fill="auto"/>
            <w:vAlign w:val="center"/>
          </w:tcPr>
          <w:p w14:paraId="4A17433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考察农机购置与应用补贴直接受益户数实现程度。</w:t>
            </w:r>
          </w:p>
        </w:tc>
        <w:tc>
          <w:tcPr>
            <w:tcW w:w="5136" w:type="dxa"/>
            <w:shd w:val="clear" w:color="auto" w:fill="auto"/>
            <w:vAlign w:val="center"/>
          </w:tcPr>
          <w:p w14:paraId="7806010B">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实际完成值=（实际农机购置与应用补贴直接受益户数/计划应农机购置与应用补贴直接受益户数）×100%。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①实际完成值大于等于目标值，得满分；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②实际完成值小于目标值，得分=实际完成值/目标值×标杆分值。</w:t>
            </w:r>
          </w:p>
        </w:tc>
        <w:tc>
          <w:tcPr>
            <w:tcW w:w="1040" w:type="dxa"/>
            <w:shd w:val="clear" w:color="auto" w:fill="auto"/>
            <w:vAlign w:val="center"/>
          </w:tcPr>
          <w:p w14:paraId="282F18B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≥699户</w:t>
            </w:r>
          </w:p>
        </w:tc>
        <w:tc>
          <w:tcPr>
            <w:tcW w:w="828" w:type="dxa"/>
            <w:shd w:val="clear" w:color="auto" w:fill="auto"/>
            <w:vAlign w:val="center"/>
          </w:tcPr>
          <w:p w14:paraId="40D5171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751户</w:t>
            </w:r>
          </w:p>
        </w:tc>
        <w:tc>
          <w:tcPr>
            <w:tcW w:w="832" w:type="dxa"/>
            <w:shd w:val="clear" w:color="auto" w:fill="auto"/>
            <w:noWrap/>
            <w:vAlign w:val="center"/>
          </w:tcPr>
          <w:p w14:paraId="1FC5F96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7.00 </w:t>
            </w:r>
          </w:p>
        </w:tc>
        <w:tc>
          <w:tcPr>
            <w:tcW w:w="737" w:type="dxa"/>
            <w:shd w:val="clear" w:color="auto" w:fill="auto"/>
            <w:noWrap/>
            <w:vAlign w:val="center"/>
          </w:tcPr>
          <w:p w14:paraId="54271E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7.00 </w:t>
            </w:r>
          </w:p>
        </w:tc>
        <w:tc>
          <w:tcPr>
            <w:tcW w:w="922" w:type="dxa"/>
            <w:shd w:val="clear" w:color="auto" w:fill="auto"/>
            <w:vAlign w:val="center"/>
          </w:tcPr>
          <w:p w14:paraId="158F01A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3AE9DA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659584A3">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02BBAC8A">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4F3F984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D12补贴政策知晓率</w:t>
            </w:r>
          </w:p>
        </w:tc>
        <w:tc>
          <w:tcPr>
            <w:tcW w:w="1869" w:type="dxa"/>
            <w:shd w:val="clear" w:color="auto" w:fill="auto"/>
            <w:vAlign w:val="center"/>
          </w:tcPr>
          <w:p w14:paraId="550EE58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考察享受补贴人员对相关政策的了解程度。</w:t>
            </w:r>
          </w:p>
        </w:tc>
        <w:tc>
          <w:tcPr>
            <w:tcW w:w="5136" w:type="dxa"/>
            <w:shd w:val="clear" w:color="auto" w:fill="auto"/>
            <w:vAlign w:val="center"/>
          </w:tcPr>
          <w:p w14:paraId="7CF2733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指标完成率=∑样本数（“是”×1.0+“否”×0.0）/总样本数×100.00%；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①实际完成值大于等于目标值，得满分；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②实际完成值小于目标值，得分=实际完成值/目标值×标杆分值。</w:t>
            </w:r>
          </w:p>
        </w:tc>
        <w:tc>
          <w:tcPr>
            <w:tcW w:w="1040" w:type="dxa"/>
            <w:shd w:val="clear" w:color="auto" w:fill="auto"/>
            <w:vAlign w:val="center"/>
          </w:tcPr>
          <w:p w14:paraId="14EE1E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c>
          <w:tcPr>
            <w:tcW w:w="828" w:type="dxa"/>
            <w:shd w:val="clear" w:color="auto" w:fill="auto"/>
            <w:vAlign w:val="center"/>
          </w:tcPr>
          <w:p w14:paraId="140DFAE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96.98%</w:t>
            </w:r>
          </w:p>
        </w:tc>
        <w:tc>
          <w:tcPr>
            <w:tcW w:w="832" w:type="dxa"/>
            <w:shd w:val="clear" w:color="auto" w:fill="auto"/>
            <w:noWrap/>
            <w:vAlign w:val="center"/>
          </w:tcPr>
          <w:p w14:paraId="10898B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7.00 </w:t>
            </w:r>
          </w:p>
        </w:tc>
        <w:tc>
          <w:tcPr>
            <w:tcW w:w="737" w:type="dxa"/>
            <w:shd w:val="clear" w:color="auto" w:fill="auto"/>
            <w:noWrap/>
            <w:vAlign w:val="center"/>
          </w:tcPr>
          <w:p w14:paraId="692025D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6.79 </w:t>
            </w:r>
          </w:p>
        </w:tc>
        <w:tc>
          <w:tcPr>
            <w:tcW w:w="922" w:type="dxa"/>
            <w:shd w:val="clear" w:color="auto" w:fill="auto"/>
            <w:vAlign w:val="center"/>
          </w:tcPr>
          <w:p w14:paraId="624F648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96.98%</w:t>
            </w:r>
          </w:p>
        </w:tc>
      </w:tr>
      <w:tr w14:paraId="7E1F5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034FE2FB">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37A56FC3">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1B06EA4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D13农作物耕种收综合机械化率</w:t>
            </w:r>
          </w:p>
        </w:tc>
        <w:tc>
          <w:tcPr>
            <w:tcW w:w="1869" w:type="dxa"/>
            <w:shd w:val="clear" w:color="auto" w:fill="auto"/>
            <w:vAlign w:val="center"/>
          </w:tcPr>
          <w:p w14:paraId="1201580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考核通过开展项目，对于农作耕种收机械化率的提升程度。</w:t>
            </w:r>
          </w:p>
        </w:tc>
        <w:tc>
          <w:tcPr>
            <w:tcW w:w="5136" w:type="dxa"/>
            <w:shd w:val="clear" w:color="auto" w:fill="auto"/>
            <w:vAlign w:val="center"/>
          </w:tcPr>
          <w:p w14:paraId="4E3BC03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实际完成值以新疆农业机械化统计年报数据为准，进行核算。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实际完成率符合预期指标值得满分；预期指标未完成，且实际完成率大于60%的，按超过的比重赋分，计算公式为：得分=（实际完成率-60%）/（1-60%）×指标分值；完成率小于60%为不及格，不得分。</w:t>
            </w:r>
          </w:p>
        </w:tc>
        <w:tc>
          <w:tcPr>
            <w:tcW w:w="1040" w:type="dxa"/>
            <w:shd w:val="clear" w:color="auto" w:fill="auto"/>
            <w:vAlign w:val="center"/>
          </w:tcPr>
          <w:p w14:paraId="084E6E1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w:t>
            </w:r>
          </w:p>
        </w:tc>
        <w:tc>
          <w:tcPr>
            <w:tcW w:w="828" w:type="dxa"/>
            <w:shd w:val="clear" w:color="auto" w:fill="auto"/>
            <w:vAlign w:val="center"/>
          </w:tcPr>
          <w:p w14:paraId="5754C4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98.78%</w:t>
            </w:r>
          </w:p>
        </w:tc>
        <w:tc>
          <w:tcPr>
            <w:tcW w:w="832" w:type="dxa"/>
            <w:shd w:val="clear" w:color="auto" w:fill="auto"/>
            <w:noWrap/>
            <w:vAlign w:val="center"/>
          </w:tcPr>
          <w:p w14:paraId="4B5840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 </w:t>
            </w:r>
          </w:p>
        </w:tc>
        <w:tc>
          <w:tcPr>
            <w:tcW w:w="737" w:type="dxa"/>
            <w:shd w:val="clear" w:color="auto" w:fill="auto"/>
            <w:noWrap/>
            <w:vAlign w:val="center"/>
          </w:tcPr>
          <w:p w14:paraId="5E710A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6.00 </w:t>
            </w:r>
          </w:p>
        </w:tc>
        <w:tc>
          <w:tcPr>
            <w:tcW w:w="922" w:type="dxa"/>
            <w:shd w:val="clear" w:color="auto" w:fill="auto"/>
            <w:vAlign w:val="center"/>
          </w:tcPr>
          <w:p w14:paraId="77C4EAA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2FF0B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0DA8FF3F">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vMerge w:val="continue"/>
            <w:shd w:val="clear" w:color="auto" w:fill="auto"/>
            <w:vAlign w:val="center"/>
          </w:tcPr>
          <w:p w14:paraId="3FD4C270">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1004" w:type="dxa"/>
            <w:shd w:val="clear" w:color="auto" w:fill="auto"/>
            <w:vAlign w:val="center"/>
          </w:tcPr>
          <w:p w14:paraId="3D0B498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D14提升农业机械化生产社会化服务水平</w:t>
            </w:r>
          </w:p>
        </w:tc>
        <w:tc>
          <w:tcPr>
            <w:tcW w:w="1869" w:type="dxa"/>
            <w:shd w:val="clear" w:color="auto" w:fill="auto"/>
            <w:vAlign w:val="center"/>
          </w:tcPr>
          <w:p w14:paraId="59D8B21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考核项目实施后农业机械化生产社会化服务水平提升程度。</w:t>
            </w:r>
          </w:p>
        </w:tc>
        <w:tc>
          <w:tcPr>
            <w:tcW w:w="5136" w:type="dxa"/>
            <w:shd w:val="clear" w:color="auto" w:fill="auto"/>
            <w:vAlign w:val="center"/>
          </w:tcPr>
          <w:p w14:paraId="6C185B5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根据问卷调查情况进行评分，指标完成率=∑样本数（“显著”×1.0+“较大”×0.8+“一般”×0.6+“较差”×0.3+“无”×0）/总样本数×100.00%。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实际完成值分为基本达成目标、部分实现目标、实现目标程度较低三个档次</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并分别按照该指标对应分值区间100.00%-80.00%（含）、80.00%-60.00%（含）、60.00%-0.00%合理确定分值。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①指标完成率在100.00%-80.00%之间，得满分；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②指标完成率在80.00%-60.00%之间，得分=指标完成率×标杆分值；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③指标完成率小于60.00%为不及格，不得分。</w:t>
            </w:r>
          </w:p>
        </w:tc>
        <w:tc>
          <w:tcPr>
            <w:tcW w:w="1040" w:type="dxa"/>
            <w:shd w:val="clear" w:color="auto" w:fill="auto"/>
            <w:noWrap/>
            <w:vAlign w:val="center"/>
          </w:tcPr>
          <w:p w14:paraId="6B546475">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有效提升</w:t>
            </w:r>
          </w:p>
        </w:tc>
        <w:tc>
          <w:tcPr>
            <w:tcW w:w="828" w:type="dxa"/>
            <w:shd w:val="clear" w:color="auto" w:fill="auto"/>
            <w:vAlign w:val="center"/>
          </w:tcPr>
          <w:p w14:paraId="68BB510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基本达成目标</w:t>
            </w:r>
          </w:p>
        </w:tc>
        <w:tc>
          <w:tcPr>
            <w:tcW w:w="832" w:type="dxa"/>
            <w:shd w:val="clear" w:color="auto" w:fill="auto"/>
            <w:noWrap/>
            <w:vAlign w:val="center"/>
          </w:tcPr>
          <w:p w14:paraId="5EEDE6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737" w:type="dxa"/>
            <w:shd w:val="clear" w:color="auto" w:fill="auto"/>
            <w:noWrap/>
            <w:vAlign w:val="center"/>
          </w:tcPr>
          <w:p w14:paraId="3C16DA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922" w:type="dxa"/>
            <w:shd w:val="clear" w:color="auto" w:fill="auto"/>
            <w:vAlign w:val="center"/>
          </w:tcPr>
          <w:p w14:paraId="60AA96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6ECCE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184B97E1">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shd w:val="clear" w:color="auto" w:fill="auto"/>
            <w:vAlign w:val="center"/>
          </w:tcPr>
          <w:p w14:paraId="538BD26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D2可持续影响指标（5.00分）</w:t>
            </w:r>
          </w:p>
        </w:tc>
        <w:tc>
          <w:tcPr>
            <w:tcW w:w="1004" w:type="dxa"/>
            <w:shd w:val="clear" w:color="auto" w:fill="auto"/>
            <w:vAlign w:val="center"/>
          </w:tcPr>
          <w:p w14:paraId="2D2F444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D21不断促进农业技术发展</w:t>
            </w:r>
          </w:p>
        </w:tc>
        <w:tc>
          <w:tcPr>
            <w:tcW w:w="1869" w:type="dxa"/>
            <w:shd w:val="clear" w:color="auto" w:fill="auto"/>
            <w:vAlign w:val="center"/>
          </w:tcPr>
          <w:p w14:paraId="4F13707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考核项目实施后农业技术发展促进程度。</w:t>
            </w:r>
          </w:p>
        </w:tc>
        <w:tc>
          <w:tcPr>
            <w:tcW w:w="5136" w:type="dxa"/>
            <w:shd w:val="clear" w:color="auto" w:fill="auto"/>
            <w:vAlign w:val="center"/>
          </w:tcPr>
          <w:p w14:paraId="3A10DFD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根据问卷调查情况进行评分，指标完成率=∑样本数（“显著”×1.0+“较大”×0.8+“一般”×0.6+“较差”×0.3+“无”×0）/总样本数×100.00%。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实际完成值分为基本达成目标、部分实现目标、实现目标程度较低三个档次</w:t>
            </w:r>
            <w:r>
              <w:rPr>
                <w:rFonts w:hint="eastAsia" w:ascii="宋体" w:hAnsi="宋体" w:cs="宋体"/>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并分别按照该指标对应分值区间100.00%-80.00%（含）、80.00%-60.00%（含）、60.00%-0.00%合理确定分值。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①指标完成率在100.00%-80.00%之间，得满分；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②指标完成率在80.00%-60.00%之间，得分=指标完成率×标杆分值；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③指标完成率小于60.00%为不及格，不得分。</w:t>
            </w:r>
          </w:p>
        </w:tc>
        <w:tc>
          <w:tcPr>
            <w:tcW w:w="1040" w:type="dxa"/>
            <w:shd w:val="clear" w:color="auto" w:fill="auto"/>
            <w:vAlign w:val="center"/>
          </w:tcPr>
          <w:p w14:paraId="4262EF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不断促进</w:t>
            </w:r>
          </w:p>
        </w:tc>
        <w:tc>
          <w:tcPr>
            <w:tcW w:w="828" w:type="dxa"/>
            <w:shd w:val="clear" w:color="auto" w:fill="auto"/>
            <w:vAlign w:val="center"/>
          </w:tcPr>
          <w:p w14:paraId="3B4CDE8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基本达成目标</w:t>
            </w:r>
          </w:p>
        </w:tc>
        <w:tc>
          <w:tcPr>
            <w:tcW w:w="832" w:type="dxa"/>
            <w:shd w:val="clear" w:color="auto" w:fill="auto"/>
            <w:noWrap/>
            <w:vAlign w:val="center"/>
          </w:tcPr>
          <w:p w14:paraId="77B5320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737" w:type="dxa"/>
            <w:shd w:val="clear" w:color="auto" w:fill="auto"/>
            <w:noWrap/>
            <w:vAlign w:val="center"/>
          </w:tcPr>
          <w:p w14:paraId="610909F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922" w:type="dxa"/>
            <w:shd w:val="clear" w:color="auto" w:fill="auto"/>
            <w:vAlign w:val="center"/>
          </w:tcPr>
          <w:p w14:paraId="5EFA71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100.00%</w:t>
            </w:r>
          </w:p>
        </w:tc>
      </w:tr>
      <w:tr w14:paraId="5BE741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3" w:hRule="atLeast"/>
        </w:trPr>
        <w:tc>
          <w:tcPr>
            <w:tcW w:w="942" w:type="dxa"/>
            <w:vMerge w:val="continue"/>
            <w:shd w:val="clear" w:color="auto" w:fill="auto"/>
            <w:vAlign w:val="center"/>
          </w:tcPr>
          <w:p w14:paraId="1B77B09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64" w:type="dxa"/>
            <w:shd w:val="clear" w:color="auto" w:fill="auto"/>
            <w:vAlign w:val="center"/>
          </w:tcPr>
          <w:p w14:paraId="63CEDAE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D2服务对象满意度指标（5.00分）</w:t>
            </w:r>
          </w:p>
        </w:tc>
        <w:tc>
          <w:tcPr>
            <w:tcW w:w="1004" w:type="dxa"/>
            <w:shd w:val="clear" w:color="auto" w:fill="auto"/>
            <w:vAlign w:val="center"/>
          </w:tcPr>
          <w:p w14:paraId="7842768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D31农机购置补贴受益户满意度</w:t>
            </w:r>
          </w:p>
        </w:tc>
        <w:tc>
          <w:tcPr>
            <w:tcW w:w="1869" w:type="dxa"/>
            <w:shd w:val="clear" w:color="auto" w:fill="auto"/>
            <w:vAlign w:val="center"/>
          </w:tcPr>
          <w:p w14:paraId="05FDF07B">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考核项目实施后农机购置补贴受益户的满意程度。</w:t>
            </w:r>
          </w:p>
        </w:tc>
        <w:tc>
          <w:tcPr>
            <w:tcW w:w="5136" w:type="dxa"/>
            <w:shd w:val="clear" w:color="auto" w:fill="auto"/>
            <w:vAlign w:val="center"/>
          </w:tcPr>
          <w:p w14:paraId="20CD048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根据满意度问卷统计情况计算满意度完成比率，指标完成率=∑样本数（“非常满意”×1.00+“较为满意”×0.80+“一般满意”×0.60+“不满意”×0.30+“很不满意”×0.00）/总样本数×100.00%。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①若95.00%≤完成率≤100.00%，得分=100.00%×权重；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②若80.00%≤完成率&lt;95.00%，得分=80.00%×权重；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③若60.00%≤完成率&lt;80.00%，得分=60.00%×权重；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④若完成率&lt;60.00%，得分=0.00分。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综合满意度根据设置的问卷统计结果按照加权平均数计算。</w:t>
            </w:r>
          </w:p>
        </w:tc>
        <w:tc>
          <w:tcPr>
            <w:tcW w:w="1040" w:type="dxa"/>
            <w:shd w:val="clear" w:color="auto" w:fill="auto"/>
            <w:vAlign w:val="center"/>
          </w:tcPr>
          <w:p w14:paraId="6CAABB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≥95.00%</w:t>
            </w:r>
          </w:p>
        </w:tc>
        <w:tc>
          <w:tcPr>
            <w:tcW w:w="828" w:type="dxa"/>
            <w:shd w:val="clear" w:color="auto" w:fill="auto"/>
            <w:noWrap/>
            <w:vAlign w:val="center"/>
          </w:tcPr>
          <w:p w14:paraId="637AC2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91.76%</w:t>
            </w:r>
          </w:p>
        </w:tc>
        <w:tc>
          <w:tcPr>
            <w:tcW w:w="832" w:type="dxa"/>
            <w:shd w:val="clear" w:color="auto" w:fill="auto"/>
            <w:noWrap/>
            <w:vAlign w:val="center"/>
          </w:tcPr>
          <w:p w14:paraId="3C9D46B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 </w:t>
            </w:r>
          </w:p>
        </w:tc>
        <w:tc>
          <w:tcPr>
            <w:tcW w:w="737" w:type="dxa"/>
            <w:shd w:val="clear" w:color="auto" w:fill="auto"/>
            <w:noWrap/>
            <w:vAlign w:val="center"/>
          </w:tcPr>
          <w:p w14:paraId="48C294B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4.00 </w:t>
            </w:r>
          </w:p>
        </w:tc>
        <w:tc>
          <w:tcPr>
            <w:tcW w:w="922" w:type="dxa"/>
            <w:shd w:val="clear" w:color="auto" w:fill="auto"/>
            <w:vAlign w:val="center"/>
          </w:tcPr>
          <w:p w14:paraId="2181EFF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80.00%</w:t>
            </w:r>
          </w:p>
        </w:tc>
      </w:tr>
      <w:tr w14:paraId="7B2AE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815" w:type="dxa"/>
            <w:gridSpan w:val="5"/>
            <w:shd w:val="clear" w:color="auto" w:fill="auto"/>
            <w:vAlign w:val="center"/>
          </w:tcPr>
          <w:p w14:paraId="265F8C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p>
        </w:tc>
        <w:tc>
          <w:tcPr>
            <w:tcW w:w="1040" w:type="dxa"/>
            <w:shd w:val="clear" w:color="auto" w:fill="auto"/>
            <w:vAlign w:val="center"/>
          </w:tcPr>
          <w:p w14:paraId="082E23C8">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28" w:type="dxa"/>
            <w:shd w:val="clear" w:color="auto" w:fill="auto"/>
            <w:noWrap/>
            <w:vAlign w:val="center"/>
          </w:tcPr>
          <w:p w14:paraId="6824E94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32" w:type="dxa"/>
            <w:shd w:val="clear" w:color="auto" w:fill="auto"/>
            <w:noWrap/>
            <w:vAlign w:val="center"/>
          </w:tcPr>
          <w:p w14:paraId="154DE8F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35.00 </w:t>
            </w:r>
          </w:p>
        </w:tc>
        <w:tc>
          <w:tcPr>
            <w:tcW w:w="737" w:type="dxa"/>
            <w:shd w:val="clear" w:color="auto" w:fill="auto"/>
            <w:noWrap/>
            <w:vAlign w:val="center"/>
          </w:tcPr>
          <w:p w14:paraId="0969114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33.79 </w:t>
            </w:r>
          </w:p>
        </w:tc>
        <w:tc>
          <w:tcPr>
            <w:tcW w:w="922" w:type="dxa"/>
            <w:shd w:val="clear" w:color="auto" w:fill="auto"/>
            <w:vAlign w:val="center"/>
          </w:tcPr>
          <w:p w14:paraId="408324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96.54%</w:t>
            </w:r>
          </w:p>
        </w:tc>
      </w:tr>
      <w:tr w14:paraId="48DBB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trPr>
        <w:tc>
          <w:tcPr>
            <w:tcW w:w="9815" w:type="dxa"/>
            <w:gridSpan w:val="5"/>
            <w:shd w:val="clear" w:color="auto" w:fill="auto"/>
            <w:noWrap/>
            <w:vAlign w:val="center"/>
          </w:tcPr>
          <w:p w14:paraId="5E41564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合计</w:t>
            </w:r>
          </w:p>
        </w:tc>
        <w:tc>
          <w:tcPr>
            <w:tcW w:w="1040" w:type="dxa"/>
            <w:shd w:val="clear" w:color="auto" w:fill="auto"/>
            <w:vAlign w:val="center"/>
          </w:tcPr>
          <w:p w14:paraId="32FD2C89">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28" w:type="dxa"/>
            <w:shd w:val="clear" w:color="auto" w:fill="auto"/>
            <w:noWrap/>
            <w:vAlign w:val="center"/>
          </w:tcPr>
          <w:p w14:paraId="358953DD">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18"/>
                <w:szCs w:val="18"/>
                <w:u w:val="none"/>
              </w:rPr>
            </w:pPr>
          </w:p>
        </w:tc>
        <w:tc>
          <w:tcPr>
            <w:tcW w:w="832" w:type="dxa"/>
            <w:shd w:val="clear" w:color="auto" w:fill="auto"/>
            <w:noWrap/>
            <w:vAlign w:val="center"/>
          </w:tcPr>
          <w:p w14:paraId="12DB6D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100.00 </w:t>
            </w:r>
          </w:p>
        </w:tc>
        <w:tc>
          <w:tcPr>
            <w:tcW w:w="737" w:type="dxa"/>
            <w:shd w:val="clear" w:color="auto" w:fill="auto"/>
            <w:noWrap/>
            <w:vAlign w:val="center"/>
          </w:tcPr>
          <w:p w14:paraId="57F6047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92.49 </w:t>
            </w:r>
          </w:p>
        </w:tc>
        <w:tc>
          <w:tcPr>
            <w:tcW w:w="922" w:type="dxa"/>
            <w:shd w:val="clear" w:color="auto" w:fill="auto"/>
            <w:vAlign w:val="center"/>
          </w:tcPr>
          <w:p w14:paraId="67FC606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92.49%</w:t>
            </w:r>
          </w:p>
        </w:tc>
      </w:tr>
    </w:tbl>
    <w:p w14:paraId="2E68671B">
      <w:pPr>
        <w:pageBreakBefore w:val="0"/>
        <w:kinsoku/>
        <w:wordWrap/>
        <w:overflowPunct/>
        <w:topLinePunct w:val="0"/>
        <w:autoSpaceDE/>
        <w:autoSpaceDN/>
        <w:bidi w:val="0"/>
        <w:snapToGrid w:val="0"/>
        <w:spacing w:line="360" w:lineRule="auto"/>
        <w:ind w:firstLine="420"/>
        <w:rPr>
          <w:color w:val="auto"/>
        </w:rPr>
        <w:sectPr>
          <w:footerReference r:id="rId15" w:type="default"/>
          <w:pgSz w:w="16838" w:h="11906" w:orient="landscape"/>
          <w:pgMar w:top="1800" w:right="1440" w:bottom="1800" w:left="1440" w:header="851" w:footer="907" w:gutter="0"/>
          <w:cols w:space="425" w:num="1"/>
          <w:docGrid w:type="lines" w:linePitch="312" w:charSpace="0"/>
        </w:sectPr>
      </w:pPr>
    </w:p>
    <w:p w14:paraId="2F922350">
      <w:pPr>
        <w:pStyle w:val="2"/>
        <w:pageBreakBefore w:val="0"/>
        <w:kinsoku/>
        <w:wordWrap/>
        <w:overflowPunct/>
        <w:topLinePunct w:val="0"/>
        <w:autoSpaceDE/>
        <w:autoSpaceDN/>
        <w:bidi w:val="0"/>
        <w:snapToGrid w:val="0"/>
        <w:spacing w:line="360" w:lineRule="auto"/>
        <w:ind w:firstLine="0" w:firstLineChars="0"/>
        <w:rPr>
          <w:color w:val="auto"/>
        </w:rPr>
      </w:pPr>
      <w:r>
        <w:rPr>
          <w:color w:val="auto"/>
        </w:rPr>
        <w:t>附件2：基础表</w:t>
      </w:r>
      <w:bookmarkEnd w:id="112"/>
      <w:bookmarkEnd w:id="113"/>
      <w:bookmarkEnd w:id="114"/>
      <w:bookmarkEnd w:id="115"/>
    </w:p>
    <w:p w14:paraId="74430815">
      <w:pPr>
        <w:ind w:firstLine="0" w:firstLineChars="0"/>
        <w:jc w:val="center"/>
        <w:rPr>
          <w:rFonts w:hint="default"/>
          <w:b/>
          <w:bCs/>
          <w:color w:val="auto"/>
          <w:lang w:val="en-US" w:eastAsia="zh-CN"/>
        </w:rPr>
      </w:pPr>
      <w:r>
        <w:rPr>
          <w:rFonts w:hint="eastAsia"/>
          <w:b/>
          <w:bCs/>
          <w:color w:val="auto"/>
          <w:lang w:val="en-US" w:eastAsia="zh-CN"/>
        </w:rPr>
        <w:t>基础表2-1：农机购置与应用补贴各年度补贴明细表</w:t>
      </w:r>
    </w:p>
    <w:tbl>
      <w:tblPr>
        <w:tblStyle w:val="2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67"/>
        <w:gridCol w:w="3889"/>
        <w:gridCol w:w="1781"/>
        <w:gridCol w:w="1782"/>
      </w:tblGrid>
      <w:tr w14:paraId="076CB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B500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5E25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补贴机具年份</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C8A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补贴台数</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8D40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受益户数</w:t>
            </w:r>
          </w:p>
        </w:tc>
      </w:tr>
      <w:tr w14:paraId="3866D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A3BD0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6044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2021年度购置的农机具</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18AB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66F1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14:paraId="286A6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7FAF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5237F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2022年度购置的农机具</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E50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BFE4A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r>
      <w:tr w14:paraId="7ADF4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5309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990E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2023年度购置的农机具</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CD00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636</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5FC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r>
      <w:tr w14:paraId="56430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496E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39C6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2024年度购置的农机具</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CB62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168</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8D29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w:t>
            </w:r>
          </w:p>
        </w:tc>
      </w:tr>
      <w:tr w14:paraId="4334FA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62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580F5">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5</w:t>
            </w:r>
          </w:p>
        </w:tc>
        <w:tc>
          <w:tcPr>
            <w:tcW w:w="22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6F336">
            <w:pPr>
              <w:keepNext w:val="0"/>
              <w:keepLines w:val="0"/>
              <w:pageBreakBefore w:val="0"/>
              <w:widowControl/>
              <w:kinsoku/>
              <w:wordWrap/>
              <w:overflowPunct/>
              <w:topLinePunct w:val="0"/>
              <w:autoSpaceDE/>
              <w:autoSpaceDN/>
              <w:bidi w:val="0"/>
              <w:spacing w:line="240" w:lineRule="auto"/>
              <w:ind w:firstLine="0" w:firstLineChars="0"/>
              <w:rPr>
                <w:rFonts w:hint="eastAsia" w:ascii="宋体" w:hAnsi="宋体" w:eastAsia="宋体" w:cs="宋体"/>
                <w:i w:val="0"/>
                <w:iCs w:val="0"/>
                <w:color w:val="000000"/>
                <w:sz w:val="21"/>
                <w:szCs w:val="21"/>
                <w:u w:val="none"/>
                <w:lang w:val="en-US" w:eastAsia="zh-CN"/>
              </w:rPr>
            </w:pPr>
            <w:r>
              <w:rPr>
                <w:rFonts w:hint="eastAsia" w:ascii="宋体" w:hAnsi="宋体" w:eastAsia="宋体" w:cs="宋体"/>
                <w:i w:val="0"/>
                <w:iCs w:val="0"/>
                <w:color w:val="000000"/>
                <w:sz w:val="21"/>
                <w:szCs w:val="21"/>
                <w:u w:val="none"/>
                <w:lang w:val="en-US" w:eastAsia="zh-CN"/>
              </w:rPr>
              <w:t>合计</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73D5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959</w:t>
            </w:r>
          </w:p>
        </w:tc>
        <w:tc>
          <w:tcPr>
            <w:tcW w:w="10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68713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781</w:t>
            </w:r>
          </w:p>
        </w:tc>
      </w:tr>
    </w:tbl>
    <w:p w14:paraId="11CBD52A">
      <w:pPr>
        <w:jc w:val="right"/>
        <w:rPr>
          <w:rFonts w:hint="default"/>
          <w:b/>
          <w:bCs/>
          <w:color w:val="auto"/>
          <w:lang w:val="en-US" w:eastAsia="zh-CN"/>
        </w:rPr>
      </w:pPr>
    </w:p>
    <w:p w14:paraId="03387B1D">
      <w:pPr>
        <w:ind w:firstLine="0" w:firstLineChars="0"/>
        <w:jc w:val="center"/>
        <w:rPr>
          <w:rFonts w:hint="default"/>
          <w:b/>
          <w:bCs/>
          <w:color w:val="auto"/>
          <w:lang w:val="en-US" w:eastAsia="zh-CN"/>
        </w:rPr>
      </w:pPr>
      <w:r>
        <w:rPr>
          <w:rFonts w:hint="eastAsia"/>
          <w:b/>
          <w:bCs/>
          <w:color w:val="auto"/>
          <w:lang w:val="en-US" w:eastAsia="zh-CN"/>
        </w:rPr>
        <w:t>基础表2-2:2024年老台乡第一批农机报废补贴实名制管理台账</w:t>
      </w:r>
    </w:p>
    <w:tbl>
      <w:tblPr>
        <w:tblStyle w:val="2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08"/>
        <w:gridCol w:w="2783"/>
        <w:gridCol w:w="2004"/>
        <w:gridCol w:w="2324"/>
      </w:tblGrid>
      <w:tr w14:paraId="077B18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AE21B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序号</w:t>
            </w:r>
          </w:p>
        </w:tc>
        <w:tc>
          <w:tcPr>
            <w:tcW w:w="1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BB538D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乡镇、村居</w:t>
            </w:r>
          </w:p>
        </w:tc>
        <w:tc>
          <w:tcPr>
            <w:tcW w:w="1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2E5003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新宋体" w:hAnsi="新宋体" w:eastAsia="新宋体" w:cs="新宋体"/>
                <w:i w:val="0"/>
                <w:iCs w:val="0"/>
                <w:color w:val="000000"/>
                <w:sz w:val="21"/>
                <w:szCs w:val="21"/>
                <w:u w:val="none"/>
                <w:lang w:val="en-US"/>
              </w:rPr>
            </w:pPr>
            <w:r>
              <w:rPr>
                <w:rFonts w:hint="eastAsia" w:ascii="新宋体" w:hAnsi="新宋体" w:eastAsia="新宋体" w:cs="新宋体"/>
                <w:i w:val="0"/>
                <w:iCs w:val="0"/>
                <w:color w:val="000000"/>
                <w:kern w:val="0"/>
                <w:sz w:val="21"/>
                <w:szCs w:val="21"/>
                <w:u w:val="none"/>
                <w:lang w:val="en-US" w:eastAsia="zh-CN" w:bidi="ar"/>
              </w:rPr>
              <w:t>补充数量</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F22B8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补贴金额</w:t>
            </w:r>
          </w:p>
        </w:tc>
      </w:tr>
      <w:tr w14:paraId="7ED1C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2AC151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1</w:t>
            </w:r>
          </w:p>
        </w:tc>
        <w:tc>
          <w:tcPr>
            <w:tcW w:w="1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581B1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Arial" w:hAnsi="Arial" w:eastAsia="宋体" w:cs="Arial"/>
                <w:i w:val="0"/>
                <w:iCs w:val="0"/>
                <w:color w:val="000000"/>
                <w:sz w:val="21"/>
                <w:szCs w:val="21"/>
                <w:u w:val="none"/>
              </w:rPr>
            </w:pPr>
            <w:r>
              <w:rPr>
                <w:rFonts w:hint="default" w:ascii="Arial" w:hAnsi="Arial" w:eastAsia="宋体" w:cs="Arial"/>
                <w:i w:val="0"/>
                <w:iCs w:val="0"/>
                <w:color w:val="000000"/>
                <w:kern w:val="0"/>
                <w:sz w:val="21"/>
                <w:szCs w:val="21"/>
                <w:u w:val="none"/>
                <w:lang w:val="en-US" w:eastAsia="zh-CN" w:bidi="ar"/>
              </w:rPr>
              <w:t>老台乡</w:t>
            </w:r>
          </w:p>
        </w:tc>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56C9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3522F7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新宋体" w:hAnsi="新宋体" w:eastAsia="新宋体" w:cs="新宋体"/>
                <w:i w:val="0"/>
                <w:iCs w:val="0"/>
                <w:color w:val="000000"/>
                <w:kern w:val="0"/>
                <w:sz w:val="21"/>
                <w:szCs w:val="21"/>
                <w:u w:val="none"/>
                <w:lang w:val="en-US" w:eastAsia="zh-CN" w:bidi="ar"/>
              </w:rPr>
            </w:pPr>
            <w:r>
              <w:rPr>
                <w:rFonts w:hint="default" w:ascii="新宋体" w:hAnsi="新宋体" w:eastAsia="新宋体" w:cs="新宋体"/>
                <w:i w:val="0"/>
                <w:iCs w:val="0"/>
                <w:color w:val="000000"/>
                <w:kern w:val="0"/>
                <w:sz w:val="21"/>
                <w:szCs w:val="21"/>
                <w:u w:val="none"/>
                <w:lang w:val="en-US" w:eastAsia="zh-CN" w:bidi="ar"/>
              </w:rPr>
              <w:t>3</w:t>
            </w:r>
            <w:r>
              <w:rPr>
                <w:rFonts w:hint="eastAsia" w:ascii="新宋体" w:hAnsi="新宋体" w:eastAsia="新宋体" w:cs="新宋体"/>
                <w:i w:val="0"/>
                <w:iCs w:val="0"/>
                <w:color w:val="000000"/>
                <w:kern w:val="0"/>
                <w:sz w:val="21"/>
                <w:szCs w:val="21"/>
                <w:u w:val="none"/>
                <w:lang w:val="en-US" w:eastAsia="zh-CN" w:bidi="ar"/>
              </w:rPr>
              <w:t>,</w:t>
            </w:r>
            <w:r>
              <w:rPr>
                <w:rFonts w:hint="default" w:ascii="新宋体" w:hAnsi="新宋体" w:eastAsia="新宋体" w:cs="新宋体"/>
                <w:i w:val="0"/>
                <w:iCs w:val="0"/>
                <w:color w:val="000000"/>
                <w:kern w:val="0"/>
                <w:sz w:val="21"/>
                <w:szCs w:val="21"/>
                <w:u w:val="none"/>
                <w:lang w:val="en-US" w:eastAsia="zh-CN" w:bidi="ar"/>
              </w:rPr>
              <w:t>500</w:t>
            </w:r>
            <w:r>
              <w:rPr>
                <w:rFonts w:hint="eastAsia" w:ascii="新宋体" w:hAnsi="新宋体" w:eastAsia="新宋体" w:cs="新宋体"/>
                <w:i w:val="0"/>
                <w:iCs w:val="0"/>
                <w:color w:val="000000"/>
                <w:kern w:val="0"/>
                <w:sz w:val="21"/>
                <w:szCs w:val="21"/>
                <w:u w:val="none"/>
                <w:lang w:val="en-US" w:eastAsia="zh-CN" w:bidi="ar"/>
              </w:rPr>
              <w:t>.00</w:t>
            </w:r>
          </w:p>
        </w:tc>
      </w:tr>
      <w:tr w14:paraId="412D2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70DC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2</w:t>
            </w:r>
          </w:p>
        </w:tc>
        <w:tc>
          <w:tcPr>
            <w:tcW w:w="1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0DF447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Arial" w:hAnsi="Arial" w:eastAsia="宋体" w:cs="Arial"/>
                <w:i w:val="0"/>
                <w:iCs w:val="0"/>
                <w:color w:val="000000"/>
                <w:sz w:val="21"/>
                <w:szCs w:val="21"/>
                <w:u w:val="none"/>
              </w:rPr>
            </w:pPr>
            <w:r>
              <w:rPr>
                <w:rFonts w:hint="default" w:ascii="Arial" w:hAnsi="Arial" w:eastAsia="宋体" w:cs="Arial"/>
                <w:i w:val="0"/>
                <w:iCs w:val="0"/>
                <w:color w:val="000000"/>
                <w:kern w:val="0"/>
                <w:sz w:val="21"/>
                <w:szCs w:val="21"/>
                <w:u w:val="none"/>
                <w:lang w:val="en-US" w:eastAsia="zh-CN" w:bidi="ar"/>
              </w:rPr>
              <w:t>老台乡</w:t>
            </w:r>
          </w:p>
        </w:tc>
        <w:tc>
          <w:tcPr>
            <w:tcW w:w="11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2A60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1</w:t>
            </w: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2ED49C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新宋体" w:hAnsi="新宋体" w:eastAsia="新宋体" w:cs="新宋体"/>
                <w:i w:val="0"/>
                <w:iCs w:val="0"/>
                <w:color w:val="000000"/>
                <w:kern w:val="0"/>
                <w:sz w:val="21"/>
                <w:szCs w:val="21"/>
                <w:u w:val="none"/>
                <w:lang w:val="en-US" w:eastAsia="zh-CN" w:bidi="ar"/>
              </w:rPr>
            </w:pPr>
            <w:r>
              <w:rPr>
                <w:rFonts w:hint="default" w:ascii="新宋体" w:hAnsi="新宋体" w:eastAsia="新宋体" w:cs="新宋体"/>
                <w:i w:val="0"/>
                <w:iCs w:val="0"/>
                <w:color w:val="000000"/>
                <w:kern w:val="0"/>
                <w:sz w:val="21"/>
                <w:szCs w:val="21"/>
                <w:u w:val="none"/>
                <w:lang w:val="en-US" w:eastAsia="zh-CN" w:bidi="ar"/>
              </w:rPr>
              <w:t>3</w:t>
            </w:r>
            <w:r>
              <w:rPr>
                <w:rFonts w:hint="eastAsia" w:ascii="新宋体" w:hAnsi="新宋体" w:eastAsia="新宋体" w:cs="新宋体"/>
                <w:i w:val="0"/>
                <w:iCs w:val="0"/>
                <w:color w:val="000000"/>
                <w:kern w:val="0"/>
                <w:sz w:val="21"/>
                <w:szCs w:val="21"/>
                <w:u w:val="none"/>
                <w:lang w:val="en-US" w:eastAsia="zh-CN" w:bidi="ar"/>
              </w:rPr>
              <w:t>,</w:t>
            </w:r>
            <w:r>
              <w:rPr>
                <w:rFonts w:hint="default" w:ascii="新宋体" w:hAnsi="新宋体" w:eastAsia="新宋体" w:cs="新宋体"/>
                <w:i w:val="0"/>
                <w:iCs w:val="0"/>
                <w:color w:val="000000"/>
                <w:kern w:val="0"/>
                <w:sz w:val="21"/>
                <w:szCs w:val="21"/>
                <w:u w:val="none"/>
                <w:lang w:val="en-US" w:eastAsia="zh-CN" w:bidi="ar"/>
              </w:rPr>
              <w:t>500</w:t>
            </w:r>
            <w:r>
              <w:rPr>
                <w:rFonts w:hint="eastAsia" w:ascii="新宋体" w:hAnsi="新宋体" w:eastAsia="新宋体" w:cs="新宋体"/>
                <w:i w:val="0"/>
                <w:iCs w:val="0"/>
                <w:color w:val="000000"/>
                <w:kern w:val="0"/>
                <w:sz w:val="21"/>
                <w:szCs w:val="21"/>
                <w:u w:val="none"/>
                <w:lang w:val="en-US" w:eastAsia="zh-CN" w:bidi="ar"/>
              </w:rPr>
              <w:t>.00</w:t>
            </w:r>
          </w:p>
        </w:tc>
      </w:tr>
      <w:tr w14:paraId="10B56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6" w:hRule="atLeast"/>
        </w:trPr>
        <w:tc>
          <w:tcPr>
            <w:tcW w:w="82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710AF6">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新宋体" w:hAnsi="新宋体" w:eastAsia="新宋体" w:cs="新宋体"/>
                <w:i w:val="0"/>
                <w:iCs w:val="0"/>
                <w:color w:val="000000"/>
                <w:sz w:val="21"/>
                <w:szCs w:val="21"/>
                <w:u w:val="none"/>
              </w:rPr>
            </w:pPr>
          </w:p>
        </w:tc>
        <w:tc>
          <w:tcPr>
            <w:tcW w:w="163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74B18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eastAsia" w:ascii="新宋体" w:hAnsi="新宋体" w:eastAsia="新宋体" w:cs="新宋体"/>
                <w:i w:val="0"/>
                <w:iCs w:val="0"/>
                <w:color w:val="000000"/>
                <w:sz w:val="21"/>
                <w:szCs w:val="21"/>
                <w:u w:val="none"/>
              </w:rPr>
            </w:pPr>
            <w:r>
              <w:rPr>
                <w:rFonts w:hint="eastAsia" w:ascii="新宋体" w:hAnsi="新宋体" w:eastAsia="新宋体" w:cs="新宋体"/>
                <w:i w:val="0"/>
                <w:iCs w:val="0"/>
                <w:color w:val="000000"/>
                <w:kern w:val="0"/>
                <w:sz w:val="21"/>
                <w:szCs w:val="21"/>
                <w:u w:val="none"/>
                <w:lang w:val="en-US" w:eastAsia="zh-CN" w:bidi="ar"/>
              </w:rPr>
              <w:t>合计</w:t>
            </w:r>
          </w:p>
        </w:tc>
        <w:tc>
          <w:tcPr>
            <w:tcW w:w="117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A71628C">
            <w:pPr>
              <w:keepNext w:val="0"/>
              <w:keepLines w:val="0"/>
              <w:pageBreakBefore w:val="0"/>
              <w:widowControl/>
              <w:kinsoku/>
              <w:wordWrap/>
              <w:overflowPunct/>
              <w:topLinePunct w:val="0"/>
              <w:autoSpaceDE/>
              <w:autoSpaceDN/>
              <w:bidi w:val="0"/>
              <w:spacing w:line="240" w:lineRule="auto"/>
              <w:ind w:firstLine="0" w:firstLineChars="0"/>
              <w:jc w:val="center"/>
              <w:rPr>
                <w:rFonts w:hint="eastAsia" w:ascii="新宋体" w:hAnsi="新宋体" w:eastAsia="新宋体" w:cs="新宋体"/>
                <w:i w:val="0"/>
                <w:iCs w:val="0"/>
                <w:color w:val="000000"/>
                <w:sz w:val="21"/>
                <w:szCs w:val="21"/>
                <w:u w:val="none"/>
              </w:rPr>
            </w:pPr>
          </w:p>
        </w:tc>
        <w:tc>
          <w:tcPr>
            <w:tcW w:w="136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620C84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新宋体" w:hAnsi="新宋体" w:eastAsia="新宋体" w:cs="新宋体"/>
                <w:i w:val="0"/>
                <w:iCs w:val="0"/>
                <w:color w:val="000000"/>
                <w:kern w:val="0"/>
                <w:sz w:val="21"/>
                <w:szCs w:val="21"/>
                <w:u w:val="none"/>
                <w:lang w:val="en-US" w:eastAsia="zh-CN" w:bidi="ar"/>
              </w:rPr>
            </w:pPr>
            <w:r>
              <w:rPr>
                <w:rFonts w:hint="eastAsia" w:ascii="新宋体" w:hAnsi="新宋体" w:eastAsia="新宋体" w:cs="新宋体"/>
                <w:i w:val="0"/>
                <w:iCs w:val="0"/>
                <w:color w:val="000000"/>
                <w:kern w:val="0"/>
                <w:sz w:val="21"/>
                <w:szCs w:val="21"/>
                <w:u w:val="none"/>
                <w:lang w:val="en-US" w:eastAsia="zh-CN" w:bidi="ar"/>
              </w:rPr>
              <w:t>7,000.00</w:t>
            </w:r>
          </w:p>
        </w:tc>
      </w:tr>
    </w:tbl>
    <w:p w14:paraId="6CB0257B">
      <w:pPr>
        <w:ind w:firstLine="0" w:firstLineChars="0"/>
        <w:jc w:val="center"/>
        <w:rPr>
          <w:rFonts w:hint="eastAsia" w:ascii="Times New Roman" w:hAnsi="Times New Roman" w:eastAsia="宋体" w:cs="Times New Roman"/>
          <w:b/>
          <w:bCs/>
          <w:color w:val="auto"/>
          <w:lang w:val="en-US" w:eastAsia="zh-CN"/>
        </w:rPr>
      </w:pPr>
    </w:p>
    <w:p w14:paraId="2A96F817">
      <w:pPr>
        <w:ind w:firstLine="0" w:firstLineChars="0"/>
        <w:jc w:val="center"/>
        <w:rPr>
          <w:rFonts w:hint="eastAsia" w:ascii="Times New Roman" w:hAnsi="Times New Roman" w:eastAsia="宋体" w:cs="Times New Roman"/>
          <w:b/>
          <w:bCs/>
          <w:color w:val="auto"/>
          <w:lang w:val="en-US" w:eastAsia="zh-CN"/>
        </w:rPr>
      </w:pPr>
      <w:r>
        <w:rPr>
          <w:rFonts w:hint="eastAsia" w:ascii="Times New Roman" w:hAnsi="Times New Roman" w:eastAsia="宋体" w:cs="Times New Roman"/>
          <w:b/>
          <w:bCs/>
          <w:color w:val="auto"/>
          <w:lang w:val="en-US" w:eastAsia="zh-CN"/>
        </w:rPr>
        <w:t>基础表2-3：农机购置补贴</w:t>
      </w:r>
      <w:r>
        <w:rPr>
          <w:rFonts w:hint="eastAsia" w:ascii="Times New Roman" w:hAnsi="Times New Roman" w:eastAsia="宋体" w:cs="宋体"/>
          <w:b/>
          <w:bCs/>
          <w:i w:val="0"/>
          <w:iCs w:val="0"/>
          <w:color w:val="auto"/>
          <w:kern w:val="0"/>
          <w:sz w:val="21"/>
          <w:szCs w:val="21"/>
          <w:highlight w:val="none"/>
          <w:u w:val="none"/>
          <w:lang w:val="en-US" w:eastAsia="zh-CN" w:bidi="ar"/>
        </w:rPr>
        <w:t>发放汇总表</w:t>
      </w:r>
    </w:p>
    <w:tbl>
      <w:tblPr>
        <w:tblStyle w:val="21"/>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6"/>
        <w:gridCol w:w="1856"/>
        <w:gridCol w:w="3562"/>
        <w:gridCol w:w="2295"/>
      </w:tblGrid>
      <w:tr w14:paraId="7FA23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0AA508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default" w:ascii="Calibri" w:hAnsi="Calibri" w:eastAsia="宋体" w:cs="Calibri"/>
                <w:b/>
                <w:bCs/>
                <w:i w:val="0"/>
                <w:iCs w:val="0"/>
                <w:color w:val="000000"/>
                <w:kern w:val="0"/>
                <w:sz w:val="21"/>
                <w:szCs w:val="21"/>
                <w:u w:val="none"/>
                <w:lang w:val="en-US" w:eastAsia="zh-CN" w:bidi="ar"/>
              </w:rPr>
            </w:pPr>
            <w:r>
              <w:rPr>
                <w:rFonts w:hint="eastAsia" w:ascii="Calibri" w:hAnsi="Calibri" w:eastAsia="宋体" w:cs="Calibri"/>
                <w:b/>
                <w:bCs/>
                <w:i w:val="0"/>
                <w:iCs w:val="0"/>
                <w:color w:val="000000"/>
                <w:kern w:val="0"/>
                <w:sz w:val="21"/>
                <w:szCs w:val="21"/>
                <w:u w:val="none"/>
                <w:lang w:val="en-US" w:eastAsia="zh-CN" w:bidi="ar"/>
              </w:rPr>
              <w:t>序号</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D9091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default" w:ascii="Calibri" w:hAnsi="Calibri" w:eastAsia="宋体" w:cs="Calibri"/>
                <w:b/>
                <w:bCs/>
                <w:i w:val="0"/>
                <w:iCs w:val="0"/>
                <w:color w:val="000000"/>
                <w:sz w:val="21"/>
                <w:szCs w:val="21"/>
                <w:u w:val="none"/>
              </w:rPr>
            </w:pPr>
            <w:r>
              <w:rPr>
                <w:rFonts w:hint="default" w:ascii="Calibri" w:hAnsi="Calibri" w:eastAsia="宋体" w:cs="Calibri"/>
                <w:b/>
                <w:bCs/>
                <w:i w:val="0"/>
                <w:iCs w:val="0"/>
                <w:color w:val="000000"/>
                <w:kern w:val="0"/>
                <w:sz w:val="21"/>
                <w:szCs w:val="21"/>
                <w:u w:val="none"/>
                <w:lang w:val="en-US" w:eastAsia="zh-CN" w:bidi="ar"/>
              </w:rPr>
              <w:t>行政区划名称</w:t>
            </w:r>
          </w:p>
        </w:tc>
        <w:tc>
          <w:tcPr>
            <w:tcW w:w="2090" w:type="pct"/>
            <w:tcBorders>
              <w:top w:val="single" w:color="000000" w:sz="4" w:space="0"/>
              <w:left w:val="single" w:color="000000" w:sz="4" w:space="0"/>
              <w:bottom w:val="single" w:color="000000" w:sz="4" w:space="0"/>
              <w:right w:val="single" w:color="000000" w:sz="4" w:space="0"/>
            </w:tcBorders>
            <w:shd w:val="clear" w:color="auto" w:fill="auto"/>
            <w:vAlign w:val="bottom"/>
          </w:tcPr>
          <w:p w14:paraId="312694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涉及补贴机具台数（台/套）</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bottom"/>
          </w:tcPr>
          <w:p w14:paraId="1B1EA03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bottom"/>
              <w:rPr>
                <w:rFonts w:hint="default" w:ascii="Calibri" w:hAnsi="Calibri" w:eastAsia="宋体" w:cs="Calibri"/>
                <w:b/>
                <w:bCs/>
                <w:i w:val="0"/>
                <w:iCs w:val="0"/>
                <w:color w:val="000000"/>
                <w:sz w:val="21"/>
                <w:szCs w:val="21"/>
                <w:u w:val="none"/>
              </w:rPr>
            </w:pPr>
            <w:r>
              <w:rPr>
                <w:rFonts w:hint="default" w:ascii="Calibri" w:hAnsi="Calibri" w:eastAsia="宋体" w:cs="Calibri"/>
                <w:b/>
                <w:bCs/>
                <w:i w:val="0"/>
                <w:iCs w:val="0"/>
                <w:color w:val="000000"/>
                <w:kern w:val="0"/>
                <w:sz w:val="21"/>
                <w:szCs w:val="21"/>
                <w:u w:val="none"/>
                <w:lang w:val="en-US" w:eastAsia="zh-CN" w:bidi="ar"/>
              </w:rPr>
              <w:t>补助金额</w:t>
            </w:r>
          </w:p>
        </w:tc>
      </w:tr>
      <w:tr w14:paraId="441B3A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03F5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961D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吉木萨尔镇</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CB66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AA75E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434,950.00 </w:t>
            </w:r>
          </w:p>
        </w:tc>
      </w:tr>
      <w:tr w14:paraId="25C264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B578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78E8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二工镇</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038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281</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3D5E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3,795,700.00 </w:t>
            </w:r>
          </w:p>
        </w:tc>
      </w:tr>
      <w:tr w14:paraId="4C9F8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B699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9BC0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北庭镇</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1AE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30BD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1,369,670.00 </w:t>
            </w:r>
          </w:p>
        </w:tc>
      </w:tr>
      <w:tr w14:paraId="46D0F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782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4</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A2C33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三台镇</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0FA2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6AF8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1,546,450.00 </w:t>
            </w:r>
          </w:p>
        </w:tc>
      </w:tr>
      <w:tr w14:paraId="32C59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E356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5</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D2B7D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老台乡</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AEA3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93C78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1,394,060.00 </w:t>
            </w:r>
          </w:p>
        </w:tc>
      </w:tr>
      <w:tr w14:paraId="46293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9F41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3F2B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庆阳湖乡</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BA9F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90796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1,722,910.00 </w:t>
            </w:r>
          </w:p>
        </w:tc>
      </w:tr>
      <w:tr w14:paraId="7965B3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B2787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7</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C63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大有镇</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306E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0D2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1,643,680.00 </w:t>
            </w:r>
          </w:p>
        </w:tc>
      </w:tr>
      <w:tr w14:paraId="7BFDA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DD86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8</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FBF6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新地乡</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EE55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36CE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356,560.00 </w:t>
            </w:r>
          </w:p>
        </w:tc>
      </w:tr>
      <w:tr w14:paraId="30154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589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3D4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泉子街镇</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7D863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4BAE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718,420.00 </w:t>
            </w:r>
          </w:p>
        </w:tc>
      </w:tr>
      <w:tr w14:paraId="7E304D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47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53FA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10</w:t>
            </w:r>
          </w:p>
        </w:tc>
        <w:tc>
          <w:tcPr>
            <w:tcW w:w="10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C6AF2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合计</w:t>
            </w:r>
          </w:p>
        </w:tc>
        <w:tc>
          <w:tcPr>
            <w:tcW w:w="209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318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959</w:t>
            </w:r>
          </w:p>
        </w:tc>
        <w:tc>
          <w:tcPr>
            <w:tcW w:w="13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1991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eastAsia" w:ascii="宋体" w:hAnsi="宋体" w:eastAsia="宋体" w:cs="宋体"/>
                <w:i w:val="0"/>
                <w:iCs w:val="0"/>
                <w:color w:val="000000"/>
                <w:kern w:val="2"/>
                <w:sz w:val="21"/>
                <w:szCs w:val="21"/>
                <w:u w:val="none"/>
                <w:lang w:val="en-US" w:eastAsia="zh-CN" w:bidi="ar-SA"/>
              </w:rPr>
            </w:pPr>
            <w:r>
              <w:rPr>
                <w:rFonts w:hint="eastAsia" w:ascii="宋体" w:hAnsi="宋体" w:eastAsia="宋体" w:cs="宋体"/>
                <w:i w:val="0"/>
                <w:iCs w:val="0"/>
                <w:color w:val="000000"/>
                <w:kern w:val="0"/>
                <w:sz w:val="21"/>
                <w:szCs w:val="21"/>
                <w:u w:val="none"/>
                <w:lang w:val="en-US" w:eastAsia="zh-CN" w:bidi="ar"/>
              </w:rPr>
              <w:t xml:space="preserve"> 12,982,400.00 </w:t>
            </w:r>
          </w:p>
        </w:tc>
      </w:tr>
    </w:tbl>
    <w:p w14:paraId="3F8056F7">
      <w:pPr>
        <w:ind w:firstLine="0" w:firstLineChars="0"/>
        <w:jc w:val="center"/>
        <w:rPr>
          <w:color w:val="auto"/>
        </w:rPr>
      </w:pPr>
      <w:r>
        <w:rPr>
          <w:color w:val="auto"/>
        </w:rPr>
        <w:br w:type="page"/>
      </w:r>
    </w:p>
    <w:p w14:paraId="5DB460A0">
      <w:pPr>
        <w:pStyle w:val="2"/>
        <w:pageBreakBefore w:val="0"/>
        <w:kinsoku/>
        <w:wordWrap/>
        <w:overflowPunct/>
        <w:topLinePunct w:val="0"/>
        <w:autoSpaceDE/>
        <w:autoSpaceDN/>
        <w:bidi w:val="0"/>
        <w:snapToGrid w:val="0"/>
        <w:spacing w:line="360" w:lineRule="auto"/>
        <w:ind w:firstLine="0" w:firstLineChars="0"/>
        <w:rPr>
          <w:color w:val="auto"/>
        </w:rPr>
      </w:pPr>
      <w:bookmarkStart w:id="116" w:name="_Toc29169"/>
      <w:bookmarkStart w:id="117" w:name="_Toc25553"/>
      <w:r>
        <w:rPr>
          <w:color w:val="auto"/>
        </w:rPr>
        <w:t>附件3：问卷调查分析报告</w:t>
      </w:r>
      <w:bookmarkEnd w:id="116"/>
      <w:bookmarkEnd w:id="117"/>
    </w:p>
    <w:p w14:paraId="1BC12F62">
      <w:pPr>
        <w:ind w:firstLine="420"/>
        <w:rPr>
          <w:color w:val="auto"/>
        </w:rPr>
      </w:pPr>
      <w:r>
        <w:rPr>
          <w:color w:val="auto"/>
        </w:rPr>
        <w:t>本次绩效评价的对象为</w:t>
      </w:r>
      <w:r>
        <w:rPr>
          <w:rFonts w:hint="eastAsia"/>
          <w:color w:val="auto"/>
          <w:lang w:val="en-US" w:eastAsia="zh-CN"/>
        </w:rPr>
        <w:t>吉木萨尔县农业农村局农机购置与应用补贴项目</w:t>
      </w:r>
      <w:r>
        <w:rPr>
          <w:color w:val="auto"/>
        </w:rPr>
        <w:t>，为客观评价该项目的社会效果，绩效评价小组依据公共支出绩效评价</w:t>
      </w:r>
      <w:r>
        <w:rPr>
          <w:rFonts w:hint="eastAsia"/>
          <w:color w:val="auto"/>
        </w:rPr>
        <w:t>“</w:t>
      </w:r>
      <w:r>
        <w:rPr>
          <w:color w:val="auto"/>
        </w:rPr>
        <w:t>为顾客服务</w:t>
      </w:r>
      <w:r>
        <w:rPr>
          <w:rFonts w:hint="eastAsia"/>
          <w:color w:val="auto"/>
        </w:rPr>
        <w:t>”</w:t>
      </w:r>
      <w:r>
        <w:rPr>
          <w:color w:val="auto"/>
        </w:rPr>
        <w:t>原理，引入</w:t>
      </w:r>
      <w:r>
        <w:rPr>
          <w:rFonts w:hint="eastAsia"/>
          <w:color w:val="auto"/>
          <w:lang w:eastAsia="zh-CN"/>
        </w:rPr>
        <w:t>“</w:t>
      </w:r>
      <w:r>
        <w:rPr>
          <w:rFonts w:hint="eastAsia"/>
          <w:color w:val="auto"/>
        </w:rPr>
        <w:t>补贴政策知晓率</w:t>
      </w:r>
      <w:r>
        <w:rPr>
          <w:rFonts w:hint="eastAsia"/>
          <w:color w:val="auto"/>
          <w:lang w:eastAsia="zh-CN"/>
        </w:rPr>
        <w:t>”“</w:t>
      </w:r>
      <w:r>
        <w:rPr>
          <w:rFonts w:hint="eastAsia"/>
          <w:color w:val="auto"/>
        </w:rPr>
        <w:t>提升农业机械化生产社会化服务水平</w:t>
      </w:r>
      <w:r>
        <w:rPr>
          <w:rFonts w:hint="eastAsia"/>
          <w:color w:val="auto"/>
          <w:lang w:eastAsia="zh-CN"/>
        </w:rPr>
        <w:t>”“</w:t>
      </w:r>
      <w:r>
        <w:rPr>
          <w:rFonts w:hint="eastAsia"/>
          <w:color w:val="auto"/>
        </w:rPr>
        <w:t>不断促进农业技术发展</w:t>
      </w:r>
      <w:r>
        <w:rPr>
          <w:rFonts w:hint="eastAsia"/>
          <w:color w:val="auto"/>
          <w:lang w:eastAsia="zh-CN"/>
        </w:rPr>
        <w:t>”“农机购置补贴受益户满意度”</w:t>
      </w:r>
      <w:r>
        <w:rPr>
          <w:color w:val="auto"/>
        </w:rPr>
        <w:t>等效益指标，了解群众对项目的评价情况，对本项目展开满意度问卷调查。问卷调查工作情况如下：</w:t>
      </w:r>
    </w:p>
    <w:p w14:paraId="2A8DE0C7">
      <w:pPr>
        <w:ind w:firstLine="422"/>
        <w:rPr>
          <w:b/>
          <w:bCs/>
          <w:color w:val="auto"/>
        </w:rPr>
      </w:pPr>
      <w:bookmarkStart w:id="118" w:name="_Toc529373554"/>
      <w:bookmarkStart w:id="119" w:name="_Toc529373321"/>
      <w:r>
        <w:rPr>
          <w:b/>
          <w:bCs/>
          <w:color w:val="auto"/>
        </w:rPr>
        <w:t>1.调</w:t>
      </w:r>
      <w:r>
        <w:rPr>
          <w:rFonts w:hint="eastAsia"/>
          <w:b/>
          <w:bCs/>
          <w:color w:val="auto"/>
        </w:rPr>
        <w:t>查</w:t>
      </w:r>
      <w:r>
        <w:rPr>
          <w:b/>
          <w:bCs/>
          <w:color w:val="auto"/>
        </w:rPr>
        <w:t>对象</w:t>
      </w:r>
      <w:bookmarkEnd w:id="118"/>
      <w:bookmarkEnd w:id="119"/>
    </w:p>
    <w:p w14:paraId="765A3A1F">
      <w:pPr>
        <w:ind w:firstLine="420"/>
        <w:rPr>
          <w:rFonts w:hint="eastAsia" w:eastAsia="宋体"/>
          <w:color w:val="auto"/>
          <w:lang w:val="en-US" w:eastAsia="zh-CN"/>
        </w:rPr>
      </w:pPr>
      <w:r>
        <w:rPr>
          <w:color w:val="auto"/>
        </w:rPr>
        <w:t>结合</w:t>
      </w:r>
      <w:r>
        <w:rPr>
          <w:rFonts w:hint="eastAsia"/>
          <w:color w:val="auto"/>
          <w:lang w:val="en-US" w:eastAsia="zh-CN"/>
        </w:rPr>
        <w:t>吉木萨尔县农业农村局农机购置与应用补贴项目</w:t>
      </w:r>
      <w:r>
        <w:rPr>
          <w:color w:val="auto"/>
        </w:rPr>
        <w:t>实施情况及实际问卷调查可操作性，本次满意度问卷旨在考察补助发</w:t>
      </w:r>
      <w:r>
        <w:rPr>
          <w:rFonts w:hint="eastAsia"/>
          <w:color w:val="auto"/>
          <w:lang w:eastAsia="zh-CN"/>
        </w:rPr>
        <w:t>放的</w:t>
      </w:r>
      <w:r>
        <w:rPr>
          <w:color w:val="auto"/>
        </w:rPr>
        <w:t>及时性、补助标准实施情况，从而了解</w:t>
      </w:r>
      <w:r>
        <w:rPr>
          <w:rFonts w:hint="eastAsia"/>
          <w:color w:val="auto"/>
        </w:rPr>
        <w:t>“</w:t>
      </w:r>
      <w:r>
        <w:rPr>
          <w:rFonts w:hint="eastAsia"/>
          <w:color w:val="auto"/>
          <w:lang w:val="en-US" w:eastAsia="zh-CN"/>
        </w:rPr>
        <w:t>农机购置与应用补贴资金</w:t>
      </w:r>
      <w:r>
        <w:rPr>
          <w:rFonts w:hint="eastAsia"/>
          <w:color w:val="auto"/>
        </w:rPr>
        <w:t>”</w:t>
      </w:r>
      <w:r>
        <w:rPr>
          <w:color w:val="auto"/>
        </w:rPr>
        <w:t>的发放是否有助于</w:t>
      </w:r>
      <w:r>
        <w:rPr>
          <w:rFonts w:hint="eastAsia"/>
          <w:color w:val="auto"/>
        </w:rPr>
        <w:t>提升农业机械化生产社会化服务水平</w:t>
      </w:r>
      <w:r>
        <w:rPr>
          <w:rFonts w:hint="eastAsia"/>
          <w:color w:val="auto"/>
          <w:lang w:val="en-US" w:eastAsia="zh-CN"/>
        </w:rPr>
        <w:t>和</w:t>
      </w:r>
      <w:r>
        <w:rPr>
          <w:rFonts w:hint="eastAsia"/>
          <w:color w:val="auto"/>
        </w:rPr>
        <w:t>不断促进农业技术发展</w:t>
      </w:r>
      <w:r>
        <w:rPr>
          <w:color w:val="auto"/>
        </w:rPr>
        <w:t>，</w:t>
      </w:r>
      <w:r>
        <w:rPr>
          <w:rFonts w:hint="eastAsia"/>
          <w:color w:val="auto"/>
          <w:lang w:val="en-US" w:eastAsia="zh-CN"/>
        </w:rPr>
        <w:t>反映该项目实施</w:t>
      </w:r>
      <w:r>
        <w:rPr>
          <w:color w:val="auto"/>
        </w:rPr>
        <w:t>的</w:t>
      </w:r>
      <w:r>
        <w:rPr>
          <w:rFonts w:hint="eastAsia"/>
          <w:color w:val="auto"/>
          <w:lang w:val="en-US" w:eastAsia="zh-CN"/>
        </w:rPr>
        <w:t>受益补贴农户</w:t>
      </w:r>
      <w:r>
        <w:rPr>
          <w:color w:val="auto"/>
        </w:rPr>
        <w:t>满意效果</w:t>
      </w:r>
      <w:r>
        <w:rPr>
          <w:rFonts w:hint="eastAsia"/>
          <w:color w:val="auto"/>
          <w:lang w:eastAsia="zh-CN"/>
        </w:rPr>
        <w:t>。</w:t>
      </w:r>
      <w:r>
        <w:rPr>
          <w:color w:val="auto"/>
        </w:rPr>
        <w:t>因此，本次满意度调查的对象为</w:t>
      </w:r>
      <w:r>
        <w:rPr>
          <w:rFonts w:hint="eastAsia"/>
          <w:color w:val="auto"/>
          <w:lang w:val="en-US" w:eastAsia="zh-CN"/>
        </w:rPr>
        <w:t>吉木萨尔县各乡镇农机购置补贴受益户</w:t>
      </w:r>
      <w:r>
        <w:rPr>
          <w:color w:val="auto"/>
        </w:rPr>
        <w:t>。</w:t>
      </w:r>
      <w:r>
        <w:rPr>
          <w:rFonts w:hint="eastAsia"/>
          <w:color w:val="auto"/>
          <w:lang w:val="en-US" w:eastAsia="zh-CN"/>
        </w:rPr>
        <w:t xml:space="preserve"> </w:t>
      </w:r>
    </w:p>
    <w:p w14:paraId="5A2FAD12">
      <w:pPr>
        <w:ind w:firstLine="422"/>
        <w:rPr>
          <w:b/>
          <w:bCs/>
          <w:color w:val="auto"/>
        </w:rPr>
      </w:pPr>
      <w:bookmarkStart w:id="120" w:name="_Toc529373323"/>
      <w:bookmarkStart w:id="121" w:name="_Toc529373556"/>
      <w:r>
        <w:rPr>
          <w:rFonts w:hint="eastAsia"/>
          <w:b/>
          <w:bCs/>
          <w:color w:val="auto"/>
        </w:rPr>
        <w:t>2</w:t>
      </w:r>
      <w:r>
        <w:rPr>
          <w:b/>
          <w:bCs/>
          <w:color w:val="auto"/>
        </w:rPr>
        <w:t>.调</w:t>
      </w:r>
      <w:r>
        <w:rPr>
          <w:rFonts w:hint="eastAsia"/>
          <w:b/>
          <w:bCs/>
          <w:color w:val="auto"/>
        </w:rPr>
        <w:t>查</w:t>
      </w:r>
      <w:r>
        <w:rPr>
          <w:b/>
          <w:bCs/>
          <w:color w:val="auto"/>
        </w:rPr>
        <w:t>方法</w:t>
      </w:r>
      <w:bookmarkEnd w:id="120"/>
      <w:bookmarkEnd w:id="121"/>
    </w:p>
    <w:p w14:paraId="16403974">
      <w:pPr>
        <w:ind w:firstLine="420"/>
        <w:rPr>
          <w:color w:val="auto"/>
        </w:rPr>
      </w:pPr>
      <w:r>
        <w:rPr>
          <w:color w:val="auto"/>
        </w:rPr>
        <w:t>为确保问卷</w:t>
      </w:r>
      <w:r>
        <w:rPr>
          <w:rFonts w:hint="eastAsia"/>
          <w:color w:val="auto"/>
        </w:rPr>
        <w:t>调查</w:t>
      </w:r>
      <w:r>
        <w:rPr>
          <w:color w:val="auto"/>
        </w:rPr>
        <w:t>的全面性和代表性，在全面调研开展之前会先进行论证，依据论证结果对问卷和抽样方案再进行一次修改和调整</w:t>
      </w:r>
      <w:r>
        <w:rPr>
          <w:rFonts w:hint="eastAsia"/>
          <w:color w:val="auto"/>
          <w:lang w:eastAsia="zh-CN"/>
        </w:rPr>
        <w:t>。</w:t>
      </w:r>
      <w:r>
        <w:rPr>
          <w:rFonts w:hint="eastAsia"/>
          <w:color w:val="auto"/>
        </w:rPr>
        <w:t>本次调查按照</w:t>
      </w:r>
      <w:r>
        <w:rPr>
          <w:rFonts w:hint="eastAsia"/>
          <w:color w:val="auto"/>
          <w:lang w:val="en-US" w:eastAsia="zh-CN"/>
        </w:rPr>
        <w:t>覆盖</w:t>
      </w:r>
      <w:r>
        <w:rPr>
          <w:rFonts w:hint="eastAsia"/>
          <w:color w:val="auto"/>
        </w:rPr>
        <w:t>受益对象不低于</w:t>
      </w:r>
      <w:r>
        <w:rPr>
          <w:rFonts w:hint="eastAsia"/>
          <w:color w:val="auto"/>
          <w:lang w:val="en-US" w:eastAsia="zh-CN"/>
        </w:rPr>
        <w:t>28</w:t>
      </w:r>
      <w:r>
        <w:rPr>
          <w:rFonts w:hint="eastAsia"/>
          <w:color w:val="auto"/>
        </w:rPr>
        <w:t>%</w:t>
      </w:r>
      <w:r>
        <w:rPr>
          <w:rFonts w:hint="eastAsia"/>
          <w:color w:val="auto"/>
          <w:lang w:eastAsia="zh-CN"/>
        </w:rPr>
        <w:t>的</w:t>
      </w:r>
      <w:r>
        <w:rPr>
          <w:rFonts w:hint="eastAsia"/>
          <w:color w:val="auto"/>
          <w:lang w:val="en-US" w:eastAsia="zh-CN"/>
        </w:rPr>
        <w:t>比例随机抽样</w:t>
      </w:r>
      <w:r>
        <w:rPr>
          <w:rFonts w:hint="eastAsia"/>
          <w:color w:val="auto"/>
        </w:rPr>
        <w:t>发放问卷</w:t>
      </w:r>
      <w:r>
        <w:rPr>
          <w:rFonts w:hint="eastAsia"/>
          <w:color w:val="auto"/>
          <w:lang w:val="en-US" w:eastAsia="zh-CN"/>
        </w:rPr>
        <w:t>199</w:t>
      </w:r>
      <w:r>
        <w:rPr>
          <w:rFonts w:hint="eastAsia"/>
          <w:color w:val="auto"/>
        </w:rPr>
        <w:t>份</w:t>
      </w:r>
      <w:r>
        <w:rPr>
          <w:color w:val="auto"/>
        </w:rPr>
        <w:t>。</w:t>
      </w:r>
    </w:p>
    <w:p w14:paraId="713511B1">
      <w:pPr>
        <w:ind w:left="420" w:leftChars="200" w:firstLine="0" w:firstLineChars="0"/>
        <w:jc w:val="left"/>
        <w:rPr>
          <w:b/>
          <w:bCs/>
          <w:color w:val="auto"/>
        </w:rPr>
      </w:pPr>
      <w:r>
        <w:rPr>
          <w:rFonts w:hint="eastAsia"/>
          <w:b/>
          <w:bCs/>
          <w:color w:val="auto"/>
        </w:rPr>
        <w:t>3.</w:t>
      </w:r>
      <w:r>
        <w:rPr>
          <w:b/>
          <w:bCs/>
          <w:color w:val="auto"/>
        </w:rPr>
        <w:t>问卷调查分析结果</w:t>
      </w:r>
    </w:p>
    <w:p w14:paraId="2EF824B6">
      <w:pPr>
        <w:ind w:firstLine="420"/>
        <w:jc w:val="left"/>
        <w:rPr>
          <w:color w:val="auto"/>
        </w:rPr>
      </w:pPr>
      <w:r>
        <w:rPr>
          <w:color w:val="auto"/>
        </w:rPr>
        <w:t>为充分采集调查对象的真实想法，保证问卷调查的公平性和科学性，本次问卷调查不记名，通过电子问卷形式进行发放与回收。本次调研过程中，</w:t>
      </w:r>
      <w:r>
        <w:rPr>
          <w:rFonts w:hint="eastAsia"/>
          <w:color w:val="auto"/>
        </w:rPr>
        <w:t>评价组</w:t>
      </w:r>
      <w:r>
        <w:rPr>
          <w:color w:val="auto"/>
        </w:rPr>
        <w:t>实际发放问卷</w:t>
      </w:r>
      <w:r>
        <w:rPr>
          <w:rFonts w:hint="eastAsia"/>
          <w:color w:val="auto"/>
          <w:lang w:val="en-US" w:eastAsia="zh-CN"/>
        </w:rPr>
        <w:t>199</w:t>
      </w:r>
      <w:r>
        <w:rPr>
          <w:color w:val="auto"/>
        </w:rPr>
        <w:t>份，回收问卷</w:t>
      </w:r>
      <w:r>
        <w:rPr>
          <w:rFonts w:hint="eastAsia"/>
          <w:color w:val="auto"/>
          <w:lang w:val="en-US" w:eastAsia="zh-CN"/>
        </w:rPr>
        <w:t>199</w:t>
      </w:r>
      <w:r>
        <w:rPr>
          <w:color w:val="auto"/>
        </w:rPr>
        <w:t>份，问卷回收率为</w:t>
      </w:r>
      <w:r>
        <w:rPr>
          <w:rFonts w:hint="eastAsia"/>
          <w:color w:val="auto"/>
        </w:rPr>
        <w:t>100.00</w:t>
      </w:r>
      <w:r>
        <w:rPr>
          <w:color w:val="auto"/>
        </w:rPr>
        <w:t>%，有效问卷</w:t>
      </w:r>
      <w:r>
        <w:rPr>
          <w:rFonts w:hint="eastAsia"/>
          <w:color w:val="auto"/>
          <w:lang w:val="en-US" w:eastAsia="zh-CN"/>
        </w:rPr>
        <w:t>199</w:t>
      </w:r>
      <w:r>
        <w:rPr>
          <w:color w:val="auto"/>
        </w:rPr>
        <w:t>份，有效回收率</w:t>
      </w:r>
      <w:r>
        <w:rPr>
          <w:rFonts w:hint="eastAsia"/>
          <w:color w:val="auto"/>
        </w:rPr>
        <w:t>100.00</w:t>
      </w:r>
      <w:r>
        <w:rPr>
          <w:color w:val="auto"/>
        </w:rPr>
        <w:t>%，本次调研的</w:t>
      </w:r>
      <w:r>
        <w:rPr>
          <w:rFonts w:hint="eastAsia"/>
          <w:color w:val="auto"/>
        </w:rPr>
        <w:t>具体</w:t>
      </w:r>
      <w:r>
        <w:rPr>
          <w:color w:val="auto"/>
        </w:rPr>
        <w:t>情况如下：</w:t>
      </w:r>
    </w:p>
    <w:tbl>
      <w:tblPr>
        <w:tblStyle w:val="21"/>
        <w:tblW w:w="8050"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29"/>
        <w:gridCol w:w="3922"/>
        <w:gridCol w:w="2599"/>
      </w:tblGrid>
      <w:tr w14:paraId="5AE0FC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2909661">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1.您认为通过该项目实施农机购置与应用补贴项目政策是否了解？</w:t>
            </w:r>
          </w:p>
        </w:tc>
      </w:tr>
      <w:tr w14:paraId="2A9A5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92CD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选项</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2079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反馈数量</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ADBD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占比</w:t>
            </w:r>
          </w:p>
        </w:tc>
      </w:tr>
      <w:tr w14:paraId="5E18E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6C89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C6FB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193</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23FD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96.98%</w:t>
            </w:r>
          </w:p>
        </w:tc>
      </w:tr>
      <w:tr w14:paraId="6B9E5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9B4E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3107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4089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3.02%</w:t>
            </w:r>
          </w:p>
        </w:tc>
      </w:tr>
      <w:tr w14:paraId="5228CE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7676029">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2.您认为通过该项目实施，农业机械化生产社会化服务水平提升程度如何？</w:t>
            </w:r>
          </w:p>
        </w:tc>
      </w:tr>
      <w:tr w14:paraId="59047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F9A9E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选项</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892C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反馈数量</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2CD4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占比</w:t>
            </w:r>
          </w:p>
        </w:tc>
      </w:tr>
      <w:tr w14:paraId="0F0596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2B33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6986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101</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B942B">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50.75%</w:t>
            </w:r>
          </w:p>
        </w:tc>
      </w:tr>
      <w:tr w14:paraId="71A3C4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5AF0">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较好</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44AC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77</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8532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38.69%</w:t>
            </w:r>
          </w:p>
        </w:tc>
      </w:tr>
      <w:tr w14:paraId="1CAE0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B035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99F1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4B6E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9.55%</w:t>
            </w:r>
          </w:p>
        </w:tc>
      </w:tr>
      <w:tr w14:paraId="3CFC6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78ADA">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较差</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D2C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5A70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1.01%</w:t>
            </w:r>
          </w:p>
        </w:tc>
      </w:tr>
      <w:tr w14:paraId="550FE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77A0D">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AAC7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B15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00A8B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D909CDA">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3.在项目实施过程中，是否进行购置补贴信息公开？</w:t>
            </w:r>
          </w:p>
        </w:tc>
      </w:tr>
      <w:tr w14:paraId="1A03E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257B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选项</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6D89E">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反馈数量</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7A30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占比</w:t>
            </w:r>
          </w:p>
        </w:tc>
      </w:tr>
      <w:tr w14:paraId="212095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C0C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是</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4E2F7">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197</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66C5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98.99%</w:t>
            </w:r>
          </w:p>
        </w:tc>
      </w:tr>
      <w:tr w14:paraId="19169F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ABC8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否</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12EB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79E7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1.01%</w:t>
            </w:r>
          </w:p>
        </w:tc>
      </w:tr>
      <w:tr w14:paraId="014A5F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F3C254E">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4.您认为通过该项目实施，对农业技术发展促进程度如何？</w:t>
            </w:r>
          </w:p>
        </w:tc>
      </w:tr>
      <w:tr w14:paraId="2B1C5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44C0B">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选项</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6956D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反馈数量</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7830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占比</w:t>
            </w:r>
          </w:p>
        </w:tc>
      </w:tr>
      <w:tr w14:paraId="761396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FEE65">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2CC44">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99</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B04A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49.75%</w:t>
            </w:r>
          </w:p>
        </w:tc>
      </w:tr>
      <w:tr w14:paraId="24210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EF91">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较好</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9641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90</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2C98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45.23%</w:t>
            </w:r>
          </w:p>
        </w:tc>
      </w:tr>
      <w:tr w14:paraId="5C978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AE408">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F1D58">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E8C8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5.03%</w:t>
            </w:r>
          </w:p>
        </w:tc>
      </w:tr>
      <w:tr w14:paraId="33710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3AA92">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较差</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3D9A5">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60A7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4FDBE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1CF2F">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无</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E570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40C9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152FC7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84104EA">
            <w:pPr>
              <w:keepNext w:val="0"/>
              <w:keepLines w:val="0"/>
              <w:widowControl/>
              <w:suppressLineNumbers w:val="0"/>
              <w:spacing w:line="240" w:lineRule="auto"/>
              <w:ind w:firstLine="0" w:firstLineChars="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5.您对该项目的实施过程及效果是否满意？</w:t>
            </w:r>
          </w:p>
        </w:tc>
      </w:tr>
      <w:tr w14:paraId="2CA72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8ADA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选项</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CDCA7">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反馈数量</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61DF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占比</w:t>
            </w:r>
          </w:p>
        </w:tc>
      </w:tr>
      <w:tr w14:paraId="5633D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23B46">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非常满意</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D5E71">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136</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5E8F">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68.34%</w:t>
            </w:r>
          </w:p>
        </w:tc>
      </w:tr>
      <w:tr w14:paraId="2562A9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3824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20FB6">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47</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5EECC">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23.62%</w:t>
            </w:r>
          </w:p>
        </w:tc>
      </w:tr>
      <w:tr w14:paraId="1AB99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9A803">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比较满意</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B2F12">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D65DD">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7.54%</w:t>
            </w:r>
          </w:p>
        </w:tc>
      </w:tr>
      <w:tr w14:paraId="212254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96FC">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不满意</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9B89A">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49213">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0B821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8B9C9">
            <w:pPr>
              <w:keepNext w:val="0"/>
              <w:keepLines w:val="0"/>
              <w:widowControl/>
              <w:suppressLineNumbers w:val="0"/>
              <w:spacing w:line="240" w:lineRule="auto"/>
              <w:ind w:firstLine="0" w:firstLineChars="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不了解</w:t>
            </w:r>
          </w:p>
        </w:tc>
        <w:tc>
          <w:tcPr>
            <w:tcW w:w="392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4AC49">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p>
        </w:tc>
        <w:tc>
          <w:tcPr>
            <w:tcW w:w="25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068F0">
            <w:pPr>
              <w:keepNext w:val="0"/>
              <w:keepLines w:val="0"/>
              <w:widowControl/>
              <w:suppressLineNumbers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0.50%</w:t>
            </w:r>
          </w:p>
        </w:tc>
      </w:tr>
      <w:tr w14:paraId="74FC5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97C4758">
            <w:pPr>
              <w:keepNext w:val="0"/>
              <w:keepLines w:val="0"/>
              <w:widowControl/>
              <w:suppressLineNumbers w:val="0"/>
              <w:spacing w:line="240" w:lineRule="auto"/>
              <w:ind w:firstLine="0" w:firstLineChars="0"/>
              <w:jc w:val="both"/>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ascii="Times New Roman" w:hAnsi="Times New Roman" w:eastAsia="宋体" w:cs="Times New Roman"/>
                <w:i w:val="0"/>
                <w:iCs w:val="0"/>
                <w:color w:val="000000"/>
                <w:kern w:val="0"/>
                <w:sz w:val="20"/>
                <w:szCs w:val="20"/>
                <w:u w:val="none"/>
                <w:lang w:val="en-US" w:eastAsia="zh-CN" w:bidi="ar"/>
              </w:rPr>
              <w:t>6.</w:t>
            </w:r>
            <w:r>
              <w:rPr>
                <w:rFonts w:hint="default" w:ascii="Times New Roman" w:hAnsi="Times New Roman" w:eastAsia="宋体" w:cs="Times New Roman"/>
                <w:i w:val="0"/>
                <w:iCs w:val="0"/>
                <w:color w:val="000000"/>
                <w:kern w:val="0"/>
                <w:sz w:val="20"/>
                <w:szCs w:val="20"/>
                <w:u w:val="none"/>
                <w:lang w:val="en-US" w:eastAsia="zh-CN" w:bidi="ar"/>
              </w:rPr>
              <w:t>您认为农机购置与应用补贴项目的实施还有哪些需要提升改进的地方？</w:t>
            </w:r>
          </w:p>
        </w:tc>
      </w:tr>
      <w:tr w14:paraId="0A5FC4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80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F1DDFEB">
            <w:pPr>
              <w:keepNext w:val="0"/>
              <w:keepLines w:val="0"/>
              <w:widowControl/>
              <w:suppressLineNumbers w:val="0"/>
              <w:tabs>
                <w:tab w:val="left" w:pos="1276"/>
              </w:tabs>
              <w:spacing w:line="240" w:lineRule="auto"/>
              <w:ind w:left="0" w:leftChars="0" w:firstLine="0" w:firstLineChars="0"/>
              <w:jc w:val="left"/>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（1）</w:t>
            </w:r>
            <w:r>
              <w:rPr>
                <w:rFonts w:hint="eastAsia" w:ascii="Times New Roman" w:hAnsi="Times New Roman" w:eastAsia="宋体" w:cs="Times New Roman"/>
                <w:i w:val="0"/>
                <w:iCs w:val="0"/>
                <w:color w:val="000000"/>
                <w:kern w:val="0"/>
                <w:sz w:val="20"/>
                <w:szCs w:val="20"/>
                <w:u w:val="none"/>
                <w:lang w:val="en-US" w:eastAsia="zh-CN" w:bidi="ar"/>
              </w:rPr>
              <w:t>加强宣传力度和补贴力度</w:t>
            </w:r>
            <w:r>
              <w:rPr>
                <w:rFonts w:hint="eastAsia" w:cs="Times New Roman"/>
                <w:i w:val="0"/>
                <w:iCs w:val="0"/>
                <w:color w:val="000000"/>
                <w:kern w:val="0"/>
                <w:sz w:val="20"/>
                <w:szCs w:val="20"/>
                <w:u w:val="none"/>
                <w:lang w:val="en-US" w:eastAsia="zh-CN" w:bidi="ar"/>
              </w:rPr>
              <w:t>。</w:t>
            </w:r>
          </w:p>
          <w:p w14:paraId="0BA6B235">
            <w:pPr>
              <w:keepNext w:val="0"/>
              <w:keepLines w:val="0"/>
              <w:widowControl/>
              <w:suppressLineNumbers w:val="0"/>
              <w:tabs>
                <w:tab w:val="left" w:pos="1276"/>
              </w:tabs>
              <w:spacing w:line="240" w:lineRule="auto"/>
              <w:ind w:left="0" w:leftChars="0" w:firstLine="0" w:firstLineChars="0"/>
              <w:jc w:val="left"/>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（2）</w:t>
            </w:r>
            <w:r>
              <w:rPr>
                <w:rFonts w:hint="eastAsia" w:ascii="Times New Roman" w:hAnsi="Times New Roman" w:eastAsia="宋体" w:cs="Times New Roman"/>
                <w:i w:val="0"/>
                <w:iCs w:val="0"/>
                <w:color w:val="000000"/>
                <w:kern w:val="0"/>
                <w:sz w:val="20"/>
                <w:szCs w:val="20"/>
                <w:u w:val="none"/>
                <w:lang w:val="en-US" w:eastAsia="zh-CN" w:bidi="ar"/>
              </w:rPr>
              <w:t>补贴发放时间太长</w:t>
            </w:r>
            <w:r>
              <w:rPr>
                <w:rFonts w:hint="eastAsia" w:cs="Times New Roman"/>
                <w:i w:val="0"/>
                <w:iCs w:val="0"/>
                <w:color w:val="000000"/>
                <w:kern w:val="0"/>
                <w:sz w:val="20"/>
                <w:szCs w:val="20"/>
                <w:u w:val="none"/>
                <w:lang w:val="en-US" w:eastAsia="zh-CN" w:bidi="ar"/>
              </w:rPr>
              <w:t>。</w:t>
            </w:r>
          </w:p>
          <w:p w14:paraId="6CAAE8F8">
            <w:pPr>
              <w:keepNext w:val="0"/>
              <w:keepLines w:val="0"/>
              <w:widowControl/>
              <w:suppressLineNumbers w:val="0"/>
              <w:tabs>
                <w:tab w:val="left" w:pos="1276"/>
              </w:tabs>
              <w:spacing w:line="240" w:lineRule="auto"/>
              <w:ind w:left="0" w:leftChars="0" w:firstLine="0" w:firstLineChars="0"/>
              <w:jc w:val="left"/>
              <w:textAlignment w:val="center"/>
              <w:rPr>
                <w:rFonts w:hint="eastAsia" w:ascii="Times New Roman" w:hAnsi="Times New Roman" w:eastAsia="宋体"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（3）</w:t>
            </w:r>
            <w:r>
              <w:rPr>
                <w:rFonts w:hint="eastAsia" w:ascii="Times New Roman" w:hAnsi="Times New Roman" w:eastAsia="宋体" w:cs="Times New Roman"/>
                <w:i w:val="0"/>
                <w:iCs w:val="0"/>
                <w:color w:val="000000"/>
                <w:kern w:val="0"/>
                <w:sz w:val="20"/>
                <w:szCs w:val="20"/>
                <w:u w:val="none"/>
                <w:lang w:val="en-US" w:eastAsia="zh-CN" w:bidi="ar"/>
              </w:rPr>
              <w:t>系统不稳定，提交缓慢</w:t>
            </w:r>
            <w:r>
              <w:rPr>
                <w:rFonts w:hint="eastAsia" w:cs="Times New Roman"/>
                <w:i w:val="0"/>
                <w:iCs w:val="0"/>
                <w:color w:val="000000"/>
                <w:kern w:val="0"/>
                <w:sz w:val="20"/>
                <w:szCs w:val="20"/>
                <w:u w:val="none"/>
                <w:lang w:val="en-US" w:eastAsia="zh-CN" w:bidi="ar"/>
              </w:rPr>
              <w:t>。</w:t>
            </w:r>
          </w:p>
          <w:p w14:paraId="0CF2F5C3">
            <w:pPr>
              <w:keepNext w:val="0"/>
              <w:keepLines w:val="0"/>
              <w:widowControl/>
              <w:suppressLineNumbers w:val="0"/>
              <w:tabs>
                <w:tab w:val="left" w:pos="1276"/>
              </w:tabs>
              <w:spacing w:line="240" w:lineRule="auto"/>
              <w:ind w:left="0" w:leftChars="0" w:firstLine="0" w:firstLineChars="0"/>
              <w:jc w:val="left"/>
              <w:textAlignment w:val="center"/>
              <w:rPr>
                <w:rFonts w:hint="default" w:ascii="Times New Roman" w:hAnsi="Times New Roman" w:eastAsia="宋体" w:cs="Times New Roman"/>
                <w:i w:val="0"/>
                <w:iCs w:val="0"/>
                <w:color w:val="000000"/>
                <w:kern w:val="0"/>
                <w:sz w:val="20"/>
                <w:szCs w:val="20"/>
                <w:u w:val="none"/>
                <w:lang w:val="en-US" w:eastAsia="zh-CN" w:bidi="ar"/>
              </w:rPr>
            </w:pPr>
            <w:r>
              <w:rPr>
                <w:rFonts w:hint="eastAsia" w:cs="Times New Roman"/>
                <w:i w:val="0"/>
                <w:iCs w:val="0"/>
                <w:color w:val="000000"/>
                <w:kern w:val="0"/>
                <w:sz w:val="20"/>
                <w:szCs w:val="20"/>
                <w:u w:val="none"/>
                <w:lang w:val="en-US" w:eastAsia="zh-CN" w:bidi="ar"/>
              </w:rPr>
              <w:t>（4）</w:t>
            </w:r>
            <w:r>
              <w:rPr>
                <w:rFonts w:hint="eastAsia" w:ascii="Times New Roman" w:hAnsi="Times New Roman" w:eastAsia="宋体" w:cs="Times New Roman"/>
                <w:i w:val="0"/>
                <w:iCs w:val="0"/>
                <w:color w:val="000000"/>
                <w:kern w:val="0"/>
                <w:sz w:val="20"/>
                <w:szCs w:val="20"/>
                <w:u w:val="none"/>
                <w:lang w:val="en-US" w:eastAsia="zh-CN" w:bidi="ar"/>
              </w:rPr>
              <w:t>加大农机报废补贴力度</w:t>
            </w:r>
            <w:r>
              <w:rPr>
                <w:rFonts w:hint="eastAsia" w:cs="Times New Roman"/>
                <w:i w:val="0"/>
                <w:iCs w:val="0"/>
                <w:color w:val="000000"/>
                <w:kern w:val="0"/>
                <w:sz w:val="20"/>
                <w:szCs w:val="20"/>
                <w:u w:val="none"/>
                <w:lang w:val="en-US" w:eastAsia="zh-CN" w:bidi="ar"/>
              </w:rPr>
              <w:t>。</w:t>
            </w:r>
          </w:p>
        </w:tc>
      </w:tr>
    </w:tbl>
    <w:p w14:paraId="2D401A58">
      <w:pPr>
        <w:pageBreakBefore w:val="0"/>
        <w:kinsoku/>
        <w:wordWrap/>
        <w:overflowPunct/>
        <w:topLinePunct w:val="0"/>
        <w:autoSpaceDE/>
        <w:autoSpaceDN/>
        <w:bidi w:val="0"/>
        <w:snapToGrid w:val="0"/>
        <w:spacing w:line="360" w:lineRule="auto"/>
        <w:ind w:left="420" w:leftChars="200" w:firstLine="0" w:firstLineChars="0"/>
        <w:jc w:val="left"/>
        <w:rPr>
          <w:color w:val="auto"/>
        </w:rPr>
      </w:pPr>
      <w:r>
        <w:rPr>
          <w:color w:val="auto"/>
        </w:rPr>
        <w:br w:type="page"/>
      </w:r>
    </w:p>
    <w:p w14:paraId="11347F20">
      <w:pPr>
        <w:pStyle w:val="2"/>
        <w:pageBreakBefore w:val="0"/>
        <w:kinsoku/>
        <w:wordWrap/>
        <w:overflowPunct/>
        <w:topLinePunct w:val="0"/>
        <w:autoSpaceDE/>
        <w:autoSpaceDN/>
        <w:bidi w:val="0"/>
        <w:snapToGrid w:val="0"/>
        <w:spacing w:line="360" w:lineRule="auto"/>
        <w:ind w:firstLine="0" w:firstLineChars="0"/>
        <w:rPr>
          <w:rFonts w:hint="eastAsia"/>
          <w:color w:val="auto"/>
        </w:rPr>
      </w:pPr>
      <w:bookmarkStart w:id="122" w:name="_Toc12827"/>
      <w:bookmarkStart w:id="123" w:name="_Toc11652"/>
      <w:r>
        <w:rPr>
          <w:color w:val="auto"/>
        </w:rPr>
        <w:t>附件</w:t>
      </w:r>
      <w:r>
        <w:rPr>
          <w:rFonts w:hint="eastAsia"/>
          <w:color w:val="auto"/>
          <w:lang w:val="en-US" w:eastAsia="zh-CN"/>
        </w:rPr>
        <w:t>4</w:t>
      </w:r>
      <w:r>
        <w:rPr>
          <w:color w:val="auto"/>
        </w:rPr>
        <w:t>：</w:t>
      </w:r>
      <w:bookmarkEnd w:id="122"/>
      <w:r>
        <w:rPr>
          <w:color w:val="auto"/>
        </w:rPr>
        <w:t>绩效评价</w:t>
      </w:r>
      <w:r>
        <w:rPr>
          <w:rFonts w:hint="eastAsia"/>
          <w:color w:val="auto"/>
        </w:rPr>
        <w:t>工作沟通</w:t>
      </w:r>
      <w:r>
        <w:rPr>
          <w:color w:val="auto"/>
        </w:rPr>
        <w:t>反馈</w:t>
      </w:r>
      <w:r>
        <w:rPr>
          <w:rFonts w:hint="eastAsia"/>
          <w:color w:val="auto"/>
        </w:rPr>
        <w:t>结果</w:t>
      </w:r>
      <w:bookmarkEnd w:id="123"/>
    </w:p>
    <w:p w14:paraId="11ED9DFE">
      <w:r>
        <w:rPr>
          <w:rFonts w:hint="eastAsia" w:eastAsia="宋体"/>
          <w:lang w:eastAsia="zh-CN"/>
        </w:rPr>
        <w:drawing>
          <wp:anchor distT="0" distB="0" distL="114300" distR="114300" simplePos="0" relativeHeight="251659264" behindDoc="0" locked="0" layoutInCell="1" allowOverlap="1">
            <wp:simplePos x="0" y="0"/>
            <wp:positionH relativeFrom="column">
              <wp:posOffset>99060</wp:posOffset>
            </wp:positionH>
            <wp:positionV relativeFrom="paragraph">
              <wp:posOffset>139065</wp:posOffset>
            </wp:positionV>
            <wp:extent cx="5273040" cy="7459980"/>
            <wp:effectExtent l="0" t="0" r="10160" b="7620"/>
            <wp:wrapSquare wrapText="bothSides"/>
            <wp:docPr id="2" name="图片 2" descr="扫描全能王 2025-9-8 19.43_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扫描全能王 2025-9-8 19.43_01"/>
                    <pic:cNvPicPr>
                      <a:picLocks noChangeAspect="1"/>
                    </pic:cNvPicPr>
                  </pic:nvPicPr>
                  <pic:blipFill>
                    <a:blip r:embed="rId18"/>
                    <a:stretch>
                      <a:fillRect/>
                    </a:stretch>
                  </pic:blipFill>
                  <pic:spPr>
                    <a:xfrm>
                      <a:off x="0" y="0"/>
                      <a:ext cx="5273040" cy="7459980"/>
                    </a:xfrm>
                    <a:prstGeom prst="rect">
                      <a:avLst/>
                    </a:prstGeom>
                  </pic:spPr>
                </pic:pic>
              </a:graphicData>
            </a:graphic>
          </wp:anchor>
        </w:drawing>
      </w:r>
      <w:r>
        <w:br w:type="page"/>
      </w:r>
    </w:p>
    <w:p w14:paraId="21291C9F">
      <w:pPr>
        <w:rPr>
          <w:rFonts w:hint="eastAsia" w:eastAsia="宋体"/>
          <w:lang w:eastAsia="zh-CN"/>
        </w:rPr>
      </w:pPr>
      <w:bookmarkStart w:id="124" w:name="_GoBack"/>
      <w:r>
        <w:rPr>
          <w:rFonts w:hint="eastAsia" w:eastAsia="宋体"/>
          <w:lang w:eastAsia="zh-CN"/>
        </w:rPr>
        <w:drawing>
          <wp:anchor distT="0" distB="0" distL="114300" distR="114300" simplePos="0" relativeHeight="251660288" behindDoc="0" locked="0" layoutInCell="1" allowOverlap="1">
            <wp:simplePos x="0" y="0"/>
            <wp:positionH relativeFrom="column">
              <wp:posOffset>266700</wp:posOffset>
            </wp:positionH>
            <wp:positionV relativeFrom="paragraph">
              <wp:posOffset>0</wp:posOffset>
            </wp:positionV>
            <wp:extent cx="5273675" cy="7247255"/>
            <wp:effectExtent l="0" t="0" r="9525" b="4445"/>
            <wp:wrapSquare wrapText="bothSides"/>
            <wp:docPr id="3" name="图片 3" descr="绩效评价反馈表_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绩效评价反馈表_04"/>
                    <pic:cNvPicPr>
                      <a:picLocks noChangeAspect="1"/>
                    </pic:cNvPicPr>
                  </pic:nvPicPr>
                  <pic:blipFill>
                    <a:blip r:embed="rId19"/>
                    <a:stretch>
                      <a:fillRect/>
                    </a:stretch>
                  </pic:blipFill>
                  <pic:spPr>
                    <a:xfrm>
                      <a:off x="0" y="0"/>
                      <a:ext cx="5273675" cy="7247255"/>
                    </a:xfrm>
                    <a:prstGeom prst="rect">
                      <a:avLst/>
                    </a:prstGeom>
                  </pic:spPr>
                </pic:pic>
              </a:graphicData>
            </a:graphic>
          </wp:anchor>
        </w:drawing>
      </w:r>
      <w:bookmarkEnd w:id="124"/>
    </w:p>
    <w:sectPr>
      <w:footerReference r:id="rId16" w:type="default"/>
      <w:pgSz w:w="11906" w:h="16838"/>
      <w:pgMar w:top="1440" w:right="1800" w:bottom="1440" w:left="1800" w:header="851" w:footer="90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2"/>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Toppan Bunkyu Gothic">
    <w:altName w:val="MS UI Gothic"/>
    <w:panose1 w:val="020B0600000000000000"/>
    <w:charset w:val="80"/>
    <w:family w:val="auto"/>
    <w:pitch w:val="default"/>
    <w:sig w:usb0="00000000" w:usb1="00000000" w:usb2="00000012" w:usb3="00000000" w:csb0="2002009F" w:csb1="00000000"/>
  </w:font>
  <w:font w:name="MS UI Gothic">
    <w:panose1 w:val="020B0600070205080204"/>
    <w:charset w:val="80"/>
    <w:family w:val="auto"/>
    <w:pitch w:val="default"/>
    <w:sig w:usb0="E00002FF" w:usb1="6AC7FDFB" w:usb2="08000012" w:usb3="00000000" w:csb0="4002009F" w:csb1="DFD70000"/>
  </w:font>
  <w:font w:name="楷体_GB2312">
    <w:panose1 w:val="02010609030101010101"/>
    <w:charset w:val="86"/>
    <w:family w:val="modern"/>
    <w:pitch w:val="default"/>
    <w:sig w:usb0="00000001" w:usb1="080E0000" w:usb2="00000000" w:usb3="00000000" w:csb0="00040000" w:csb1="00000000"/>
  </w:font>
  <w:font w:name="新宋体">
    <w:panose1 w:val="02010609030101010101"/>
    <w:charset w:val="86"/>
    <w:family w:val="auto"/>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04B83D">
    <w:pPr>
      <w:pStyle w:val="14"/>
      <w:tabs>
        <w:tab w:val="center" w:pos="4439"/>
        <w:tab w:val="right" w:pos="8999"/>
      </w:tabs>
      <w:ind w:firstLine="360"/>
    </w:pPr>
    <w:r>
      <w:rPr>
        <w:rFonts w:hint="eastAsia"/>
      </w:rPr>
      <w:tab/>
    </w:r>
    <w:r>
      <w:rPr>
        <w:rFonts w:hint="eastAsia"/>
      </w:rPr>
      <w:tab/>
    </w:r>
    <w:r>
      <w:rPr>
        <w:rFonts w:hint="eastAsia"/>
      </w:rPr>
      <w:tab/>
    </w:r>
    <w:r>
      <w:rPr>
        <w:rFonts w:hint="eastAsia"/>
      </w:rPr>
      <w:tab/>
    </w:r>
  </w:p>
  <w:p w14:paraId="34CBD76A">
    <w:pPr>
      <w:pStyle w:val="14"/>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6476">
    <w:pPr>
      <w:pStyle w:val="1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7FEA9">
    <w:pPr>
      <w:pStyle w:val="1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D1DB8">
    <w:pPr>
      <w:pStyle w:val="14"/>
      <w:ind w:firstLine="360"/>
      <w:jc w:val="right"/>
    </w:pPr>
    <w:r>
      <mc:AlternateContent>
        <mc:Choice Requires="wps">
          <w:drawing>
            <wp:anchor distT="0" distB="0" distL="114300" distR="114300" simplePos="0" relativeHeight="251660288" behindDoc="0" locked="0" layoutInCell="1" allowOverlap="1">
              <wp:simplePos x="0" y="0"/>
              <wp:positionH relativeFrom="margin">
                <wp:posOffset>2633980</wp:posOffset>
              </wp:positionH>
              <wp:positionV relativeFrom="paragraph">
                <wp:posOffset>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14:paraId="63C87E4B">
                          <w:pPr>
                            <w:pStyle w:val="14"/>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7.4pt;margin-top:0pt;height:144pt;width:25.7pt;mso-position-horizontal-relative:margin;z-index:251660288;mso-width-relative:page;mso-height-relative:page;" filled="f" stroked="f" coordsize="21600,21600" o:gfxdata="UEsDBAoAAAAAAIdO4kAAAAAAAAAAAAAAAAAEAAAAZHJzL1BLAwQUAAAACACHTuJAzGzqn9UAAAAI&#10;AQAADwAAAGRycy9kb3ducmV2LnhtbE2PQU+EMBSE7yb+h+aZeDFuKSEEkccejF68uXrZW5c+gdi+&#10;EtoF3F9vPelxMpOZb5r95qxYaA6jZwS1y0AQd96M3CN8vL/cVyBC1Gy09UwI3xRg315fNbo2fuU3&#10;Wg6xF6mEQ60RhhinWsrQDeR02PmJOHmffnY6Jjn30sx6TeXOyjzLSun0yGlh0BM9DdR9Hc4Oodye&#10;p7vXB8rXS2cXPl6UiqQQb29U9ggi0hb/wvCLn9ChTUwnf2YThEUoVJHQI0J6lOyiLHMQJ4S8qjKQ&#10;bSP/H2h/AFBLAwQUAAAACACHTuJACdKSA78BAACAAwAADgAAAGRycy9lMm9Eb2MueG1srVNLbtsw&#10;EN0X6B0I7mvKDhC4guWghZGiQNEWSHMAmiItAvyBQ1vyBdobdNVN9z2Xz9EhJTttsskiG2k4M3rz&#10;3htqdTNYQw4ygvauofNZRYl0wrfa7Rp6/+32zZISSNy13HgnG3qUQG/Wr1+t+lDLhe+8aWUkCOKg&#10;7kNDu5RCzRiITloOMx+kw6Ly0fKEx7hjbeQ9olvDFlV1zXof2xC9kACY3YxFOiHG5wB6pbSQGy/2&#10;Vro0okZpeEJJ0OkAdF3YKiVF+qIUyERMQ1FpKk8cgvE2P9l6xetd5KHTYqLAn0PhkSbLtcOhF6gN&#10;T5zso34CZbWIHrxKM+EtG4UUR1DFvHrkzV3Hgyxa0GoIF9Ph5WDF58PXSHSLN4ESxy0u/PTzx+nX&#10;n9Pv72Se7ekD1Nh1F7AvDe/9kFunPGAyqx5UtPmNegjW0dzjxVw5JCIwebW4vnqLFYGl+XKxXFbF&#10;ffbwdYiQPkhvSQ4aGnF5xVN++AQJJ2LruSUPc/5WG1MWaNx/CWzMGZapjxRzlIbtMPHe+vaIcsxH&#10;h1bma3EO4jnYTkHGhfBun3BY4ZCRxs+nAbiYQm26RHnz/55L18OPs/4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Gzqn9UAAAAIAQAADwAAAAAAAAABACAAAAAiAAAAZHJzL2Rvd25yZXYueG1sUEsB&#10;AhQAFAAAAAgAh07iQAnSkgO/AQAAgAMAAA4AAAAAAAAAAQAgAAAAJAEAAGRycy9lMm9Eb2MueG1s&#10;UEsFBgAAAAAGAAYAWQEAAFUFAAAAAA==&#10;">
              <v:fill on="f" focussize="0,0"/>
              <v:stroke on="f"/>
              <v:imagedata o:title=""/>
              <o:lock v:ext="edit" aspectratio="f"/>
              <v:textbox inset="0mm,0mm,0mm,0mm" style="mso-fit-shape-to-text:t;">
                <w:txbxContent>
                  <w:p w14:paraId="63C87E4B">
                    <w:pPr>
                      <w:pStyle w:val="14"/>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FDF22">
    <w:pPr>
      <w:pStyle w:val="14"/>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3D9FEFD1">
        <w:pPr>
          <w:pStyle w:val="14"/>
          <w:spacing w:line="240" w:lineRule="auto"/>
          <w:ind w:firstLine="360"/>
          <w:jc w:val="center"/>
        </w:pPr>
        <w:r>
          <w:fldChar w:fldCharType="begin"/>
        </w:r>
        <w:r>
          <w:instrText xml:space="preserve">PAGE   \* MERGEFORMAT</w:instrText>
        </w:r>
        <w:r>
          <w:fldChar w:fldCharType="separate"/>
        </w:r>
        <w:r>
          <w:rPr>
            <w:lang w:val="zh-CN"/>
          </w:rPr>
          <w:t>1</w:t>
        </w:r>
        <w:r>
          <w:fldChar w:fldCharType="end"/>
        </w:r>
      </w:p>
    </w:sdtContent>
  </w:sdt>
  <w:p w14:paraId="0F7F4679">
    <w:pPr>
      <w:pStyle w:val="14"/>
      <w:spacing w:line="240" w:lineRule="auto"/>
      <w:ind w:firstLine="0" w:firstLineChars="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1617"/>
      <w:docPartObj>
        <w:docPartGallery w:val="autotext"/>
      </w:docPartObj>
    </w:sdtPr>
    <w:sdtContent>
      <w:p w14:paraId="1A2C3038">
        <w:pPr>
          <w:pStyle w:val="14"/>
          <w:ind w:firstLine="360"/>
          <w:jc w:val="center"/>
        </w:pPr>
        <w:r>
          <w:fldChar w:fldCharType="begin"/>
        </w:r>
        <w:r>
          <w:instrText xml:space="preserve">PAGE   \* MERGEFORMAT</w:instrText>
        </w:r>
        <w:r>
          <w:fldChar w:fldCharType="separate"/>
        </w:r>
        <w:r>
          <w:rPr>
            <w:lang w:val="zh-CN"/>
          </w:rPr>
          <w:t>7</w:t>
        </w:r>
        <w:r>
          <w:fldChar w:fldCharType="end"/>
        </w:r>
      </w:p>
    </w:sdtContent>
  </w:sdt>
  <w:p w14:paraId="45655DF4">
    <w:pPr>
      <w:pStyle w:val="14"/>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14:paraId="68D56D42">
        <w:pPr>
          <w:pStyle w:val="14"/>
          <w:ind w:firstLine="360"/>
          <w:jc w:val="center"/>
        </w:pPr>
        <w:r>
          <w:fldChar w:fldCharType="begin"/>
        </w:r>
        <w:r>
          <w:instrText xml:space="preserve">PAGE   \* MERGEFORMAT</w:instrText>
        </w:r>
        <w:r>
          <w:fldChar w:fldCharType="separate"/>
        </w:r>
        <w:r>
          <w:rPr>
            <w:lang w:val="zh-CN"/>
          </w:rPr>
          <w:t>11</w:t>
        </w:r>
        <w:r>
          <w:fldChar w:fldCharType="end"/>
        </w:r>
      </w:p>
    </w:sdtContent>
  </w:sdt>
  <w:p w14:paraId="753E79A7">
    <w:pPr>
      <w:pStyle w:val="14"/>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20"/>
      </w:pPr>
      <w:r>
        <w:separator/>
      </w:r>
    </w:p>
  </w:footnote>
  <w:footnote w:type="continuationSeparator" w:id="1">
    <w:p>
      <w:pPr>
        <w:spacing w:line="36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1C4BF">
    <w:pPr>
      <w:pStyle w:val="15"/>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1A56F">
    <w:pPr>
      <w:pStyle w:val="1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D4C2">
    <w:pPr>
      <w:pStyle w:val="15"/>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355E5">
    <w:pPr>
      <w:pStyle w:val="15"/>
      <w:pBdr>
        <w:bottom w:val="single" w:color="auto" w:sz="4" w:space="0"/>
      </w:pBdr>
      <w:ind w:firstLine="0" w:firstLineChars="0"/>
      <w:jc w:val="right"/>
      <w:rPr>
        <w:rFonts w:ascii="黑体" w:hAnsi="黑体" w:eastAsia="黑体" w:cs="黑体"/>
        <w:b w:val="0"/>
        <w:bCs w:val="0"/>
        <w:color w:val="auto"/>
        <w:sz w:val="15"/>
        <w:szCs w:val="15"/>
      </w:rPr>
    </w:pPr>
    <w:r>
      <w:rPr>
        <w:rFonts w:hint="eastAsia" w:ascii="黑体" w:hAnsi="黑体" w:eastAsia="黑体" w:cs="黑体"/>
        <w:b w:val="0"/>
        <w:bCs w:val="0"/>
        <w:color w:val="auto"/>
        <w:sz w:val="15"/>
        <w:szCs w:val="15"/>
        <w:lang w:eastAsia="zh-CN"/>
      </w:rPr>
      <w:t>农机购置与应用补贴项目</w:t>
    </w:r>
    <w:r>
      <w:rPr>
        <w:rFonts w:hint="eastAsia" w:ascii="黑体" w:hAnsi="黑体" w:eastAsia="黑体" w:cs="黑体"/>
        <w:b w:val="0"/>
        <w:bCs w:val="0"/>
        <w:color w:val="auto"/>
        <w:sz w:val="15"/>
        <w:szCs w:val="15"/>
      </w:rPr>
      <w:t>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916219"/>
    <w:multiLevelType w:val="singleLevel"/>
    <w:tmpl w:val="E7916219"/>
    <w:lvl w:ilvl="0" w:tentative="0">
      <w:start w:val="3"/>
      <w:numFmt w:val="decimal"/>
      <w:suff w:val="nothing"/>
      <w:lvlText w:val="（%1）"/>
      <w:lvlJc w:val="left"/>
    </w:lvl>
  </w:abstractNum>
  <w:abstractNum w:abstractNumId="1">
    <w:nsid w:val="04140925"/>
    <w:multiLevelType w:val="singleLevel"/>
    <w:tmpl w:val="04140925"/>
    <w:lvl w:ilvl="0" w:tentative="0">
      <w:start w:val="8"/>
      <w:numFmt w:val="chineseCounting"/>
      <w:suff w:val="nothing"/>
      <w:lvlText w:val="%1、"/>
      <w:lvlJc w:val="left"/>
      <w:rPr>
        <w:rFonts w:hint="eastAsia"/>
      </w:rPr>
    </w:lvl>
  </w:abstractNum>
  <w:abstractNum w:abstractNumId="2">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1D24A8A"/>
    <w:rsid w:val="022A2DF1"/>
    <w:rsid w:val="02B45E0D"/>
    <w:rsid w:val="04542819"/>
    <w:rsid w:val="04DD3789"/>
    <w:rsid w:val="075E7FA4"/>
    <w:rsid w:val="08C9641A"/>
    <w:rsid w:val="092B5F96"/>
    <w:rsid w:val="0950746A"/>
    <w:rsid w:val="09B174F4"/>
    <w:rsid w:val="09E65C14"/>
    <w:rsid w:val="0A52596C"/>
    <w:rsid w:val="0AD41B78"/>
    <w:rsid w:val="0C69230C"/>
    <w:rsid w:val="0D0C4294"/>
    <w:rsid w:val="0E4B13F3"/>
    <w:rsid w:val="0EC86014"/>
    <w:rsid w:val="0F32467D"/>
    <w:rsid w:val="0F6E1D33"/>
    <w:rsid w:val="10F12AD2"/>
    <w:rsid w:val="11B213A0"/>
    <w:rsid w:val="11C83272"/>
    <w:rsid w:val="12657F45"/>
    <w:rsid w:val="126A4FBF"/>
    <w:rsid w:val="13513B8A"/>
    <w:rsid w:val="146705D2"/>
    <w:rsid w:val="14D815EB"/>
    <w:rsid w:val="16666C4E"/>
    <w:rsid w:val="178025FC"/>
    <w:rsid w:val="181639CD"/>
    <w:rsid w:val="1821504C"/>
    <w:rsid w:val="18D4038E"/>
    <w:rsid w:val="19066B43"/>
    <w:rsid w:val="197C5EDB"/>
    <w:rsid w:val="1A9C4EA7"/>
    <w:rsid w:val="1B544B28"/>
    <w:rsid w:val="1C6963B1"/>
    <w:rsid w:val="1F703EFB"/>
    <w:rsid w:val="1FC475AA"/>
    <w:rsid w:val="1FFB49C5"/>
    <w:rsid w:val="20070B5C"/>
    <w:rsid w:val="20564B86"/>
    <w:rsid w:val="207A6501"/>
    <w:rsid w:val="208800D4"/>
    <w:rsid w:val="208A18F1"/>
    <w:rsid w:val="20E91BAB"/>
    <w:rsid w:val="212A5BF7"/>
    <w:rsid w:val="21A87BBE"/>
    <w:rsid w:val="21ED1832"/>
    <w:rsid w:val="23B14FE2"/>
    <w:rsid w:val="23F76998"/>
    <w:rsid w:val="2424465B"/>
    <w:rsid w:val="25AF6319"/>
    <w:rsid w:val="25F7546A"/>
    <w:rsid w:val="26A533F5"/>
    <w:rsid w:val="27AE6A70"/>
    <w:rsid w:val="28D50BCB"/>
    <w:rsid w:val="29655C0F"/>
    <w:rsid w:val="2A0F0311"/>
    <w:rsid w:val="2AAD1304"/>
    <w:rsid w:val="2B4E089B"/>
    <w:rsid w:val="2BC517DF"/>
    <w:rsid w:val="2BFD3113"/>
    <w:rsid w:val="2CD07DE1"/>
    <w:rsid w:val="2F5C244B"/>
    <w:rsid w:val="2F9F73FC"/>
    <w:rsid w:val="2FA8493D"/>
    <w:rsid w:val="30642AF1"/>
    <w:rsid w:val="30BB1AA0"/>
    <w:rsid w:val="31453464"/>
    <w:rsid w:val="329C5C14"/>
    <w:rsid w:val="33484DD4"/>
    <w:rsid w:val="349FD07A"/>
    <w:rsid w:val="35A53AD6"/>
    <w:rsid w:val="36796ACC"/>
    <w:rsid w:val="372A5C55"/>
    <w:rsid w:val="37823126"/>
    <w:rsid w:val="37CB3A26"/>
    <w:rsid w:val="38394C4C"/>
    <w:rsid w:val="38663170"/>
    <w:rsid w:val="398D26CB"/>
    <w:rsid w:val="3A3823B8"/>
    <w:rsid w:val="3A4849AC"/>
    <w:rsid w:val="3AEF3BB8"/>
    <w:rsid w:val="3C0204AA"/>
    <w:rsid w:val="3C934F8C"/>
    <w:rsid w:val="3DAF0D3F"/>
    <w:rsid w:val="3DB50D85"/>
    <w:rsid w:val="3DBB3FD3"/>
    <w:rsid w:val="3EEC3770"/>
    <w:rsid w:val="41210ABD"/>
    <w:rsid w:val="41676AB4"/>
    <w:rsid w:val="41831B26"/>
    <w:rsid w:val="41E33C60"/>
    <w:rsid w:val="430D5080"/>
    <w:rsid w:val="43713C1A"/>
    <w:rsid w:val="43726F6F"/>
    <w:rsid w:val="439F5F4E"/>
    <w:rsid w:val="445F21CE"/>
    <w:rsid w:val="44DE708D"/>
    <w:rsid w:val="45F95B5C"/>
    <w:rsid w:val="460C092F"/>
    <w:rsid w:val="46D1728D"/>
    <w:rsid w:val="47243D5D"/>
    <w:rsid w:val="47C1055A"/>
    <w:rsid w:val="48B20D8E"/>
    <w:rsid w:val="49516307"/>
    <w:rsid w:val="49A91765"/>
    <w:rsid w:val="4A3835D3"/>
    <w:rsid w:val="4A702F34"/>
    <w:rsid w:val="4A9D3546"/>
    <w:rsid w:val="4AC926B9"/>
    <w:rsid w:val="4B91459D"/>
    <w:rsid w:val="4C6E6818"/>
    <w:rsid w:val="4CCA439B"/>
    <w:rsid w:val="4CD4421B"/>
    <w:rsid w:val="4D2646B1"/>
    <w:rsid w:val="4DD672C1"/>
    <w:rsid w:val="4E543563"/>
    <w:rsid w:val="4FF64D3D"/>
    <w:rsid w:val="505C7F65"/>
    <w:rsid w:val="508A7846"/>
    <w:rsid w:val="511C4B38"/>
    <w:rsid w:val="5180316E"/>
    <w:rsid w:val="51DD0189"/>
    <w:rsid w:val="54300F87"/>
    <w:rsid w:val="545804DE"/>
    <w:rsid w:val="54B13782"/>
    <w:rsid w:val="55735655"/>
    <w:rsid w:val="56921B6A"/>
    <w:rsid w:val="56B518CE"/>
    <w:rsid w:val="58DE2219"/>
    <w:rsid w:val="593F3897"/>
    <w:rsid w:val="59754CD5"/>
    <w:rsid w:val="5ABF39F2"/>
    <w:rsid w:val="5AD52376"/>
    <w:rsid w:val="5B361F59"/>
    <w:rsid w:val="5C6B645D"/>
    <w:rsid w:val="5D382BE7"/>
    <w:rsid w:val="5DDB040C"/>
    <w:rsid w:val="5DEE6DAA"/>
    <w:rsid w:val="5E484837"/>
    <w:rsid w:val="5E5E5162"/>
    <w:rsid w:val="5E606702"/>
    <w:rsid w:val="5ED760AA"/>
    <w:rsid w:val="5F470E2F"/>
    <w:rsid w:val="5F654690"/>
    <w:rsid w:val="625C68EC"/>
    <w:rsid w:val="63732C3E"/>
    <w:rsid w:val="63FC70D8"/>
    <w:rsid w:val="63FD189B"/>
    <w:rsid w:val="643233C5"/>
    <w:rsid w:val="64530FA5"/>
    <w:rsid w:val="64FF2692"/>
    <w:rsid w:val="6631134F"/>
    <w:rsid w:val="66F97176"/>
    <w:rsid w:val="67041B93"/>
    <w:rsid w:val="6777690D"/>
    <w:rsid w:val="67BD3540"/>
    <w:rsid w:val="67EF100D"/>
    <w:rsid w:val="684E08B0"/>
    <w:rsid w:val="68AC53C7"/>
    <w:rsid w:val="68D511B8"/>
    <w:rsid w:val="690916DC"/>
    <w:rsid w:val="6AA2028D"/>
    <w:rsid w:val="6AAF4400"/>
    <w:rsid w:val="6B5D7637"/>
    <w:rsid w:val="6CA65E33"/>
    <w:rsid w:val="6D5E5248"/>
    <w:rsid w:val="6D8E15BD"/>
    <w:rsid w:val="6EA7498F"/>
    <w:rsid w:val="6F520039"/>
    <w:rsid w:val="713524C7"/>
    <w:rsid w:val="71F238C8"/>
    <w:rsid w:val="72596DA7"/>
    <w:rsid w:val="726C71D4"/>
    <w:rsid w:val="744F0B5E"/>
    <w:rsid w:val="74F6722B"/>
    <w:rsid w:val="75602922"/>
    <w:rsid w:val="75CF1F17"/>
    <w:rsid w:val="76660B4B"/>
    <w:rsid w:val="76C84BF7"/>
    <w:rsid w:val="776C8B73"/>
    <w:rsid w:val="77C202CB"/>
    <w:rsid w:val="77C81353"/>
    <w:rsid w:val="77F92996"/>
    <w:rsid w:val="78C00D2A"/>
    <w:rsid w:val="78D173E0"/>
    <w:rsid w:val="78EE07D4"/>
    <w:rsid w:val="7A0E2437"/>
    <w:rsid w:val="7A374B97"/>
    <w:rsid w:val="7A684AAF"/>
    <w:rsid w:val="7BF267D8"/>
    <w:rsid w:val="7D657264"/>
    <w:rsid w:val="7DDF1401"/>
    <w:rsid w:val="7E3D5F5A"/>
    <w:rsid w:val="7F1A4AED"/>
    <w:rsid w:val="7FC37389"/>
    <w:rsid w:val="7FD82D8C"/>
    <w:rsid w:val="9A5E12E9"/>
    <w:rsid w:val="BDEE9790"/>
    <w:rsid w:val="BF9D96C6"/>
    <w:rsid w:val="CFFE94B8"/>
    <w:rsid w:val="DFFBA398"/>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883" w:firstLineChars="20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36"/>
    <w:qFormat/>
    <w:uiPriority w:val="99"/>
    <w:pPr>
      <w:keepNext/>
      <w:keepLines/>
      <w:spacing w:before="260" w:after="260"/>
      <w:outlineLvl w:val="0"/>
    </w:pPr>
    <w:rPr>
      <w:b/>
      <w:bCs/>
      <w:kern w:val="44"/>
      <w:sz w:val="24"/>
      <w:szCs w:val="44"/>
    </w:rPr>
  </w:style>
  <w:style w:type="paragraph" w:styleId="3">
    <w:name w:val="heading 2"/>
    <w:basedOn w:val="1"/>
    <w:next w:val="1"/>
    <w:qFormat/>
    <w:uiPriority w:val="0"/>
    <w:pPr>
      <w:keepNext/>
      <w:keepLines/>
      <w:spacing w:before="100" w:after="100"/>
      <w:jc w:val="left"/>
      <w:outlineLvl w:val="1"/>
    </w:pPr>
    <w:rPr>
      <w:rFonts w:ascii="Cambria" w:hAnsi="Cambria"/>
      <w:b/>
      <w:bCs/>
      <w:kern w:val="0"/>
      <w:sz w:val="24"/>
      <w:szCs w:val="32"/>
    </w:rPr>
  </w:style>
  <w:style w:type="paragraph" w:styleId="4">
    <w:name w:val="heading 3"/>
    <w:basedOn w:val="1"/>
    <w:next w:val="5"/>
    <w:qFormat/>
    <w:uiPriority w:val="99"/>
    <w:pPr>
      <w:keepNext/>
      <w:keepLines/>
      <w:outlineLvl w:val="2"/>
    </w:pPr>
    <w:rPr>
      <w:rFonts w:ascii="仿宋_GB2312" w:hAnsi="仿宋_GB2312"/>
      <w:b/>
      <w:bCs/>
      <w:kern w:val="0"/>
      <w:szCs w:val="32"/>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style>
  <w:style w:type="paragraph" w:styleId="6">
    <w:name w:val="toc 4"/>
    <w:basedOn w:val="1"/>
    <w:next w:val="1"/>
    <w:qFormat/>
    <w:uiPriority w:val="0"/>
    <w:pPr>
      <w:ind w:left="1260" w:leftChars="600"/>
    </w:pPr>
  </w:style>
  <w:style w:type="paragraph" w:styleId="7">
    <w:name w:val="caption"/>
    <w:basedOn w:val="1"/>
    <w:next w:val="1"/>
    <w:semiHidden/>
    <w:unhideWhenUsed/>
    <w:qFormat/>
    <w:uiPriority w:val="35"/>
    <w:rPr>
      <w:rFonts w:ascii="Arial" w:hAnsi="Arial" w:eastAsia="黑体"/>
      <w:sz w:val="20"/>
    </w:rPr>
  </w:style>
  <w:style w:type="paragraph" w:styleId="8">
    <w:name w:val="annotation text"/>
    <w:basedOn w:val="1"/>
    <w:unhideWhenUsed/>
    <w:qFormat/>
    <w:uiPriority w:val="99"/>
    <w:rPr>
      <w:rFonts w:ascii="Calibri" w:hAnsi="Calibri" w:eastAsia="仿宋"/>
      <w:kern w:val="0"/>
      <w:sz w:val="24"/>
      <w:szCs w:val="20"/>
    </w:rPr>
  </w:style>
  <w:style w:type="paragraph" w:styleId="9">
    <w:name w:val="Body Text"/>
    <w:basedOn w:val="1"/>
    <w:next w:val="10"/>
    <w:qFormat/>
    <w:uiPriority w:val="0"/>
  </w:style>
  <w:style w:type="paragraph" w:styleId="10">
    <w:name w:val="Body Text 2"/>
    <w:basedOn w:val="1"/>
    <w:qFormat/>
    <w:uiPriority w:val="0"/>
    <w:pPr>
      <w:spacing w:after="120" w:line="480" w:lineRule="auto"/>
    </w:pPr>
    <w:rPr>
      <w:rFonts w:eastAsia="宋体"/>
    </w:rPr>
  </w:style>
  <w:style w:type="paragraph" w:styleId="11">
    <w:name w:val="Body Text Indent"/>
    <w:basedOn w:val="1"/>
    <w:qFormat/>
    <w:uiPriority w:val="0"/>
    <w:pPr>
      <w:ind w:firstLine="570"/>
    </w:pPr>
    <w:rPr>
      <w:rFonts w:eastAsia="宋体"/>
      <w:sz w:val="24"/>
    </w:rPr>
  </w:style>
  <w:style w:type="paragraph" w:styleId="12">
    <w:name w:val="Plain Text"/>
    <w:basedOn w:val="1"/>
    <w:qFormat/>
    <w:uiPriority w:val="0"/>
    <w:pPr>
      <w:spacing w:line="240" w:lineRule="atLeast"/>
    </w:pPr>
    <w:rPr>
      <w:rFonts w:ascii="宋体" w:hAnsi="Courier New" w:eastAsia="宋体"/>
      <w:sz w:val="24"/>
      <w:szCs w:val="20"/>
    </w:rPr>
  </w:style>
  <w:style w:type="paragraph" w:styleId="13">
    <w:name w:val="Balloon Text"/>
    <w:basedOn w:val="1"/>
    <w:link w:val="35"/>
    <w:semiHidden/>
    <w:unhideWhenUsed/>
    <w:qFormat/>
    <w:uiPriority w:val="99"/>
    <w:pPr>
      <w:spacing w:line="240" w:lineRule="auto"/>
    </w:pPr>
    <w:rPr>
      <w:sz w:val="18"/>
      <w:szCs w:val="18"/>
    </w:rPr>
  </w:style>
  <w:style w:type="paragraph" w:styleId="14">
    <w:name w:val="footer"/>
    <w:basedOn w:val="1"/>
    <w:link w:val="27"/>
    <w:unhideWhenUsed/>
    <w:qFormat/>
    <w:uiPriority w:val="99"/>
    <w:pPr>
      <w:tabs>
        <w:tab w:val="center" w:pos="4153"/>
        <w:tab w:val="right" w:pos="8306"/>
      </w:tabs>
      <w:jc w:val="left"/>
    </w:pPr>
    <w:rPr>
      <w:sz w:val="18"/>
      <w:szCs w:val="18"/>
    </w:rPr>
  </w:style>
  <w:style w:type="paragraph" w:styleId="15">
    <w:name w:val="header"/>
    <w:basedOn w:val="1"/>
    <w:link w:val="26"/>
    <w:unhideWhenUsed/>
    <w:qFormat/>
    <w:uiPriority w:val="99"/>
    <w:pPr>
      <w:pBdr>
        <w:bottom w:val="single" w:color="auto" w:sz="6" w:space="1"/>
      </w:pBdr>
      <w:tabs>
        <w:tab w:val="center" w:pos="4153"/>
        <w:tab w:val="right" w:pos="8306"/>
      </w:tabs>
      <w:jc w:val="center"/>
    </w:pPr>
    <w:rPr>
      <w:sz w:val="18"/>
      <w:szCs w:val="18"/>
    </w:rPr>
  </w:style>
  <w:style w:type="paragraph" w:styleId="16">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7">
    <w:name w:val="footnote text"/>
    <w:basedOn w:val="1"/>
    <w:semiHidden/>
    <w:unhideWhenUsed/>
    <w:qFormat/>
    <w:uiPriority w:val="99"/>
    <w:pPr>
      <w:snapToGrid w:val="0"/>
      <w:jc w:val="left"/>
    </w:pPr>
    <w:rPr>
      <w:sz w:val="18"/>
    </w:rPr>
  </w:style>
  <w:style w:type="paragraph" w:styleId="18">
    <w:name w:val="toc 2"/>
    <w:basedOn w:val="1"/>
    <w:next w:val="1"/>
    <w:semiHidden/>
    <w:unhideWhenUsed/>
    <w:qFormat/>
    <w:uiPriority w:val="39"/>
    <w:pPr>
      <w:ind w:firstLine="663" w:firstLineChars="150"/>
    </w:pPr>
    <w:rPr>
      <w:sz w:val="24"/>
    </w:rPr>
  </w:style>
  <w:style w:type="paragraph" w:styleId="1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0">
    <w:name w:val="Body Text First Indent 2"/>
    <w:basedOn w:val="11"/>
    <w:qFormat/>
    <w:uiPriority w:val="0"/>
    <w:pPr>
      <w:ind w:firstLine="420"/>
    </w:pPr>
  </w:style>
  <w:style w:type="table" w:styleId="22">
    <w:name w:val="Table Grid"/>
    <w:basedOn w:val="21"/>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page number"/>
    <w:basedOn w:val="23"/>
    <w:qFormat/>
    <w:uiPriority w:val="0"/>
  </w:style>
  <w:style w:type="character" w:styleId="25">
    <w:name w:val="annotation reference"/>
    <w:basedOn w:val="23"/>
    <w:semiHidden/>
    <w:unhideWhenUsed/>
    <w:qFormat/>
    <w:uiPriority w:val="99"/>
    <w:rPr>
      <w:sz w:val="21"/>
      <w:szCs w:val="21"/>
    </w:rPr>
  </w:style>
  <w:style w:type="character" w:customStyle="1" w:styleId="26">
    <w:name w:val="页眉 Char"/>
    <w:basedOn w:val="23"/>
    <w:link w:val="15"/>
    <w:qFormat/>
    <w:uiPriority w:val="99"/>
    <w:rPr>
      <w:sz w:val="18"/>
      <w:szCs w:val="18"/>
    </w:rPr>
  </w:style>
  <w:style w:type="character" w:customStyle="1" w:styleId="27">
    <w:name w:val="页脚 Char"/>
    <w:basedOn w:val="23"/>
    <w:link w:val="14"/>
    <w:qFormat/>
    <w:uiPriority w:val="99"/>
    <w:rPr>
      <w:sz w:val="18"/>
      <w:szCs w:val="18"/>
    </w:rPr>
  </w:style>
  <w:style w:type="paragraph" w:customStyle="1" w:styleId="28">
    <w:name w:val="闻政-正文二级标题"/>
    <w:basedOn w:val="3"/>
    <w:next w:val="29"/>
    <w:qFormat/>
    <w:uiPriority w:val="3"/>
    <w:pPr>
      <w:spacing w:before="120" w:after="60" w:line="500" w:lineRule="exact"/>
      <w:ind w:left="200" w:leftChars="200" w:firstLine="0" w:firstLineChars="0"/>
    </w:pPr>
    <w:rPr>
      <w:rFonts w:ascii="Times New Roman" w:hAnsi="Times New Roman"/>
      <w:sz w:val="28"/>
    </w:rPr>
  </w:style>
  <w:style w:type="paragraph" w:customStyle="1" w:styleId="29">
    <w:name w:val="闻政-正文段落文字"/>
    <w:basedOn w:val="1"/>
    <w:qFormat/>
    <w:uiPriority w:val="3"/>
    <w:pPr>
      <w:spacing w:line="500" w:lineRule="exact"/>
      <w:ind w:firstLine="200"/>
    </w:pPr>
    <w:rPr>
      <w:kern w:val="0"/>
      <w:szCs w:val="28"/>
    </w:rPr>
  </w:style>
  <w:style w:type="paragraph" w:customStyle="1" w:styleId="30">
    <w:name w:val="闻政-正文一级标题"/>
    <w:basedOn w:val="4"/>
    <w:next w:val="29"/>
    <w:qFormat/>
    <w:uiPriority w:val="3"/>
    <w:pPr>
      <w:spacing w:before="120" w:after="60" w:line="500" w:lineRule="exact"/>
      <w:ind w:firstLine="0" w:firstLineChars="0"/>
      <w:outlineLvl w:val="0"/>
    </w:pPr>
    <w:rPr>
      <w:rFonts w:ascii="黑体" w:hAnsi="黑体" w:eastAsia="黑体"/>
      <w:sz w:val="32"/>
    </w:rPr>
  </w:style>
  <w:style w:type="paragraph" w:styleId="31">
    <w:name w:val="List Paragraph"/>
    <w:basedOn w:val="1"/>
    <w:qFormat/>
    <w:uiPriority w:val="34"/>
    <w:pPr>
      <w:ind w:firstLine="420"/>
    </w:pPr>
  </w:style>
  <w:style w:type="paragraph" w:customStyle="1" w:styleId="32">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3">
    <w:name w:val="WPSOffice手动目录 1"/>
    <w:qFormat/>
    <w:uiPriority w:val="0"/>
    <w:rPr>
      <w:rFonts w:ascii="Times New Roman" w:hAnsi="Times New Roman" w:eastAsia="宋体" w:cs="Times New Roman"/>
      <w:lang w:val="en-US" w:eastAsia="zh-CN" w:bidi="ar-SA"/>
    </w:rPr>
  </w:style>
  <w:style w:type="paragraph" w:customStyle="1" w:styleId="34">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5">
    <w:name w:val="批注框文本 Char"/>
    <w:basedOn w:val="23"/>
    <w:link w:val="13"/>
    <w:semiHidden/>
    <w:qFormat/>
    <w:uiPriority w:val="99"/>
    <w:rPr>
      <w:rFonts w:eastAsiaTheme="minorEastAsia"/>
      <w:kern w:val="2"/>
      <w:sz w:val="18"/>
      <w:szCs w:val="18"/>
    </w:rPr>
  </w:style>
  <w:style w:type="character" w:customStyle="1" w:styleId="36">
    <w:name w:val="标题 1 Char"/>
    <w:link w:val="2"/>
    <w:qFormat/>
    <w:uiPriority w:val="99"/>
    <w:rPr>
      <w:b/>
      <w:bCs/>
      <w:kern w:val="44"/>
      <w:sz w:val="24"/>
      <w:szCs w:val="44"/>
    </w:rPr>
  </w:style>
  <w:style w:type="character" w:customStyle="1" w:styleId="37">
    <w:name w:val="font11"/>
    <w:basedOn w:val="23"/>
    <w:qFormat/>
    <w:uiPriority w:val="0"/>
    <w:rPr>
      <w:rFonts w:hint="eastAsia" w:ascii="宋体" w:hAnsi="宋体" w:eastAsia="宋体" w:cs="宋体"/>
      <w:b/>
      <w:bCs/>
      <w:color w:val="000000"/>
      <w:sz w:val="18"/>
      <w:szCs w:val="18"/>
      <w:u w:val="none"/>
    </w:rPr>
  </w:style>
  <w:style w:type="character" w:customStyle="1" w:styleId="38">
    <w:name w:val="font21"/>
    <w:basedOn w:val="23"/>
    <w:qFormat/>
    <w:uiPriority w:val="0"/>
    <w:rPr>
      <w:rFonts w:hint="default" w:ascii="Times New Roman" w:hAnsi="Times New Roman" w:cs="Times New Roman"/>
      <w:b/>
      <w:bCs/>
      <w:color w:val="000000"/>
      <w:sz w:val="18"/>
      <w:szCs w:val="18"/>
      <w:u w:val="none"/>
    </w:rPr>
  </w:style>
  <w:style w:type="character" w:customStyle="1" w:styleId="39">
    <w:name w:val="font31"/>
    <w:basedOn w:val="23"/>
    <w:qFormat/>
    <w:uiPriority w:val="0"/>
    <w:rPr>
      <w:rFonts w:hint="eastAsia" w:ascii="宋体" w:hAnsi="宋体" w:eastAsia="宋体" w:cs="宋体"/>
      <w:color w:val="000000"/>
      <w:sz w:val="20"/>
      <w:szCs w:val="20"/>
      <w:u w:val="none"/>
    </w:rPr>
  </w:style>
  <w:style w:type="character" w:customStyle="1" w:styleId="40">
    <w:name w:val="font41"/>
    <w:basedOn w:val="23"/>
    <w:qFormat/>
    <w:uiPriority w:val="0"/>
    <w:rPr>
      <w:rFonts w:hint="default" w:ascii="Times New Roman" w:hAnsi="Times New Roman" w:cs="Times New Roman"/>
      <w:color w:val="000000"/>
      <w:sz w:val="20"/>
      <w:szCs w:val="20"/>
      <w:u w:val="none"/>
    </w:rPr>
  </w:style>
  <w:style w:type="character" w:customStyle="1" w:styleId="41">
    <w:name w:val="font91"/>
    <w:basedOn w:val="23"/>
    <w:qFormat/>
    <w:uiPriority w:val="0"/>
    <w:rPr>
      <w:rFonts w:hint="default" w:ascii="Times New Roman" w:hAnsi="Times New Roman" w:cs="Times New Roman"/>
      <w:b/>
      <w:bCs/>
      <w:color w:val="000000"/>
      <w:sz w:val="22"/>
      <w:szCs w:val="22"/>
      <w:u w:val="none"/>
    </w:rPr>
  </w:style>
  <w:style w:type="character" w:customStyle="1" w:styleId="42">
    <w:name w:val="font81"/>
    <w:basedOn w:val="23"/>
    <w:qFormat/>
    <w:uiPriority w:val="0"/>
    <w:rPr>
      <w:rFonts w:hint="default" w:ascii="Times New Roman" w:hAnsi="Times New Roman" w:cs="Times New Roman"/>
      <w:color w:val="333333"/>
      <w:sz w:val="20"/>
      <w:szCs w:val="20"/>
      <w:u w:val="none"/>
    </w:rPr>
  </w:style>
  <w:style w:type="character" w:customStyle="1" w:styleId="43">
    <w:name w:val="font71"/>
    <w:basedOn w:val="23"/>
    <w:qFormat/>
    <w:uiPriority w:val="0"/>
    <w:rPr>
      <w:rFonts w:hint="default" w:ascii="Times New Roman" w:hAnsi="Times New Roman" w:cs="Times New Roman"/>
      <w:b/>
      <w:bCs/>
      <w:color w:val="000000"/>
      <w:sz w:val="20"/>
      <w:szCs w:val="20"/>
      <w:u w:val="none"/>
    </w:rPr>
  </w:style>
  <w:style w:type="character" w:customStyle="1" w:styleId="44">
    <w:name w:val="font61"/>
    <w:basedOn w:val="23"/>
    <w:qFormat/>
    <w:uiPriority w:val="0"/>
    <w:rPr>
      <w:rFonts w:hint="eastAsia" w:ascii="宋体" w:hAnsi="宋体" w:eastAsia="宋体" w:cs="宋体"/>
      <w:color w:val="000000"/>
      <w:sz w:val="18"/>
      <w:szCs w:val="18"/>
      <w:u w:val="none"/>
    </w:rPr>
  </w:style>
  <w:style w:type="character" w:customStyle="1" w:styleId="45">
    <w:name w:val="font51"/>
    <w:basedOn w:val="23"/>
    <w:qFormat/>
    <w:uiPriority w:val="0"/>
    <w:rPr>
      <w:rFonts w:hint="eastAsia" w:ascii="宋体" w:hAnsi="宋体" w:eastAsia="宋体" w:cs="宋体"/>
      <w:color w:val="000000"/>
      <w:sz w:val="15"/>
      <w:szCs w:val="15"/>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29544</Words>
  <Characters>33939</Characters>
  <Lines>41</Lines>
  <Paragraphs>11</Paragraphs>
  <TotalTime>2</TotalTime>
  <ScaleCrop>false</ScaleCrop>
  <LinksUpToDate>false</LinksUpToDate>
  <CharactersWithSpaces>34416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2020-09-24T15:41:00Z</dcterms:created>
  <dc:creator>Lenovo</dc:creator>
  <cp:lastModifiedBy>HH</cp:lastModifiedBy>
  <dcterms:modified xsi:type="dcterms:W3CDTF">2025-09-10T04:50:37Z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5FA9313CEAAC4259B873D7C52A588624_13</vt:lpwstr>
  </property>
  <property fmtid="{D5CDD505-2E9C-101B-9397-08002B2CF9AE}" pid="4" name="KSOTemplateDocerSaveRecord">
    <vt:lpwstr>eyJoZGlkIjoiZDU5ODI3OTZlMjJmZjZkNDhjY2NkNTZiNTU2ZmRkMGYiLCJ1c2VySWQiOiI0OTM4NDcxMDAifQ==</vt:lpwstr>
  </property>
</Properties>
</file>