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D1FD66">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rPr>
          <w:rFonts w:eastAsia="黑体"/>
          <w:b/>
          <w:color w:val="auto"/>
          <w:sz w:val="30"/>
          <w:szCs w:val="30"/>
        </w:rPr>
      </w:pPr>
    </w:p>
    <w:p w14:paraId="799C5A24">
      <w:pPr>
        <w:pageBreakBefore w:val="0"/>
        <w:pBdr>
          <w:bottom w:val="dotDotDash" w:color="auto" w:sz="24" w:space="10"/>
        </w:pBdr>
        <w:kinsoku/>
        <w:wordWrap/>
        <w:overflowPunct/>
        <w:topLinePunct w:val="0"/>
        <w:autoSpaceDE/>
        <w:autoSpaceDN/>
        <w:bidi w:val="0"/>
        <w:adjustRightInd/>
        <w:snapToGrid w:val="0"/>
        <w:spacing w:before="312" w:beforeLines="100" w:after="312" w:afterLines="100" w:line="360" w:lineRule="auto"/>
        <w:ind w:firstLine="0" w:firstLineChars="0"/>
        <w:jc w:val="center"/>
        <w:rPr>
          <w:rFonts w:eastAsia="黑体"/>
          <w:b/>
          <w:color w:val="auto"/>
          <w:sz w:val="30"/>
          <w:szCs w:val="30"/>
        </w:rPr>
      </w:pPr>
    </w:p>
    <w:p w14:paraId="3EADF377">
      <w:pPr>
        <w:pageBreakBefore w:val="0"/>
        <w:pBdr>
          <w:bottom w:val="dotDotDash" w:color="auto" w:sz="24" w:space="10"/>
        </w:pBdr>
        <w:kinsoku/>
        <w:wordWrap/>
        <w:overflowPunct/>
        <w:topLinePunct w:val="0"/>
        <w:autoSpaceDE/>
        <w:autoSpaceDN/>
        <w:bidi w:val="0"/>
        <w:adjustRightInd w:val="0"/>
        <w:snapToGrid w:val="0"/>
        <w:spacing w:before="157" w:beforeLines="50" w:after="157" w:afterLines="50" w:line="240" w:lineRule="auto"/>
        <w:ind w:firstLine="0" w:firstLineChars="0"/>
        <w:jc w:val="center"/>
        <w:textAlignment w:val="center"/>
        <w:rPr>
          <w:rFonts w:hint="default" w:eastAsia="黑体"/>
          <w:b/>
          <w:color w:val="auto"/>
          <w:sz w:val="44"/>
          <w:szCs w:val="22"/>
          <w:lang w:val="en-US" w:eastAsia="zh-CN"/>
        </w:rPr>
      </w:pPr>
      <w:r>
        <w:rPr>
          <w:rFonts w:hint="default" w:eastAsia="黑体"/>
          <w:b/>
          <w:color w:val="auto"/>
          <w:sz w:val="44"/>
          <w:szCs w:val="22"/>
          <w:lang w:val="en-US" w:eastAsia="zh-CN"/>
        </w:rPr>
        <w:t>吉木萨尔县二工镇人民政府</w:t>
      </w:r>
    </w:p>
    <w:p w14:paraId="5FBF8F80">
      <w:pPr>
        <w:pageBreakBefore w:val="0"/>
        <w:pBdr>
          <w:bottom w:val="dotDotDash" w:color="auto" w:sz="24" w:space="10"/>
        </w:pBdr>
        <w:kinsoku/>
        <w:wordWrap/>
        <w:overflowPunct/>
        <w:topLinePunct w:val="0"/>
        <w:autoSpaceDE/>
        <w:autoSpaceDN/>
        <w:bidi w:val="0"/>
        <w:adjustRightInd w:val="0"/>
        <w:snapToGrid w:val="0"/>
        <w:spacing w:before="157" w:beforeLines="50" w:after="157" w:afterLines="50" w:line="240" w:lineRule="auto"/>
        <w:ind w:firstLine="0" w:firstLineChars="0"/>
        <w:jc w:val="center"/>
        <w:textAlignment w:val="center"/>
        <w:rPr>
          <w:rFonts w:hint="default" w:eastAsia="黑体"/>
          <w:b/>
          <w:color w:val="auto"/>
          <w:sz w:val="44"/>
          <w:szCs w:val="22"/>
          <w:lang w:val="en-US" w:eastAsia="zh-CN"/>
        </w:rPr>
      </w:pPr>
      <w:r>
        <w:rPr>
          <w:rFonts w:hint="default" w:eastAsia="黑体"/>
          <w:b/>
          <w:color w:val="auto"/>
          <w:sz w:val="44"/>
          <w:szCs w:val="22"/>
          <w:lang w:val="en-US" w:eastAsia="zh-CN"/>
        </w:rPr>
        <w:t>吉木萨尔县二工镇大泉湖村2024年以工代赈基础设施建设项目</w:t>
      </w:r>
    </w:p>
    <w:p w14:paraId="46AF5042">
      <w:pPr>
        <w:pageBreakBefore w:val="0"/>
        <w:kinsoku/>
        <w:wordWrap/>
        <w:overflowPunct/>
        <w:topLinePunct w:val="0"/>
        <w:autoSpaceDE/>
        <w:autoSpaceDN/>
        <w:bidi w:val="0"/>
        <w:adjustRightInd w:val="0"/>
        <w:snapToGrid w:val="0"/>
        <w:spacing w:before="157" w:beforeLines="50" w:after="157" w:afterLines="50" w:line="240" w:lineRule="auto"/>
        <w:ind w:firstLine="0" w:firstLineChars="0"/>
        <w:jc w:val="center"/>
        <w:rPr>
          <w:rFonts w:eastAsia="黑体"/>
          <w:color w:val="auto"/>
          <w:sz w:val="44"/>
          <w:szCs w:val="44"/>
        </w:rPr>
      </w:pPr>
      <w:r>
        <w:rPr>
          <w:rFonts w:eastAsia="黑体"/>
          <w:color w:val="auto"/>
          <w:spacing w:val="23"/>
          <w:kern w:val="0"/>
          <w:sz w:val="44"/>
          <w:szCs w:val="44"/>
          <w:fitText w:val="2872" w:id="1924366299"/>
        </w:rPr>
        <w:t>绩效评价报</w:t>
      </w:r>
      <w:r>
        <w:rPr>
          <w:rFonts w:eastAsia="黑体"/>
          <w:color w:val="auto"/>
          <w:spacing w:val="1"/>
          <w:kern w:val="0"/>
          <w:sz w:val="44"/>
          <w:szCs w:val="44"/>
          <w:fitText w:val="2872" w:id="1924366299"/>
        </w:rPr>
        <w:t>告</w:t>
      </w:r>
    </w:p>
    <w:p w14:paraId="4665743B">
      <w:pPr>
        <w:pageBreakBefore w:val="0"/>
        <w:kinsoku/>
        <w:wordWrap/>
        <w:overflowPunct/>
        <w:topLinePunct w:val="0"/>
        <w:autoSpaceDE/>
        <w:autoSpaceDN/>
        <w:bidi w:val="0"/>
        <w:adjustRightInd/>
        <w:snapToGrid w:val="0"/>
        <w:spacing w:before="0" w:after="0" w:line="360" w:lineRule="auto"/>
        <w:ind w:firstLine="0" w:firstLineChars="0"/>
        <w:jc w:val="center"/>
        <w:rPr>
          <w:color w:val="auto"/>
        </w:rPr>
      </w:pPr>
      <w:r>
        <w:rPr>
          <w:rFonts w:eastAsia="黑体"/>
          <w:color w:val="auto"/>
        </w:rPr>
        <w:t>驰天会咨字[20</w:t>
      </w:r>
      <w:r>
        <w:rPr>
          <w:rFonts w:hint="default" w:eastAsia="黑体"/>
          <w:color w:val="auto"/>
          <w:lang w:val="en-US" w:eastAsia="zh-CN"/>
        </w:rPr>
        <w:t>25</w:t>
      </w:r>
      <w:r>
        <w:rPr>
          <w:rFonts w:eastAsia="黑体"/>
          <w:color w:val="auto"/>
        </w:rPr>
        <w:t>]1-</w:t>
      </w:r>
      <w:r>
        <w:rPr>
          <w:rFonts w:hint="default" w:eastAsia="黑体"/>
          <w:color w:val="auto"/>
          <w:lang w:val="en-US" w:eastAsia="zh-CN"/>
        </w:rPr>
        <w:t>0200</w:t>
      </w:r>
      <w:r>
        <w:rPr>
          <w:rFonts w:eastAsia="黑体"/>
          <w:color w:val="auto"/>
        </w:rPr>
        <w:t>号</w:t>
      </w:r>
    </w:p>
    <w:p w14:paraId="7B01BBEE">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p>
    <w:p w14:paraId="7DEF80D4">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p>
    <w:p w14:paraId="6CDDF738">
      <w:pPr>
        <w:pageBreakBefore w:val="0"/>
        <w:kinsoku/>
        <w:wordWrap/>
        <w:overflowPunct/>
        <w:topLinePunct w:val="0"/>
        <w:autoSpaceDE/>
        <w:autoSpaceDN/>
        <w:bidi w:val="0"/>
        <w:adjustRightInd/>
        <w:snapToGrid w:val="0"/>
        <w:spacing w:before="0" w:after="0" w:line="360" w:lineRule="auto"/>
        <w:ind w:firstLine="0" w:firstLineChars="0"/>
        <w:jc w:val="both"/>
        <w:rPr>
          <w:b/>
          <w:color w:val="auto"/>
          <w:sz w:val="32"/>
          <w:szCs w:val="22"/>
        </w:rPr>
      </w:pPr>
    </w:p>
    <w:p w14:paraId="6F246074">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p>
    <w:p w14:paraId="0A28AE8B">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p>
    <w:p w14:paraId="34E93FB9">
      <w:pPr>
        <w:pageBreakBefore w:val="0"/>
        <w:kinsoku/>
        <w:wordWrap/>
        <w:overflowPunct/>
        <w:topLinePunct w:val="0"/>
        <w:autoSpaceDE/>
        <w:autoSpaceDN/>
        <w:bidi w:val="0"/>
        <w:adjustRightInd/>
        <w:snapToGrid w:val="0"/>
        <w:spacing w:before="0" w:after="0" w:line="360" w:lineRule="auto"/>
        <w:ind w:firstLine="0" w:firstLineChars="0"/>
        <w:rPr>
          <w:b/>
          <w:color w:val="auto"/>
          <w:sz w:val="32"/>
          <w:szCs w:val="22"/>
        </w:rPr>
      </w:pPr>
    </w:p>
    <w:p w14:paraId="73060623">
      <w:pPr>
        <w:pStyle w:val="4"/>
        <w:pageBreakBefore w:val="0"/>
        <w:kinsoku/>
        <w:wordWrap/>
        <w:overflowPunct/>
        <w:topLinePunct w:val="0"/>
        <w:autoSpaceDE/>
        <w:autoSpaceDN/>
        <w:bidi w:val="0"/>
        <w:snapToGrid w:val="0"/>
        <w:spacing w:before="0" w:after="0" w:line="360" w:lineRule="auto"/>
        <w:ind w:firstLine="643"/>
        <w:rPr>
          <w:b/>
          <w:color w:val="auto"/>
          <w:sz w:val="32"/>
          <w:szCs w:val="22"/>
        </w:rPr>
      </w:pPr>
    </w:p>
    <w:p w14:paraId="7227AFBE">
      <w:pPr>
        <w:pStyle w:val="16"/>
        <w:pageBreakBefore w:val="0"/>
        <w:kinsoku/>
        <w:wordWrap/>
        <w:overflowPunct/>
        <w:topLinePunct w:val="0"/>
        <w:autoSpaceDE/>
        <w:autoSpaceDN/>
        <w:bidi w:val="0"/>
        <w:snapToGrid w:val="0"/>
        <w:spacing w:before="0" w:after="0" w:line="360" w:lineRule="auto"/>
        <w:ind w:firstLine="420"/>
        <w:rPr>
          <w:color w:val="auto"/>
        </w:rPr>
      </w:pPr>
    </w:p>
    <w:p w14:paraId="51DB4AA7">
      <w:pPr>
        <w:pStyle w:val="16"/>
        <w:pageBreakBefore w:val="0"/>
        <w:kinsoku/>
        <w:wordWrap/>
        <w:overflowPunct/>
        <w:topLinePunct w:val="0"/>
        <w:autoSpaceDE/>
        <w:autoSpaceDN/>
        <w:bidi w:val="0"/>
        <w:snapToGrid w:val="0"/>
        <w:spacing w:before="0" w:after="0" w:line="360" w:lineRule="auto"/>
        <w:ind w:firstLine="420"/>
        <w:rPr>
          <w:color w:val="auto"/>
        </w:rPr>
      </w:pPr>
    </w:p>
    <w:p w14:paraId="6E0705D4">
      <w:pPr>
        <w:pStyle w:val="16"/>
        <w:pageBreakBefore w:val="0"/>
        <w:kinsoku/>
        <w:wordWrap/>
        <w:overflowPunct/>
        <w:topLinePunct w:val="0"/>
        <w:autoSpaceDE/>
        <w:autoSpaceDN/>
        <w:bidi w:val="0"/>
        <w:snapToGrid w:val="0"/>
        <w:spacing w:before="0" w:after="0" w:line="360" w:lineRule="auto"/>
        <w:ind w:firstLine="420"/>
        <w:rPr>
          <w:color w:val="auto"/>
        </w:rPr>
      </w:pPr>
    </w:p>
    <w:p w14:paraId="4499FD49">
      <w:pPr>
        <w:pStyle w:val="16"/>
        <w:pageBreakBefore w:val="0"/>
        <w:kinsoku/>
        <w:wordWrap/>
        <w:overflowPunct/>
        <w:topLinePunct w:val="0"/>
        <w:autoSpaceDE/>
        <w:autoSpaceDN/>
        <w:bidi w:val="0"/>
        <w:snapToGrid w:val="0"/>
        <w:spacing w:before="0" w:after="0" w:line="360" w:lineRule="auto"/>
        <w:ind w:firstLine="420"/>
        <w:rPr>
          <w:color w:val="auto"/>
        </w:rPr>
      </w:pPr>
    </w:p>
    <w:p w14:paraId="678F14A7">
      <w:pPr>
        <w:pStyle w:val="16"/>
        <w:pageBreakBefore w:val="0"/>
        <w:kinsoku/>
        <w:wordWrap/>
        <w:overflowPunct/>
        <w:topLinePunct w:val="0"/>
        <w:autoSpaceDE/>
        <w:autoSpaceDN/>
        <w:bidi w:val="0"/>
        <w:snapToGrid w:val="0"/>
        <w:spacing w:before="0" w:after="0" w:line="360" w:lineRule="auto"/>
        <w:ind w:firstLine="420"/>
        <w:rPr>
          <w:color w:val="auto"/>
        </w:rPr>
      </w:pPr>
    </w:p>
    <w:p w14:paraId="215C2F70">
      <w:pPr>
        <w:pStyle w:val="16"/>
        <w:pageBreakBefore w:val="0"/>
        <w:kinsoku/>
        <w:wordWrap/>
        <w:overflowPunct/>
        <w:topLinePunct w:val="0"/>
        <w:autoSpaceDE/>
        <w:autoSpaceDN/>
        <w:bidi w:val="0"/>
        <w:snapToGrid w:val="0"/>
        <w:spacing w:before="0" w:after="0" w:line="360" w:lineRule="auto"/>
        <w:ind w:firstLine="420"/>
        <w:rPr>
          <w:color w:val="auto"/>
        </w:rPr>
      </w:pPr>
    </w:p>
    <w:p w14:paraId="1EC68202">
      <w:pPr>
        <w:pageBreakBefore w:val="0"/>
        <w:kinsoku/>
        <w:wordWrap/>
        <w:overflowPunct/>
        <w:topLinePunct w:val="0"/>
        <w:autoSpaceDE/>
        <w:autoSpaceDN/>
        <w:bidi w:val="0"/>
        <w:adjustRightInd/>
        <w:snapToGrid w:val="0"/>
        <w:spacing w:before="0" w:after="0" w:line="360" w:lineRule="auto"/>
        <w:ind w:firstLine="0" w:firstLineChars="0"/>
        <w:jc w:val="center"/>
        <w:rPr>
          <w:b/>
          <w:color w:val="auto"/>
          <w:sz w:val="32"/>
          <w:szCs w:val="22"/>
        </w:rPr>
      </w:pPr>
      <w:r>
        <w:rPr>
          <w:b/>
          <w:color w:val="auto"/>
          <w:sz w:val="32"/>
          <w:szCs w:val="22"/>
        </w:rPr>
        <w:t>新疆驰远天合有限责任会计师事务所</w:t>
      </w:r>
    </w:p>
    <w:p w14:paraId="517D1E4B">
      <w:pPr>
        <w:pageBreakBefore w:val="0"/>
        <w:kinsoku/>
        <w:wordWrap/>
        <w:overflowPunct/>
        <w:topLinePunct w:val="0"/>
        <w:autoSpaceDE/>
        <w:autoSpaceDN/>
        <w:bidi w:val="0"/>
        <w:adjustRightInd/>
        <w:snapToGrid w:val="0"/>
        <w:spacing w:before="0" w:after="0" w:line="360" w:lineRule="auto"/>
        <w:ind w:firstLine="0" w:firstLineChars="0"/>
        <w:jc w:val="center"/>
        <w:rPr>
          <w:rFonts w:eastAsia="等线"/>
          <w:b/>
          <w:color w:val="auto"/>
          <w:sz w:val="28"/>
          <w:szCs w:val="28"/>
        </w:rPr>
      </w:pPr>
      <w:r>
        <w:rPr>
          <w:rFonts w:eastAsia="等线"/>
          <w:b/>
          <w:color w:val="auto"/>
          <w:sz w:val="28"/>
          <w:szCs w:val="28"/>
        </w:rPr>
        <w:t>XIN JIANG CHI YUAN TIAN HE</w:t>
      </w:r>
    </w:p>
    <w:p w14:paraId="633CE8E1">
      <w:pPr>
        <w:pageBreakBefore w:val="0"/>
        <w:kinsoku/>
        <w:wordWrap/>
        <w:overflowPunct/>
        <w:topLinePunct w:val="0"/>
        <w:autoSpaceDE/>
        <w:autoSpaceDN/>
        <w:bidi w:val="0"/>
        <w:adjustRightInd/>
        <w:snapToGrid w:val="0"/>
        <w:spacing w:before="0" w:after="0" w:line="360" w:lineRule="auto"/>
        <w:ind w:firstLine="0" w:firstLineChars="0"/>
        <w:jc w:val="center"/>
        <w:rPr>
          <w:rFonts w:eastAsia="等线"/>
          <w:b/>
          <w:color w:val="auto"/>
        </w:rPr>
      </w:pPr>
      <w:r>
        <w:rPr>
          <w:rFonts w:eastAsia="等线"/>
          <w:b/>
          <w:color w:val="auto"/>
        </w:rPr>
        <w:t>Certified Public Accountants Co.,Ltd.</w:t>
      </w:r>
    </w:p>
    <w:p w14:paraId="11CAA934">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rPr>
      </w:pPr>
    </w:p>
    <w:p w14:paraId="7B1C134F">
      <w:pPr>
        <w:pageBreakBefore w:val="0"/>
        <w:kinsoku/>
        <w:wordWrap/>
        <w:overflowPunct/>
        <w:topLinePunct w:val="0"/>
        <w:autoSpaceDE/>
        <w:autoSpaceDN/>
        <w:bidi w:val="0"/>
        <w:snapToGrid w:val="0"/>
        <w:spacing w:before="0" w:after="0" w:line="360" w:lineRule="auto"/>
        <w:ind w:firstLine="0" w:firstLineChars="0"/>
        <w:rPr>
          <w:rFonts w:eastAsia="黑体"/>
          <w:bCs/>
          <w:color w:val="auto"/>
          <w:sz w:val="24"/>
          <w:szCs w:val="24"/>
        </w:rPr>
      </w:pPr>
    </w:p>
    <w:p w14:paraId="5AF47B3D">
      <w:pPr>
        <w:pageBreakBefore w:val="0"/>
        <w:kinsoku/>
        <w:wordWrap/>
        <w:overflowPunct/>
        <w:topLinePunct w:val="0"/>
        <w:autoSpaceDE/>
        <w:autoSpaceDN/>
        <w:bidi w:val="0"/>
        <w:snapToGrid/>
        <w:spacing w:before="0" w:after="0" w:line="240" w:lineRule="auto"/>
        <w:ind w:firstLine="0" w:firstLineChars="0"/>
        <w:rPr>
          <w:rFonts w:eastAsia="黑体"/>
          <w:bCs/>
          <w:color w:val="auto"/>
          <w:sz w:val="24"/>
          <w:szCs w:val="24"/>
        </w:rPr>
      </w:pPr>
      <w:r>
        <w:rPr>
          <w:rFonts w:eastAsia="黑体"/>
          <w:bCs/>
          <w:color w:val="auto"/>
          <w:sz w:val="24"/>
          <w:szCs w:val="24"/>
        </w:rPr>
        <w:br w:type="page"/>
      </w:r>
    </w:p>
    <w:p w14:paraId="546006CB">
      <w:pPr>
        <w:pageBreakBefore w:val="0"/>
        <w:kinsoku/>
        <w:wordWrap/>
        <w:overflowPunct/>
        <w:topLinePunct w:val="0"/>
        <w:autoSpaceDE/>
        <w:autoSpaceDN/>
        <w:bidi w:val="0"/>
        <w:snapToGrid w:val="0"/>
        <w:spacing w:before="0" w:after="0" w:line="360" w:lineRule="auto"/>
        <w:ind w:firstLine="0" w:firstLineChars="0"/>
        <w:rPr>
          <w:rFonts w:hint="default" w:eastAsia="黑体"/>
          <w:bCs/>
          <w:color w:val="auto"/>
          <w:sz w:val="24"/>
          <w:szCs w:val="24"/>
          <w:lang w:val="en-US" w:eastAsia="zh-CN"/>
        </w:rPr>
      </w:pPr>
      <w:r>
        <w:rPr>
          <w:rFonts w:eastAsia="黑体"/>
          <w:bCs/>
          <w:color w:val="auto"/>
          <w:sz w:val="24"/>
          <w:szCs w:val="24"/>
        </w:rPr>
        <w:t>项目名称：</w:t>
      </w:r>
      <w:r>
        <w:rPr>
          <w:rFonts w:hint="default" w:eastAsia="黑体"/>
          <w:bCs/>
          <w:color w:val="auto"/>
          <w:sz w:val="24"/>
          <w:szCs w:val="24"/>
          <w:lang w:val="en-US" w:eastAsia="zh-CN"/>
        </w:rPr>
        <w:t>吉木萨尔县二工镇大泉湖村2024年以工代赈基础设施建设项目</w:t>
      </w:r>
    </w:p>
    <w:p w14:paraId="49B6CAEA">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委托单位：</w:t>
      </w:r>
      <w:r>
        <w:rPr>
          <w:rFonts w:hint="default" w:eastAsia="黑体"/>
          <w:bCs/>
          <w:color w:val="auto"/>
          <w:sz w:val="24"/>
          <w:szCs w:val="24"/>
          <w:lang w:val="en-US" w:eastAsia="zh-CN"/>
        </w:rPr>
        <w:t>吉木萨尔县财政局</w:t>
      </w:r>
    </w:p>
    <w:p w14:paraId="7282ADF0">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评价机构：新疆驰远天合有限责任会计师事务所</w:t>
      </w:r>
    </w:p>
    <w:p w14:paraId="3C92F776">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机构负责人：孙卫红</w:t>
      </w:r>
    </w:p>
    <w:p w14:paraId="24D3577E">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联系方式：0991-2835917、0991-2831583</w:t>
      </w:r>
    </w:p>
    <w:p w14:paraId="44F4D698">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通讯地址：新疆乌鲁木齐市天山区新华南路9号汇源大厦13楼</w:t>
      </w:r>
    </w:p>
    <w:p w14:paraId="1E13FA55">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邮政编码：830004</w:t>
      </w:r>
    </w:p>
    <w:p w14:paraId="0E6CCF16">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p>
    <w:p w14:paraId="558489F9">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p>
    <w:p w14:paraId="421A3CDC">
      <w:pPr>
        <w:pageBreakBefore w:val="0"/>
        <w:widowControl/>
        <w:kinsoku/>
        <w:wordWrap/>
        <w:overflowPunct/>
        <w:topLinePunct w:val="0"/>
        <w:autoSpaceDE/>
        <w:autoSpaceDN/>
        <w:bidi w:val="0"/>
        <w:snapToGrid w:val="0"/>
        <w:spacing w:before="0" w:after="0" w:line="360" w:lineRule="auto"/>
        <w:ind w:firstLine="0" w:firstLineChars="0"/>
        <w:rPr>
          <w:rFonts w:eastAsia="黑体"/>
          <w:bCs/>
          <w:color w:val="auto"/>
          <w:sz w:val="24"/>
          <w:szCs w:val="24"/>
        </w:rPr>
      </w:pPr>
      <w:r>
        <w:rPr>
          <w:rFonts w:eastAsia="黑体"/>
          <w:bCs/>
          <w:color w:val="auto"/>
          <w:sz w:val="24"/>
          <w:szCs w:val="24"/>
        </w:rPr>
        <w:t>项目评价小组成员：</w:t>
      </w:r>
    </w:p>
    <w:p w14:paraId="32DDAD97">
      <w:pPr>
        <w:pageBreakBefore w:val="0"/>
        <w:widowControl/>
        <w:kinsoku/>
        <w:wordWrap/>
        <w:overflowPunct/>
        <w:topLinePunct w:val="0"/>
        <w:autoSpaceDE/>
        <w:autoSpaceDN/>
        <w:bidi w:val="0"/>
        <w:snapToGrid w:val="0"/>
        <w:spacing w:line="360" w:lineRule="auto"/>
        <w:ind w:firstLine="480"/>
        <w:rPr>
          <w:rFonts w:eastAsia="黑体"/>
          <w:bCs/>
          <w:color w:val="auto"/>
          <w:sz w:val="24"/>
          <w:szCs w:val="24"/>
        </w:rPr>
      </w:pPr>
      <w:r>
        <w:rPr>
          <w:rFonts w:hint="default" w:eastAsia="黑体"/>
          <w:bCs/>
          <w:color w:val="auto"/>
          <w:sz w:val="24"/>
          <w:szCs w:val="24"/>
        </w:rPr>
        <w:t>项目</w:t>
      </w:r>
      <w:r>
        <w:rPr>
          <w:rFonts w:eastAsia="黑体"/>
          <w:bCs/>
          <w:color w:val="auto"/>
          <w:sz w:val="24"/>
          <w:szCs w:val="24"/>
        </w:rPr>
        <w:t>主评人：</w:t>
      </w:r>
      <w:r>
        <w:rPr>
          <w:rFonts w:hint="default" w:eastAsia="黑体"/>
          <w:bCs/>
          <w:color w:val="auto"/>
          <w:sz w:val="24"/>
          <w:szCs w:val="24"/>
        </w:rPr>
        <w:t>冯延萍  注册会计师、注册评估师</w:t>
      </w:r>
    </w:p>
    <w:p w14:paraId="471ACDA8">
      <w:pPr>
        <w:pageBreakBefore w:val="0"/>
        <w:widowControl/>
        <w:kinsoku/>
        <w:wordWrap/>
        <w:overflowPunct/>
        <w:topLinePunct w:val="0"/>
        <w:autoSpaceDE/>
        <w:autoSpaceDN/>
        <w:bidi w:val="0"/>
        <w:snapToGrid w:val="0"/>
        <w:spacing w:line="360" w:lineRule="auto"/>
        <w:ind w:firstLine="480"/>
        <w:rPr>
          <w:rFonts w:hint="default" w:eastAsia="黑体"/>
          <w:bCs/>
          <w:color w:val="auto"/>
          <w:sz w:val="24"/>
          <w:szCs w:val="24"/>
          <w:lang w:val="en-US" w:eastAsia="zh-CN"/>
        </w:rPr>
      </w:pPr>
      <w:r>
        <w:rPr>
          <w:rFonts w:hint="default" w:eastAsia="黑体"/>
          <w:bCs/>
          <w:color w:val="auto"/>
          <w:sz w:val="24"/>
          <w:szCs w:val="24"/>
        </w:rPr>
        <w:t>报告</w:t>
      </w:r>
      <w:r>
        <w:rPr>
          <w:rFonts w:eastAsia="黑体"/>
          <w:bCs/>
          <w:color w:val="auto"/>
          <w:sz w:val="24"/>
          <w:szCs w:val="24"/>
        </w:rPr>
        <w:t>复核人：</w:t>
      </w:r>
      <w:r>
        <w:rPr>
          <w:rFonts w:hint="default" w:eastAsia="黑体"/>
          <w:bCs/>
          <w:color w:val="auto"/>
          <w:sz w:val="24"/>
          <w:szCs w:val="24"/>
        </w:rPr>
        <w:t xml:space="preserve">腊晓林  </w:t>
      </w:r>
      <w:r>
        <w:rPr>
          <w:rFonts w:hint="default" w:eastAsia="黑体"/>
          <w:bCs/>
          <w:color w:val="auto"/>
          <w:sz w:val="24"/>
          <w:szCs w:val="24"/>
          <w:lang w:val="en-US" w:eastAsia="zh-CN"/>
        </w:rPr>
        <w:t>咨询工程师</w:t>
      </w:r>
    </w:p>
    <w:p w14:paraId="23491384">
      <w:pPr>
        <w:pageBreakBefore w:val="0"/>
        <w:widowControl/>
        <w:kinsoku/>
        <w:wordWrap/>
        <w:overflowPunct/>
        <w:topLinePunct w:val="0"/>
        <w:autoSpaceDE/>
        <w:autoSpaceDN/>
        <w:bidi w:val="0"/>
        <w:snapToGrid w:val="0"/>
        <w:spacing w:line="360" w:lineRule="auto"/>
        <w:ind w:firstLine="480"/>
        <w:rPr>
          <w:rFonts w:eastAsia="黑体"/>
          <w:bCs/>
          <w:color w:val="auto"/>
          <w:sz w:val="24"/>
          <w:szCs w:val="24"/>
        </w:rPr>
      </w:pPr>
      <w:r>
        <w:rPr>
          <w:rFonts w:hint="default" w:eastAsia="黑体"/>
          <w:bCs/>
          <w:color w:val="auto"/>
          <w:sz w:val="24"/>
          <w:szCs w:val="24"/>
        </w:rPr>
        <w:t>项目负责人</w:t>
      </w:r>
      <w:r>
        <w:rPr>
          <w:rFonts w:eastAsia="黑体"/>
          <w:bCs/>
          <w:color w:val="auto"/>
          <w:sz w:val="24"/>
          <w:szCs w:val="24"/>
        </w:rPr>
        <w:t>：</w:t>
      </w:r>
      <w:r>
        <w:rPr>
          <w:rFonts w:hint="default" w:eastAsia="黑体"/>
          <w:bCs/>
          <w:color w:val="auto"/>
          <w:sz w:val="24"/>
          <w:szCs w:val="24"/>
        </w:rPr>
        <w:t>郝</w:t>
      </w:r>
      <w:r>
        <w:rPr>
          <w:rFonts w:hint="default" w:eastAsia="黑体"/>
          <w:bCs/>
          <w:color w:val="auto"/>
          <w:sz w:val="24"/>
          <w:szCs w:val="24"/>
          <w:lang w:val="en-US" w:eastAsia="zh-CN"/>
        </w:rPr>
        <w:t xml:space="preserve">  </w:t>
      </w:r>
      <w:r>
        <w:rPr>
          <w:rFonts w:hint="default" w:eastAsia="黑体"/>
          <w:bCs/>
          <w:color w:val="auto"/>
          <w:sz w:val="24"/>
          <w:szCs w:val="24"/>
        </w:rPr>
        <w:t>欢</w:t>
      </w:r>
    </w:p>
    <w:p w14:paraId="0F355C6D">
      <w:pPr>
        <w:pageBreakBefore w:val="0"/>
        <w:widowControl/>
        <w:kinsoku/>
        <w:wordWrap/>
        <w:overflowPunct/>
        <w:topLinePunct w:val="0"/>
        <w:autoSpaceDE/>
        <w:autoSpaceDN/>
        <w:bidi w:val="0"/>
        <w:snapToGrid w:val="0"/>
        <w:spacing w:line="360" w:lineRule="auto"/>
        <w:ind w:firstLine="480"/>
        <w:rPr>
          <w:rFonts w:hint="default" w:eastAsia="黑体"/>
          <w:bCs/>
          <w:color w:val="auto"/>
          <w:sz w:val="24"/>
          <w:szCs w:val="24"/>
          <w:lang w:val="en-US" w:eastAsia="zh-CN"/>
        </w:rPr>
      </w:pPr>
      <w:r>
        <w:rPr>
          <w:rFonts w:hint="default" w:eastAsia="黑体"/>
          <w:bCs/>
          <w:color w:val="auto"/>
          <w:sz w:val="24"/>
          <w:szCs w:val="24"/>
        </w:rPr>
        <w:t>项目组成员</w:t>
      </w:r>
      <w:r>
        <w:rPr>
          <w:rFonts w:eastAsia="黑体"/>
          <w:bCs/>
          <w:color w:val="auto"/>
          <w:sz w:val="24"/>
          <w:szCs w:val="24"/>
        </w:rPr>
        <w:t>：</w:t>
      </w:r>
      <w:r>
        <w:rPr>
          <w:rFonts w:hint="default" w:eastAsia="黑体"/>
          <w:bCs/>
          <w:color w:val="auto"/>
          <w:sz w:val="24"/>
          <w:szCs w:val="24"/>
          <w:lang w:val="en-US" w:eastAsia="zh-CN"/>
        </w:rPr>
        <w:t>石俊宇</w:t>
      </w:r>
    </w:p>
    <w:p w14:paraId="1CF2B3FA">
      <w:pPr>
        <w:keepNext/>
        <w:keepLines/>
        <w:pageBreakBefore w:val="0"/>
        <w:kinsoku/>
        <w:wordWrap/>
        <w:overflowPunct/>
        <w:topLinePunct w:val="0"/>
        <w:autoSpaceDE/>
        <w:autoSpaceDN/>
        <w:bidi w:val="0"/>
        <w:adjustRightInd/>
        <w:snapToGrid w:val="0"/>
        <w:spacing w:before="0" w:after="0" w:line="360" w:lineRule="auto"/>
        <w:ind w:firstLine="0" w:firstLineChars="0"/>
        <w:rPr>
          <w:rFonts w:ascii="Times New Roman" w:hAnsi="Times New Roman" w:eastAsia="黑体" w:cs="Times New Roman"/>
          <w:bCs/>
          <w:color w:val="auto"/>
          <w:sz w:val="24"/>
          <w:szCs w:val="24"/>
        </w:rPr>
        <w:sectPr>
          <w:headerReference r:id="rId7" w:type="first"/>
          <w:footerReference r:id="rId10" w:type="first"/>
          <w:headerReference r:id="rId5" w:type="default"/>
          <w:footerReference r:id="rId8" w:type="default"/>
          <w:headerReference r:id="rId6" w:type="even"/>
          <w:footerReference r:id="rId9" w:type="even"/>
          <w:pgSz w:w="11906" w:h="16838"/>
          <w:pgMar w:top="1440" w:right="1797" w:bottom="1440" w:left="1797" w:header="851" w:footer="992" w:gutter="0"/>
          <w:pgNumType w:fmt="upperRoman" w:start="1"/>
          <w:cols w:space="720" w:num="1"/>
          <w:docGrid w:type="lines" w:linePitch="312" w:charSpace="0"/>
        </w:sectPr>
      </w:pPr>
    </w:p>
    <w:p w14:paraId="4C4BBAD0">
      <w:pPr>
        <w:pStyle w:val="2"/>
        <w:pageBreakBefore w:val="0"/>
        <w:kinsoku/>
        <w:wordWrap/>
        <w:overflowPunct/>
        <w:topLinePunct w:val="0"/>
        <w:autoSpaceDE/>
        <w:autoSpaceDN/>
        <w:bidi w:val="0"/>
        <w:snapToGrid w:val="0"/>
        <w:spacing w:before="0" w:after="0" w:line="360" w:lineRule="auto"/>
        <w:ind w:firstLine="0" w:firstLineChars="0"/>
        <w:jc w:val="center"/>
        <w:rPr>
          <w:color w:val="auto"/>
        </w:rPr>
      </w:pPr>
      <w:bookmarkStart w:id="0" w:name="_Toc26712"/>
      <w:bookmarkStart w:id="1" w:name="_Toc27606"/>
      <w:bookmarkStart w:id="2" w:name="_Toc16666"/>
      <w:bookmarkStart w:id="3" w:name="_Toc10292"/>
      <w:bookmarkStart w:id="4" w:name="_Toc17859"/>
      <w:bookmarkStart w:id="5" w:name="_Toc5"/>
      <w:bookmarkStart w:id="6" w:name="_Toc9680"/>
      <w:bookmarkStart w:id="7" w:name="_Toc13486"/>
      <w:r>
        <w:rPr>
          <w:color w:val="auto"/>
          <w:szCs w:val="32"/>
        </w:rPr>
        <w:t>报告摘要</w:t>
      </w:r>
      <w:bookmarkEnd w:id="0"/>
      <w:bookmarkEnd w:id="1"/>
      <w:bookmarkEnd w:id="2"/>
      <w:bookmarkEnd w:id="3"/>
      <w:bookmarkEnd w:id="4"/>
      <w:bookmarkEnd w:id="5"/>
      <w:bookmarkEnd w:id="6"/>
      <w:bookmarkEnd w:id="7"/>
    </w:p>
    <w:p w14:paraId="3FA28312">
      <w:pPr>
        <w:pageBreakBefore w:val="0"/>
        <w:kinsoku/>
        <w:wordWrap/>
        <w:overflowPunct/>
        <w:topLinePunct w:val="0"/>
        <w:autoSpaceDE/>
        <w:autoSpaceDN/>
        <w:bidi w:val="0"/>
        <w:snapToGrid w:val="0"/>
        <w:spacing w:before="0" w:after="0" w:line="360" w:lineRule="auto"/>
        <w:ind w:firstLine="420"/>
        <w:rPr>
          <w:color w:val="auto"/>
        </w:rPr>
      </w:pPr>
      <w:r>
        <w:rPr>
          <w:color w:val="auto"/>
        </w:rPr>
        <w:t>受</w:t>
      </w:r>
      <w:r>
        <w:rPr>
          <w:rFonts w:hint="default"/>
          <w:color w:val="auto"/>
          <w:lang w:val="en-US" w:eastAsia="zh-CN"/>
        </w:rPr>
        <w:t>吉木萨尔县财政局</w:t>
      </w:r>
      <w:r>
        <w:rPr>
          <w:color w:val="auto"/>
        </w:rPr>
        <w:t>委托，新疆驰远天合有限责任会计师事务所以第三方社会评价机构的身份，对</w:t>
      </w:r>
      <w:r>
        <w:rPr>
          <w:rFonts w:hint="default"/>
          <w:color w:val="auto"/>
          <w:lang w:val="en-US" w:eastAsia="zh-CN"/>
        </w:rPr>
        <w:t>2024年度吉木萨尔县二工镇人民政府</w:t>
      </w:r>
      <w:r>
        <w:rPr>
          <w:color w:val="auto"/>
        </w:rPr>
        <w:t>实施的</w:t>
      </w:r>
      <w:r>
        <w:rPr>
          <w:rFonts w:hint="default"/>
          <w:color w:val="auto"/>
          <w:lang w:val="en-US" w:eastAsia="zh-CN"/>
        </w:rPr>
        <w:t>吉木萨尔县二工镇大泉湖村2024年以工代赈基础设施建设项目</w:t>
      </w:r>
      <w:r>
        <w:rPr>
          <w:color w:val="auto"/>
        </w:rPr>
        <w:t>开展了绩效评价工作并形成绩效评价报告，评价情况如下：</w:t>
      </w:r>
    </w:p>
    <w:p w14:paraId="770AD5BE">
      <w:pPr>
        <w:pageBreakBefore w:val="0"/>
        <w:kinsoku/>
        <w:wordWrap/>
        <w:overflowPunct/>
        <w:topLinePunct w:val="0"/>
        <w:autoSpaceDE/>
        <w:autoSpaceDN/>
        <w:bidi w:val="0"/>
        <w:snapToGrid w:val="0"/>
        <w:spacing w:before="0" w:after="0" w:line="360" w:lineRule="auto"/>
        <w:ind w:firstLine="482"/>
        <w:rPr>
          <w:b/>
          <w:bCs/>
          <w:color w:val="auto"/>
          <w:sz w:val="24"/>
          <w:szCs w:val="28"/>
        </w:rPr>
      </w:pPr>
      <w:r>
        <w:rPr>
          <w:b/>
          <w:bCs/>
          <w:color w:val="auto"/>
          <w:sz w:val="24"/>
          <w:szCs w:val="28"/>
        </w:rPr>
        <w:t>一、基本情况</w:t>
      </w:r>
    </w:p>
    <w:p w14:paraId="23895353">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（一）项目背景</w:t>
      </w:r>
    </w:p>
    <w:p w14:paraId="47943064">
      <w:pPr>
        <w:bidi w:val="0"/>
        <w:spacing w:before="0" w:after="0" w:line="360" w:lineRule="auto"/>
        <w:rPr>
          <w:b/>
          <w:bCs/>
          <w:color w:val="auto"/>
        </w:rPr>
      </w:pPr>
      <w:r>
        <w:rPr>
          <w:rFonts w:hint="default"/>
          <w:color w:val="auto"/>
        </w:rPr>
        <w:t>《</w:t>
      </w:r>
      <w:r>
        <w:rPr>
          <w:rFonts w:hint="default"/>
          <w:color w:val="auto"/>
          <w:lang w:eastAsia="zh-CN"/>
        </w:rPr>
        <w:t>中共中央、国务院</w:t>
      </w:r>
      <w:r>
        <w:rPr>
          <w:rFonts w:hint="default"/>
          <w:color w:val="auto"/>
        </w:rPr>
        <w:t>关于全面推进乡村振兴加快农业农村现代化的意见》提出，要加强乡村公共基础设施建设。中央农村工作会议强调，把解决好农业、农村问题作为工作的重中之重。发展和改善农村道路交通，是解决好“三农”问题的重要前提和基础条件</w:t>
      </w:r>
      <w:r>
        <w:rPr>
          <w:rFonts w:hint="default"/>
          <w:color w:val="auto"/>
          <w:lang w:eastAsia="zh-CN"/>
        </w:rPr>
        <w:t>，</w:t>
      </w:r>
      <w:r>
        <w:rPr>
          <w:rFonts w:hint="default"/>
          <w:color w:val="auto"/>
        </w:rPr>
        <w:t>对开拓农村市场、加强城乡交流、调整农业生产布局和结构、推动农村经济发展、保障脱贫地区不返贫及增加农民收入有着十分积极的作用。通过实施吉木萨尔县二工镇大泉湖村2024年以工代赈基础设施建设项目，能够提升乡村“造血”功能，激发农民自身的内在动力和蓬勃活力。本工程的建设，可有效改善项目区村组道路设施，改善乡村基础设施环境，对保持农村社会和谐稳定，提升农民群众获得感、幸福感、安全感，确保农村同步全面建成小康社会，起着举足轻重的作用。以工代赈工程作为一项加强农村基础设施建设项目，无论从其在改善美丽乡村环境的角度，还是从促进地区经济发展，提高当地农民收入水平，稳定边疆、实现共同富裕的角度，都表现出充分的必要性和重要性。</w:t>
      </w:r>
    </w:p>
    <w:p w14:paraId="2DFD6E96">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（二）项目概况</w:t>
      </w:r>
    </w:p>
    <w:p w14:paraId="0B08BEEE">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项目名称：吉木萨尔县二工镇大泉湖村2024年以工代赈基础设施建设项目</w:t>
      </w:r>
      <w:r>
        <w:rPr>
          <w:rFonts w:hint="default" w:ascii="Times New Roman" w:hAnsi="Times New Roman" w:cs="Times New Roman"/>
          <w:color w:val="auto"/>
        </w:rPr>
        <w:t>（以下简称“该项目”或“项目”）</w:t>
      </w:r>
    </w:p>
    <w:p w14:paraId="46C54A2A">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项目实施单位：</w:t>
      </w:r>
      <w:r>
        <w:rPr>
          <w:rFonts w:hint="default" w:ascii="Times New Roman" w:hAnsi="Times New Roman" w:cs="Times New Roman"/>
          <w:color w:val="auto"/>
          <w:lang w:val="en-US" w:eastAsia="zh-CN"/>
        </w:rPr>
        <w:t>吉木萨尔县二工镇</w:t>
      </w:r>
      <w:r>
        <w:rPr>
          <w:rFonts w:hint="default" w:cs="Times New Roman"/>
          <w:color w:val="auto"/>
          <w:lang w:val="en-US" w:eastAsia="zh-CN"/>
        </w:rPr>
        <w:t>人民政府</w:t>
      </w:r>
    </w:p>
    <w:p w14:paraId="5924C9FB">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项目建设地点：吉木萨尔县二工镇</w:t>
      </w:r>
    </w:p>
    <w:p w14:paraId="4FCD47FF">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r>
        <w:rPr>
          <w:rFonts w:hint="default" w:ascii="Times New Roman" w:hAnsi="Times New Roman" w:cs="Times New Roman"/>
          <w:color w:val="auto"/>
        </w:rPr>
        <w:t>项目主要建设内容：新建农村道路</w:t>
      </w:r>
      <w:r>
        <w:rPr>
          <w:rFonts w:hint="default" w:cs="Times New Roman"/>
          <w:color w:val="auto"/>
          <w:lang w:val="en-US" w:eastAsia="zh-CN"/>
        </w:rPr>
        <w:t>8</w:t>
      </w:r>
      <w:r>
        <w:rPr>
          <w:rFonts w:hint="default" w:ascii="Times New Roman" w:hAnsi="Times New Roman" w:cs="Times New Roman"/>
          <w:color w:val="auto"/>
        </w:rPr>
        <w:t>公里及配套附属设施等</w:t>
      </w:r>
      <w:r>
        <w:rPr>
          <w:rFonts w:hint="default" w:ascii="Times New Roman" w:hAnsi="Times New Roman" w:cs="Times New Roman"/>
          <w:color w:val="auto"/>
          <w:lang w:val="en-US" w:eastAsia="zh-CN"/>
        </w:rPr>
        <w:t>。</w:t>
      </w:r>
    </w:p>
    <w:p w14:paraId="3244DB28">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项目投资概算情况：项目</w:t>
      </w:r>
      <w:r>
        <w:rPr>
          <w:rFonts w:hint="default" w:ascii="Times New Roman" w:hAnsi="Times New Roman" w:cs="Times New Roman"/>
          <w:color w:val="auto"/>
        </w:rPr>
        <w:t>总投资</w:t>
      </w:r>
      <w:r>
        <w:rPr>
          <w:rFonts w:hint="default" w:ascii="Times New Roman" w:hAnsi="Times New Roman" w:cs="Times New Roman"/>
          <w:color w:val="auto"/>
          <w:lang w:val="en-US" w:eastAsia="zh-CN"/>
        </w:rPr>
        <w:t>概算</w:t>
      </w:r>
      <w:r>
        <w:rPr>
          <w:rFonts w:hint="default" w:cs="Times New Roman"/>
          <w:color w:val="auto"/>
          <w:lang w:val="en-US" w:eastAsia="zh-CN"/>
        </w:rPr>
        <w:t>760.00</w:t>
      </w:r>
      <w:r>
        <w:rPr>
          <w:rFonts w:hint="default" w:ascii="Times New Roman" w:hAnsi="Times New Roman" w:cs="Times New Roman"/>
          <w:color w:val="auto"/>
        </w:rPr>
        <w:t>万元，其中：工程建设费</w:t>
      </w:r>
      <w:r>
        <w:rPr>
          <w:rFonts w:hint="default" w:cs="Times New Roman"/>
          <w:color w:val="auto"/>
          <w:lang w:val="en-US" w:eastAsia="zh-CN"/>
        </w:rPr>
        <w:t>647.93</w:t>
      </w:r>
      <w:r>
        <w:rPr>
          <w:rFonts w:hint="default" w:ascii="Times New Roman" w:hAnsi="Times New Roman" w:cs="Times New Roman"/>
          <w:color w:val="auto"/>
        </w:rPr>
        <w:t>万元，工程建设</w:t>
      </w:r>
      <w:r>
        <w:rPr>
          <w:rFonts w:hint="default" w:cs="Times New Roman"/>
          <w:color w:val="auto"/>
          <w:lang w:eastAsia="zh-CN"/>
        </w:rPr>
        <w:t>其他费</w:t>
      </w:r>
      <w:r>
        <w:rPr>
          <w:rFonts w:hint="default" w:cs="Times New Roman"/>
          <w:color w:val="auto"/>
          <w:lang w:val="en-US" w:eastAsia="zh-CN"/>
        </w:rPr>
        <w:t>72.90</w:t>
      </w:r>
      <w:r>
        <w:rPr>
          <w:rFonts w:hint="default" w:ascii="Times New Roman" w:hAnsi="Times New Roman" w:cs="Times New Roman"/>
          <w:color w:val="auto"/>
        </w:rPr>
        <w:t>万元，预备费</w:t>
      </w:r>
      <w:r>
        <w:rPr>
          <w:rFonts w:hint="default" w:cs="Times New Roman"/>
          <w:color w:val="auto"/>
          <w:lang w:val="en-US" w:eastAsia="zh-CN"/>
        </w:rPr>
        <w:t>39.17</w:t>
      </w:r>
      <w:r>
        <w:rPr>
          <w:rFonts w:hint="default" w:ascii="Times New Roman" w:hAnsi="Times New Roman" w:cs="Times New Roman"/>
          <w:color w:val="auto"/>
        </w:rPr>
        <w:t>万元。</w:t>
      </w:r>
    </w:p>
    <w:p w14:paraId="72AEAFDC">
      <w:pPr>
        <w:pageBreakBefore w:val="0"/>
        <w:widowControl w:val="0"/>
        <w:kinsoku/>
        <w:wordWrap/>
        <w:overflowPunct/>
        <w:topLinePunct w:val="0"/>
        <w:autoSpaceDE/>
        <w:autoSpaceDN/>
        <w:bidi w:val="0"/>
        <w:adjustRightInd w:val="0"/>
        <w:snapToGrid w:val="0"/>
        <w:spacing w:line="360" w:lineRule="auto"/>
        <w:textAlignment w:val="auto"/>
        <w:rPr>
          <w:color w:val="auto"/>
        </w:rPr>
      </w:pPr>
      <w:r>
        <w:rPr>
          <w:rFonts w:hint="default" w:ascii="Times New Roman" w:hAnsi="Times New Roman" w:cs="Times New Roman"/>
          <w:color w:val="auto"/>
        </w:rPr>
        <w:t>项目</w:t>
      </w:r>
      <w:r>
        <w:rPr>
          <w:rFonts w:hint="default" w:ascii="Times New Roman" w:hAnsi="Times New Roman" w:cs="Times New Roman"/>
          <w:color w:val="auto"/>
          <w:lang w:val="en-US" w:eastAsia="zh-CN"/>
        </w:rPr>
        <w:t>建设</w:t>
      </w:r>
      <w:r>
        <w:rPr>
          <w:rFonts w:hint="default" w:ascii="Times New Roman" w:hAnsi="Times New Roman" w:cs="Times New Roman"/>
          <w:color w:val="auto"/>
        </w:rPr>
        <w:t>期：</w:t>
      </w:r>
      <w:r>
        <w:rPr>
          <w:rFonts w:hint="default" w:ascii="Times New Roman" w:hAnsi="Times New Roman" w:cs="Times New Roman"/>
          <w:color w:val="auto"/>
          <w:lang w:val="en-US" w:eastAsia="zh-CN"/>
        </w:rPr>
        <w:t>2024年</w:t>
      </w:r>
      <w:r>
        <w:rPr>
          <w:rFonts w:hint="default" w:cs="Times New Roman"/>
          <w:color w:val="auto"/>
          <w:lang w:val="en-US" w:eastAsia="zh-CN"/>
        </w:rPr>
        <w:t>7</w:t>
      </w:r>
      <w:r>
        <w:rPr>
          <w:rFonts w:hint="default" w:ascii="Times New Roman" w:hAnsi="Times New Roman" w:cs="Times New Roman"/>
          <w:color w:val="auto"/>
          <w:lang w:val="en-US" w:eastAsia="zh-CN"/>
        </w:rPr>
        <w:t>月至2024年1</w:t>
      </w:r>
      <w:r>
        <w:rPr>
          <w:rFonts w:hint="default" w:cs="Times New Roman"/>
          <w:color w:val="auto"/>
          <w:lang w:val="en-US" w:eastAsia="zh-CN"/>
        </w:rPr>
        <w:t>2</w:t>
      </w:r>
      <w:r>
        <w:rPr>
          <w:rFonts w:hint="default" w:ascii="Times New Roman" w:hAnsi="Times New Roman" w:cs="Times New Roman"/>
          <w:color w:val="auto"/>
          <w:lang w:val="en-US" w:eastAsia="zh-CN"/>
        </w:rPr>
        <w:t>月</w:t>
      </w:r>
      <w:r>
        <w:rPr>
          <w:rFonts w:hint="default"/>
          <w:color w:val="auto"/>
        </w:rPr>
        <w:t>。</w:t>
      </w:r>
    </w:p>
    <w:p w14:paraId="65D86CA4">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（三）资金使用情况</w:t>
      </w:r>
    </w:p>
    <w:p w14:paraId="3539797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cs="Times New Roman"/>
          <w:color w:val="auto"/>
          <w:lang w:val="en-US" w:eastAsia="zh-CN"/>
        </w:rPr>
        <w:t>1.预算安排情况</w:t>
      </w:r>
    </w:p>
    <w:p w14:paraId="274AE95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该项目预算总额为</w:t>
      </w:r>
      <w:r>
        <w:rPr>
          <w:rFonts w:hint="default" w:cs="Times New Roman"/>
          <w:color w:val="auto"/>
          <w:lang w:val="en-US" w:eastAsia="zh-CN"/>
        </w:rPr>
        <w:t>760.00</w:t>
      </w:r>
      <w:r>
        <w:rPr>
          <w:rFonts w:hint="default" w:ascii="Times New Roman" w:hAnsi="Times New Roman" w:cs="Times New Roman"/>
          <w:color w:val="auto"/>
          <w:lang w:val="en-US" w:eastAsia="zh-CN"/>
        </w:rPr>
        <w:t>万元，</w:t>
      </w:r>
      <w:r>
        <w:rPr>
          <w:rFonts w:hint="default" w:ascii="Times New Roman" w:hAnsi="Times New Roman" w:cs="Times New Roman" w:eastAsiaTheme="minorEastAsia"/>
          <w:b w:val="0"/>
          <w:bCs w:val="0"/>
          <w:color w:val="auto"/>
          <w:kern w:val="2"/>
          <w:sz w:val="21"/>
          <w:szCs w:val="21"/>
          <w:highlight w:val="none"/>
          <w:lang w:val="en-US" w:eastAsia="zh-CN" w:bidi="ar-SA"/>
        </w:rPr>
        <w:t>资金来源</w:t>
      </w:r>
      <w:r>
        <w:rPr>
          <w:rFonts w:hint="default" w:ascii="Times New Roman" w:hAnsi="Times New Roman" w:cs="Times New Roman"/>
          <w:b w:val="0"/>
          <w:bCs w:val="0"/>
          <w:color w:val="auto"/>
          <w:kern w:val="2"/>
          <w:sz w:val="21"/>
          <w:szCs w:val="21"/>
          <w:highlight w:val="none"/>
          <w:lang w:val="en-US" w:eastAsia="zh-CN" w:bidi="ar-SA"/>
        </w:rPr>
        <w:t>均</w:t>
      </w:r>
      <w:r>
        <w:rPr>
          <w:rFonts w:hint="default" w:ascii="Times New Roman" w:hAnsi="Times New Roman" w:cs="Times New Roman" w:eastAsiaTheme="minorEastAsia"/>
          <w:b w:val="0"/>
          <w:bCs w:val="0"/>
          <w:color w:val="auto"/>
          <w:kern w:val="2"/>
          <w:sz w:val="21"/>
          <w:szCs w:val="21"/>
          <w:highlight w:val="none"/>
          <w:lang w:val="en-US" w:eastAsia="zh-CN" w:bidi="ar-SA"/>
        </w:rPr>
        <w:t>为以工代赈示范工程专项2024年中央基建投资预算</w:t>
      </w:r>
      <w:r>
        <w:rPr>
          <w:rFonts w:hint="default" w:ascii="Times New Roman" w:hAnsi="Times New Roman" w:cs="Times New Roman"/>
          <w:b w:val="0"/>
          <w:bCs w:val="0"/>
          <w:color w:val="auto"/>
          <w:kern w:val="2"/>
          <w:sz w:val="21"/>
          <w:szCs w:val="21"/>
          <w:highlight w:val="none"/>
          <w:lang w:val="en-US" w:eastAsia="zh-CN" w:bidi="ar-SA"/>
        </w:rPr>
        <w:t>资金</w:t>
      </w:r>
      <w:r>
        <w:rPr>
          <w:rFonts w:hint="default" w:ascii="Times New Roman" w:hAnsi="Times New Roman" w:cs="Times New Roman"/>
          <w:color w:val="auto"/>
          <w:lang w:val="en-US" w:eastAsia="zh-CN"/>
        </w:rPr>
        <w:t>。</w:t>
      </w:r>
    </w:p>
    <w:p w14:paraId="2492F38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cs="Times New Roman"/>
          <w:color w:val="auto"/>
          <w:lang w:val="en-US" w:eastAsia="zh-CN"/>
        </w:rPr>
        <w:t>2.资金到位及投入使用情况</w:t>
      </w:r>
    </w:p>
    <w:p w14:paraId="45B5C4C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cs="Times New Roman"/>
          <w:color w:val="auto"/>
          <w:lang w:val="en-US" w:eastAsia="zh-CN"/>
        </w:rPr>
        <w:t>2024年5月11日，根据昌吉州财政局下发</w:t>
      </w:r>
      <w:r>
        <w:rPr>
          <w:rFonts w:hint="default"/>
          <w:color w:val="auto"/>
        </w:rPr>
        <w:t>《关于下达以工代赈示范工程专项2024年中央基建投资预算的通知》（昌州财建</w:t>
      </w:r>
      <w:r>
        <w:rPr>
          <w:rFonts w:hint="default" w:ascii="Times New Roman" w:hAnsi="Times New Roman" w:eastAsia="宋体" w:cs="Times New Roman"/>
          <w:color w:val="auto"/>
        </w:rPr>
        <w:t>〔</w:t>
      </w:r>
      <w:r>
        <w:rPr>
          <w:rFonts w:hint="default"/>
          <w:color w:val="auto"/>
        </w:rPr>
        <w:t>2024〕22号）</w:t>
      </w:r>
      <w:r>
        <w:rPr>
          <w:rFonts w:hint="default" w:cs="Times New Roman"/>
          <w:color w:val="auto"/>
          <w:lang w:val="en-US" w:eastAsia="zh-CN"/>
        </w:rPr>
        <w:t>，下达该项目</w:t>
      </w:r>
      <w:r>
        <w:rPr>
          <w:rFonts w:hint="default" w:ascii="Times New Roman" w:hAnsi="Times New Roman" w:cs="Times New Roman" w:eastAsiaTheme="minorEastAsia"/>
          <w:b w:val="0"/>
          <w:bCs w:val="0"/>
          <w:color w:val="auto"/>
          <w:kern w:val="2"/>
          <w:sz w:val="21"/>
          <w:szCs w:val="21"/>
          <w:highlight w:val="none"/>
          <w:lang w:val="en-US" w:eastAsia="zh-CN" w:bidi="ar-SA"/>
        </w:rPr>
        <w:t>以工代赈示范工程专项2024年中央基建投资预算</w:t>
      </w:r>
      <w:r>
        <w:rPr>
          <w:rFonts w:hint="default" w:ascii="Times New Roman" w:hAnsi="Times New Roman" w:cs="Times New Roman"/>
          <w:b w:val="0"/>
          <w:bCs w:val="0"/>
          <w:color w:val="auto"/>
          <w:kern w:val="2"/>
          <w:sz w:val="21"/>
          <w:szCs w:val="21"/>
          <w:highlight w:val="none"/>
          <w:lang w:val="en-US" w:eastAsia="zh-CN" w:bidi="ar-SA"/>
        </w:rPr>
        <w:t>资金</w:t>
      </w:r>
      <w:r>
        <w:rPr>
          <w:rFonts w:hint="default" w:cs="Times New Roman"/>
          <w:color w:val="auto"/>
          <w:lang w:val="en-US" w:eastAsia="zh-CN"/>
        </w:rPr>
        <w:t>760.00</w:t>
      </w:r>
      <w:r>
        <w:rPr>
          <w:rFonts w:hint="default" w:ascii="Times New Roman" w:hAnsi="Times New Roman" w:cs="Times New Roman"/>
          <w:color w:val="auto"/>
          <w:lang w:val="en-US" w:eastAsia="zh-CN"/>
        </w:rPr>
        <w:t>万元，资金到位率为100.00%。</w:t>
      </w:r>
    </w:p>
    <w:p w14:paraId="7BF51A15">
      <w:pPr>
        <w:keepNext w:val="0"/>
        <w:keepLines w:val="0"/>
        <w:pageBreakBefore w:val="0"/>
        <w:widowControl w:val="0"/>
        <w:kinsoku/>
        <w:wordWrap/>
        <w:overflowPunct/>
        <w:topLinePunct w:val="0"/>
        <w:autoSpaceDE/>
        <w:autoSpaceDN/>
        <w:bidi w:val="0"/>
        <w:adjustRightInd w:val="0"/>
        <w:snapToGrid w:val="0"/>
        <w:spacing w:line="360" w:lineRule="auto"/>
        <w:textAlignment w:val="auto"/>
        <w:rPr>
          <w:color w:val="auto"/>
        </w:rPr>
      </w:pPr>
      <w:r>
        <w:rPr>
          <w:rFonts w:hint="default" w:cs="Times New Roman"/>
          <w:color w:val="auto"/>
          <w:lang w:val="en-US" w:eastAsia="zh-CN"/>
        </w:rPr>
        <w:t>截至2025年6月30日，</w:t>
      </w:r>
      <w:r>
        <w:rPr>
          <w:rFonts w:hint="default" w:ascii="Times New Roman" w:hAnsi="Times New Roman" w:cs="Times New Roman"/>
          <w:color w:val="auto"/>
          <w:lang w:val="en-US" w:eastAsia="zh-CN"/>
        </w:rPr>
        <w:t>该项目实际支出72</w:t>
      </w:r>
      <w:r>
        <w:rPr>
          <w:rFonts w:hint="default" w:cs="Times New Roman"/>
          <w:color w:val="auto"/>
          <w:lang w:val="en-US" w:eastAsia="zh-CN"/>
        </w:rPr>
        <w:t>4.25</w:t>
      </w:r>
      <w:r>
        <w:rPr>
          <w:rFonts w:hint="default" w:ascii="Times New Roman" w:hAnsi="Times New Roman" w:cs="Times New Roman"/>
          <w:color w:val="auto"/>
          <w:lang w:val="en-US" w:eastAsia="zh-CN"/>
        </w:rPr>
        <w:t>万元，预算资金执行率为</w:t>
      </w:r>
      <w:r>
        <w:rPr>
          <w:rFonts w:hint="default" w:cs="Times New Roman"/>
          <w:color w:val="auto"/>
          <w:lang w:val="en-US" w:eastAsia="zh-CN"/>
        </w:rPr>
        <w:t>97.32</w:t>
      </w:r>
      <w:r>
        <w:rPr>
          <w:rFonts w:hint="default" w:ascii="Times New Roman" w:hAnsi="Times New Roman" w:cs="Times New Roman"/>
          <w:color w:val="auto"/>
          <w:lang w:val="en-US" w:eastAsia="zh-CN"/>
        </w:rPr>
        <w:t>%</w:t>
      </w:r>
      <w:r>
        <w:rPr>
          <w:rFonts w:hint="default" w:cs="Times New Roman"/>
          <w:color w:val="auto"/>
          <w:lang w:val="en-US" w:eastAsia="zh-CN"/>
        </w:rPr>
        <w:t>，其中：2024年度支出740.68万元，2025年6月3日退回16.43万元</w:t>
      </w:r>
      <w:r>
        <w:rPr>
          <w:rFonts w:hint="default" w:ascii="Times New Roman" w:hAnsi="Times New Roman" w:cs="Times New Roman"/>
          <w:color w:val="auto"/>
          <w:lang w:val="en-US" w:eastAsia="zh-CN"/>
        </w:rPr>
        <w:t>。</w:t>
      </w:r>
    </w:p>
    <w:p w14:paraId="163FF204">
      <w:pPr>
        <w:pageBreakBefore w:val="0"/>
        <w:kinsoku/>
        <w:wordWrap/>
        <w:overflowPunct/>
        <w:topLinePunct w:val="0"/>
        <w:autoSpaceDE/>
        <w:autoSpaceDN/>
        <w:bidi w:val="0"/>
        <w:snapToGrid w:val="0"/>
        <w:spacing w:before="0" w:after="0" w:line="360" w:lineRule="auto"/>
        <w:ind w:firstLine="422"/>
        <w:rPr>
          <w:b/>
          <w:bCs/>
          <w:color w:val="auto"/>
        </w:rPr>
      </w:pPr>
      <w:r>
        <w:rPr>
          <w:rFonts w:hint="default"/>
          <w:b/>
          <w:bCs/>
          <w:color w:val="auto"/>
          <w:sz w:val="24"/>
          <w:szCs w:val="28"/>
          <w:lang w:val="en-US" w:eastAsia="zh-CN"/>
        </w:rPr>
        <w:t>二</w:t>
      </w:r>
      <w:r>
        <w:rPr>
          <w:b/>
          <w:bCs/>
          <w:color w:val="auto"/>
          <w:sz w:val="24"/>
          <w:szCs w:val="28"/>
        </w:rPr>
        <w:t>、评价结论</w:t>
      </w:r>
    </w:p>
    <w:p w14:paraId="1C7FBC00">
      <w:pPr>
        <w:pageBreakBefore w:val="0"/>
        <w:kinsoku/>
        <w:wordWrap/>
        <w:overflowPunct/>
        <w:topLinePunct w:val="0"/>
        <w:autoSpaceDE/>
        <w:autoSpaceDN/>
        <w:bidi w:val="0"/>
        <w:snapToGrid w:val="0"/>
        <w:spacing w:before="0" w:after="0" w:line="360" w:lineRule="auto"/>
        <w:ind w:firstLine="420"/>
        <w:rPr>
          <w:color w:val="auto"/>
        </w:rPr>
      </w:pPr>
      <w:r>
        <w:rPr>
          <w:color w:val="auto"/>
          <w:lang w:val="zh-TW" w:eastAsia="zh-TW"/>
        </w:rPr>
        <w:t>通过调研、数据分析、访谈等方式，根据工作方案确定的指标体系及评分标准，对“</w:t>
      </w:r>
      <w:r>
        <w:rPr>
          <w:rFonts w:hint="default"/>
          <w:color w:val="auto"/>
          <w:lang w:val="en-US" w:eastAsia="zh-CN"/>
        </w:rPr>
        <w:t>吉木萨尔县二工镇大泉湖村2024年以工代赈基础设施建设项目</w:t>
      </w:r>
      <w:r>
        <w:rPr>
          <w:color w:val="auto"/>
          <w:lang w:val="zh-TW" w:eastAsia="zh-TW"/>
        </w:rPr>
        <w:t>”绩效进行客观评价</w:t>
      </w:r>
      <w:r>
        <w:rPr>
          <w:color w:val="auto"/>
        </w:rPr>
        <w:t>，</w:t>
      </w:r>
      <w:r>
        <w:rPr>
          <w:rFonts w:hint="default"/>
          <w:color w:val="auto"/>
          <w:lang w:val="en-US" w:eastAsia="zh-CN"/>
        </w:rPr>
        <w:t>该</w:t>
      </w:r>
      <w:r>
        <w:rPr>
          <w:color w:val="auto"/>
        </w:rPr>
        <w:t>项目最终得分为</w:t>
      </w:r>
      <w:r>
        <w:rPr>
          <w:rFonts w:hint="default"/>
          <w:color w:val="auto"/>
          <w:lang w:val="en-US" w:eastAsia="zh-CN"/>
        </w:rPr>
        <w:t>85.</w:t>
      </w:r>
      <w:r>
        <w:rPr>
          <w:rFonts w:hint="eastAsia"/>
          <w:color w:val="auto"/>
          <w:lang w:val="en-US" w:eastAsia="zh-CN"/>
        </w:rPr>
        <w:t>7</w:t>
      </w:r>
      <w:r>
        <w:rPr>
          <w:rFonts w:hint="default"/>
          <w:color w:val="auto"/>
          <w:lang w:val="en-US" w:eastAsia="zh-CN"/>
        </w:rPr>
        <w:t>8</w:t>
      </w:r>
      <w:r>
        <w:rPr>
          <w:color w:val="auto"/>
        </w:rPr>
        <w:t>分，评价级别属于“</w:t>
      </w:r>
      <w:r>
        <w:rPr>
          <w:rFonts w:hint="default"/>
          <w:color w:val="auto"/>
          <w:lang w:val="en-US" w:eastAsia="zh-CN"/>
        </w:rPr>
        <w:t>良</w:t>
      </w:r>
      <w:r>
        <w:rPr>
          <w:color w:val="auto"/>
        </w:rPr>
        <w:t>”。</w:t>
      </w:r>
      <w:r>
        <w:rPr>
          <w:rFonts w:hint="default"/>
          <w:color w:val="auto"/>
        </w:rPr>
        <w:t>各部分权重和绩效分值如下表：</w:t>
      </w:r>
    </w:p>
    <w:p w14:paraId="64A56A7F">
      <w:pPr>
        <w:pStyle w:val="30"/>
        <w:pageBreakBefore w:val="0"/>
        <w:kinsoku/>
        <w:wordWrap/>
        <w:overflowPunct/>
        <w:topLinePunct w:val="0"/>
        <w:autoSpaceDE/>
        <w:autoSpaceDN/>
        <w:bidi w:val="0"/>
        <w:snapToGrid w:val="0"/>
        <w:spacing w:before="0" w:after="0" w:line="360" w:lineRule="auto"/>
        <w:jc w:val="center"/>
        <w:rPr>
          <w:rFonts w:hAnsi="Times New Roman" w:eastAsia="黑体" w:cs="Times New Roman"/>
          <w:bCs/>
          <w:color w:val="auto"/>
          <w:sz w:val="21"/>
          <w:szCs w:val="21"/>
        </w:rPr>
      </w:pPr>
      <w:r>
        <w:rPr>
          <w:rFonts w:hAnsi="Times New Roman" w:eastAsia="黑体" w:cs="Times New Roman"/>
          <w:bCs/>
          <w:color w:val="auto"/>
          <w:sz w:val="21"/>
          <w:szCs w:val="21"/>
          <w:lang w:val="zh-TW" w:eastAsia="zh-TW"/>
        </w:rPr>
        <w:t>表</w:t>
      </w:r>
      <w:r>
        <w:rPr>
          <w:rFonts w:hAnsi="Times New Roman" w:eastAsia="黑体" w:cs="Times New Roman"/>
          <w:bCs/>
          <w:color w:val="auto"/>
          <w:sz w:val="21"/>
          <w:szCs w:val="21"/>
          <w:lang w:val="zh-TW"/>
        </w:rPr>
        <w:t>：</w:t>
      </w:r>
      <w:r>
        <w:rPr>
          <w:rFonts w:hint="default" w:hAnsi="Times New Roman" w:eastAsia="黑体" w:cs="Times New Roman"/>
          <w:bCs/>
          <w:color w:val="auto"/>
          <w:sz w:val="21"/>
          <w:szCs w:val="21"/>
          <w:lang w:val="en-US" w:eastAsia="zh-CN"/>
        </w:rPr>
        <w:t>吉木萨尔县二工镇大泉湖村2024年以工代赈基础设施建设项目</w:t>
      </w:r>
      <w:r>
        <w:rPr>
          <w:rFonts w:hAnsi="Times New Roman" w:eastAsia="黑体" w:cs="Times New Roman"/>
          <w:bCs/>
          <w:color w:val="auto"/>
          <w:sz w:val="21"/>
          <w:szCs w:val="21"/>
          <w:lang w:val="zh-TW"/>
        </w:rPr>
        <w:t>得分表</w:t>
      </w:r>
    </w:p>
    <w:tbl>
      <w:tblPr>
        <w:tblStyle w:val="1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4"/>
        <w:gridCol w:w="1614"/>
        <w:gridCol w:w="1614"/>
        <w:gridCol w:w="1614"/>
        <w:gridCol w:w="1130"/>
      </w:tblGrid>
      <w:tr w14:paraId="6160A7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79AC22DF">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D74A9E8">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149A4C2">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过程</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511B6527">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产出</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AAC87CA">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lang w:val="zh-TW" w:eastAsia="zh-TW"/>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效益</w:t>
            </w:r>
            <w:r>
              <w:rPr>
                <w:rFonts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BB6381A">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合计分值</w:t>
            </w:r>
          </w:p>
        </w:tc>
      </w:tr>
      <w:tr w14:paraId="3B6ADD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D88C5DE">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权重</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08DF8E1">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10.00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BB2B862">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25.00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A51E8DB">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35.00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06CF1C8">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30.00</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2B73BC9">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100.00</w:t>
            </w:r>
          </w:p>
        </w:tc>
      </w:tr>
      <w:tr w14:paraId="200FB1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0A30833">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6D76755">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9.</w:t>
            </w:r>
            <w:r>
              <w:rPr>
                <w:rFonts w:hint="eastAsia" w:hAnsi="Times New Roman" w:eastAsia="宋体" w:cs="Times New Roman"/>
                <w:b w:val="0"/>
                <w:bCs w:val="0"/>
                <w:color w:val="auto"/>
                <w:sz w:val="21"/>
                <w:szCs w:val="21"/>
                <w:lang w:val="en-US" w:eastAsia="zh-CN"/>
              </w:rPr>
              <w:t>6</w:t>
            </w:r>
            <w:r>
              <w:rPr>
                <w:rFonts w:hint="default" w:ascii="Times New Roman" w:hAnsi="Times New Roman" w:eastAsia="宋体" w:cs="Times New Roman"/>
                <w:b w:val="0"/>
                <w:bCs w:val="0"/>
                <w:color w:val="auto"/>
                <w:sz w:val="21"/>
                <w:szCs w:val="21"/>
                <w:lang w:val="en-US" w:eastAsia="zh-CN"/>
              </w:rPr>
              <w:t>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C9E6C49">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18.50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9A2160B">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27.68</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CA38DFB">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30.00</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26725CDF">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85.</w:t>
            </w:r>
            <w:r>
              <w:rPr>
                <w:rFonts w:hint="eastAsia" w:hAnsi="Times New Roman" w:eastAsia="宋体" w:cs="Times New Roman"/>
                <w:b w:val="0"/>
                <w:bCs w:val="0"/>
                <w:color w:val="auto"/>
                <w:sz w:val="21"/>
                <w:szCs w:val="21"/>
                <w:lang w:val="en-US" w:eastAsia="zh-CN"/>
              </w:rPr>
              <w:t>7</w:t>
            </w:r>
            <w:r>
              <w:rPr>
                <w:rFonts w:hint="default" w:ascii="Times New Roman" w:hAnsi="Times New Roman" w:eastAsia="宋体" w:cs="Times New Roman"/>
                <w:b w:val="0"/>
                <w:bCs w:val="0"/>
                <w:color w:val="auto"/>
                <w:sz w:val="21"/>
                <w:szCs w:val="21"/>
                <w:lang w:val="en-US" w:eastAsia="zh-CN"/>
              </w:rPr>
              <w:t>8</w:t>
            </w:r>
          </w:p>
        </w:tc>
      </w:tr>
      <w:tr w14:paraId="092B9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3"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3437259">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得分率</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B9266AE">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9</w:t>
            </w:r>
            <w:r>
              <w:rPr>
                <w:rFonts w:hint="eastAsia" w:hAnsi="Times New Roman" w:eastAsia="宋体" w:cs="Times New Roman"/>
                <w:b w:val="0"/>
                <w:bCs w:val="0"/>
                <w:color w:val="auto"/>
                <w:sz w:val="21"/>
                <w:szCs w:val="21"/>
                <w:lang w:val="en-US" w:eastAsia="zh-CN"/>
              </w:rPr>
              <w:t>6</w:t>
            </w:r>
            <w:r>
              <w:rPr>
                <w:rFonts w:hint="default" w:ascii="Times New Roman" w:hAnsi="Times New Roman" w:eastAsia="宋体" w:cs="Times New Roman"/>
                <w:b w:val="0"/>
                <w:bCs w:val="0"/>
                <w:color w:val="auto"/>
                <w:sz w:val="21"/>
                <w:szCs w:val="21"/>
                <w:lang w:val="en-US" w:eastAsia="zh-CN"/>
              </w:rPr>
              <w:t>.00%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7F4265F">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74.00%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5304ABA">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79.10%</w:t>
            </w:r>
          </w:p>
        </w:tc>
        <w:tc>
          <w:tcPr>
            <w:tcW w:w="1614"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77AB303">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100.00%</w:t>
            </w:r>
          </w:p>
        </w:tc>
        <w:tc>
          <w:tcPr>
            <w:tcW w:w="1130"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A12A8C6">
            <w:pPr>
              <w:pStyle w:val="30"/>
              <w:pageBreakBefore w:val="0"/>
              <w:kinsoku/>
              <w:wordWrap/>
              <w:overflowPunct/>
              <w:topLinePunct w:val="0"/>
              <w:autoSpaceDE/>
              <w:autoSpaceDN/>
              <w:bidi w:val="0"/>
              <w:snapToGrid w:val="0"/>
              <w:spacing w:before="0" w:after="0" w:line="240" w:lineRule="auto"/>
              <w:jc w:val="center"/>
              <w:rPr>
                <w:rFonts w:hint="default" w:hAnsi="Times New Roman" w:eastAsia="宋体" w:cs="Times New Roman"/>
                <w:color w:val="auto"/>
                <w:sz w:val="21"/>
                <w:szCs w:val="21"/>
              </w:rPr>
            </w:pPr>
            <w:r>
              <w:rPr>
                <w:rFonts w:hint="default" w:ascii="Times New Roman" w:hAnsi="Times New Roman" w:eastAsia="宋体" w:cs="Times New Roman"/>
                <w:b w:val="0"/>
                <w:bCs w:val="0"/>
                <w:color w:val="auto"/>
                <w:sz w:val="21"/>
                <w:szCs w:val="21"/>
                <w:lang w:val="en-US" w:eastAsia="zh-CN"/>
              </w:rPr>
              <w:t>85.</w:t>
            </w:r>
            <w:r>
              <w:rPr>
                <w:rFonts w:hint="eastAsia" w:hAnsi="Times New Roman" w:eastAsia="宋体" w:cs="Times New Roman"/>
                <w:b w:val="0"/>
                <w:bCs w:val="0"/>
                <w:color w:val="auto"/>
                <w:sz w:val="21"/>
                <w:szCs w:val="21"/>
                <w:lang w:val="en-US" w:eastAsia="zh-CN"/>
              </w:rPr>
              <w:t>7</w:t>
            </w:r>
            <w:r>
              <w:rPr>
                <w:rFonts w:hint="default" w:ascii="Times New Roman" w:hAnsi="Times New Roman" w:eastAsia="宋体" w:cs="Times New Roman"/>
                <w:b w:val="0"/>
                <w:bCs w:val="0"/>
                <w:color w:val="auto"/>
                <w:sz w:val="21"/>
                <w:szCs w:val="21"/>
                <w:lang w:val="en-US" w:eastAsia="zh-CN"/>
              </w:rPr>
              <w:t>8%</w:t>
            </w:r>
          </w:p>
        </w:tc>
      </w:tr>
    </w:tbl>
    <w:p w14:paraId="55F7CB6E">
      <w:pPr>
        <w:pageBreakBefore w:val="0"/>
        <w:kinsoku/>
        <w:wordWrap/>
        <w:overflowPunct/>
        <w:topLinePunct w:val="0"/>
        <w:autoSpaceDE/>
        <w:autoSpaceDN/>
        <w:bidi w:val="0"/>
        <w:snapToGrid w:val="0"/>
        <w:spacing w:before="0" w:after="0" w:line="360" w:lineRule="auto"/>
        <w:ind w:firstLine="422"/>
        <w:rPr>
          <w:b/>
          <w:bCs/>
          <w:color w:val="auto"/>
          <w:lang w:val="zh-TW"/>
        </w:rPr>
      </w:pPr>
    </w:p>
    <w:p w14:paraId="13F90668">
      <w:pPr>
        <w:pageBreakBefore w:val="0"/>
        <w:kinsoku/>
        <w:wordWrap/>
        <w:overflowPunct/>
        <w:topLinePunct w:val="0"/>
        <w:autoSpaceDE/>
        <w:autoSpaceDN/>
        <w:bidi w:val="0"/>
        <w:snapToGrid w:val="0"/>
        <w:spacing w:before="0" w:after="0" w:line="360" w:lineRule="auto"/>
        <w:ind w:firstLine="482"/>
        <w:rPr>
          <w:color w:val="auto"/>
          <w:sz w:val="24"/>
          <w:szCs w:val="28"/>
        </w:rPr>
      </w:pPr>
      <w:r>
        <w:rPr>
          <w:rFonts w:hint="default"/>
          <w:b/>
          <w:bCs/>
          <w:color w:val="auto"/>
          <w:sz w:val="24"/>
          <w:szCs w:val="28"/>
          <w:lang w:val="en-US" w:eastAsia="zh-CN"/>
        </w:rPr>
        <w:t>三</w:t>
      </w:r>
      <w:r>
        <w:rPr>
          <w:b/>
          <w:bCs/>
          <w:color w:val="auto"/>
          <w:sz w:val="24"/>
          <w:szCs w:val="28"/>
        </w:rPr>
        <w:t>、取得的业绩、存在的问题和改进的建议</w:t>
      </w:r>
    </w:p>
    <w:p w14:paraId="6DC69897">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（一）主要经验及做法</w:t>
      </w:r>
    </w:p>
    <w:p w14:paraId="681E02CF">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color w:val="auto"/>
        </w:rPr>
      </w:pPr>
      <w:r>
        <w:rPr>
          <w:rFonts w:hint="default" w:ascii="Times New Roman" w:hAnsi="Times New Roman" w:eastAsia="宋体" w:cs="Times New Roman"/>
          <w:b w:val="0"/>
          <w:bCs w:val="0"/>
          <w:color w:val="auto"/>
          <w:kern w:val="2"/>
          <w:sz w:val="21"/>
          <w:szCs w:val="21"/>
          <w:lang w:val="en-US" w:eastAsia="zh-CN" w:bidi="ar-SA"/>
        </w:rPr>
        <w:t>该项目实施单位在项目实施过程</w:t>
      </w:r>
      <w:r>
        <w:rPr>
          <w:rFonts w:hint="default" w:eastAsia="宋体" w:cs="Times New Roman"/>
          <w:b w:val="0"/>
          <w:bCs w:val="0"/>
          <w:color w:val="auto"/>
          <w:kern w:val="2"/>
          <w:sz w:val="21"/>
          <w:szCs w:val="21"/>
          <w:lang w:val="en-US" w:eastAsia="zh-CN" w:bidi="ar-SA"/>
        </w:rPr>
        <w:t>中的</w:t>
      </w:r>
      <w:r>
        <w:rPr>
          <w:rFonts w:hint="default" w:ascii="Times New Roman" w:hAnsi="Times New Roman" w:eastAsia="宋体" w:cs="Times New Roman"/>
          <w:b w:val="0"/>
          <w:bCs w:val="0"/>
          <w:color w:val="auto"/>
          <w:kern w:val="2"/>
          <w:sz w:val="21"/>
          <w:szCs w:val="21"/>
          <w:lang w:val="en-US" w:eastAsia="zh-CN" w:bidi="ar-SA"/>
        </w:rPr>
        <w:t>主要经验及做法如下：一是</w:t>
      </w:r>
      <w:r>
        <w:rPr>
          <w:rFonts w:hint="default" w:eastAsia="宋体" w:cs="Times New Roman"/>
          <w:b w:val="0"/>
          <w:bCs w:val="0"/>
          <w:color w:val="auto"/>
          <w:kern w:val="2"/>
          <w:sz w:val="21"/>
          <w:szCs w:val="21"/>
          <w:lang w:val="en-US" w:eastAsia="zh-CN" w:bidi="ar-SA"/>
        </w:rPr>
        <w:t>项目实施单位根据</w:t>
      </w:r>
      <w:r>
        <w:rPr>
          <w:rFonts w:hint="default" w:ascii="Times New Roman" w:hAnsi="Times New Roman" w:eastAsia="宋体" w:cs="Times New Roman"/>
          <w:b w:val="0"/>
          <w:bCs w:val="0"/>
          <w:color w:val="auto"/>
          <w:kern w:val="2"/>
          <w:sz w:val="21"/>
          <w:szCs w:val="21"/>
          <w:lang w:val="en-US" w:eastAsia="zh-CN" w:bidi="ar-SA"/>
        </w:rPr>
        <w:t>《国家发展改革委印发实施关于进一步坚守“赈”的初心充分发挥以工代赈政策功能的意见》</w:t>
      </w:r>
      <w:r>
        <w:rPr>
          <w:rFonts w:hint="default" w:eastAsia="宋体" w:cs="Times New Roman"/>
          <w:b w:val="0"/>
          <w:bCs w:val="0"/>
          <w:color w:val="auto"/>
          <w:kern w:val="2"/>
          <w:sz w:val="21"/>
          <w:szCs w:val="21"/>
          <w:lang w:val="en-US" w:eastAsia="zh-CN" w:bidi="ar-SA"/>
        </w:rPr>
        <w:t>落实</w:t>
      </w:r>
      <w:r>
        <w:rPr>
          <w:rFonts w:hint="default" w:ascii="Times New Roman" w:hAnsi="Times New Roman" w:eastAsia="宋体" w:cs="Times New Roman"/>
          <w:b w:val="0"/>
          <w:bCs w:val="0"/>
          <w:color w:val="auto"/>
          <w:kern w:val="2"/>
          <w:sz w:val="21"/>
          <w:szCs w:val="21"/>
          <w:lang w:val="en-US" w:eastAsia="zh-CN" w:bidi="ar-SA"/>
        </w:rPr>
        <w:t>以工代赈是促进农民增加收入、提高技能的一项重要政策举措，</w:t>
      </w:r>
      <w:r>
        <w:rPr>
          <w:rFonts w:hint="default" w:eastAsia="宋体" w:cs="Times New Roman"/>
          <w:b w:val="0"/>
          <w:bCs w:val="0"/>
          <w:color w:val="auto"/>
          <w:kern w:val="2"/>
          <w:sz w:val="21"/>
          <w:szCs w:val="21"/>
          <w:lang w:val="en-US" w:eastAsia="zh-CN" w:bidi="ar-SA"/>
        </w:rPr>
        <w:t>积极申请</w:t>
      </w:r>
      <w:r>
        <w:rPr>
          <w:rFonts w:hint="default" w:ascii="Times New Roman" w:hAnsi="Times New Roman" w:cs="Times New Roman" w:eastAsiaTheme="minorEastAsia"/>
          <w:b w:val="0"/>
          <w:bCs w:val="0"/>
          <w:color w:val="auto"/>
          <w:kern w:val="2"/>
          <w:sz w:val="21"/>
          <w:szCs w:val="21"/>
          <w:highlight w:val="none"/>
          <w:lang w:val="en-US" w:eastAsia="zh-CN" w:bidi="ar-SA"/>
        </w:rPr>
        <w:t>以工代赈示范工程专项2024年中央基建投资预算</w:t>
      </w:r>
      <w:r>
        <w:rPr>
          <w:rFonts w:hint="default" w:ascii="Times New Roman" w:hAnsi="Times New Roman" w:cs="Times New Roman"/>
          <w:b w:val="0"/>
          <w:bCs w:val="0"/>
          <w:color w:val="auto"/>
          <w:kern w:val="2"/>
          <w:sz w:val="21"/>
          <w:szCs w:val="21"/>
          <w:highlight w:val="none"/>
          <w:lang w:val="en-US" w:eastAsia="zh-CN" w:bidi="ar-SA"/>
        </w:rPr>
        <w:t>资金，带动当地务工人员</w:t>
      </w:r>
      <w:r>
        <w:rPr>
          <w:rFonts w:hint="default" w:ascii="Times New Roman" w:hAnsi="Times New Roman" w:eastAsia="宋体" w:cs="Times New Roman"/>
          <w:b w:val="0"/>
          <w:bCs w:val="0"/>
          <w:color w:val="auto"/>
          <w:kern w:val="2"/>
          <w:sz w:val="21"/>
          <w:szCs w:val="21"/>
          <w:lang w:val="en-US" w:eastAsia="zh-CN" w:bidi="ar-SA"/>
        </w:rPr>
        <w:t>参与</w:t>
      </w:r>
      <w:r>
        <w:rPr>
          <w:rFonts w:hint="default" w:eastAsia="宋体" w:cs="Times New Roman"/>
          <w:b w:val="0"/>
          <w:bCs w:val="0"/>
          <w:color w:val="auto"/>
          <w:kern w:val="2"/>
          <w:sz w:val="21"/>
          <w:szCs w:val="21"/>
          <w:lang w:val="en-US" w:eastAsia="zh-CN" w:bidi="ar-SA"/>
        </w:rPr>
        <w:t>工程建设</w:t>
      </w:r>
      <w:r>
        <w:rPr>
          <w:rFonts w:hint="default" w:ascii="Times New Roman" w:hAnsi="Times New Roman" w:eastAsia="宋体" w:cs="Times New Roman"/>
          <w:b w:val="0"/>
          <w:bCs w:val="0"/>
          <w:color w:val="auto"/>
          <w:kern w:val="2"/>
          <w:sz w:val="21"/>
          <w:szCs w:val="21"/>
          <w:lang w:val="en-US" w:eastAsia="zh-CN" w:bidi="ar-SA"/>
        </w:rPr>
        <w:t>，实现就地就近就业增收；二是认真贯彻执行项目的法人责任制、招投标制、工程合同制、竣工验收制，使得项目建设管理工作</w:t>
      </w:r>
      <w:r>
        <w:rPr>
          <w:rFonts w:hint="default" w:eastAsia="宋体" w:cs="Times New Roman"/>
          <w:b w:val="0"/>
          <w:bCs w:val="0"/>
          <w:color w:val="auto"/>
          <w:kern w:val="2"/>
          <w:sz w:val="21"/>
          <w:szCs w:val="21"/>
          <w:lang w:val="en-US" w:eastAsia="zh-CN" w:bidi="ar-SA"/>
        </w:rPr>
        <w:t>制度化、规范化、程序化</w:t>
      </w:r>
      <w:r>
        <w:rPr>
          <w:rFonts w:hint="default" w:ascii="Times New Roman" w:hAnsi="Times New Roman" w:eastAsia="宋体" w:cs="Times New Roman"/>
          <w:b w:val="0"/>
          <w:bCs w:val="0"/>
          <w:color w:val="auto"/>
          <w:kern w:val="2"/>
          <w:sz w:val="21"/>
          <w:szCs w:val="21"/>
          <w:lang w:val="en-US" w:eastAsia="zh-CN" w:bidi="ar-SA"/>
        </w:rPr>
        <w:t>，</w:t>
      </w:r>
      <w:r>
        <w:rPr>
          <w:rFonts w:hint="default" w:eastAsia="宋体" w:cs="Times New Roman"/>
          <w:b w:val="0"/>
          <w:bCs w:val="0"/>
          <w:color w:val="auto"/>
          <w:kern w:val="2"/>
          <w:sz w:val="21"/>
          <w:szCs w:val="21"/>
          <w:lang w:val="en-US" w:eastAsia="zh-CN" w:bidi="ar-SA"/>
        </w:rPr>
        <w:t>加强了对项目工程质量的监督管理，确保项目建设目标如期实现。</w:t>
      </w:r>
    </w:p>
    <w:p w14:paraId="2E01C27E">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（二）存在的问题</w:t>
      </w:r>
    </w:p>
    <w:p w14:paraId="7532704E">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default"/>
          <w:b/>
          <w:bCs/>
          <w:color w:val="auto"/>
          <w:lang w:val="en-US" w:eastAsia="zh-CN"/>
        </w:rPr>
      </w:pPr>
      <w:r>
        <w:rPr>
          <w:rFonts w:hint="default"/>
          <w:b/>
          <w:bCs/>
          <w:color w:val="auto"/>
          <w:lang w:val="en-US" w:eastAsia="zh-CN"/>
        </w:rPr>
        <w:t>1.会计核算不够规范</w:t>
      </w:r>
    </w:p>
    <w:p w14:paraId="7401AED4">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default"/>
          <w:color w:val="auto"/>
          <w:lang w:val="en-US" w:eastAsia="zh-CN"/>
        </w:rPr>
      </w:pPr>
      <w:r>
        <w:rPr>
          <w:rFonts w:hint="default" w:ascii="Times New Roman" w:hAnsi="Times New Roman" w:eastAsia="宋体" w:cs="Times New Roman"/>
          <w:color w:val="auto"/>
          <w:sz w:val="21"/>
          <w:szCs w:val="21"/>
          <w:highlight w:val="none"/>
        </w:rPr>
        <w:t>经查阅项目</w:t>
      </w:r>
      <w:r>
        <w:rPr>
          <w:rFonts w:hint="default" w:ascii="Times New Roman" w:hAnsi="Times New Roman" w:eastAsia="宋体" w:cs="Times New Roman"/>
          <w:color w:val="auto"/>
          <w:sz w:val="21"/>
          <w:szCs w:val="21"/>
          <w:highlight w:val="none"/>
          <w:lang w:val="en-US" w:eastAsia="zh-CN"/>
        </w:rPr>
        <w:t>记账凭证</w:t>
      </w:r>
      <w:r>
        <w:rPr>
          <w:rFonts w:hint="default" w:ascii="Times New Roman" w:hAnsi="Times New Roman" w:eastAsia="宋体" w:cs="Times New Roman"/>
          <w:color w:val="auto"/>
          <w:sz w:val="21"/>
          <w:szCs w:val="21"/>
          <w:highlight w:val="none"/>
        </w:rPr>
        <w:t>，该项目</w:t>
      </w:r>
      <w:r>
        <w:rPr>
          <w:rFonts w:hint="default" w:ascii="Times New Roman" w:hAnsi="Times New Roman" w:eastAsia="宋体" w:cs="Times New Roman"/>
          <w:color w:val="auto"/>
          <w:sz w:val="21"/>
          <w:szCs w:val="21"/>
          <w:highlight w:val="none"/>
          <w:lang w:val="en-US" w:eastAsia="zh-CN"/>
        </w:rPr>
        <w:t>将</w:t>
      </w:r>
      <w:r>
        <w:rPr>
          <w:rFonts w:hint="default" w:ascii="Times New Roman" w:hAnsi="Times New Roman" w:eastAsia="宋体" w:cs="Times New Roman"/>
          <w:color w:val="auto"/>
          <w:sz w:val="21"/>
          <w:szCs w:val="21"/>
          <w:highlight w:val="none"/>
        </w:rPr>
        <w:t>发生的工程款费用计入商品和服务费用</w:t>
      </w:r>
      <w:r>
        <w:rPr>
          <w:rFonts w:hint="eastAsia" w:eastAsia="宋体" w:cs="Times New Roman"/>
          <w:color w:val="auto"/>
          <w:sz w:val="21"/>
          <w:szCs w:val="21"/>
          <w:highlight w:val="none"/>
          <w:lang w:val="en-US" w:eastAsia="zh-CN"/>
        </w:rPr>
        <w:t>支出</w:t>
      </w:r>
      <w:r>
        <w:rPr>
          <w:rFonts w:hint="default" w:ascii="Times New Roman" w:hAnsi="Times New Roman" w:eastAsia="宋体" w:cs="Times New Roman"/>
          <w:color w:val="auto"/>
          <w:sz w:val="21"/>
          <w:szCs w:val="21"/>
          <w:highlight w:val="none"/>
        </w:rPr>
        <w:t>，未按</w:t>
      </w:r>
      <w:r>
        <w:rPr>
          <w:rFonts w:hint="eastAsia" w:eastAsia="宋体" w:cs="Times New Roman"/>
          <w:color w:val="auto"/>
          <w:sz w:val="21"/>
          <w:szCs w:val="21"/>
          <w:highlight w:val="none"/>
          <w:lang w:val="en-US" w:eastAsia="zh-CN"/>
        </w:rPr>
        <w:t>照</w:t>
      </w:r>
      <w:r>
        <w:rPr>
          <w:rFonts w:hint="default" w:ascii="Times New Roman" w:hAnsi="Times New Roman" w:eastAsia="宋体" w:cs="Times New Roman"/>
          <w:color w:val="auto"/>
          <w:sz w:val="21"/>
          <w:szCs w:val="21"/>
          <w:highlight w:val="none"/>
        </w:rPr>
        <w:t>《政府会计</w:t>
      </w:r>
      <w:r>
        <w:rPr>
          <w:rFonts w:hint="eastAsia" w:eastAsia="宋体" w:cs="Times New Roman"/>
          <w:color w:val="auto"/>
          <w:sz w:val="21"/>
          <w:szCs w:val="21"/>
          <w:highlight w:val="none"/>
          <w:lang w:val="en-US" w:eastAsia="zh-CN"/>
        </w:rPr>
        <w:t>制度</w:t>
      </w:r>
      <w:r>
        <w:rPr>
          <w:rFonts w:hint="default" w:ascii="Times New Roman" w:hAnsi="Times New Roman" w:eastAsia="宋体" w:cs="Times New Roman"/>
          <w:color w:val="auto"/>
          <w:sz w:val="21"/>
          <w:szCs w:val="21"/>
          <w:highlight w:val="none"/>
        </w:rPr>
        <w:t>》规定</w:t>
      </w:r>
      <w:r>
        <w:rPr>
          <w:rFonts w:hint="eastAsia" w:eastAsia="宋体" w:cs="Times New Roman"/>
          <w:color w:val="auto"/>
          <w:sz w:val="21"/>
          <w:szCs w:val="21"/>
          <w:highlight w:val="none"/>
          <w:lang w:eastAsia="zh-CN"/>
        </w:rPr>
        <w:t>，</w:t>
      </w:r>
      <w:r>
        <w:rPr>
          <w:rFonts w:hint="eastAsia" w:eastAsia="宋体" w:cs="Times New Roman"/>
          <w:color w:val="auto"/>
          <w:sz w:val="21"/>
          <w:szCs w:val="21"/>
          <w:highlight w:val="none"/>
          <w:lang w:val="en-US" w:eastAsia="zh-CN"/>
        </w:rPr>
        <w:t>通过</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在建工程</w:t>
      </w:r>
      <w:r>
        <w:rPr>
          <w:rFonts w:hint="eastAsia" w:eastAsia="宋体" w:cs="Times New Roman"/>
          <w:color w:val="auto"/>
          <w:sz w:val="21"/>
          <w:szCs w:val="21"/>
          <w:highlight w:val="none"/>
          <w:lang w:eastAsia="zh-CN"/>
        </w:rPr>
        <w:t>”</w:t>
      </w:r>
      <w:r>
        <w:rPr>
          <w:rFonts w:hint="eastAsia" w:eastAsia="宋体" w:cs="Times New Roman"/>
          <w:color w:val="auto"/>
          <w:sz w:val="21"/>
          <w:szCs w:val="21"/>
          <w:highlight w:val="none"/>
          <w:lang w:val="en-US" w:eastAsia="zh-CN"/>
        </w:rPr>
        <w:t>科目归集项目建设支出并于资产完工后转入“</w:t>
      </w:r>
      <w:r>
        <w:rPr>
          <w:rFonts w:hint="default" w:ascii="Times New Roman" w:hAnsi="Times New Roman" w:eastAsia="宋体" w:cs="Times New Roman"/>
          <w:color w:val="auto"/>
          <w:sz w:val="21"/>
          <w:szCs w:val="21"/>
          <w:highlight w:val="none"/>
          <w:lang w:val="en-US" w:eastAsia="zh-CN"/>
        </w:rPr>
        <w:t>固定资产</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科目</w:t>
      </w:r>
      <w:r>
        <w:rPr>
          <w:rFonts w:hint="default"/>
          <w:color w:val="auto"/>
        </w:rPr>
        <w:t>。</w:t>
      </w:r>
    </w:p>
    <w:p w14:paraId="481BB1C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2.项目实施过程管理不够到位</w:t>
      </w:r>
    </w:p>
    <w:p w14:paraId="7AC37CD2">
      <w:pPr>
        <w:spacing w:line="360" w:lineRule="auto"/>
        <w:ind w:firstLine="420"/>
        <w:rPr>
          <w:rFonts w:hint="default"/>
          <w:color w:val="auto"/>
        </w:rPr>
      </w:pPr>
      <w:r>
        <w:rPr>
          <w:rFonts w:hint="default"/>
          <w:color w:val="auto"/>
        </w:rPr>
        <w:t>①项目实施单位提供可研</w:t>
      </w:r>
      <w:r>
        <w:rPr>
          <w:rFonts w:hint="default"/>
          <w:color w:val="auto"/>
          <w:lang w:val="en-US" w:eastAsia="zh-CN"/>
        </w:rPr>
        <w:t>报告编制的</w:t>
      </w:r>
      <w:r>
        <w:rPr>
          <w:rFonts w:hint="default"/>
          <w:color w:val="auto"/>
        </w:rPr>
        <w:t>《技术咨询合同》</w:t>
      </w:r>
      <w:r>
        <w:rPr>
          <w:rFonts w:hint="default"/>
          <w:color w:val="auto"/>
          <w:lang w:val="en-US" w:eastAsia="zh-CN"/>
        </w:rPr>
        <w:t>缺失</w:t>
      </w:r>
      <w:r>
        <w:rPr>
          <w:rFonts w:hint="default"/>
          <w:color w:val="auto"/>
        </w:rPr>
        <w:t>合同签订日期，根据实施单位提供的造价</w:t>
      </w:r>
      <w:r>
        <w:rPr>
          <w:rFonts w:hint="default"/>
          <w:color w:val="auto"/>
          <w:lang w:val="en-US" w:eastAsia="zh-CN"/>
        </w:rPr>
        <w:t>咨询服务的</w:t>
      </w:r>
      <w:r>
        <w:rPr>
          <w:rFonts w:hint="default"/>
          <w:color w:val="auto"/>
        </w:rPr>
        <w:t>《建设工程造价咨询合同》未约定付款条款。</w:t>
      </w:r>
    </w:p>
    <w:p w14:paraId="2AF03A15">
      <w:pPr>
        <w:spacing w:line="360" w:lineRule="auto"/>
        <w:ind w:firstLine="420"/>
        <w:rPr>
          <w:rFonts w:hint="default"/>
          <w:color w:val="auto"/>
          <w:lang w:val="en-US" w:eastAsia="zh-CN"/>
        </w:rPr>
      </w:pPr>
      <w:r>
        <w:rPr>
          <w:rFonts w:hint="default"/>
          <w:color w:val="auto"/>
          <w:lang w:val="en-US" w:eastAsia="zh-CN"/>
        </w:rPr>
        <w:t>②该项目实际签订了其他服务合同共7份，主要包括《技术咨询合同》《</w:t>
      </w:r>
      <w:r>
        <w:rPr>
          <w:rFonts w:hint="default" w:ascii="Times New Roman" w:hAnsi="Times New Roman" w:cs="Times New Roman"/>
          <w:color w:val="auto"/>
          <w:lang w:val="en-US" w:eastAsia="zh-CN"/>
        </w:rPr>
        <w:t>监理</w:t>
      </w:r>
      <w:r>
        <w:rPr>
          <w:rFonts w:hint="default"/>
          <w:color w:val="auto"/>
          <w:lang w:val="en-US" w:eastAsia="zh-CN"/>
        </w:rPr>
        <w:t>合同》《测绘合同》《建设工程勘察合同》《建设工程造价咨询合同》《建设工程设计合同》《基本建设项目委托审计业务竣工财务决算审计合同书》。截至本次绩效评价期间，项目实施单位未提供以上七项服务合同的政府采购过程资料。</w:t>
      </w:r>
    </w:p>
    <w:p w14:paraId="31E049D6">
      <w:pPr>
        <w:spacing w:line="360" w:lineRule="auto"/>
        <w:ind w:firstLine="420"/>
        <w:rPr>
          <w:rFonts w:hint="default"/>
          <w:color w:val="auto"/>
          <w:lang w:val="en-US" w:eastAsia="zh-CN"/>
        </w:rPr>
      </w:pPr>
      <w:r>
        <w:rPr>
          <w:rFonts w:hint="default"/>
          <w:color w:val="auto"/>
          <w:lang w:val="en-US" w:eastAsia="zh-CN"/>
        </w:rPr>
        <w:t>③根据项目实施单位提供的《关于吉木萨尔县二工镇大泉湖村2024年以工代赈基础设施建设项目劳务工人数量的情况说明》：“劳务工人均为吉木萨尔县二工镇大泉湖村人员，主要从事了吉木萨尔县二工镇大泉湖村2024年以工代赈基础设施建设项目工作，如钢筋工、司泵工、模板工、机械等工作，统计数据来源于新疆大诚众昌建筑劳务有限公司吉木萨尔县分公司登记及企业报备信息”。</w:t>
      </w:r>
      <w:r>
        <w:rPr>
          <w:rFonts w:hint="default"/>
          <w:color w:val="auto"/>
          <w:highlight w:val="none"/>
          <w:lang w:val="en-US" w:eastAsia="zh-CN"/>
        </w:rPr>
        <w:t>截至2025年6月30日，项目实施单位未能提供</w:t>
      </w:r>
      <w:r>
        <w:rPr>
          <w:rFonts w:hint="default"/>
          <w:color w:val="auto"/>
          <w:lang w:val="en-US" w:eastAsia="zh-CN"/>
        </w:rPr>
        <w:t>《国家以工代赈管理办法》中第二十九条规</w:t>
      </w:r>
      <w:r>
        <w:rPr>
          <w:rFonts w:hint="eastAsia"/>
          <w:color w:val="auto"/>
          <w:lang w:val="en-US" w:eastAsia="zh-CN"/>
        </w:rPr>
        <w:t>定的</w:t>
      </w:r>
      <w:r>
        <w:rPr>
          <w:rFonts w:hint="default"/>
          <w:color w:val="auto"/>
          <w:lang w:val="en-US" w:eastAsia="zh-CN"/>
        </w:rPr>
        <w:t>“业主单位应与项目所在乡镇人民政府、村民委员会和施工单位建立劳务沟通协调机制，督促施工单位与务工群众签订劳务合同（协议）”等相关工作资料。</w:t>
      </w:r>
    </w:p>
    <w:p w14:paraId="52F8CB97">
      <w:pPr>
        <w:spacing w:line="360" w:lineRule="auto"/>
        <w:ind w:firstLine="420"/>
        <w:rPr>
          <w:rFonts w:hint="default"/>
          <w:color w:val="auto"/>
          <w:lang w:val="en-US" w:eastAsia="zh-CN"/>
        </w:rPr>
      </w:pPr>
      <w:r>
        <w:rPr>
          <w:rFonts w:hint="default"/>
          <w:color w:val="auto"/>
          <w:lang w:val="en-US" w:eastAsia="zh-CN"/>
        </w:rPr>
        <w:t>④截至本次绩效评价期间，项目尚未按照《国家以工代赈管理办法》规定通过县级发展改革部门的验收。</w:t>
      </w:r>
    </w:p>
    <w:p w14:paraId="73B3344F">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highlight w:val="none"/>
          <w:lang w:val="en-US" w:eastAsia="zh-CN"/>
        </w:rPr>
      </w:pPr>
      <w:r>
        <w:rPr>
          <w:rFonts w:hint="default" w:cs="Times New Roman"/>
          <w:b/>
          <w:bCs/>
          <w:color w:val="auto"/>
          <w:highlight w:val="none"/>
          <w:lang w:val="en-US" w:eastAsia="zh-CN"/>
        </w:rPr>
        <w:t>3</w:t>
      </w:r>
      <w:r>
        <w:rPr>
          <w:rFonts w:hint="default" w:ascii="Times New Roman" w:hAnsi="Times New Roman" w:cs="Times New Roman"/>
          <w:b/>
          <w:bCs/>
          <w:color w:val="auto"/>
          <w:highlight w:val="none"/>
          <w:lang w:val="en-US" w:eastAsia="zh-CN"/>
        </w:rPr>
        <w:t>.</w:t>
      </w:r>
      <w:r>
        <w:rPr>
          <w:rFonts w:hint="default" w:cs="Times New Roman"/>
          <w:b/>
          <w:bCs/>
          <w:color w:val="auto"/>
          <w:highlight w:val="none"/>
          <w:lang w:val="en-US" w:eastAsia="zh-CN"/>
        </w:rPr>
        <w:t>项目尚</w:t>
      </w:r>
      <w:r>
        <w:rPr>
          <w:rFonts w:hint="default" w:ascii="Times New Roman" w:hAnsi="Times New Roman" w:cs="Times New Roman"/>
          <w:b/>
          <w:bCs/>
          <w:color w:val="auto"/>
          <w:highlight w:val="none"/>
          <w:lang w:val="en-US" w:eastAsia="zh-CN"/>
        </w:rPr>
        <w:t>未</w:t>
      </w:r>
      <w:r>
        <w:rPr>
          <w:rFonts w:hint="default" w:cs="Times New Roman"/>
          <w:b/>
          <w:bCs/>
          <w:color w:val="auto"/>
          <w:highlight w:val="none"/>
          <w:lang w:val="en-US" w:eastAsia="zh-CN"/>
        </w:rPr>
        <w:t>及时履行资产移交手续，并</w:t>
      </w:r>
      <w:r>
        <w:rPr>
          <w:rFonts w:hint="default" w:ascii="Times New Roman" w:hAnsi="Times New Roman" w:cs="Times New Roman"/>
          <w:b/>
          <w:bCs/>
          <w:color w:val="auto"/>
          <w:highlight w:val="none"/>
          <w:lang w:val="en-US" w:eastAsia="zh-CN"/>
        </w:rPr>
        <w:t>建立相关后期管护制度</w:t>
      </w:r>
    </w:p>
    <w:p w14:paraId="797D0FD4">
      <w:pPr>
        <w:spacing w:line="360" w:lineRule="auto"/>
        <w:ind w:firstLine="420"/>
        <w:rPr>
          <w:rFonts w:hint="default"/>
          <w:lang w:val="en-US" w:eastAsia="zh-CN"/>
        </w:rPr>
      </w:pPr>
      <w:r>
        <w:rPr>
          <w:rFonts w:hint="default"/>
          <w:color w:val="auto"/>
          <w:highlight w:val="none"/>
          <w:lang w:val="en-US" w:eastAsia="zh-CN"/>
        </w:rPr>
        <w:t>根据项目实施单位提供的《关于吉木萨尔县二工镇大泉湖村2024年以工代赈基础设施建设项目资产移交及运营养护的情况说明》显示，该项目建成后将移交至大泉湖村村集体养护，运营。</w:t>
      </w:r>
      <w:r>
        <w:rPr>
          <w:rFonts w:hint="default"/>
          <w:color w:val="auto"/>
          <w:highlight w:val="none"/>
          <w:lang w:eastAsia="zh-CN"/>
        </w:rPr>
        <w:t>截至</w:t>
      </w:r>
      <w:r>
        <w:rPr>
          <w:rFonts w:hint="default"/>
          <w:color w:val="auto"/>
          <w:highlight w:val="none"/>
        </w:rPr>
        <w:t>2025年6月30日，</w:t>
      </w:r>
      <w:r>
        <w:rPr>
          <w:rFonts w:hint="default"/>
          <w:color w:val="auto"/>
          <w:highlight w:val="none"/>
          <w:lang w:val="en-US" w:eastAsia="zh-CN"/>
        </w:rPr>
        <w:t>尚未按照</w:t>
      </w:r>
      <w:r>
        <w:rPr>
          <w:rFonts w:hint="default"/>
          <w:color w:val="auto"/>
        </w:rPr>
        <w:t>《国家乡村振兴局</w:t>
      </w:r>
      <w:r>
        <w:rPr>
          <w:rFonts w:hint="default"/>
          <w:color w:val="auto"/>
          <w:lang w:eastAsia="zh-CN"/>
        </w:rPr>
        <w:t>、</w:t>
      </w:r>
      <w:r>
        <w:rPr>
          <w:rFonts w:hint="default"/>
          <w:color w:val="auto"/>
        </w:rPr>
        <w:t>中央农办</w:t>
      </w:r>
      <w:r>
        <w:rPr>
          <w:rFonts w:hint="default"/>
          <w:color w:val="auto"/>
          <w:lang w:eastAsia="zh-CN"/>
        </w:rPr>
        <w:t>、</w:t>
      </w:r>
      <w:r>
        <w:rPr>
          <w:rFonts w:hint="default"/>
          <w:color w:val="auto"/>
        </w:rPr>
        <w:t>财政部</w:t>
      </w:r>
      <w:r>
        <w:rPr>
          <w:rFonts w:hint="default"/>
          <w:color w:val="auto"/>
          <w:lang w:val="en-US" w:eastAsia="zh-CN"/>
        </w:rPr>
        <w:t>&lt;</w:t>
      </w:r>
      <w:r>
        <w:rPr>
          <w:rFonts w:hint="default"/>
          <w:color w:val="auto"/>
        </w:rPr>
        <w:t>关于加强扶贫项目资产后续管理指导意见</w:t>
      </w:r>
      <w:r>
        <w:rPr>
          <w:rFonts w:hint="default"/>
          <w:color w:val="auto"/>
          <w:lang w:val="en-US" w:eastAsia="zh-CN"/>
        </w:rPr>
        <w:t>&gt;</w:t>
      </w:r>
      <w:r>
        <w:rPr>
          <w:rFonts w:hint="default"/>
          <w:color w:val="auto"/>
        </w:rPr>
        <w:t>的通知》（国办函〔2021〕51号）工作要求对已完工的项目按照行业相关要求进行确权和管理，</w:t>
      </w:r>
      <w:r>
        <w:rPr>
          <w:rFonts w:hint="default"/>
          <w:color w:val="auto"/>
          <w:lang w:val="en-US" w:eastAsia="zh-CN"/>
        </w:rPr>
        <w:t>并</w:t>
      </w:r>
      <w:r>
        <w:rPr>
          <w:rFonts w:hint="default"/>
          <w:color w:val="auto"/>
        </w:rPr>
        <w:t>建立相关后期管护制度</w:t>
      </w:r>
      <w:r>
        <w:rPr>
          <w:rFonts w:hint="default"/>
          <w:color w:val="auto"/>
          <w:lang w:val="en-US" w:eastAsia="zh-CN"/>
        </w:rPr>
        <w:t>。</w:t>
      </w:r>
    </w:p>
    <w:p w14:paraId="7338EA12">
      <w:pPr>
        <w:pageBreakBefore w:val="0"/>
        <w:kinsoku/>
        <w:wordWrap/>
        <w:overflowPunct/>
        <w:topLinePunct w:val="0"/>
        <w:autoSpaceDE/>
        <w:autoSpaceDN/>
        <w:bidi w:val="0"/>
        <w:snapToGrid w:val="0"/>
        <w:spacing w:before="0" w:after="0" w:line="360" w:lineRule="auto"/>
        <w:ind w:firstLine="422"/>
        <w:rPr>
          <w:b/>
          <w:bCs/>
          <w:color w:val="auto"/>
          <w:sz w:val="24"/>
          <w:szCs w:val="28"/>
        </w:rPr>
      </w:pPr>
      <w:r>
        <w:rPr>
          <w:b/>
          <w:bCs/>
          <w:color w:val="auto"/>
          <w:sz w:val="24"/>
          <w:szCs w:val="28"/>
        </w:rPr>
        <w:t>（三）有关建议</w:t>
      </w:r>
    </w:p>
    <w:p w14:paraId="7B49F863">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1.</w:t>
      </w:r>
      <w:r>
        <w:rPr>
          <w:rFonts w:hint="default" w:ascii="Times New Roman" w:hAnsi="Times New Roman" w:eastAsia="宋体" w:cs="Times New Roman"/>
          <w:b/>
          <w:bCs/>
          <w:color w:val="auto"/>
          <w:kern w:val="2"/>
          <w:sz w:val="21"/>
          <w:szCs w:val="21"/>
          <w:highlight w:val="none"/>
          <w:lang w:val="en-US" w:eastAsia="zh-CN" w:bidi="ar-SA"/>
        </w:rPr>
        <w:t>加强资金使用管理，强化</w:t>
      </w:r>
      <w:r>
        <w:rPr>
          <w:rFonts w:hint="default" w:eastAsia="宋体" w:cs="Times New Roman"/>
          <w:b/>
          <w:bCs/>
          <w:color w:val="auto"/>
          <w:kern w:val="2"/>
          <w:sz w:val="21"/>
          <w:szCs w:val="21"/>
          <w:highlight w:val="none"/>
          <w:lang w:val="en-US" w:eastAsia="zh-CN" w:bidi="ar-SA"/>
        </w:rPr>
        <w:t>会计核算规范性</w:t>
      </w:r>
    </w:p>
    <w:p w14:paraId="056E2FB3">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color w:val="auto"/>
        </w:rPr>
      </w:pPr>
      <w:r>
        <w:rPr>
          <w:rFonts w:hint="default" w:ascii="Times New Roman" w:hAnsi="Times New Roman" w:eastAsia="宋体" w:cs="Times New Roman"/>
          <w:color w:val="auto"/>
          <w:highlight w:val="none"/>
        </w:rPr>
        <w:t>建议</w:t>
      </w:r>
      <w:r>
        <w:rPr>
          <w:rFonts w:hint="default" w:ascii="Times New Roman" w:hAnsi="Times New Roman" w:eastAsia="宋体" w:cs="Times New Roman"/>
          <w:color w:val="auto"/>
          <w:highlight w:val="none"/>
          <w:lang w:val="en-US" w:eastAsia="zh-CN"/>
        </w:rPr>
        <w:t>实施</w:t>
      </w:r>
      <w:r>
        <w:rPr>
          <w:rFonts w:hint="default" w:ascii="Times New Roman" w:hAnsi="Times New Roman" w:eastAsia="宋体" w:cs="Times New Roman"/>
          <w:color w:val="auto"/>
          <w:highlight w:val="none"/>
        </w:rPr>
        <w:t>项目单位严格按照国家财经法规和财务管理制度相关规定</w:t>
      </w:r>
      <w:r>
        <w:rPr>
          <w:rFonts w:hint="default" w:ascii="Times New Roman" w:hAnsi="Times New Roman" w:eastAsia="宋体" w:cs="Times New Roman"/>
          <w:color w:val="auto"/>
          <w:highlight w:val="none"/>
          <w:lang w:val="en-US" w:eastAsia="zh-CN"/>
        </w:rPr>
        <w:t>管理使用</w:t>
      </w:r>
      <w:r>
        <w:rPr>
          <w:rFonts w:hint="default" w:eastAsia="宋体" w:cs="Times New Roman"/>
          <w:color w:val="auto"/>
          <w:highlight w:val="none"/>
          <w:lang w:val="en-US" w:eastAsia="zh-CN"/>
        </w:rPr>
        <w:t>专项</w:t>
      </w:r>
      <w:r>
        <w:rPr>
          <w:rFonts w:hint="default" w:ascii="Times New Roman" w:hAnsi="Times New Roman" w:eastAsia="宋体" w:cs="Times New Roman"/>
          <w:color w:val="auto"/>
          <w:highlight w:val="none"/>
          <w:lang w:val="en-US" w:eastAsia="zh-CN"/>
        </w:rPr>
        <w:t>资金</w:t>
      </w:r>
      <w:r>
        <w:rPr>
          <w:rFonts w:hint="default" w:ascii="Times New Roman" w:hAnsi="Times New Roman" w:eastAsia="宋体" w:cs="Times New Roman"/>
          <w:color w:val="auto"/>
          <w:highlight w:val="none"/>
        </w:rPr>
        <w:t>，确保各岗位审批职责落实到位，规范开展财务支出审批程序</w:t>
      </w:r>
      <w:r>
        <w:rPr>
          <w:rFonts w:hint="default" w:ascii="Times New Roman" w:hAnsi="Times New Roman" w:eastAsia="宋体" w:cs="Times New Roman"/>
          <w:color w:val="auto"/>
          <w:highlight w:val="none"/>
          <w:lang w:eastAsia="zh-CN"/>
        </w:rPr>
        <w:t>，</w:t>
      </w:r>
      <w:r>
        <w:rPr>
          <w:rFonts w:hint="default" w:eastAsia="宋体" w:cs="Times New Roman"/>
          <w:color w:val="auto"/>
          <w:highlight w:val="none"/>
          <w:lang w:val="en-US" w:eastAsia="zh-CN"/>
        </w:rPr>
        <w:t>并按照</w:t>
      </w:r>
      <w:r>
        <w:rPr>
          <w:rFonts w:hint="default" w:eastAsia="宋体" w:cs="Times New Roman"/>
          <w:color w:val="auto"/>
          <w:sz w:val="21"/>
          <w:szCs w:val="21"/>
          <w:highlight w:val="none"/>
          <w:lang w:val="en-US" w:eastAsia="zh-CN"/>
        </w:rPr>
        <w:t>《政府会计准则》《会计基础工作规范》等财务法规要求规范开展基建项目支出的财务会计核算。</w:t>
      </w:r>
      <w:r>
        <w:rPr>
          <w:rFonts w:hint="default" w:ascii="Times New Roman" w:hAnsi="Times New Roman" w:eastAsia="宋体" w:cs="Times New Roman"/>
          <w:color w:val="auto"/>
          <w:highlight w:val="none"/>
        </w:rPr>
        <w:t>加强单位内部监督检查力度，对经济业务活动进行全面检查和评估，及时发现</w:t>
      </w:r>
      <w:r>
        <w:rPr>
          <w:rFonts w:hint="default" w:ascii="Times New Roman" w:hAnsi="Times New Roman" w:eastAsia="宋体" w:cs="Times New Roman"/>
          <w:color w:val="auto"/>
          <w:highlight w:val="none"/>
          <w:lang w:val="en-US" w:eastAsia="zh-CN"/>
        </w:rPr>
        <w:t>并整改存在的问题</w:t>
      </w:r>
      <w:r>
        <w:rPr>
          <w:rFonts w:hint="default" w:ascii="Times New Roman" w:hAnsi="Times New Roman" w:eastAsia="宋体" w:cs="Times New Roman"/>
          <w:color w:val="auto"/>
          <w:highlight w:val="none"/>
        </w:rPr>
        <w:t>，严肃财经纪律</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b w:val="0"/>
          <w:bCs w:val="0"/>
          <w:color w:val="auto"/>
          <w:kern w:val="2"/>
          <w:sz w:val="21"/>
          <w:szCs w:val="21"/>
          <w:highlight w:val="none"/>
          <w:lang w:val="en-US" w:eastAsia="zh-CN" w:bidi="ar-SA"/>
        </w:rPr>
        <w:t>确保专项资金使用合规、安全</w:t>
      </w:r>
      <w:r>
        <w:rPr>
          <w:rFonts w:hint="default" w:ascii="Times New Roman" w:hAnsi="Times New Roman" w:cs="Times New Roman"/>
          <w:color w:val="auto"/>
        </w:rPr>
        <w:t>。</w:t>
      </w:r>
    </w:p>
    <w:p w14:paraId="6E2E2436">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cs="Times New Roman"/>
          <w:b/>
          <w:bCs/>
          <w:color w:val="auto"/>
          <w:lang w:val="en-US" w:eastAsia="zh-CN"/>
        </w:rPr>
      </w:pPr>
      <w:r>
        <w:rPr>
          <w:rFonts w:hint="default" w:cs="Times New Roman"/>
          <w:b/>
          <w:bCs/>
          <w:color w:val="auto"/>
          <w:lang w:val="en-US" w:eastAsia="zh-CN"/>
        </w:rPr>
        <w:t>2.加强项目合同管理及采购管理规范性</w:t>
      </w:r>
    </w:p>
    <w:p w14:paraId="1FE8189D">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color w:val="auto"/>
          <w:highlight w:val="none"/>
          <w:lang w:eastAsia="zh-Hans"/>
        </w:rPr>
      </w:pPr>
      <w:r>
        <w:rPr>
          <w:rFonts w:hint="default" w:ascii="Times New Roman" w:hAnsi="Times New Roman" w:cs="Times New Roman" w:eastAsiaTheme="minorEastAsia"/>
          <w:color w:val="auto"/>
          <w:sz w:val="21"/>
          <w:szCs w:val="21"/>
          <w:highlight w:val="none"/>
        </w:rPr>
        <w:t>建议项目实施单位</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lang w:val="en-US" w:eastAsia="zh-CN"/>
        </w:rPr>
        <w:t>一是</w:t>
      </w:r>
      <w:r>
        <w:rPr>
          <w:rFonts w:hint="default" w:ascii="Times New Roman" w:hAnsi="Times New Roman" w:cs="Times New Roman"/>
          <w:color w:val="auto"/>
          <w:highlight w:val="none"/>
          <w:lang w:eastAsia="zh-Hans"/>
        </w:rPr>
        <w:t>加强采购管理，按照政府采购</w:t>
      </w:r>
      <w:r>
        <w:rPr>
          <w:rFonts w:hint="default" w:ascii="Times New Roman" w:hAnsi="Times New Roman" w:cs="Times New Roman"/>
          <w:color w:val="auto"/>
          <w:highlight w:val="none"/>
          <w:lang w:val="en-US" w:eastAsia="zh-CN"/>
        </w:rPr>
        <w:t>管理</w:t>
      </w:r>
      <w:r>
        <w:rPr>
          <w:rFonts w:hint="default" w:ascii="Times New Roman" w:hAnsi="Times New Roman" w:cs="Times New Roman"/>
          <w:color w:val="auto"/>
          <w:highlight w:val="none"/>
          <w:lang w:eastAsia="zh-Hans"/>
        </w:rPr>
        <w:t>相关规定选定合适的采购方式，按规定履行采购流程，确保政府采购活动完整规范。</w:t>
      </w:r>
      <w:r>
        <w:rPr>
          <w:rFonts w:hint="default" w:ascii="Times New Roman" w:hAnsi="Times New Roman" w:cs="Times New Roman"/>
          <w:color w:val="auto"/>
          <w:highlight w:val="none"/>
          <w:lang w:val="en-US" w:eastAsia="zh-CN"/>
        </w:rPr>
        <w:t>二是</w:t>
      </w:r>
      <w:r>
        <w:rPr>
          <w:rFonts w:hint="default" w:ascii="Times New Roman" w:hAnsi="Times New Roman" w:cs="Times New Roman"/>
          <w:color w:val="auto"/>
          <w:highlight w:val="none"/>
          <w:lang w:eastAsia="zh-Hans"/>
        </w:rPr>
        <w:t>强化合同管理意识，规范合同决策程序。指定专人负责合同管理，明确合同订立范围和条件，在合同签订前履行集体决策程序。加大合同审查力度，防范合同风险。对合同的内容、重要事项、期限等进行审核把关，确保合同要素齐全、条款</w:t>
      </w:r>
      <w:r>
        <w:rPr>
          <w:rFonts w:hint="default" w:ascii="Times New Roman" w:hAnsi="Times New Roman" w:cs="Times New Roman" w:eastAsiaTheme="minorEastAsia"/>
          <w:color w:val="auto"/>
          <w:sz w:val="21"/>
          <w:szCs w:val="21"/>
          <w:highlight w:val="none"/>
        </w:rPr>
        <w:t>合规。加强合同过程管理，健全合同履行监控机制。财务与业务部门应定期沟通协调，严格按照合同约定进度支付资金，对合同履行情况进行全过程跟踪，发现违约或延期行为应及时采取措施，提高财政资金使用效益。</w:t>
      </w:r>
    </w:p>
    <w:p w14:paraId="3C124F5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b/>
          <w:bCs/>
          <w:color w:val="auto"/>
          <w:lang w:val="en-US" w:eastAsia="zh-CN"/>
        </w:rPr>
      </w:pPr>
      <w:r>
        <w:rPr>
          <w:rFonts w:hint="default"/>
          <w:b/>
          <w:bCs/>
          <w:color w:val="auto"/>
          <w:lang w:val="en-US" w:eastAsia="zh-CN"/>
        </w:rPr>
        <w:t>3.进一步规范和加强以工代赈项目管理，确保“赈”出实效</w:t>
      </w:r>
    </w:p>
    <w:p w14:paraId="3AB90676">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default"/>
          <w:color w:val="auto"/>
          <w:lang w:val="en-US" w:eastAsia="zh-CN"/>
        </w:rPr>
      </w:pPr>
      <w:r>
        <w:rPr>
          <w:rFonts w:hint="default"/>
          <w:color w:val="auto"/>
          <w:lang w:val="en-US" w:eastAsia="zh-CN"/>
        </w:rPr>
        <w:t>建议相关主管部门严格按照《国家以工代赈管理办法》等政策要求落实好以工代赈的管理职责，建立健全以工代赈计划执行监测机制，实行定期调度、动态监测，督促指导项目管理使用好以工代赈专项资金投入，确保严格按照专项计划文件明确的劳务报酬占中央资金比例要求做好劳务报酬发放工作，尽最大可能提高以工代赈项目劳务报酬占财政资金的比例；项目实施完成后，项目各方应积极主动沟通协调部门组成验收工作组，重点对项目建设质量、群众务工组织、劳务报酬发放、就业技能培训等落实情况开展验收，并对项目发挥“赈”的作用效果进行评价，确保“赈”出实效。</w:t>
      </w:r>
    </w:p>
    <w:p w14:paraId="58D7242E">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b/>
          <w:bCs/>
          <w:color w:val="auto"/>
          <w:highlight w:val="none"/>
          <w:lang w:val="en-US" w:eastAsia="zh-Hans"/>
        </w:rPr>
      </w:pPr>
      <w:r>
        <w:rPr>
          <w:rFonts w:hint="default" w:cs="Times New Roman"/>
          <w:b/>
          <w:bCs/>
          <w:color w:val="auto"/>
          <w:highlight w:val="none"/>
          <w:lang w:val="en-US" w:eastAsia="zh-CN"/>
        </w:rPr>
        <w:t>4</w:t>
      </w:r>
      <w:r>
        <w:rPr>
          <w:rFonts w:hint="default" w:ascii="Times New Roman" w:hAnsi="Times New Roman" w:cs="Times New Roman"/>
          <w:b/>
          <w:bCs/>
          <w:color w:val="auto"/>
          <w:highlight w:val="none"/>
          <w:lang w:val="en-US" w:eastAsia="zh-Hans"/>
        </w:rPr>
        <w:t>.</w:t>
      </w:r>
      <w:r>
        <w:rPr>
          <w:rFonts w:hint="default" w:cs="Times New Roman"/>
          <w:b/>
          <w:bCs/>
          <w:color w:val="auto"/>
          <w:highlight w:val="none"/>
          <w:lang w:val="en-US" w:eastAsia="zh-CN"/>
        </w:rPr>
        <w:t>做好项目资产的登记入账和移交工作，</w:t>
      </w:r>
      <w:r>
        <w:rPr>
          <w:rFonts w:hint="default" w:ascii="Times New Roman" w:hAnsi="Times New Roman" w:cs="Times New Roman"/>
          <w:b/>
          <w:bCs/>
          <w:color w:val="auto"/>
          <w:highlight w:val="none"/>
          <w:lang w:val="en-US" w:eastAsia="zh-Hans"/>
        </w:rPr>
        <w:t>落实</w:t>
      </w:r>
      <w:r>
        <w:rPr>
          <w:rFonts w:hint="default" w:ascii="Times New Roman" w:hAnsi="Times New Roman" w:cs="Times New Roman"/>
          <w:b/>
          <w:bCs/>
          <w:color w:val="auto"/>
          <w:highlight w:val="none"/>
          <w:lang w:val="en-US" w:eastAsia="zh-CN"/>
        </w:rPr>
        <w:t>项目</w:t>
      </w:r>
      <w:r>
        <w:rPr>
          <w:rFonts w:hint="default" w:ascii="Times New Roman" w:hAnsi="Times New Roman" w:cs="Times New Roman"/>
          <w:b/>
          <w:bCs/>
          <w:color w:val="auto"/>
          <w:highlight w:val="none"/>
          <w:lang w:val="en-US" w:eastAsia="zh-Hans"/>
        </w:rPr>
        <w:t>后</w:t>
      </w:r>
      <w:r>
        <w:rPr>
          <w:rFonts w:hint="default" w:cs="Times New Roman"/>
          <w:b/>
          <w:bCs/>
          <w:color w:val="auto"/>
          <w:highlight w:val="none"/>
          <w:lang w:val="en-US" w:eastAsia="zh-CN"/>
        </w:rPr>
        <w:t>期的管护机制</w:t>
      </w:r>
    </w:p>
    <w:p w14:paraId="0DB419AF">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sectPr>
          <w:headerReference r:id="rId11" w:type="default"/>
          <w:footerReference r:id="rId12" w:type="default"/>
          <w:pgSz w:w="11906" w:h="16838"/>
          <w:pgMar w:top="1440" w:right="1797" w:bottom="1440" w:left="1797" w:header="737" w:footer="850" w:gutter="0"/>
          <w:pgNumType w:fmt="upperRoman" w:start="1"/>
          <w:cols w:space="720" w:num="1"/>
          <w:docGrid w:type="lines" w:linePitch="312" w:charSpace="0"/>
        </w:sectPr>
      </w:pPr>
      <w:r>
        <w:rPr>
          <w:rFonts w:hint="default" w:ascii="Times New Roman" w:hAnsi="Times New Roman" w:eastAsia="宋体" w:cs="Times New Roman"/>
          <w:color w:val="auto"/>
          <w:sz w:val="21"/>
          <w:szCs w:val="21"/>
          <w:highlight w:val="none"/>
          <w:lang w:val="en-US" w:eastAsia="zh-CN"/>
        </w:rPr>
        <w:t>建议</w:t>
      </w:r>
      <w:r>
        <w:rPr>
          <w:rFonts w:hint="default" w:ascii="Times New Roman" w:hAnsi="Times New Roman" w:eastAsia="宋体" w:cs="Times New Roman"/>
          <w:color w:val="auto"/>
          <w:sz w:val="21"/>
          <w:szCs w:val="21"/>
          <w:highlight w:val="none"/>
        </w:rPr>
        <w:t>项目实施单位依据《政府会计准则第3号——固定资产》《行政事业性国有资产管理条例》《新疆维吾尔自治区行政事业单位国有资产管理办法</w:t>
      </w:r>
      <w:r>
        <w:rPr>
          <w:rFonts w:hint="default" w:eastAsia="宋体" w:cs="Times New Roman"/>
          <w:color w:val="auto"/>
          <w:sz w:val="21"/>
          <w:szCs w:val="21"/>
          <w:highlight w:val="none"/>
          <w:lang w:eastAsia="zh-CN"/>
        </w:rPr>
        <w:t>》等</w:t>
      </w:r>
      <w:r>
        <w:rPr>
          <w:rFonts w:hint="default" w:ascii="Times New Roman" w:hAnsi="Times New Roman" w:eastAsia="宋体" w:cs="Times New Roman"/>
          <w:color w:val="auto"/>
          <w:sz w:val="21"/>
          <w:szCs w:val="21"/>
          <w:highlight w:val="none"/>
        </w:rPr>
        <w:t>相关规定，尽快完成项目会计核算并将其计入固定资产。</w:t>
      </w:r>
      <w:r>
        <w:rPr>
          <w:rFonts w:hint="default" w:ascii="Times New Roman" w:hAnsi="Times New Roman" w:eastAsia="宋体" w:cs="Times New Roman"/>
          <w:color w:val="auto"/>
          <w:sz w:val="21"/>
          <w:szCs w:val="21"/>
          <w:highlight w:val="none"/>
          <w:lang w:val="en-US" w:eastAsia="zh-CN"/>
        </w:rPr>
        <w:t>并</w:t>
      </w:r>
      <w:r>
        <w:rPr>
          <w:rFonts w:hint="default" w:eastAsia="宋体" w:cs="Times New Roman"/>
          <w:color w:val="auto"/>
          <w:sz w:val="21"/>
          <w:szCs w:val="21"/>
          <w:highlight w:val="none"/>
          <w:lang w:val="en-US" w:eastAsia="zh-CN"/>
        </w:rPr>
        <w:t>按照</w:t>
      </w:r>
      <w:r>
        <w:rPr>
          <w:rFonts w:hint="default" w:ascii="Times New Roman" w:hAnsi="Times New Roman" w:cs="Times New Roman"/>
          <w:color w:val="auto"/>
          <w:highlight w:val="none"/>
          <w:lang w:eastAsia="zh-Hans"/>
        </w:rPr>
        <w:t>《关于加强扶贫项目资产后续管理指导意见的通知》（国办函〔2021〕51号）政策要求及时办理</w:t>
      </w:r>
      <w:r>
        <w:rPr>
          <w:rFonts w:hint="default" w:cs="Times New Roman"/>
          <w:color w:val="auto"/>
          <w:highlight w:val="none"/>
          <w:lang w:val="en-US" w:eastAsia="zh-CN"/>
        </w:rPr>
        <w:t>资产</w:t>
      </w:r>
      <w:r>
        <w:rPr>
          <w:rFonts w:hint="default" w:ascii="Times New Roman" w:hAnsi="Times New Roman" w:cs="Times New Roman"/>
          <w:color w:val="auto"/>
          <w:highlight w:val="none"/>
          <w:lang w:eastAsia="zh-Hans"/>
        </w:rPr>
        <w:t>移交手续，</w:t>
      </w:r>
      <w:r>
        <w:rPr>
          <w:rFonts w:hint="default" w:cs="Times New Roman"/>
          <w:color w:val="auto"/>
          <w:highlight w:val="none"/>
          <w:lang w:val="en-US" w:eastAsia="zh-CN"/>
        </w:rPr>
        <w:t>督促项目运营维护单位</w:t>
      </w:r>
      <w:r>
        <w:rPr>
          <w:rFonts w:hint="default" w:ascii="Times New Roman" w:hAnsi="Times New Roman" w:cs="Times New Roman"/>
          <w:color w:val="auto"/>
          <w:highlight w:val="none"/>
          <w:lang w:eastAsia="zh-Hans"/>
        </w:rPr>
        <w:t>根据实际情况制定项目相关后期管护机制，提高管理效能，定期对所建成村组道路进行维修维护</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eastAsia="zh-Hans"/>
        </w:rPr>
        <w:t>确保</w:t>
      </w:r>
      <w:r>
        <w:rPr>
          <w:rFonts w:hint="default" w:ascii="Times New Roman" w:hAnsi="Times New Roman" w:cs="Times New Roman"/>
          <w:color w:val="auto"/>
          <w:highlight w:val="none"/>
          <w:lang w:val="en-US" w:eastAsia="zh-CN"/>
        </w:rPr>
        <w:t>道</w:t>
      </w:r>
      <w:r>
        <w:rPr>
          <w:rFonts w:hint="default" w:ascii="Times New Roman" w:hAnsi="Times New Roman" w:cs="Times New Roman"/>
          <w:color w:val="auto"/>
          <w:highlight w:val="none"/>
          <w:lang w:eastAsia="zh-Hans"/>
        </w:rPr>
        <w:t>路完好畅通。</w:t>
      </w:r>
    </w:p>
    <w:sdt>
      <w:sdtPr>
        <w:rPr>
          <w:rFonts w:ascii="Times New Roman" w:hAnsi="Times New Roman" w:eastAsia="宋体" w:cs="Times New Roman"/>
          <w:color w:val="auto"/>
          <w:sz w:val="28"/>
          <w:szCs w:val="28"/>
        </w:rPr>
        <w:id w:val="147469479"/>
        <w:docPartObj>
          <w:docPartGallery w:val="Table of Contents"/>
          <w:docPartUnique/>
        </w:docPartObj>
      </w:sdtPr>
      <w:sdtEndPr>
        <w:rPr>
          <w:rFonts w:ascii="Times New Roman" w:hAnsi="Times New Roman" w:eastAsia="宋体" w:cs="Times New Roman"/>
          <w:b/>
          <w:color w:val="auto"/>
          <w:sz w:val="21"/>
          <w:szCs w:val="21"/>
        </w:rPr>
      </w:sdtEndPr>
      <w:sdtContent>
        <w:p w14:paraId="7D0A5A77">
          <w:pPr>
            <w:keepNext w:val="0"/>
            <w:keepLines w:val="0"/>
            <w:pageBreakBefore w:val="0"/>
            <w:widowControl w:val="0"/>
            <w:kinsoku/>
            <w:wordWrap/>
            <w:overflowPunct/>
            <w:topLinePunct w:val="0"/>
            <w:autoSpaceDE/>
            <w:autoSpaceDN/>
            <w:bidi w:val="0"/>
            <w:adjustRightInd w:val="0"/>
            <w:snapToGrid w:val="0"/>
            <w:spacing w:before="0" w:after="0" w:line="340" w:lineRule="exact"/>
            <w:ind w:firstLine="0" w:firstLineChars="0"/>
            <w:jc w:val="center"/>
            <w:textAlignment w:val="auto"/>
            <w:rPr>
              <w:rFonts w:ascii="Times New Roman" w:hAnsi="Times New Roman" w:eastAsia="宋体" w:cs="Times New Roman"/>
              <w:b/>
              <w:color w:val="auto"/>
              <w:kern w:val="2"/>
              <w:sz w:val="21"/>
              <w:szCs w:val="21"/>
              <w:lang w:val="en-US" w:eastAsia="zh-CN" w:bidi="ar-SA"/>
            </w:rPr>
          </w:pPr>
          <w:r>
            <w:rPr>
              <w:rFonts w:eastAsia="宋体"/>
              <w:b/>
              <w:bCs/>
              <w:color w:val="auto"/>
              <w:sz w:val="28"/>
              <w:szCs w:val="28"/>
            </w:rPr>
            <w:t>目录</w:t>
          </w:r>
          <w:r>
            <w:rPr>
              <w:rFonts w:eastAsia="宋体"/>
              <w:color w:val="auto"/>
              <w:sz w:val="21"/>
              <w:szCs w:val="21"/>
            </w:rPr>
            <w:fldChar w:fldCharType="begin"/>
          </w:r>
          <w:r>
            <w:rPr>
              <w:rFonts w:eastAsia="宋体"/>
              <w:color w:val="auto"/>
              <w:sz w:val="21"/>
              <w:szCs w:val="21"/>
            </w:rPr>
            <w:instrText xml:space="preserve">TOC \o "1-2" \h \u </w:instrText>
          </w:r>
          <w:r>
            <w:rPr>
              <w:rFonts w:eastAsia="宋体"/>
              <w:color w:val="auto"/>
              <w:sz w:val="21"/>
              <w:szCs w:val="21"/>
            </w:rPr>
            <w:fldChar w:fldCharType="separate"/>
          </w:r>
        </w:p>
        <w:p w14:paraId="416AE903">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_Toc10008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lang w:val="en-US" w:eastAsia="zh-CN"/>
            </w:rPr>
            <w:t>一、基本情况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_Toc10008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6B014304">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_Toc8116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highlight w:val="none"/>
            </w:rPr>
            <w:t>（一）</w:t>
          </w:r>
          <w:r>
            <w:rPr>
              <w:rFonts w:hint="default" w:ascii="Times New Roman" w:hAnsi="Times New Roman" w:cs="Times New Roman"/>
              <w:color w:val="auto"/>
              <w:sz w:val="21"/>
              <w:szCs w:val="21"/>
              <w:highlight w:val="none"/>
              <w:lang w:val="en-US" w:eastAsia="zh-CN"/>
            </w:rPr>
            <w:t>项目概况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_Toc8116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34A9F855">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_Toc20149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（二）资金投入和使用情况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_Toc20149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225D3B3">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_Toc10855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（三）项目实施情况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_Toc10855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EE1F577">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_Toc925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（四）项目组织管理</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_Toc925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5</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7848157">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_Toc32713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二、项目绩效目标</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_Toc32713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5</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0FEF8BFF">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_Toc19915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（一）项目绩效总目标</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_Toc19915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5</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52E2B594">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_Toc20066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（二）年度绩效目标</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_Toc20066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6</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2D5CDA32">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_Toc13881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三、绩效评价工作开展情况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_Toc13881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6</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673CBE64">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_Toc1422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（一）绩效评价依据</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_Toc1422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6</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0C869A24">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_Toc30709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（二）绩效评价目的、对象和范围</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_Toc30709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7</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742D97AE">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_Toc24763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（三）绩效评价原则</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_Toc24763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8</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7BF585E7">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_Toc742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bCs/>
              <w:color w:val="auto"/>
              <w:sz w:val="21"/>
              <w:szCs w:val="21"/>
              <w:highlight w:val="none"/>
              <w:lang w:eastAsia="zh-CN"/>
            </w:rPr>
            <w:t>（</w:t>
          </w:r>
          <w:r>
            <w:rPr>
              <w:rFonts w:hint="default" w:ascii="Times New Roman" w:hAnsi="Times New Roman" w:cs="Times New Roman"/>
              <w:bCs/>
              <w:color w:val="auto"/>
              <w:sz w:val="21"/>
              <w:szCs w:val="21"/>
              <w:highlight w:val="none"/>
              <w:lang w:val="en-US" w:eastAsia="zh-CN"/>
            </w:rPr>
            <w:t>四</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lang w:val="en-US" w:eastAsia="zh-CN"/>
            </w:rPr>
            <w:t>绩效评价标准</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_Toc742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8</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0AAD5A36">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_Toc29091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五</w:t>
          </w:r>
          <w:r>
            <w:rPr>
              <w:rFonts w:hint="default" w:ascii="Times New Roman" w:hAnsi="Times New Roman" w:cs="Times New Roman"/>
              <w:color w:val="auto"/>
              <w:sz w:val="21"/>
              <w:szCs w:val="21"/>
            </w:rPr>
            <w:t>）绩效评价方法</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_Toc29091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8</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7644EA2A">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_Toc9630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w:t>
          </w:r>
          <w:r>
            <w:rPr>
              <w:rFonts w:hint="default" w:ascii="Times New Roman" w:hAnsi="Times New Roman" w:cs="Times New Roman"/>
              <w:color w:val="auto"/>
              <w:sz w:val="21"/>
              <w:szCs w:val="21"/>
              <w:lang w:val="en-US" w:eastAsia="zh-CN"/>
            </w:rPr>
            <w:t>六</w:t>
          </w:r>
          <w:r>
            <w:rPr>
              <w:rFonts w:hint="default" w:ascii="Times New Roman" w:hAnsi="Times New Roman" w:cs="Times New Roman"/>
              <w:color w:val="auto"/>
              <w:sz w:val="21"/>
              <w:szCs w:val="21"/>
            </w:rPr>
            <w:t>）绩效评价指标体系设计</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_Toc9630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10</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3DB68890">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_Toc18757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lang w:val="en-US" w:eastAsia="zh-CN"/>
            </w:rPr>
            <w:t>（七）绩效评价工作过程</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_Toc18757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10</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37ECE273">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_Toc7926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四、综合评价情况及评价结论</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_Toc7926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12</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01AE5762">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_Toc7590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（一）评价得分情况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_Toc7590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12</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B660DD8">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_Toc7488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（二）综合评价结论</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_Toc7488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13</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7C839843">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_Toc31395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五、绩效评价指标分析</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_Toc31395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13</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5CFAA882">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_Toc8277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（一）项目决策情况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_Toc8277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13</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09D7ED04">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_Toc15969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（二）项目过程情况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_Toc15969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15</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F9378CD">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_Toc7370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（三）项目产出情况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_Toc7370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18</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40229A8">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_Toc26134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（四）项目效益情况</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_Toc26134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20</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2C12F5C5">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_Toc29198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六、主要经验及做法、存在的问题及原因分析</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_Toc29198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21</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2F16F92B">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_Toc5697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（一）主要经验及做法</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_Toc5697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21</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0AECA553">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_Toc4676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（二）存在的问题</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_Toc4676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22</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501F7ED9">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_Toc24979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七、有关建议</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_Toc24979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22</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0FBC0ADD">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_Toc29200 </w:instrText>
          </w:r>
          <w:r>
            <w:rPr>
              <w:rFonts w:hint="default" w:ascii="Times New Roman" w:hAnsi="Times New Roman" w:eastAsia="宋体" w:cs="Times New Roman"/>
              <w:color w:val="auto"/>
              <w:sz w:val="21"/>
              <w:szCs w:val="21"/>
            </w:rPr>
            <w:fldChar w:fldCharType="separate"/>
          </w:r>
          <w:r>
            <w:rPr>
              <w:rFonts w:hint="default" w:ascii="Times New Roman" w:hAnsi="Times New Roman" w:eastAsia="宋体" w:cs="Times New Roman"/>
              <w:bCs/>
              <w:color w:val="auto"/>
              <w:kern w:val="44"/>
              <w:sz w:val="21"/>
              <w:szCs w:val="21"/>
              <w:lang w:val="en-US" w:eastAsia="zh-CN" w:bidi="ar-SA"/>
            </w:rPr>
            <w:t>八、绩效评价结果应用建议</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_Toc29200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23</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0E56C2A">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_Toc11274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bCs/>
              <w:color w:val="auto"/>
              <w:sz w:val="21"/>
              <w:szCs w:val="21"/>
              <w:lang w:val="en-US" w:eastAsia="zh-CN"/>
            </w:rPr>
            <w:t>（一）绩效结果挂钩次年预算资金安排</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_Toc11274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23</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6CCA5BD8">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_Toc18357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bCs/>
              <w:color w:val="auto"/>
              <w:sz w:val="21"/>
              <w:szCs w:val="21"/>
              <w:lang w:val="en-US" w:eastAsia="zh-CN"/>
            </w:rPr>
            <w:t>（二）绩效结果挂钩整改措施</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_Toc18357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23</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38CDB960">
          <w:pPr>
            <w:pStyle w:val="15"/>
            <w:keepNext w:val="0"/>
            <w:keepLines w:val="0"/>
            <w:pageBreakBefore w:val="0"/>
            <w:widowControl w:val="0"/>
            <w:tabs>
              <w:tab w:val="right" w:leader="dot" w:pos="830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_Toc13337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bCs/>
              <w:color w:val="auto"/>
              <w:sz w:val="21"/>
              <w:szCs w:val="21"/>
              <w:lang w:val="en-US" w:eastAsia="zh-CN"/>
            </w:rPr>
            <w:t>（三）绩效结果挂钩报告公开</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_Toc13337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23</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40A02314">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_Toc7219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lang w:val="en-US" w:eastAsia="zh-CN"/>
            </w:rPr>
            <w:t>九</w:t>
          </w:r>
          <w:r>
            <w:rPr>
              <w:rFonts w:hint="default" w:ascii="Times New Roman" w:hAnsi="Times New Roman" w:cs="Times New Roman"/>
              <w:color w:val="auto"/>
              <w:sz w:val="21"/>
              <w:szCs w:val="21"/>
            </w:rPr>
            <w:t>、其他需要说明的问题</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_Toc7219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24</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EDD4FF7">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_Toc22986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附件1：绩效评价指标体系及综合评价表</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_Toc22986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25</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30C218CE">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_Toc1605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附件2：基础表</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_Toc1605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31</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19124AEE">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_Toc15425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附件3：问卷调查分析报告</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_Toc15425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33</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31AFE54B">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hint="default"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_Toc26230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附件4：现场勘查照片</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_Toc26230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35</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0600D653">
          <w:pPr>
            <w:pStyle w:val="14"/>
            <w:keepNext w:val="0"/>
            <w:keepLines w:val="0"/>
            <w:pageBreakBefore w:val="0"/>
            <w:widowControl w:val="0"/>
            <w:tabs>
              <w:tab w:val="right" w:leader="dot" w:pos="8306"/>
              <w:tab w:val="clear" w:pos="9356"/>
            </w:tabs>
            <w:kinsoku/>
            <w:wordWrap/>
            <w:overflowPunct/>
            <w:topLinePunct w:val="0"/>
            <w:autoSpaceDE/>
            <w:autoSpaceDN/>
            <w:bidi w:val="0"/>
            <w:adjustRightInd w:val="0"/>
            <w:snapToGrid w:val="0"/>
            <w:spacing w:line="340" w:lineRule="exact"/>
            <w:textAlignment w:val="auto"/>
            <w:rPr>
              <w:rFonts w:ascii="Times New Roman" w:hAnsi="Times New Roman" w:cs="Times New Roman"/>
              <w:color w:val="auto"/>
              <w:sz w:val="21"/>
              <w:szCs w:val="21"/>
            </w:rPr>
          </w:pPr>
          <w:r>
            <w:rPr>
              <w:rFonts w:hint="default" w:ascii="Times New Roman" w:hAnsi="Times New Roman" w:eastAsia="宋体" w:cs="Times New Roman"/>
              <w:color w:val="auto"/>
              <w:sz w:val="21"/>
              <w:szCs w:val="21"/>
            </w:rPr>
            <w:fldChar w:fldCharType="begin"/>
          </w:r>
          <w:r>
            <w:rPr>
              <w:rFonts w:hint="default" w:ascii="Times New Roman" w:hAnsi="Times New Roman" w:eastAsia="宋体" w:cs="Times New Roman"/>
              <w:color w:val="auto"/>
              <w:sz w:val="21"/>
              <w:szCs w:val="21"/>
            </w:rPr>
            <w:instrText xml:space="preserve"> HYPERLINK \l _Toc18444 </w:instrText>
          </w:r>
          <w:r>
            <w:rPr>
              <w:rFonts w:hint="default" w:ascii="Times New Roman" w:hAnsi="Times New Roman" w:eastAsia="宋体" w:cs="Times New Roman"/>
              <w:color w:val="auto"/>
              <w:sz w:val="21"/>
              <w:szCs w:val="21"/>
            </w:rPr>
            <w:fldChar w:fldCharType="separate"/>
          </w:r>
          <w:r>
            <w:rPr>
              <w:rFonts w:hint="default" w:ascii="Times New Roman" w:hAnsi="Times New Roman" w:cs="Times New Roman"/>
              <w:color w:val="auto"/>
              <w:sz w:val="21"/>
              <w:szCs w:val="21"/>
            </w:rPr>
            <w:t>附件5：绩效评价工作沟通反馈结果</w:t>
          </w:r>
          <w:r>
            <w:rPr>
              <w:rFonts w:hint="default" w:ascii="Times New Roman" w:hAnsi="Times New Roman" w:cs="Times New Roman"/>
              <w:color w:val="auto"/>
              <w:sz w:val="21"/>
              <w:szCs w:val="21"/>
            </w:rPr>
            <w:tab/>
          </w:r>
          <w:r>
            <w:rPr>
              <w:rFonts w:hint="default" w:ascii="Times New Roman" w:hAnsi="Times New Roman" w:cs="Times New Roman"/>
              <w:color w:val="auto"/>
              <w:sz w:val="21"/>
              <w:szCs w:val="21"/>
            </w:rPr>
            <w:fldChar w:fldCharType="begin"/>
          </w:r>
          <w:r>
            <w:rPr>
              <w:rFonts w:hint="default" w:ascii="Times New Roman" w:hAnsi="Times New Roman" w:cs="Times New Roman"/>
              <w:color w:val="auto"/>
              <w:sz w:val="21"/>
              <w:szCs w:val="21"/>
            </w:rPr>
            <w:instrText xml:space="preserve"> PAGEREF _Toc18444 \h </w:instrText>
          </w:r>
          <w:r>
            <w:rPr>
              <w:rFonts w:hint="default" w:ascii="Times New Roman" w:hAnsi="Times New Roman" w:cs="Times New Roman"/>
              <w:color w:val="auto"/>
              <w:sz w:val="21"/>
              <w:szCs w:val="21"/>
            </w:rPr>
            <w:fldChar w:fldCharType="separate"/>
          </w:r>
          <w:r>
            <w:rPr>
              <w:rFonts w:hint="default" w:ascii="Times New Roman" w:hAnsi="Times New Roman" w:cs="Times New Roman"/>
              <w:color w:val="auto"/>
              <w:sz w:val="21"/>
              <w:szCs w:val="21"/>
            </w:rPr>
            <w:t>36</w:t>
          </w:r>
          <w:r>
            <w:rPr>
              <w:rFonts w:hint="default" w:ascii="Times New Roman" w:hAnsi="Times New Roman" w:cs="Times New Roman"/>
              <w:color w:val="auto"/>
              <w:sz w:val="21"/>
              <w:szCs w:val="21"/>
            </w:rPr>
            <w:fldChar w:fldCharType="end"/>
          </w:r>
          <w:r>
            <w:rPr>
              <w:rFonts w:hint="default" w:ascii="Times New Roman" w:hAnsi="Times New Roman" w:eastAsia="宋体" w:cs="Times New Roman"/>
              <w:color w:val="auto"/>
              <w:sz w:val="21"/>
              <w:szCs w:val="21"/>
            </w:rPr>
            <w:fldChar w:fldCharType="end"/>
          </w:r>
        </w:p>
        <w:p w14:paraId="21D01172">
          <w:pPr>
            <w:keepNext w:val="0"/>
            <w:keepLines w:val="0"/>
            <w:pageBreakBefore w:val="0"/>
            <w:widowControl w:val="0"/>
            <w:kinsoku/>
            <w:wordWrap/>
            <w:overflowPunct/>
            <w:topLinePunct w:val="0"/>
            <w:autoSpaceDE/>
            <w:autoSpaceDN/>
            <w:bidi w:val="0"/>
            <w:adjustRightInd w:val="0"/>
            <w:snapToGrid w:val="0"/>
            <w:spacing w:before="0" w:after="0" w:line="340" w:lineRule="exact"/>
            <w:ind w:firstLine="0" w:firstLineChars="0"/>
            <w:jc w:val="center"/>
            <w:textAlignment w:val="auto"/>
            <w:rPr>
              <w:rFonts w:eastAsia="宋体"/>
              <w:color w:val="auto"/>
            </w:rPr>
          </w:pPr>
          <w:r>
            <w:rPr>
              <w:rFonts w:eastAsia="宋体"/>
              <w:b/>
              <w:color w:val="auto"/>
              <w:sz w:val="21"/>
              <w:szCs w:val="21"/>
            </w:rPr>
            <w:fldChar w:fldCharType="end"/>
          </w:r>
        </w:p>
      </w:sdtContent>
    </w:sdt>
    <w:p w14:paraId="24C1013E">
      <w:pPr>
        <w:pageBreakBefore w:val="0"/>
        <w:kinsoku/>
        <w:wordWrap/>
        <w:overflowPunct/>
        <w:topLinePunct w:val="0"/>
        <w:autoSpaceDE/>
        <w:autoSpaceDN/>
        <w:bidi w:val="0"/>
        <w:snapToGrid w:val="0"/>
        <w:spacing w:before="0" w:after="0" w:line="360" w:lineRule="auto"/>
        <w:ind w:firstLine="0" w:firstLineChars="0"/>
        <w:rPr>
          <w:rFonts w:ascii="Times New Roman" w:hAnsi="Times New Roman" w:eastAsia="宋体" w:cs="Times New Roman"/>
          <w:color w:val="auto"/>
        </w:rPr>
        <w:sectPr>
          <w:footerReference r:id="rId13" w:type="default"/>
          <w:pgSz w:w="11906" w:h="16838"/>
          <w:pgMar w:top="1440" w:right="1800" w:bottom="1440" w:left="1800" w:header="737" w:footer="737" w:gutter="0"/>
          <w:pgNumType w:start="1"/>
          <w:cols w:space="425" w:num="1"/>
          <w:docGrid w:type="lines" w:linePitch="312" w:charSpace="0"/>
        </w:sectPr>
      </w:pPr>
    </w:p>
    <w:p w14:paraId="34C186FD">
      <w:pPr>
        <w:pageBreakBefore w:val="0"/>
        <w:kinsoku/>
        <w:wordWrap/>
        <w:overflowPunct/>
        <w:topLinePunct w:val="0"/>
        <w:autoSpaceDE/>
        <w:autoSpaceDN/>
        <w:bidi w:val="0"/>
        <w:adjustRightInd/>
        <w:snapToGrid w:val="0"/>
        <w:spacing w:before="0" w:after="0" w:line="360" w:lineRule="auto"/>
        <w:ind w:left="-178" w:leftChars="-85" w:firstLine="0" w:firstLineChars="0"/>
        <w:jc w:val="center"/>
        <w:outlineLvl w:val="0"/>
        <w:rPr>
          <w:rFonts w:eastAsia="楷体_GB2312"/>
          <w:b/>
          <w:color w:val="auto"/>
          <w:sz w:val="48"/>
          <w:szCs w:val="48"/>
        </w:rPr>
      </w:pPr>
      <w:bookmarkStart w:id="8" w:name="_Toc5622"/>
      <w:bookmarkStart w:id="9" w:name="_Toc6064"/>
      <w:bookmarkStart w:id="10" w:name="_Toc17971"/>
      <w:bookmarkStart w:id="11" w:name="_Toc26455"/>
      <w:bookmarkStart w:id="12" w:name="_Toc25378"/>
      <w:r>
        <w:rPr>
          <w:rFonts w:eastAsia="仿宋_GB2312"/>
          <w:b/>
          <w:color w:val="auto"/>
          <w:sz w:val="48"/>
          <w:szCs w:val="48"/>
        </w:rPr>
        <w:t>新疆驰远天合有限责任会计师事务所</w:t>
      </w:r>
      <w:bookmarkEnd w:id="8"/>
      <w:bookmarkEnd w:id="9"/>
      <w:bookmarkEnd w:id="10"/>
      <w:bookmarkEnd w:id="11"/>
      <w:bookmarkEnd w:id="12"/>
    </w:p>
    <w:p w14:paraId="409B0B44">
      <w:pPr>
        <w:pageBreakBefore w:val="0"/>
        <w:kinsoku/>
        <w:wordWrap/>
        <w:overflowPunct/>
        <w:topLinePunct w:val="0"/>
        <w:autoSpaceDE/>
        <w:autoSpaceDN/>
        <w:bidi w:val="0"/>
        <w:adjustRightInd/>
        <w:snapToGrid w:val="0"/>
        <w:spacing w:before="0" w:after="0" w:line="360" w:lineRule="auto"/>
        <w:ind w:firstLine="0" w:firstLineChars="0"/>
        <w:jc w:val="center"/>
        <w:rPr>
          <w:rFonts w:eastAsia="宋体"/>
          <w:color w:val="auto"/>
          <w:sz w:val="24"/>
          <w:szCs w:val="24"/>
        </w:rPr>
      </w:pPr>
      <w:r>
        <w:rPr>
          <w:rFonts w:eastAsia="宋体"/>
          <w:color w:val="auto"/>
          <w:sz w:val="24"/>
          <w:szCs w:val="24"/>
        </w:rPr>
        <w:t>Xinjiang Chiyuantianhe Certified Public Accountants Co.,Ltd.</w:t>
      </w:r>
    </w:p>
    <w:p w14:paraId="2B0C9F46">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eastAsia="宋体"/>
          <w:color w:val="auto"/>
        </w:rPr>
      </w:pPr>
      <w:bookmarkStart w:id="13" w:name="_Toc4177"/>
      <w:bookmarkStart w:id="14" w:name="_Toc23718"/>
      <w:bookmarkStart w:id="15" w:name="_Toc11722"/>
      <w:bookmarkStart w:id="16" w:name="_Toc21607"/>
      <w:bookmarkStart w:id="17" w:name="_Toc12857"/>
      <w:r>
        <w:rPr>
          <w:rFonts w:eastAsia="宋体"/>
          <w:b/>
          <w:color w:val="auto"/>
          <w:spacing w:val="66"/>
          <w:kern w:val="0"/>
          <w:sz w:val="44"/>
          <w:szCs w:val="44"/>
          <w:fitText w:val="3300" w:id="1424759405"/>
        </w:rPr>
        <w:t>绩效评价报</w:t>
      </w:r>
      <w:r>
        <w:rPr>
          <w:rFonts w:eastAsia="宋体"/>
          <w:b/>
          <w:color w:val="auto"/>
          <w:spacing w:val="0"/>
          <w:kern w:val="0"/>
          <w:sz w:val="44"/>
          <w:szCs w:val="44"/>
          <w:fitText w:val="3300" w:id="1424759405"/>
        </w:rPr>
        <w:t>告</w:t>
      </w:r>
      <w:bookmarkEnd w:id="13"/>
      <w:bookmarkEnd w:id="14"/>
      <w:bookmarkEnd w:id="15"/>
      <w:bookmarkEnd w:id="16"/>
      <w:bookmarkEnd w:id="17"/>
    </w:p>
    <w:p w14:paraId="28823909">
      <w:pPr>
        <w:pageBreakBefore w:val="0"/>
        <w:kinsoku/>
        <w:wordWrap/>
        <w:overflowPunct/>
        <w:topLinePunct w:val="0"/>
        <w:autoSpaceDE/>
        <w:autoSpaceDN/>
        <w:bidi w:val="0"/>
        <w:adjustRightInd/>
        <w:snapToGrid w:val="0"/>
        <w:spacing w:before="0" w:after="0" w:line="360" w:lineRule="auto"/>
        <w:ind w:firstLine="0" w:firstLineChars="0"/>
        <w:jc w:val="center"/>
        <w:outlineLvl w:val="0"/>
        <w:rPr>
          <w:rFonts w:eastAsia="宋体"/>
          <w:color w:val="auto"/>
        </w:rPr>
      </w:pPr>
      <w:bookmarkStart w:id="18" w:name="_Toc2662"/>
      <w:bookmarkStart w:id="19" w:name="_Toc3967"/>
      <w:bookmarkStart w:id="20" w:name="_Toc29279"/>
      <w:bookmarkStart w:id="21" w:name="_Toc22944"/>
      <w:bookmarkStart w:id="22" w:name="_Toc8749"/>
      <w:r>
        <w:rPr>
          <w:rFonts w:eastAsia="宋体"/>
          <w:color w:val="auto"/>
        </w:rPr>
        <w:t>驰天会咨字[20</w:t>
      </w:r>
      <w:r>
        <w:rPr>
          <w:rFonts w:hint="default" w:eastAsia="宋体"/>
          <w:color w:val="auto"/>
          <w:lang w:val="en-US" w:eastAsia="zh-CN"/>
        </w:rPr>
        <w:t>25</w:t>
      </w:r>
      <w:r>
        <w:rPr>
          <w:rFonts w:eastAsia="宋体"/>
          <w:color w:val="auto"/>
        </w:rPr>
        <w:t>]1-</w:t>
      </w:r>
      <w:r>
        <w:rPr>
          <w:rFonts w:hint="default" w:eastAsia="宋体"/>
          <w:color w:val="auto"/>
          <w:lang w:val="en-US" w:eastAsia="zh-CN"/>
        </w:rPr>
        <w:t>0200</w:t>
      </w:r>
      <w:r>
        <w:rPr>
          <w:rFonts w:eastAsia="宋体"/>
          <w:color w:val="auto"/>
        </w:rPr>
        <w:t>号</w:t>
      </w:r>
      <w:bookmarkEnd w:id="18"/>
      <w:bookmarkEnd w:id="19"/>
      <w:bookmarkEnd w:id="20"/>
      <w:bookmarkEnd w:id="21"/>
      <w:bookmarkEnd w:id="22"/>
    </w:p>
    <w:p w14:paraId="6BE47317">
      <w:pPr>
        <w:spacing w:before="0" w:after="0" w:line="360" w:lineRule="auto"/>
        <w:ind w:firstLine="0" w:firstLineChars="0"/>
        <w:rPr>
          <w:rFonts w:hint="default"/>
          <w:color w:val="auto"/>
          <w:lang w:val="en-US" w:eastAsia="zh-CN"/>
        </w:rPr>
      </w:pPr>
    </w:p>
    <w:p w14:paraId="6D958C1F">
      <w:pPr>
        <w:spacing w:before="0" w:after="0" w:line="360" w:lineRule="auto"/>
        <w:ind w:firstLine="0" w:firstLineChars="0"/>
        <w:rPr>
          <w:rFonts w:hint="default" w:ascii="Times New Roman" w:hAnsi="Times New Roman" w:cs="Times New Roman"/>
          <w:color w:val="auto"/>
          <w:highlight w:val="none"/>
        </w:rPr>
      </w:pPr>
      <w:r>
        <w:rPr>
          <w:rFonts w:hint="default"/>
          <w:color w:val="auto"/>
          <w:lang w:val="en-US" w:eastAsia="zh-CN"/>
        </w:rPr>
        <w:t>吉木萨尔县财政局</w:t>
      </w:r>
      <w:r>
        <w:rPr>
          <w:rFonts w:hint="default" w:ascii="Times New Roman" w:hAnsi="Times New Roman" w:cs="Times New Roman"/>
          <w:color w:val="auto"/>
          <w:highlight w:val="none"/>
        </w:rPr>
        <w:t>：</w:t>
      </w:r>
    </w:p>
    <w:p w14:paraId="4458A1F5">
      <w:pPr>
        <w:spacing w:before="0" w:after="0" w:line="360" w:lineRule="auto"/>
        <w:ind w:firstLine="664"/>
        <w:rPr>
          <w:rFonts w:hint="default" w:ascii="Times New Roman" w:hAnsi="Times New Roman"/>
          <w:color w:val="auto"/>
          <w:lang w:val="en-US" w:eastAsia="zh-CN"/>
        </w:rPr>
      </w:pPr>
      <w:r>
        <w:rPr>
          <w:rFonts w:hint="default" w:ascii="Times New Roman" w:hAnsi="Times New Roman" w:cs="Times New Roman"/>
          <w:color w:val="auto"/>
          <w:highlight w:val="none"/>
        </w:rPr>
        <w:t>为贯彻落实全面推进预算绩效管理工作的要求，完善部门预算管理，强化预算支出责任，提高</w:t>
      </w:r>
      <w:r>
        <w:rPr>
          <w:rFonts w:hint="default" w:cs="Times New Roman"/>
          <w:color w:val="auto"/>
          <w:highlight w:val="none"/>
          <w:lang w:eastAsia="zh-CN"/>
        </w:rPr>
        <w:t>财政资金使用</w:t>
      </w:r>
      <w:r>
        <w:rPr>
          <w:rFonts w:hint="default" w:ascii="Times New Roman" w:hAnsi="Times New Roman" w:cs="Times New Roman"/>
          <w:color w:val="auto"/>
          <w:highlight w:val="none"/>
        </w:rPr>
        <w:t>效益，根据《</w:t>
      </w:r>
      <w:r>
        <w:rPr>
          <w:rFonts w:hint="default" w:cs="Times New Roman"/>
          <w:color w:val="auto"/>
          <w:highlight w:val="none"/>
          <w:lang w:eastAsia="zh-CN"/>
        </w:rPr>
        <w:t>中共中央、国务院</w:t>
      </w:r>
      <w:r>
        <w:rPr>
          <w:rFonts w:hint="default" w:ascii="Times New Roman" w:hAnsi="Times New Roman" w:cs="Times New Roman"/>
          <w:color w:val="auto"/>
          <w:highlight w:val="none"/>
        </w:rPr>
        <w:t>关于全面实施预算绩效管理的意见》（中发〔2018〕34号）、《项目支出绩效评价管理办法》（财预〔2020〕10号）、《关于进一步加强和规范第三方机构参与预算绩效管理的通知》（新财预〔2021〕49号）等系列文件的要求，受</w:t>
      </w:r>
      <w:r>
        <w:rPr>
          <w:rFonts w:hint="default"/>
          <w:color w:val="auto"/>
          <w:lang w:val="en-US" w:eastAsia="zh-CN"/>
        </w:rPr>
        <w:t>吉木萨尔县财政局</w:t>
      </w:r>
      <w:r>
        <w:rPr>
          <w:rFonts w:hint="default" w:ascii="Times New Roman" w:hAnsi="Times New Roman" w:cs="Times New Roman"/>
          <w:color w:val="auto"/>
          <w:highlight w:val="none"/>
        </w:rPr>
        <w:t>的委托，新疆驰远天合有限责任会计师事务所以第三方社会评价机构的身份，承担了</w:t>
      </w:r>
      <w:r>
        <w:rPr>
          <w:rFonts w:hint="default"/>
          <w:color w:val="auto"/>
          <w:lang w:val="en-US" w:eastAsia="zh-CN"/>
        </w:rPr>
        <w:t>吉木萨尔县二工镇大泉湖村2024年以工代赈基础设施建设项目</w:t>
      </w:r>
      <w:r>
        <w:rPr>
          <w:rFonts w:hint="default" w:ascii="Times New Roman" w:hAnsi="Times New Roman" w:cs="Times New Roman"/>
          <w:color w:val="auto"/>
          <w:highlight w:val="none"/>
        </w:rPr>
        <w:t>的绩效评价工作并形成绩效评价报告</w:t>
      </w:r>
      <w:r>
        <w:rPr>
          <w:rFonts w:hint="default" w:cs="Times New Roman"/>
          <w:color w:val="auto"/>
          <w:highlight w:val="none"/>
          <w:lang w:eastAsia="zh-CN"/>
        </w:rPr>
        <w:t>，</w:t>
      </w:r>
      <w:r>
        <w:rPr>
          <w:rFonts w:hint="default"/>
          <w:color w:val="auto"/>
          <w:lang w:val="en-US" w:eastAsia="zh-CN"/>
        </w:rPr>
        <w:t>吉木萨尔县二工镇人民政府</w:t>
      </w:r>
      <w:r>
        <w:rPr>
          <w:rFonts w:hint="default" w:ascii="Times New Roman" w:hAnsi="Times New Roman" w:cs="Times New Roman"/>
          <w:color w:val="auto"/>
          <w:highlight w:val="none"/>
        </w:rPr>
        <w:t>负责提供与本次绩效评价相关的项目资料并保证项目资料的真实、合法、准确和完整，现将项目绩效评价情况报告如下：</w:t>
      </w:r>
    </w:p>
    <w:p w14:paraId="3FDA7063">
      <w:pPr>
        <w:pStyle w:val="3"/>
        <w:pageBreakBefore w:val="0"/>
        <w:kinsoku/>
        <w:wordWrap/>
        <w:overflowPunct/>
        <w:topLinePunct w:val="0"/>
        <w:autoSpaceDE/>
        <w:autoSpaceDN/>
        <w:bidi w:val="0"/>
        <w:snapToGrid w:val="0"/>
        <w:spacing w:before="0" w:after="0" w:line="360" w:lineRule="auto"/>
        <w:ind w:firstLine="482"/>
        <w:rPr>
          <w:rFonts w:hint="default" w:ascii="Times New Roman" w:hAnsi="Times New Roman" w:eastAsiaTheme="minorEastAsia"/>
          <w:color w:val="auto"/>
          <w:lang w:eastAsia="zh-CN"/>
        </w:rPr>
      </w:pPr>
      <w:bookmarkStart w:id="23" w:name="_Toc10008"/>
      <w:r>
        <w:rPr>
          <w:rFonts w:hint="default" w:ascii="Times New Roman" w:hAnsi="Times New Roman"/>
          <w:color w:val="auto"/>
          <w:lang w:val="en-US" w:eastAsia="zh-CN"/>
        </w:rPr>
        <w:t>一、基本情况</w:t>
      </w:r>
      <w:bookmarkEnd w:id="23"/>
    </w:p>
    <w:p w14:paraId="23627638">
      <w:pPr>
        <w:pStyle w:val="3"/>
        <w:spacing w:before="0" w:after="0" w:line="360" w:lineRule="auto"/>
        <w:ind w:firstLine="667"/>
        <w:rPr>
          <w:rFonts w:hint="default" w:ascii="Times New Roman" w:hAnsi="Times New Roman" w:cs="Times New Roman"/>
          <w:color w:val="auto"/>
          <w:highlight w:val="none"/>
        </w:rPr>
      </w:pPr>
      <w:bookmarkStart w:id="24" w:name="_Toc19237"/>
      <w:bookmarkStart w:id="25" w:name="_Toc327"/>
      <w:bookmarkStart w:id="26" w:name="_Toc8116"/>
      <w:bookmarkStart w:id="27" w:name="_Toc5761"/>
      <w:r>
        <w:rPr>
          <w:rFonts w:hint="default" w:ascii="Times New Roman" w:hAnsi="Times New Roman" w:cs="Times New Roman"/>
          <w:color w:val="auto"/>
          <w:highlight w:val="none"/>
        </w:rPr>
        <w:t>（一）</w:t>
      </w:r>
      <w:r>
        <w:rPr>
          <w:rFonts w:hint="default" w:ascii="Times New Roman" w:hAnsi="Times New Roman" w:cs="Times New Roman"/>
          <w:color w:val="auto"/>
          <w:highlight w:val="none"/>
          <w:lang w:val="en-US" w:eastAsia="zh-CN"/>
        </w:rPr>
        <w:t>项目概况</w:t>
      </w:r>
      <w:bookmarkEnd w:id="24"/>
      <w:bookmarkEnd w:id="25"/>
      <w:bookmarkEnd w:id="26"/>
      <w:bookmarkEnd w:id="27"/>
    </w:p>
    <w:p w14:paraId="5965819C">
      <w:pPr>
        <w:bidi w:val="0"/>
        <w:spacing w:before="0" w:after="0" w:line="360" w:lineRule="auto"/>
        <w:rPr>
          <w:rFonts w:hint="default"/>
          <w:b/>
          <w:bCs/>
          <w:color w:val="auto"/>
          <w:lang w:val="en-US" w:eastAsia="zh-CN"/>
        </w:rPr>
      </w:pPr>
      <w:r>
        <w:rPr>
          <w:rFonts w:hint="default"/>
          <w:b/>
          <w:bCs/>
          <w:color w:val="auto"/>
        </w:rPr>
        <w:t>1.</w:t>
      </w:r>
      <w:r>
        <w:rPr>
          <w:rFonts w:hint="default"/>
          <w:b/>
          <w:bCs/>
          <w:color w:val="auto"/>
          <w:lang w:val="en-US" w:eastAsia="zh-CN"/>
        </w:rPr>
        <w:t>项目立项背景及目的</w:t>
      </w:r>
    </w:p>
    <w:p w14:paraId="27B40C62">
      <w:pPr>
        <w:bidi w:val="0"/>
        <w:spacing w:before="0" w:after="0" w:line="360" w:lineRule="auto"/>
        <w:rPr>
          <w:b/>
          <w:bCs/>
          <w:color w:val="auto"/>
        </w:rPr>
      </w:pPr>
      <w:r>
        <w:rPr>
          <w:rFonts w:hint="default"/>
          <w:color w:val="auto"/>
        </w:rPr>
        <w:t>《</w:t>
      </w:r>
      <w:r>
        <w:rPr>
          <w:rFonts w:hint="default"/>
          <w:color w:val="auto"/>
          <w:lang w:eastAsia="zh-CN"/>
        </w:rPr>
        <w:t>中共中央、国务院</w:t>
      </w:r>
      <w:r>
        <w:rPr>
          <w:rFonts w:hint="default"/>
          <w:color w:val="auto"/>
        </w:rPr>
        <w:t>关于全面推进乡村振兴加快农业农村现代化的意见》提出，要加强乡村公共基础设施建设。中央农村工作会议强调，把解决好农业、农村问题作为工作的重中之重。发展和改善农村道路交通，是解决好“三农”问题的重要前提和基础条件</w:t>
      </w:r>
      <w:r>
        <w:rPr>
          <w:rFonts w:hint="default"/>
          <w:color w:val="auto"/>
          <w:lang w:eastAsia="zh-CN"/>
        </w:rPr>
        <w:t>，</w:t>
      </w:r>
      <w:r>
        <w:rPr>
          <w:rFonts w:hint="default"/>
          <w:color w:val="auto"/>
        </w:rPr>
        <w:t>对开拓农村市场、加强城乡交流、调整农业生产布局和结构、推动农村经济发展、保障脱贫地区不返贫及增加农民收入有着十分积极的作用。通过实施吉木萨尔县二工镇大泉湖村2024年以工代赈基础设施建设项目，能够提升乡村“造血”功能，激发农民自身的内在动力和蓬勃活力。本工程的建设，可有效改善项目区村组道路设施，改善乡村基础设施环境，对保持农村社会和谐稳定，提升农民群众获得感、幸福感、安全感，确保农村同步全面建成小康社会，起着举足轻重的作用。以工代赈工程作为一项加强农村基础设施建设项目，无论从其在改善美丽乡村环境的角度，还是从促进地区经济发展，提高当地农民收入水平，稳定边疆、实现共同富裕的角度，都表现出充分的必要性和重要性。</w:t>
      </w:r>
    </w:p>
    <w:p w14:paraId="482BE626">
      <w:pPr>
        <w:bidi w:val="0"/>
        <w:spacing w:before="0" w:after="0" w:line="360" w:lineRule="auto"/>
        <w:rPr>
          <w:rFonts w:hint="default"/>
          <w:b/>
          <w:bCs/>
          <w:color w:val="auto"/>
          <w:lang w:val="en-US" w:eastAsia="zh-CN"/>
        </w:rPr>
      </w:pPr>
      <w:r>
        <w:rPr>
          <w:rFonts w:hint="default"/>
          <w:b/>
          <w:bCs/>
          <w:color w:val="auto"/>
          <w:lang w:val="en-US" w:eastAsia="zh-CN"/>
        </w:rPr>
        <w:t>2</w:t>
      </w:r>
      <w:r>
        <w:rPr>
          <w:rFonts w:hint="default"/>
          <w:b/>
          <w:bCs/>
          <w:color w:val="auto"/>
        </w:rPr>
        <w:t>.</w:t>
      </w:r>
      <w:r>
        <w:rPr>
          <w:rFonts w:hint="default"/>
          <w:b/>
          <w:bCs/>
          <w:color w:val="auto"/>
          <w:lang w:val="en-US" w:eastAsia="zh-CN"/>
        </w:rPr>
        <w:t>项目基本情况</w:t>
      </w:r>
    </w:p>
    <w:p w14:paraId="4A8FE877">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项目名称：吉木萨尔县二工镇大泉湖村2024年以工代赈基础设施建设项目</w:t>
      </w:r>
      <w:r>
        <w:rPr>
          <w:rFonts w:hint="default" w:ascii="Times New Roman" w:hAnsi="Times New Roman" w:cs="Times New Roman"/>
          <w:color w:val="auto"/>
        </w:rPr>
        <w:t>（以下简称“该项目”或“项目”）</w:t>
      </w:r>
    </w:p>
    <w:p w14:paraId="101D3DAC">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项目实施单位：</w:t>
      </w:r>
      <w:r>
        <w:rPr>
          <w:rFonts w:hint="default" w:ascii="Times New Roman" w:hAnsi="Times New Roman" w:cs="Times New Roman"/>
          <w:color w:val="auto"/>
          <w:lang w:val="en-US" w:eastAsia="zh-CN"/>
        </w:rPr>
        <w:t>吉木萨尔县二工镇</w:t>
      </w:r>
      <w:r>
        <w:rPr>
          <w:rFonts w:hint="default" w:cs="Times New Roman"/>
          <w:color w:val="auto"/>
          <w:lang w:val="en-US" w:eastAsia="zh-CN"/>
        </w:rPr>
        <w:t>人民政府</w:t>
      </w:r>
    </w:p>
    <w:p w14:paraId="3332501D">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项目建设地点：吉木萨尔县二工镇</w:t>
      </w:r>
    </w:p>
    <w:p w14:paraId="71519234">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r>
        <w:rPr>
          <w:rFonts w:hint="default" w:ascii="Times New Roman" w:hAnsi="Times New Roman" w:cs="Times New Roman"/>
          <w:color w:val="auto"/>
        </w:rPr>
        <w:t>项目主要建设内容：新建农村道路</w:t>
      </w:r>
      <w:r>
        <w:rPr>
          <w:rFonts w:hint="default" w:cs="Times New Roman"/>
          <w:color w:val="auto"/>
          <w:lang w:val="en-US" w:eastAsia="zh-CN"/>
        </w:rPr>
        <w:t>8</w:t>
      </w:r>
      <w:r>
        <w:rPr>
          <w:rFonts w:hint="default" w:ascii="Times New Roman" w:hAnsi="Times New Roman" w:cs="Times New Roman"/>
          <w:color w:val="auto"/>
        </w:rPr>
        <w:t>公里及配套附属设施等</w:t>
      </w:r>
      <w:r>
        <w:rPr>
          <w:rFonts w:hint="default" w:ascii="Times New Roman" w:hAnsi="Times New Roman" w:cs="Times New Roman"/>
          <w:color w:val="auto"/>
          <w:lang w:val="en-US" w:eastAsia="zh-CN"/>
        </w:rPr>
        <w:t>。</w:t>
      </w:r>
    </w:p>
    <w:p w14:paraId="30DB6C8B">
      <w:pPr>
        <w:pageBreakBefore w:val="0"/>
        <w:kinsoku/>
        <w:wordWrap/>
        <w:overflowPunct/>
        <w:topLinePunct w:val="0"/>
        <w:autoSpaceDE/>
        <w:autoSpaceDN/>
        <w:bidi w:val="0"/>
        <w:snapToGrid w:val="0"/>
        <w:spacing w:line="360" w:lineRule="auto"/>
        <w:ind w:firstLine="420"/>
        <w:rPr>
          <w:rFonts w:hint="default" w:ascii="Times New Roman" w:hAnsi="Times New Roman" w:cs="Times New Roman"/>
          <w:color w:val="auto"/>
        </w:rPr>
      </w:pPr>
      <w:r>
        <w:rPr>
          <w:rFonts w:hint="default" w:ascii="Times New Roman" w:hAnsi="Times New Roman" w:cs="Times New Roman"/>
          <w:color w:val="auto"/>
          <w:lang w:val="en-US" w:eastAsia="zh-CN"/>
        </w:rPr>
        <w:t>项目投资概算情况：项目</w:t>
      </w:r>
      <w:r>
        <w:rPr>
          <w:rFonts w:hint="default" w:ascii="Times New Roman" w:hAnsi="Times New Roman" w:cs="Times New Roman"/>
          <w:color w:val="auto"/>
        </w:rPr>
        <w:t>总投资</w:t>
      </w:r>
      <w:r>
        <w:rPr>
          <w:rFonts w:hint="default" w:ascii="Times New Roman" w:hAnsi="Times New Roman" w:cs="Times New Roman"/>
          <w:color w:val="auto"/>
          <w:lang w:val="en-US" w:eastAsia="zh-CN"/>
        </w:rPr>
        <w:t>概算</w:t>
      </w:r>
      <w:r>
        <w:rPr>
          <w:rFonts w:hint="default" w:cs="Times New Roman"/>
          <w:color w:val="auto"/>
          <w:lang w:val="en-US" w:eastAsia="zh-CN"/>
        </w:rPr>
        <w:t>760.00</w:t>
      </w:r>
      <w:r>
        <w:rPr>
          <w:rFonts w:hint="default" w:ascii="Times New Roman" w:hAnsi="Times New Roman" w:cs="Times New Roman"/>
          <w:color w:val="auto"/>
        </w:rPr>
        <w:t>万元，其中：工程建设费</w:t>
      </w:r>
      <w:r>
        <w:rPr>
          <w:rFonts w:hint="default" w:cs="Times New Roman"/>
          <w:color w:val="auto"/>
          <w:lang w:val="en-US" w:eastAsia="zh-CN"/>
        </w:rPr>
        <w:t>647.93</w:t>
      </w:r>
      <w:r>
        <w:rPr>
          <w:rFonts w:hint="default" w:ascii="Times New Roman" w:hAnsi="Times New Roman" w:cs="Times New Roman"/>
          <w:color w:val="auto"/>
        </w:rPr>
        <w:t>万元，工程建设</w:t>
      </w:r>
      <w:r>
        <w:rPr>
          <w:rFonts w:hint="default" w:cs="Times New Roman"/>
          <w:color w:val="auto"/>
          <w:lang w:eastAsia="zh-CN"/>
        </w:rPr>
        <w:t>其他费</w:t>
      </w:r>
      <w:r>
        <w:rPr>
          <w:rFonts w:hint="default" w:cs="Times New Roman"/>
          <w:color w:val="auto"/>
          <w:lang w:val="en-US" w:eastAsia="zh-CN"/>
        </w:rPr>
        <w:t>72.90</w:t>
      </w:r>
      <w:r>
        <w:rPr>
          <w:rFonts w:hint="default" w:ascii="Times New Roman" w:hAnsi="Times New Roman" w:cs="Times New Roman"/>
          <w:color w:val="auto"/>
        </w:rPr>
        <w:t>万元，预备费</w:t>
      </w:r>
      <w:r>
        <w:rPr>
          <w:rFonts w:hint="default" w:cs="Times New Roman"/>
          <w:color w:val="auto"/>
          <w:lang w:val="en-US" w:eastAsia="zh-CN"/>
        </w:rPr>
        <w:t>39.17</w:t>
      </w:r>
      <w:r>
        <w:rPr>
          <w:rFonts w:hint="default" w:ascii="Times New Roman" w:hAnsi="Times New Roman" w:cs="Times New Roman"/>
          <w:color w:val="auto"/>
        </w:rPr>
        <w:t>万元。</w:t>
      </w:r>
    </w:p>
    <w:p w14:paraId="1ADF610D">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项目</w:t>
      </w:r>
      <w:r>
        <w:rPr>
          <w:rFonts w:hint="default" w:ascii="Times New Roman" w:hAnsi="Times New Roman" w:cs="Times New Roman"/>
          <w:color w:val="auto"/>
          <w:lang w:val="en-US" w:eastAsia="zh-CN"/>
        </w:rPr>
        <w:t>建设</w:t>
      </w:r>
      <w:r>
        <w:rPr>
          <w:rFonts w:hint="default" w:ascii="Times New Roman" w:hAnsi="Times New Roman" w:cs="Times New Roman"/>
          <w:color w:val="auto"/>
        </w:rPr>
        <w:t>期：</w:t>
      </w:r>
      <w:r>
        <w:rPr>
          <w:rFonts w:hint="default" w:ascii="Times New Roman" w:hAnsi="Times New Roman" w:cs="Times New Roman"/>
          <w:color w:val="auto"/>
          <w:lang w:val="en-US" w:eastAsia="zh-CN"/>
        </w:rPr>
        <w:t>2024年</w:t>
      </w:r>
      <w:r>
        <w:rPr>
          <w:rFonts w:hint="default" w:cs="Times New Roman"/>
          <w:color w:val="auto"/>
          <w:lang w:val="en-US" w:eastAsia="zh-CN"/>
        </w:rPr>
        <w:t>6</w:t>
      </w:r>
      <w:r>
        <w:rPr>
          <w:rFonts w:hint="default" w:ascii="Times New Roman" w:hAnsi="Times New Roman" w:cs="Times New Roman"/>
          <w:color w:val="auto"/>
          <w:lang w:val="en-US" w:eastAsia="zh-CN"/>
        </w:rPr>
        <w:t>月至2024年1</w:t>
      </w:r>
      <w:r>
        <w:rPr>
          <w:rFonts w:hint="default" w:cs="Times New Roman"/>
          <w:color w:val="auto"/>
          <w:lang w:val="en-US" w:eastAsia="zh-CN"/>
        </w:rPr>
        <w:t>0</w:t>
      </w:r>
      <w:r>
        <w:rPr>
          <w:rFonts w:hint="default" w:ascii="Times New Roman" w:hAnsi="Times New Roman" w:cs="Times New Roman"/>
          <w:color w:val="auto"/>
          <w:lang w:val="en-US" w:eastAsia="zh-CN"/>
        </w:rPr>
        <w:t>月。</w:t>
      </w:r>
    </w:p>
    <w:p w14:paraId="64C8900C">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28" w:name="_Toc20149"/>
      <w:r>
        <w:rPr>
          <w:rFonts w:hint="default" w:ascii="Times New Roman" w:hAnsi="Times New Roman"/>
          <w:color w:val="auto"/>
        </w:rPr>
        <w:t>（二）</w:t>
      </w:r>
      <w:r>
        <w:rPr>
          <w:rFonts w:ascii="Times New Roman" w:hAnsi="Times New Roman"/>
          <w:color w:val="auto"/>
        </w:rPr>
        <w:t>资金投入和使用情况</w:t>
      </w:r>
      <w:bookmarkEnd w:id="28"/>
    </w:p>
    <w:p w14:paraId="33665631">
      <w:pPr>
        <w:bidi w:val="0"/>
        <w:spacing w:before="0" w:after="0" w:line="360" w:lineRule="auto"/>
        <w:rPr>
          <w:rFonts w:hint="default"/>
          <w:b/>
          <w:bCs/>
          <w:color w:val="auto"/>
        </w:rPr>
      </w:pPr>
      <w:r>
        <w:rPr>
          <w:rFonts w:hint="default"/>
          <w:b/>
          <w:bCs/>
          <w:color w:val="auto"/>
        </w:rPr>
        <w:t>1.预算安排情况</w:t>
      </w:r>
    </w:p>
    <w:p w14:paraId="0206577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该项目预算总额为</w:t>
      </w:r>
      <w:r>
        <w:rPr>
          <w:rFonts w:hint="default" w:cs="Times New Roman"/>
          <w:color w:val="auto"/>
          <w:lang w:val="en-US" w:eastAsia="zh-CN"/>
        </w:rPr>
        <w:t>760.00</w:t>
      </w:r>
      <w:r>
        <w:rPr>
          <w:rFonts w:hint="default" w:ascii="Times New Roman" w:hAnsi="Times New Roman" w:cs="Times New Roman"/>
          <w:color w:val="auto"/>
          <w:lang w:val="en-US" w:eastAsia="zh-CN"/>
        </w:rPr>
        <w:t>万元，</w:t>
      </w:r>
      <w:r>
        <w:rPr>
          <w:rFonts w:hint="default" w:ascii="Times New Roman" w:hAnsi="Times New Roman" w:cs="Times New Roman" w:eastAsiaTheme="minorEastAsia"/>
          <w:b w:val="0"/>
          <w:bCs w:val="0"/>
          <w:color w:val="auto"/>
          <w:kern w:val="2"/>
          <w:sz w:val="21"/>
          <w:szCs w:val="21"/>
          <w:highlight w:val="none"/>
          <w:lang w:val="en-US" w:eastAsia="zh-CN" w:bidi="ar-SA"/>
        </w:rPr>
        <w:t>资金来源</w:t>
      </w:r>
      <w:r>
        <w:rPr>
          <w:rFonts w:hint="default" w:ascii="Times New Roman" w:hAnsi="Times New Roman" w:cs="Times New Roman"/>
          <w:b w:val="0"/>
          <w:bCs w:val="0"/>
          <w:color w:val="auto"/>
          <w:kern w:val="2"/>
          <w:sz w:val="21"/>
          <w:szCs w:val="21"/>
          <w:highlight w:val="none"/>
          <w:lang w:val="en-US" w:eastAsia="zh-CN" w:bidi="ar-SA"/>
        </w:rPr>
        <w:t>均</w:t>
      </w:r>
      <w:r>
        <w:rPr>
          <w:rFonts w:hint="default" w:ascii="Times New Roman" w:hAnsi="Times New Roman" w:cs="Times New Roman" w:eastAsiaTheme="minorEastAsia"/>
          <w:b w:val="0"/>
          <w:bCs w:val="0"/>
          <w:color w:val="auto"/>
          <w:kern w:val="2"/>
          <w:sz w:val="21"/>
          <w:szCs w:val="21"/>
          <w:highlight w:val="none"/>
          <w:lang w:val="en-US" w:eastAsia="zh-CN" w:bidi="ar-SA"/>
        </w:rPr>
        <w:t>为以工代赈示范工程专项2024年中央基建投资预算</w:t>
      </w:r>
      <w:r>
        <w:rPr>
          <w:rFonts w:hint="default" w:ascii="Times New Roman" w:hAnsi="Times New Roman" w:cs="Times New Roman"/>
          <w:b w:val="0"/>
          <w:bCs w:val="0"/>
          <w:color w:val="auto"/>
          <w:kern w:val="2"/>
          <w:sz w:val="21"/>
          <w:szCs w:val="21"/>
          <w:highlight w:val="none"/>
          <w:lang w:val="en-US" w:eastAsia="zh-CN" w:bidi="ar-SA"/>
        </w:rPr>
        <w:t>资金</w:t>
      </w:r>
      <w:r>
        <w:rPr>
          <w:rFonts w:hint="default" w:ascii="Times New Roman" w:hAnsi="Times New Roman" w:cs="Times New Roman"/>
          <w:color w:val="auto"/>
          <w:lang w:val="en-US" w:eastAsia="zh-CN"/>
        </w:rPr>
        <w:t>。</w:t>
      </w:r>
    </w:p>
    <w:p w14:paraId="0E7246BD">
      <w:pPr>
        <w:bidi w:val="0"/>
        <w:spacing w:before="0" w:after="0" w:line="360" w:lineRule="auto"/>
        <w:rPr>
          <w:rFonts w:hint="default"/>
          <w:b/>
          <w:bCs/>
          <w:color w:val="auto"/>
        </w:rPr>
      </w:pPr>
      <w:r>
        <w:rPr>
          <w:rFonts w:hint="default"/>
          <w:b/>
          <w:bCs/>
          <w:color w:val="auto"/>
          <w:lang w:val="en-US" w:eastAsia="zh-CN"/>
        </w:rPr>
        <w:t>2.</w:t>
      </w:r>
      <w:r>
        <w:rPr>
          <w:rFonts w:hint="default"/>
          <w:b/>
          <w:bCs/>
          <w:color w:val="auto"/>
        </w:rPr>
        <w:t>资金到位及使用情况</w:t>
      </w:r>
    </w:p>
    <w:p w14:paraId="0370F3B7">
      <w:pPr>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r>
        <w:rPr>
          <w:rFonts w:hint="default" w:cs="Times New Roman"/>
          <w:color w:val="auto"/>
          <w:lang w:val="en-US" w:eastAsia="zh-CN"/>
        </w:rPr>
        <w:t>2024年5月11日，根据昌吉州财政局下发</w:t>
      </w:r>
      <w:r>
        <w:rPr>
          <w:rFonts w:hint="default"/>
          <w:color w:val="auto"/>
        </w:rPr>
        <w:t>《关于下达以工代赈示范工程专项2024年中央基建投资预算的通知》（昌州财建</w:t>
      </w:r>
      <w:r>
        <w:rPr>
          <w:rFonts w:hint="default" w:ascii="Times New Roman" w:hAnsi="Times New Roman" w:eastAsia="宋体" w:cs="Times New Roman"/>
          <w:color w:val="auto"/>
        </w:rPr>
        <w:t>〔</w:t>
      </w:r>
      <w:r>
        <w:rPr>
          <w:rFonts w:hint="default"/>
          <w:color w:val="auto"/>
        </w:rPr>
        <w:t>2024〕22号）</w:t>
      </w:r>
      <w:r>
        <w:rPr>
          <w:rFonts w:hint="default" w:cs="Times New Roman"/>
          <w:color w:val="auto"/>
          <w:lang w:val="en-US" w:eastAsia="zh-CN"/>
        </w:rPr>
        <w:t>，下达该项目</w:t>
      </w:r>
      <w:r>
        <w:rPr>
          <w:rFonts w:hint="default" w:ascii="Times New Roman" w:hAnsi="Times New Roman" w:cs="Times New Roman" w:eastAsiaTheme="minorEastAsia"/>
          <w:b w:val="0"/>
          <w:bCs w:val="0"/>
          <w:color w:val="auto"/>
          <w:kern w:val="2"/>
          <w:sz w:val="21"/>
          <w:szCs w:val="21"/>
          <w:highlight w:val="none"/>
          <w:lang w:val="en-US" w:eastAsia="zh-CN" w:bidi="ar-SA"/>
        </w:rPr>
        <w:t>以工代赈示范工程专项2024年中央基建投资预算</w:t>
      </w:r>
      <w:r>
        <w:rPr>
          <w:rFonts w:hint="default" w:ascii="Times New Roman" w:hAnsi="Times New Roman" w:cs="Times New Roman"/>
          <w:b w:val="0"/>
          <w:bCs w:val="0"/>
          <w:color w:val="auto"/>
          <w:kern w:val="2"/>
          <w:sz w:val="21"/>
          <w:szCs w:val="21"/>
          <w:highlight w:val="none"/>
          <w:lang w:val="en-US" w:eastAsia="zh-CN" w:bidi="ar-SA"/>
        </w:rPr>
        <w:t>资金</w:t>
      </w:r>
      <w:r>
        <w:rPr>
          <w:rFonts w:hint="default" w:cs="Times New Roman"/>
          <w:color w:val="auto"/>
          <w:lang w:val="en-US" w:eastAsia="zh-CN"/>
        </w:rPr>
        <w:t>760.00</w:t>
      </w:r>
      <w:r>
        <w:rPr>
          <w:rFonts w:hint="default" w:ascii="Times New Roman" w:hAnsi="Times New Roman" w:cs="Times New Roman"/>
          <w:color w:val="auto"/>
          <w:lang w:val="en-US" w:eastAsia="zh-CN"/>
        </w:rPr>
        <w:t>万元，资金到位率为100.00%。</w:t>
      </w:r>
      <w:r>
        <w:rPr>
          <w:rFonts w:hint="default" w:cs="Times New Roman"/>
          <w:color w:val="auto"/>
          <w:lang w:val="en-US" w:eastAsia="zh-CN"/>
        </w:rPr>
        <w:t>截至2025年6月30日，</w:t>
      </w:r>
      <w:r>
        <w:rPr>
          <w:rFonts w:hint="default" w:ascii="Times New Roman" w:hAnsi="Times New Roman" w:cs="Times New Roman"/>
          <w:color w:val="auto"/>
          <w:lang w:val="en-US" w:eastAsia="zh-CN"/>
        </w:rPr>
        <w:t>该项目实际支出72</w:t>
      </w:r>
      <w:r>
        <w:rPr>
          <w:rFonts w:hint="default" w:cs="Times New Roman"/>
          <w:color w:val="auto"/>
          <w:lang w:val="en-US" w:eastAsia="zh-CN"/>
        </w:rPr>
        <w:t>4.25</w:t>
      </w:r>
      <w:r>
        <w:rPr>
          <w:rFonts w:hint="default" w:ascii="Times New Roman" w:hAnsi="Times New Roman" w:cs="Times New Roman"/>
          <w:color w:val="auto"/>
          <w:lang w:val="en-US" w:eastAsia="zh-CN"/>
        </w:rPr>
        <w:t>万元，预算资金执行率为</w:t>
      </w:r>
      <w:r>
        <w:rPr>
          <w:rFonts w:hint="default" w:cs="Times New Roman"/>
          <w:color w:val="auto"/>
          <w:lang w:val="en-US" w:eastAsia="zh-CN"/>
        </w:rPr>
        <w:t>97.32</w:t>
      </w:r>
      <w:r>
        <w:rPr>
          <w:rFonts w:hint="default" w:ascii="Times New Roman" w:hAnsi="Times New Roman" w:cs="Times New Roman"/>
          <w:color w:val="auto"/>
          <w:lang w:val="en-US" w:eastAsia="zh-CN"/>
        </w:rPr>
        <w:t>%。详细资金支出</w:t>
      </w:r>
      <w:r>
        <w:rPr>
          <w:rFonts w:hint="default" w:cs="Times New Roman"/>
          <w:color w:val="auto"/>
          <w:lang w:val="en-US" w:eastAsia="zh-CN"/>
        </w:rPr>
        <w:t>见下表：</w:t>
      </w:r>
    </w:p>
    <w:p w14:paraId="4E726439">
      <w:pPr>
        <w:keepNext/>
        <w:keepLines/>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default" w:ascii="Times New Roman" w:hAnsi="Times New Roman" w:eastAsia="黑体" w:cs="Times New Roman"/>
          <w:b w:val="0"/>
          <w:bCs w:val="0"/>
          <w:color w:val="auto"/>
          <w:lang w:val="en-US" w:eastAsia="zh-CN"/>
        </w:rPr>
      </w:pPr>
      <w:r>
        <w:rPr>
          <w:rFonts w:hint="default" w:ascii="Times New Roman" w:hAnsi="Times New Roman" w:eastAsia="黑体" w:cs="Times New Roman"/>
          <w:b w:val="0"/>
          <w:bCs w:val="0"/>
          <w:color w:val="auto"/>
          <w:lang w:val="en-US" w:eastAsia="zh-CN"/>
        </w:rPr>
        <w:t>表1-1：吉木萨尔县二工镇大泉湖村2024年以工代赈基础设施建设项目支出明细表</w:t>
      </w:r>
    </w:p>
    <w:p w14:paraId="2182D9A6">
      <w:pPr>
        <w:keepNext/>
        <w:keepLines/>
        <w:pageBreakBefore w:val="0"/>
        <w:widowControl w:val="0"/>
        <w:kinsoku/>
        <w:wordWrap/>
        <w:overflowPunct/>
        <w:topLinePunct w:val="0"/>
        <w:autoSpaceDE/>
        <w:autoSpaceDN/>
        <w:bidi w:val="0"/>
        <w:adjustRightInd w:val="0"/>
        <w:snapToGrid w:val="0"/>
        <w:spacing w:line="240" w:lineRule="auto"/>
        <w:ind w:firstLine="0" w:firstLineChars="0"/>
        <w:jc w:val="right"/>
        <w:textAlignment w:val="auto"/>
        <w:outlineLvl w:val="9"/>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单位：万元</w:t>
      </w:r>
    </w:p>
    <w:tbl>
      <w:tblPr>
        <w:tblStyle w:val="18"/>
        <w:tblW w:w="868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51" w:type="dxa"/>
          <w:bottom w:w="0" w:type="dxa"/>
          <w:right w:w="51" w:type="dxa"/>
        </w:tblCellMar>
      </w:tblPr>
      <w:tblGrid>
        <w:gridCol w:w="415"/>
        <w:gridCol w:w="1128"/>
        <w:gridCol w:w="3285"/>
        <w:gridCol w:w="1069"/>
        <w:gridCol w:w="882"/>
        <w:gridCol w:w="869"/>
        <w:gridCol w:w="1041"/>
      </w:tblGrid>
      <w:tr w14:paraId="5F1BA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tblHeader/>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362C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bookmarkStart w:id="29" w:name="_Toc10855"/>
            <w:r>
              <w:rPr>
                <w:rFonts w:hint="default" w:ascii="Times New Roman" w:hAnsi="Times New Roman" w:eastAsia="宋体" w:cs="Times New Roman"/>
                <w:b/>
                <w:bCs/>
                <w:i w:val="0"/>
                <w:iCs w:val="0"/>
                <w:color w:val="auto"/>
                <w:kern w:val="0"/>
                <w:sz w:val="18"/>
                <w:szCs w:val="18"/>
                <w:u w:val="none"/>
                <w:lang w:val="en-US" w:eastAsia="zh-CN" w:bidi="ar"/>
              </w:rPr>
              <w:t>序号</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8372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业务类型</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8E61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eastAsia" w:eastAsia="宋体" w:cs="Times New Roman"/>
                <w:b/>
                <w:bCs/>
                <w:i w:val="0"/>
                <w:iCs w:val="0"/>
                <w:color w:val="auto"/>
                <w:kern w:val="0"/>
                <w:sz w:val="18"/>
                <w:szCs w:val="18"/>
                <w:u w:val="none"/>
                <w:lang w:val="en-US" w:eastAsia="zh-CN" w:bidi="ar"/>
              </w:rPr>
              <w:t>收款</w:t>
            </w:r>
            <w:r>
              <w:rPr>
                <w:rFonts w:hint="default" w:ascii="Times New Roman" w:hAnsi="Times New Roman" w:eastAsia="宋体" w:cs="Times New Roman"/>
                <w:b/>
                <w:bCs/>
                <w:i w:val="0"/>
                <w:iCs w:val="0"/>
                <w:color w:val="auto"/>
                <w:kern w:val="0"/>
                <w:sz w:val="18"/>
                <w:szCs w:val="18"/>
                <w:u w:val="none"/>
                <w:lang w:val="en-US" w:eastAsia="zh-CN" w:bidi="ar"/>
              </w:rPr>
              <w:t>单位名称</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3856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kern w:val="2"/>
                <w:sz w:val="18"/>
                <w:szCs w:val="18"/>
                <w:u w:val="none"/>
                <w:lang w:val="en-US" w:eastAsia="zh-CN" w:bidi="ar-SA"/>
              </w:rPr>
            </w:pPr>
            <w:r>
              <w:rPr>
                <w:rFonts w:hint="default" w:ascii="Times New Roman" w:hAnsi="Times New Roman" w:eastAsia="宋体" w:cs="Times New Roman"/>
                <w:b/>
                <w:bCs/>
                <w:i w:val="0"/>
                <w:iCs w:val="0"/>
                <w:color w:val="auto"/>
                <w:kern w:val="0"/>
                <w:sz w:val="18"/>
                <w:szCs w:val="18"/>
                <w:u w:val="none"/>
                <w:lang w:val="en-US" w:eastAsia="zh-CN" w:bidi="ar"/>
              </w:rPr>
              <w:t>合同金额或预算金额</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8FCA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kern w:val="0"/>
                <w:sz w:val="18"/>
                <w:szCs w:val="18"/>
                <w:u w:val="none"/>
                <w:lang w:val="en-US" w:eastAsia="zh-CN" w:bidi="ar"/>
              </w:rPr>
            </w:pPr>
            <w:r>
              <w:rPr>
                <w:rFonts w:hint="default" w:ascii="Times New Roman" w:hAnsi="Times New Roman" w:eastAsia="宋体" w:cs="Times New Roman"/>
                <w:b/>
                <w:bCs/>
                <w:i w:val="0"/>
                <w:iCs w:val="0"/>
                <w:color w:val="auto"/>
                <w:kern w:val="0"/>
                <w:sz w:val="18"/>
                <w:szCs w:val="18"/>
                <w:u w:val="none"/>
                <w:lang w:val="en-US" w:eastAsia="zh-CN" w:bidi="ar"/>
              </w:rPr>
              <w:t>决算审计价</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5F3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合同执行金额</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20E0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合同执行进度</w:t>
            </w:r>
          </w:p>
        </w:tc>
      </w:tr>
      <w:tr w14:paraId="014A69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tblHeader/>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DDE3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w:t>
            </w:r>
          </w:p>
        </w:tc>
        <w:tc>
          <w:tcPr>
            <w:tcW w:w="112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4C91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施工</w:t>
            </w:r>
            <w:r>
              <w:rPr>
                <w:rFonts w:hint="eastAsia" w:ascii="Times New Roman" w:hAnsi="Times New Roman" w:eastAsia="宋体" w:cs="Times New Roman"/>
                <w:i w:val="0"/>
                <w:iCs w:val="0"/>
                <w:color w:val="auto"/>
                <w:kern w:val="0"/>
                <w:sz w:val="18"/>
                <w:szCs w:val="18"/>
                <w:u w:val="none"/>
                <w:lang w:val="en-US" w:eastAsia="zh-CN" w:bidi="ar"/>
              </w:rPr>
              <w:t>费</w:t>
            </w:r>
          </w:p>
        </w:tc>
        <w:tc>
          <w:tcPr>
            <w:tcW w:w="32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CA9B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eastAsia"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新疆三友工程建设有限公司</w:t>
            </w:r>
          </w:p>
        </w:tc>
        <w:tc>
          <w:tcPr>
            <w:tcW w:w="106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80A00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703.67</w:t>
            </w:r>
          </w:p>
        </w:tc>
        <w:tc>
          <w:tcPr>
            <w:tcW w:w="88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62C3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687.24</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B85D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eastAsia" w:ascii="Times New Roman" w:hAnsi="Times New Roman" w:eastAsia="宋体" w:cs="Times New Roman"/>
                <w:i w:val="0"/>
                <w:iCs w:val="0"/>
                <w:color w:val="auto"/>
                <w:kern w:val="0"/>
                <w:sz w:val="18"/>
                <w:szCs w:val="18"/>
                <w:u w:val="none"/>
                <w:lang w:val="en-US" w:eastAsia="zh-CN" w:bidi="ar"/>
              </w:rPr>
              <w:t>68</w:t>
            </w:r>
            <w:r>
              <w:rPr>
                <w:rFonts w:hint="eastAsia" w:eastAsia="宋体" w:cs="Times New Roman"/>
                <w:i w:val="0"/>
                <w:iCs w:val="0"/>
                <w:color w:val="auto"/>
                <w:kern w:val="0"/>
                <w:sz w:val="18"/>
                <w:szCs w:val="18"/>
                <w:u w:val="none"/>
                <w:lang w:val="en-US" w:eastAsia="zh-CN" w:bidi="ar"/>
              </w:rPr>
              <w:t>7</w:t>
            </w:r>
            <w:r>
              <w:rPr>
                <w:rFonts w:hint="eastAsia" w:ascii="Times New Roman" w:hAnsi="Times New Roman" w:eastAsia="宋体" w:cs="Times New Roman"/>
                <w:i w:val="0"/>
                <w:iCs w:val="0"/>
                <w:color w:val="auto"/>
                <w:kern w:val="0"/>
                <w:sz w:val="18"/>
                <w:szCs w:val="18"/>
                <w:u w:val="none"/>
                <w:lang w:val="en-US" w:eastAsia="zh-CN" w:bidi="ar"/>
              </w:rPr>
              <w:t>.24</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88EB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100.00%</w:t>
            </w:r>
          </w:p>
        </w:tc>
      </w:tr>
      <w:tr w14:paraId="2464B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6D82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2</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E539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可研费</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5A89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中地泓通工程技术有限公司新疆分公司</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70A7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1.30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CA67C">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1.30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944A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1.30</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6FCD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100.00%</w:t>
            </w:r>
          </w:p>
        </w:tc>
      </w:tr>
      <w:tr w14:paraId="7F4710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2C67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3</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4CDB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监理费</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2D8CD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新疆博跃工程项目管理有限公司</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4D14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11.00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D91E6">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11.00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57E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11.00</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E90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100.00%</w:t>
            </w:r>
          </w:p>
        </w:tc>
      </w:tr>
      <w:tr w14:paraId="30522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DB8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4</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FC71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测绘费</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2E98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新疆兴宇天成测绘地理信息咨询有限公司北庭分公司</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7EC9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5.20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F7F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5.20</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84FA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5.20</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2D76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100.00%</w:t>
            </w:r>
          </w:p>
        </w:tc>
      </w:tr>
      <w:tr w14:paraId="09090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E7A2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5</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84DA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勘察费</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1A39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新疆长江岩土工程勘察设计研究院有限公司</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42A2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4.05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B87A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4.05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0C71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4.05</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E895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100.00%</w:t>
            </w:r>
          </w:p>
        </w:tc>
      </w:tr>
      <w:tr w14:paraId="1C810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EA61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6</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7163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招标控制价费用</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CDD64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新疆晶智工程项目管理有限公司</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CE8B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1.91</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1BE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1.91</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961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1.91</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C057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100.00%</w:t>
            </w:r>
          </w:p>
        </w:tc>
      </w:tr>
      <w:tr w14:paraId="22092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55D1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7</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B9E66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设计费</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D179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中城城园设计有限公司</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929E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13.55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39DB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13.55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64812">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13.55</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4BC72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100.00%</w:t>
            </w:r>
          </w:p>
        </w:tc>
      </w:tr>
      <w:tr w14:paraId="4CA74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4876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8</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5F17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水土保持方案费</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444E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新疆畅源工程技术咨询服务有限公司</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91AEF">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2.25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E5E7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2.25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BCF09">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F7050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0.00%</w:t>
            </w:r>
          </w:p>
        </w:tc>
      </w:tr>
      <w:tr w14:paraId="7D241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E9897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9</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FB57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竣工财务决算审计</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BF18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新疆鸿联会计师事务所（普通合伙）</w:t>
            </w: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8226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1.05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7FF20">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1.05</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1EFF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ACE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0.00%</w:t>
            </w:r>
          </w:p>
        </w:tc>
      </w:tr>
      <w:tr w14:paraId="2FE6D2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CB5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10</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140F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印花税</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0659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auto"/>
                <w:kern w:val="0"/>
                <w:sz w:val="18"/>
                <w:szCs w:val="18"/>
                <w:u w:val="none"/>
                <w:lang w:val="en-US" w:eastAsia="zh-CN" w:bidi="ar"/>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42BB5">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b/>
                <w:bCs/>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0.22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4A9A">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0"/>
                <w:sz w:val="18"/>
                <w:szCs w:val="18"/>
                <w:u w:val="none"/>
                <w:lang w:val="en-US" w:eastAsia="zh-CN" w:bidi="ar"/>
              </w:rPr>
            </w:pPr>
            <w:r>
              <w:rPr>
                <w:rFonts w:hint="default" w:ascii="Times New Roman" w:hAnsi="Times New Roman" w:eastAsia="宋体" w:cs="Times New Roman"/>
                <w:i w:val="0"/>
                <w:iCs w:val="0"/>
                <w:color w:val="auto"/>
                <w:kern w:val="0"/>
                <w:sz w:val="18"/>
                <w:szCs w:val="18"/>
                <w:u w:val="none"/>
                <w:lang w:val="en-US" w:eastAsia="zh-CN" w:bidi="ar"/>
              </w:rPr>
              <w:t>0.22</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16184">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167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auto"/>
                <w:kern w:val="2"/>
                <w:sz w:val="18"/>
                <w:szCs w:val="18"/>
                <w:u w:val="none"/>
                <w:lang w:val="en-US" w:eastAsia="zh-CN" w:bidi="ar-SA"/>
              </w:rPr>
            </w:pPr>
            <w:r>
              <w:rPr>
                <w:rFonts w:hint="default" w:ascii="Times New Roman" w:hAnsi="Times New Roman" w:eastAsia="宋体" w:cs="Times New Roman"/>
                <w:i w:val="0"/>
                <w:iCs w:val="0"/>
                <w:color w:val="auto"/>
                <w:kern w:val="0"/>
                <w:sz w:val="18"/>
                <w:szCs w:val="18"/>
                <w:u w:val="none"/>
                <w:lang w:val="en-US" w:eastAsia="zh-CN" w:bidi="ar"/>
              </w:rPr>
              <w:t>0.00%</w:t>
            </w:r>
          </w:p>
        </w:tc>
      </w:tr>
      <w:tr w14:paraId="78491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jc w:val="center"/>
        </w:trPr>
        <w:tc>
          <w:tcPr>
            <w:tcW w:w="4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F713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lang w:val="en-US"/>
              </w:rPr>
            </w:pPr>
            <w:r>
              <w:rPr>
                <w:rFonts w:hint="default" w:ascii="Times New Roman" w:hAnsi="Times New Roman" w:eastAsia="宋体" w:cs="Times New Roman"/>
                <w:b/>
                <w:bCs/>
                <w:i w:val="0"/>
                <w:iCs w:val="0"/>
                <w:color w:val="auto"/>
                <w:kern w:val="0"/>
                <w:sz w:val="18"/>
                <w:szCs w:val="18"/>
                <w:u w:val="none"/>
                <w:lang w:val="en-US" w:eastAsia="zh-CN" w:bidi="ar"/>
              </w:rPr>
              <w:t>11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3F77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合计</w:t>
            </w:r>
          </w:p>
        </w:tc>
        <w:tc>
          <w:tcPr>
            <w:tcW w:w="328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321B84">
            <w:pPr>
              <w:keepNext w:val="0"/>
              <w:keepLines w:val="0"/>
              <w:pageBreakBefore w:val="0"/>
              <w:widowControl/>
              <w:kinsoku/>
              <w:wordWrap/>
              <w:overflowPunct/>
              <w:topLinePunct w:val="0"/>
              <w:autoSpaceDE/>
              <w:autoSpaceDN/>
              <w:bidi w:val="0"/>
              <w:spacing w:line="240" w:lineRule="auto"/>
              <w:ind w:firstLine="0" w:firstLineChars="0"/>
              <w:jc w:val="both"/>
              <w:rPr>
                <w:rFonts w:hint="default" w:ascii="Times New Roman" w:hAnsi="Times New Roman" w:eastAsia="宋体" w:cs="Times New Roman"/>
                <w:b/>
                <w:bCs/>
                <w:i w:val="0"/>
                <w:iCs w:val="0"/>
                <w:color w:val="auto"/>
                <w:sz w:val="18"/>
                <w:szCs w:val="18"/>
                <w:u w:val="none"/>
              </w:rPr>
            </w:pPr>
          </w:p>
        </w:tc>
        <w:tc>
          <w:tcPr>
            <w:tcW w:w="10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9449E">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b/>
                <w:bCs/>
                <w:i w:val="0"/>
                <w:iCs w:val="0"/>
                <w:color w:val="auto"/>
                <w:kern w:val="2"/>
                <w:sz w:val="18"/>
                <w:szCs w:val="18"/>
                <w:u w:val="none"/>
                <w:lang w:val="en-US" w:eastAsia="zh-CN" w:bidi="ar-SA"/>
              </w:rPr>
            </w:pPr>
            <w:r>
              <w:rPr>
                <w:rFonts w:hint="default" w:ascii="Times New Roman" w:hAnsi="Times New Roman" w:eastAsia="宋体" w:cs="Times New Roman"/>
                <w:b/>
                <w:bCs/>
                <w:i w:val="0"/>
                <w:iCs w:val="0"/>
                <w:color w:val="auto"/>
                <w:kern w:val="0"/>
                <w:sz w:val="18"/>
                <w:szCs w:val="18"/>
                <w:u w:val="none"/>
                <w:lang w:val="en-US" w:eastAsia="zh-CN" w:bidi="ar"/>
              </w:rPr>
              <w:t>744.22</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CCB58">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b/>
                <w:bCs/>
                <w:i w:val="0"/>
                <w:iCs w:val="0"/>
                <w:color w:val="auto"/>
                <w:kern w:val="0"/>
                <w:sz w:val="18"/>
                <w:szCs w:val="18"/>
                <w:u w:val="none"/>
                <w:lang w:val="en-US" w:eastAsia="zh-CN" w:bidi="ar"/>
              </w:rPr>
            </w:pPr>
            <w:r>
              <w:rPr>
                <w:rFonts w:hint="default" w:ascii="Times New Roman" w:hAnsi="Times New Roman" w:eastAsia="宋体" w:cs="Times New Roman"/>
                <w:b/>
                <w:bCs/>
                <w:i w:val="0"/>
                <w:iCs w:val="0"/>
                <w:color w:val="auto"/>
                <w:kern w:val="0"/>
                <w:sz w:val="18"/>
                <w:szCs w:val="18"/>
                <w:u w:val="none"/>
                <w:lang w:val="en-US" w:eastAsia="zh-CN" w:bidi="ar"/>
              </w:rPr>
              <w:t>727.77</w:t>
            </w:r>
          </w:p>
        </w:tc>
        <w:tc>
          <w:tcPr>
            <w:tcW w:w="8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42ADD">
            <w:pPr>
              <w:keepNext w:val="0"/>
              <w:keepLines w:val="0"/>
              <w:pageBreakBefore w:val="0"/>
              <w:widowControl/>
              <w:suppressLineNumbers w:val="0"/>
              <w:kinsoku/>
              <w:wordWrap/>
              <w:overflowPunct/>
              <w:topLinePunct w:val="0"/>
              <w:autoSpaceDE/>
              <w:autoSpaceDN/>
              <w:bidi w:val="0"/>
              <w:spacing w:line="240" w:lineRule="auto"/>
              <w:ind w:firstLine="0" w:firstLineChars="0"/>
              <w:jc w:val="right"/>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724.25</w:t>
            </w:r>
          </w:p>
        </w:tc>
        <w:tc>
          <w:tcPr>
            <w:tcW w:w="10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1CE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97.32%</w:t>
            </w:r>
          </w:p>
        </w:tc>
      </w:tr>
    </w:tbl>
    <w:p w14:paraId="17C7DDAA">
      <w:pPr>
        <w:pageBreakBefore w:val="0"/>
        <w:kinsoku/>
        <w:wordWrap/>
        <w:overflowPunct/>
        <w:topLinePunct w:val="0"/>
        <w:autoSpaceDE/>
        <w:autoSpaceDN/>
        <w:bidi w:val="0"/>
        <w:snapToGrid w:val="0"/>
        <w:spacing w:before="0" w:after="0" w:line="240" w:lineRule="auto"/>
        <w:rPr>
          <w:rFonts w:hint="default"/>
          <w:color w:val="auto"/>
        </w:rPr>
      </w:pPr>
    </w:p>
    <w:p w14:paraId="69915B1F">
      <w:pPr>
        <w:pageBreakBefore w:val="0"/>
        <w:kinsoku/>
        <w:wordWrap/>
        <w:overflowPunct/>
        <w:topLinePunct w:val="0"/>
        <w:autoSpaceDE/>
        <w:autoSpaceDN/>
        <w:bidi w:val="0"/>
        <w:snapToGrid w:val="0"/>
        <w:spacing w:before="0" w:after="0" w:line="360" w:lineRule="auto"/>
        <w:rPr>
          <w:rFonts w:hint="default" w:eastAsiaTheme="minorEastAsia"/>
          <w:color w:val="auto"/>
          <w:lang w:val="en-US" w:eastAsia="zh-CN"/>
        </w:rPr>
      </w:pPr>
      <w:r>
        <w:rPr>
          <w:rFonts w:hint="default"/>
          <w:color w:val="auto"/>
          <w:lang w:val="en-US" w:eastAsia="zh-CN"/>
        </w:rPr>
        <w:t>备注：</w:t>
      </w:r>
      <w:r>
        <w:rPr>
          <w:rFonts w:hint="default" w:cs="Times New Roman"/>
          <w:color w:val="auto"/>
          <w:lang w:val="en-US" w:eastAsia="zh-CN"/>
        </w:rPr>
        <w:t>截止2024年12月31日，</w:t>
      </w:r>
      <w:r>
        <w:rPr>
          <w:rFonts w:hint="default" w:ascii="Times New Roman" w:hAnsi="Times New Roman" w:cs="Times New Roman" w:eastAsiaTheme="minorEastAsia"/>
          <w:color w:val="auto"/>
          <w:lang w:val="en-US" w:eastAsia="zh-CN"/>
        </w:rPr>
        <w:t>吉木萨尔县</w:t>
      </w:r>
      <w:r>
        <w:rPr>
          <w:rFonts w:hint="default" w:cs="Times New Roman"/>
          <w:color w:val="auto"/>
          <w:lang w:val="en-US" w:eastAsia="zh-CN"/>
        </w:rPr>
        <w:t>二</w:t>
      </w:r>
      <w:r>
        <w:rPr>
          <w:rFonts w:hint="default" w:ascii="Times New Roman" w:hAnsi="Times New Roman" w:cs="Times New Roman" w:eastAsiaTheme="minorEastAsia"/>
          <w:color w:val="auto"/>
          <w:lang w:val="en-US" w:eastAsia="zh-CN"/>
        </w:rPr>
        <w:t>工镇</w:t>
      </w:r>
      <w:r>
        <w:rPr>
          <w:rFonts w:hint="default" w:cs="Times New Roman"/>
          <w:color w:val="auto"/>
          <w:lang w:val="en-US" w:eastAsia="zh-CN"/>
        </w:rPr>
        <w:t>人民政府已按施工合同金额支付施工费用703.67万元，</w:t>
      </w:r>
      <w:r>
        <w:rPr>
          <w:rFonts w:hint="default" w:ascii="Times New Roman" w:hAnsi="Times New Roman" w:cs="Times New Roman" w:eastAsiaTheme="minorEastAsia"/>
          <w:color w:val="auto"/>
          <w:lang w:val="en-US" w:eastAsia="zh-CN"/>
        </w:rPr>
        <w:t>新疆恒瑞博源工程项目管理有限公司出具《吉木萨尔县</w:t>
      </w:r>
      <w:r>
        <w:rPr>
          <w:rFonts w:hint="default" w:cs="Times New Roman"/>
          <w:color w:val="auto"/>
          <w:lang w:val="en-US" w:eastAsia="zh-CN"/>
        </w:rPr>
        <w:t>二</w:t>
      </w:r>
      <w:r>
        <w:rPr>
          <w:rFonts w:hint="default" w:ascii="Times New Roman" w:hAnsi="Times New Roman" w:cs="Times New Roman" w:eastAsiaTheme="minorEastAsia"/>
          <w:color w:val="auto"/>
          <w:lang w:val="en-US" w:eastAsia="zh-CN"/>
        </w:rPr>
        <w:t>工镇大泉湖村2024年以工代赈基础设施建设项目竣工结算审核报告》确认</w:t>
      </w:r>
      <w:r>
        <w:rPr>
          <w:rFonts w:hint="default" w:cs="Times New Roman"/>
          <w:color w:val="auto"/>
          <w:lang w:val="en-US" w:eastAsia="zh-CN"/>
        </w:rPr>
        <w:t>该</w:t>
      </w:r>
      <w:r>
        <w:rPr>
          <w:rFonts w:hint="default" w:ascii="Times New Roman" w:hAnsi="Times New Roman" w:cs="Times New Roman" w:eastAsiaTheme="minorEastAsia"/>
          <w:color w:val="auto"/>
          <w:lang w:val="en-US" w:eastAsia="zh-CN"/>
        </w:rPr>
        <w:t>项目造价结算审核审定金额</w:t>
      </w:r>
      <w:r>
        <w:rPr>
          <w:rFonts w:hint="default" w:ascii="Times New Roman" w:hAnsi="Times New Roman" w:cs="Times New Roman"/>
          <w:color w:val="auto"/>
          <w:lang w:val="en-US" w:eastAsia="zh-CN"/>
        </w:rPr>
        <w:t>687.24万</w:t>
      </w:r>
      <w:r>
        <w:rPr>
          <w:rFonts w:hint="default" w:ascii="Times New Roman" w:hAnsi="Times New Roman" w:cs="Times New Roman" w:eastAsiaTheme="minorEastAsia"/>
          <w:color w:val="auto"/>
          <w:lang w:val="en-US" w:eastAsia="zh-CN"/>
        </w:rPr>
        <w:t>元</w:t>
      </w:r>
      <w:r>
        <w:rPr>
          <w:rFonts w:hint="default" w:cs="Times New Roman"/>
          <w:color w:val="auto"/>
          <w:lang w:val="en-US" w:eastAsia="zh-CN"/>
        </w:rPr>
        <w:t>，施工单位根据</w:t>
      </w:r>
      <w:r>
        <w:rPr>
          <w:rFonts w:hint="default" w:ascii="Times New Roman" w:hAnsi="Times New Roman" w:cs="Times New Roman" w:eastAsiaTheme="minorEastAsia"/>
          <w:color w:val="auto"/>
          <w:lang w:val="en-US" w:eastAsia="zh-CN"/>
        </w:rPr>
        <w:t>造价结算审核审定金额</w:t>
      </w:r>
      <w:r>
        <w:rPr>
          <w:rFonts w:hint="default" w:cs="Times New Roman"/>
          <w:color w:val="auto"/>
          <w:lang w:val="en-US" w:eastAsia="zh-CN"/>
        </w:rPr>
        <w:t>于2025年6月3日退回16.43万元工程费至财政国库</w:t>
      </w:r>
      <w:r>
        <w:rPr>
          <w:rFonts w:hint="default" w:ascii="Times New Roman" w:hAnsi="Times New Roman" w:cs="Times New Roman" w:eastAsiaTheme="minorEastAsia"/>
          <w:color w:val="auto"/>
          <w:lang w:val="en-US" w:eastAsia="zh-CN"/>
        </w:rPr>
        <w:t>。</w:t>
      </w:r>
    </w:p>
    <w:p w14:paraId="113C0F17">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r>
        <w:rPr>
          <w:rFonts w:hint="default" w:ascii="Times New Roman" w:hAnsi="Times New Roman"/>
          <w:color w:val="auto"/>
        </w:rPr>
        <w:t>（三）</w:t>
      </w:r>
      <w:r>
        <w:rPr>
          <w:rFonts w:ascii="Times New Roman" w:hAnsi="Times New Roman"/>
          <w:color w:val="auto"/>
        </w:rPr>
        <w:t>项目实施情况</w:t>
      </w:r>
      <w:bookmarkEnd w:id="29"/>
    </w:p>
    <w:p w14:paraId="27927541">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1.项目前期手续办理情况</w:t>
      </w:r>
    </w:p>
    <w:p w14:paraId="10BF875B">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202</w:t>
      </w:r>
      <w:r>
        <w:rPr>
          <w:rFonts w:hint="default" w:cs="Times New Roman"/>
          <w:color w:val="auto"/>
          <w:lang w:val="en-US" w:eastAsia="zh-CN"/>
        </w:rPr>
        <w:t>3</w:t>
      </w:r>
      <w:r>
        <w:rPr>
          <w:rFonts w:hint="default" w:ascii="Times New Roman" w:hAnsi="Times New Roman" w:cs="Times New Roman"/>
          <w:color w:val="auto"/>
          <w:lang w:val="en-US" w:eastAsia="zh-CN"/>
        </w:rPr>
        <w:t>年</w:t>
      </w:r>
      <w:r>
        <w:rPr>
          <w:rFonts w:hint="default" w:cs="Times New Roman"/>
          <w:color w:val="auto"/>
          <w:lang w:val="en-US" w:eastAsia="zh-CN"/>
        </w:rPr>
        <w:t>8</w:t>
      </w:r>
      <w:r>
        <w:rPr>
          <w:rFonts w:hint="default" w:ascii="Times New Roman" w:hAnsi="Times New Roman" w:cs="Times New Roman"/>
          <w:color w:val="auto"/>
          <w:lang w:val="en-US" w:eastAsia="zh-CN"/>
        </w:rPr>
        <w:t>月，由中地泓通工程技术有限公司编制完成《吉木萨尔县二工镇大泉湖村2024年以工代赈基础设施建设项目工程可行性研究报告》；</w:t>
      </w:r>
    </w:p>
    <w:p w14:paraId="71534474">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202</w:t>
      </w:r>
      <w:r>
        <w:rPr>
          <w:rFonts w:hint="default" w:cs="Times New Roman"/>
          <w:color w:val="auto"/>
          <w:lang w:val="en-US" w:eastAsia="zh-CN"/>
        </w:rPr>
        <w:t>3</w:t>
      </w:r>
      <w:r>
        <w:rPr>
          <w:rFonts w:hint="default" w:ascii="Times New Roman" w:hAnsi="Times New Roman" w:cs="Times New Roman"/>
          <w:color w:val="auto"/>
          <w:lang w:val="en-US" w:eastAsia="zh-CN"/>
        </w:rPr>
        <w:t>年</w:t>
      </w:r>
      <w:r>
        <w:rPr>
          <w:rFonts w:hint="default" w:cs="Times New Roman"/>
          <w:color w:val="auto"/>
          <w:lang w:val="en-US" w:eastAsia="zh-CN"/>
        </w:rPr>
        <w:t>8</w:t>
      </w:r>
      <w:r>
        <w:rPr>
          <w:rFonts w:hint="default" w:ascii="Times New Roman" w:hAnsi="Times New Roman" w:cs="Times New Roman"/>
          <w:color w:val="auto"/>
          <w:lang w:val="en-US" w:eastAsia="zh-CN"/>
        </w:rPr>
        <w:t>月</w:t>
      </w:r>
      <w:r>
        <w:rPr>
          <w:rFonts w:hint="default" w:cs="Times New Roman"/>
          <w:color w:val="auto"/>
          <w:lang w:val="en-US" w:eastAsia="zh-CN"/>
        </w:rPr>
        <w:t>27</w:t>
      </w:r>
      <w:r>
        <w:rPr>
          <w:rFonts w:hint="default" w:ascii="Times New Roman" w:hAnsi="Times New Roman" w:cs="Times New Roman"/>
          <w:color w:val="auto"/>
          <w:lang w:val="en-US" w:eastAsia="zh-CN"/>
        </w:rPr>
        <w:t>日，项目办理取得《关于吉木萨尔县二工镇大泉湖村2024年以工代赈基础设施建设项目可行性研究报告的批复》（吉县发改〔2023〕211号）；</w:t>
      </w:r>
    </w:p>
    <w:p w14:paraId="4EDD493C">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cs="Times New Roman"/>
          <w:color w:val="auto"/>
          <w:lang w:val="en-US" w:eastAsia="zh-CN"/>
        </w:rPr>
      </w:pPr>
      <w:r>
        <w:rPr>
          <w:rFonts w:hint="default" w:ascii="Times New Roman" w:hAnsi="Times New Roman" w:cs="Times New Roman"/>
          <w:color w:val="auto"/>
          <w:lang w:val="en-US" w:eastAsia="zh-CN"/>
        </w:rPr>
        <w:t>202</w:t>
      </w:r>
      <w:r>
        <w:rPr>
          <w:rFonts w:hint="default" w:cs="Times New Roman"/>
          <w:color w:val="auto"/>
          <w:lang w:val="en-US" w:eastAsia="zh-CN"/>
        </w:rPr>
        <w:t>3</w:t>
      </w:r>
      <w:r>
        <w:rPr>
          <w:rFonts w:hint="default" w:ascii="Times New Roman" w:hAnsi="Times New Roman" w:cs="Times New Roman"/>
          <w:color w:val="auto"/>
          <w:lang w:val="en-US" w:eastAsia="zh-CN"/>
        </w:rPr>
        <w:t>年</w:t>
      </w:r>
      <w:r>
        <w:rPr>
          <w:rFonts w:hint="default" w:cs="Times New Roman"/>
          <w:color w:val="auto"/>
          <w:lang w:val="en-US" w:eastAsia="zh-CN"/>
        </w:rPr>
        <w:t>8</w:t>
      </w:r>
      <w:r>
        <w:rPr>
          <w:rFonts w:hint="default" w:ascii="Times New Roman" w:hAnsi="Times New Roman" w:cs="Times New Roman"/>
          <w:color w:val="auto"/>
          <w:lang w:val="en-US" w:eastAsia="zh-CN"/>
        </w:rPr>
        <w:t>月</w:t>
      </w:r>
      <w:r>
        <w:rPr>
          <w:rFonts w:hint="default" w:cs="Times New Roman"/>
          <w:color w:val="auto"/>
          <w:lang w:val="en-US" w:eastAsia="zh-CN"/>
        </w:rPr>
        <w:t>27</w:t>
      </w:r>
      <w:r>
        <w:rPr>
          <w:rFonts w:hint="default" w:ascii="Times New Roman" w:hAnsi="Times New Roman" w:cs="Times New Roman"/>
          <w:color w:val="auto"/>
          <w:lang w:val="en-US" w:eastAsia="zh-CN"/>
        </w:rPr>
        <w:t>日，</w:t>
      </w:r>
      <w:r>
        <w:rPr>
          <w:rFonts w:hint="default" w:cs="Times New Roman"/>
          <w:color w:val="auto"/>
          <w:lang w:val="en-US" w:eastAsia="zh-CN"/>
        </w:rPr>
        <w:t>根据吉木萨尔县自然资源局出具的</w:t>
      </w:r>
      <w:r>
        <w:rPr>
          <w:rFonts w:hint="default" w:ascii="Times New Roman" w:hAnsi="Times New Roman" w:cs="Times New Roman"/>
          <w:color w:val="auto"/>
          <w:lang w:val="en-US" w:eastAsia="zh-CN"/>
        </w:rPr>
        <w:t>《关于</w:t>
      </w:r>
      <w:r>
        <w:rPr>
          <w:rFonts w:hint="default" w:cs="Times New Roman"/>
          <w:color w:val="auto"/>
          <w:lang w:val="en-US" w:eastAsia="zh-CN"/>
        </w:rPr>
        <w:t>&lt;</w:t>
      </w:r>
      <w:r>
        <w:rPr>
          <w:rFonts w:hint="default" w:ascii="Times New Roman" w:hAnsi="Times New Roman" w:cs="Times New Roman"/>
          <w:color w:val="auto"/>
          <w:lang w:val="en-US" w:eastAsia="zh-CN"/>
        </w:rPr>
        <w:t>吉木萨尔县二工镇大泉湖村2024年以工代赈基础设施</w:t>
      </w:r>
      <w:r>
        <w:rPr>
          <w:rFonts w:hint="default" w:cs="Times New Roman"/>
          <w:color w:val="auto"/>
          <w:lang w:val="en-US" w:eastAsia="zh-CN"/>
        </w:rPr>
        <w:t>建设项目</w:t>
      </w:r>
      <w:r>
        <w:rPr>
          <w:rFonts w:hint="default" w:ascii="Times New Roman" w:hAnsi="Times New Roman" w:cs="Times New Roman"/>
          <w:color w:val="auto"/>
          <w:lang w:val="en-US" w:eastAsia="zh-CN"/>
        </w:rPr>
        <w:t>用地申请</w:t>
      </w:r>
      <w:r>
        <w:rPr>
          <w:rFonts w:hint="default" w:cs="Times New Roman"/>
          <w:color w:val="auto"/>
          <w:lang w:val="en-US" w:eastAsia="zh-CN"/>
        </w:rPr>
        <w:t>&gt;</w:t>
      </w:r>
      <w:r>
        <w:rPr>
          <w:rFonts w:hint="default" w:ascii="Times New Roman" w:hAnsi="Times New Roman" w:cs="Times New Roman"/>
          <w:color w:val="auto"/>
          <w:lang w:val="en-US" w:eastAsia="zh-CN"/>
        </w:rPr>
        <w:t>的复函》</w:t>
      </w:r>
      <w:r>
        <w:rPr>
          <w:rFonts w:hint="default" w:cs="Times New Roman"/>
          <w:color w:val="auto"/>
          <w:lang w:val="en-US" w:eastAsia="zh-CN"/>
        </w:rPr>
        <w:t>：“项目不涉及新增建设用地，不用办理用地报批手续</w:t>
      </w:r>
      <w:r>
        <w:rPr>
          <w:rFonts w:hint="default" w:ascii="Times New Roman" w:hAnsi="Times New Roman" w:cs="Times New Roman"/>
          <w:color w:val="auto"/>
          <w:lang w:val="en-US" w:eastAsia="zh-CN"/>
        </w:rPr>
        <w:t>。</w:t>
      </w:r>
      <w:r>
        <w:rPr>
          <w:rFonts w:hint="default" w:cs="Times New Roman"/>
          <w:color w:val="auto"/>
          <w:lang w:val="en-US" w:eastAsia="zh-CN"/>
        </w:rPr>
        <w:t>”</w:t>
      </w:r>
    </w:p>
    <w:p w14:paraId="26631EBB">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i w:val="0"/>
          <w:iCs w:val="0"/>
          <w:color w:val="auto"/>
          <w:kern w:val="2"/>
          <w:sz w:val="21"/>
          <w:szCs w:val="21"/>
          <w:u w:val="none"/>
          <w:lang w:val="en-US" w:eastAsia="zh-CN" w:bidi="ar"/>
        </w:rPr>
      </w:pPr>
      <w:r>
        <w:rPr>
          <w:rFonts w:hint="default" w:ascii="Times New Roman" w:hAnsi="Times New Roman" w:cs="Times New Roman" w:eastAsiaTheme="minorEastAsia"/>
          <w:i w:val="0"/>
          <w:iCs w:val="0"/>
          <w:color w:val="auto"/>
          <w:kern w:val="2"/>
          <w:sz w:val="21"/>
          <w:szCs w:val="21"/>
          <w:u w:val="none"/>
          <w:lang w:val="en-US" w:eastAsia="zh-CN" w:bidi="ar"/>
        </w:rPr>
        <w:t>2024年7月11日，由吉木萨尔县二工镇人民政府出具《情况说明》显示：“根据《国家以工代赈</w:t>
      </w:r>
      <w:r>
        <w:rPr>
          <w:rFonts w:hint="default" w:cs="Times New Roman"/>
          <w:i w:val="0"/>
          <w:iCs w:val="0"/>
          <w:color w:val="auto"/>
          <w:kern w:val="2"/>
          <w:sz w:val="21"/>
          <w:szCs w:val="21"/>
          <w:u w:val="none"/>
          <w:lang w:val="en-US" w:eastAsia="zh-CN" w:bidi="ar"/>
        </w:rPr>
        <w:t>管理办</w:t>
      </w:r>
      <w:r>
        <w:rPr>
          <w:rFonts w:hint="default" w:ascii="Times New Roman" w:hAnsi="Times New Roman" w:cs="Times New Roman" w:eastAsiaTheme="minorEastAsia"/>
          <w:i w:val="0"/>
          <w:iCs w:val="0"/>
          <w:color w:val="auto"/>
          <w:kern w:val="2"/>
          <w:sz w:val="21"/>
          <w:szCs w:val="21"/>
          <w:u w:val="none"/>
          <w:lang w:val="en-US" w:eastAsia="zh-CN" w:bidi="ar"/>
        </w:rPr>
        <w:t>法》第二十六条按照招标投标法和村庄建设项目施行简易审批的有关规定要求，以工代赈项目可以不进行招标，任何单位和个人不得强制要求招标，不得另行制定必须招标的范围和规模标准</w:t>
      </w:r>
      <w:r>
        <w:rPr>
          <w:rFonts w:hint="default" w:cs="Times New Roman"/>
          <w:i w:val="0"/>
          <w:iCs w:val="0"/>
          <w:color w:val="auto"/>
          <w:kern w:val="2"/>
          <w:sz w:val="21"/>
          <w:szCs w:val="21"/>
          <w:u w:val="none"/>
          <w:lang w:val="en-US" w:eastAsia="zh-CN" w:bidi="ar"/>
        </w:rPr>
        <w:t>。</w:t>
      </w:r>
      <w:r>
        <w:rPr>
          <w:rFonts w:hint="default" w:ascii="Times New Roman" w:hAnsi="Times New Roman" w:cs="Times New Roman" w:eastAsiaTheme="minorEastAsia"/>
          <w:i w:val="0"/>
          <w:iCs w:val="0"/>
          <w:color w:val="auto"/>
          <w:kern w:val="2"/>
          <w:sz w:val="21"/>
          <w:szCs w:val="21"/>
          <w:u w:val="none"/>
          <w:lang w:val="en-US" w:eastAsia="zh-CN" w:bidi="ar"/>
        </w:rPr>
        <w:t>符合村庄建设项目施行简易审批相关要求的，各地应优化可行性研究报告等审批，简化用地、环评、乡村规划许可、施工许可等审批手续。”</w:t>
      </w:r>
      <w:r>
        <w:rPr>
          <w:rFonts w:hint="default" w:cs="Times New Roman"/>
          <w:i w:val="0"/>
          <w:iCs w:val="0"/>
          <w:color w:val="auto"/>
          <w:kern w:val="2"/>
          <w:sz w:val="21"/>
          <w:szCs w:val="21"/>
          <w:u w:val="none"/>
          <w:lang w:val="en-US" w:eastAsia="zh-CN" w:bidi="ar"/>
        </w:rPr>
        <w:t>该</w:t>
      </w:r>
      <w:r>
        <w:rPr>
          <w:rFonts w:hint="default" w:ascii="Times New Roman" w:hAnsi="Times New Roman" w:cs="Times New Roman" w:eastAsiaTheme="minorEastAsia"/>
          <w:i w:val="0"/>
          <w:iCs w:val="0"/>
          <w:color w:val="auto"/>
          <w:kern w:val="2"/>
          <w:sz w:val="21"/>
          <w:szCs w:val="21"/>
          <w:u w:val="none"/>
          <w:lang w:val="en-US" w:eastAsia="zh-CN" w:bidi="ar"/>
        </w:rPr>
        <w:t>项目符合上述规定，可以直接进行后续的施工图设计或相关审批流程，而无需进行初步设计的审批。</w:t>
      </w:r>
    </w:p>
    <w:p w14:paraId="054C4DDA">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i w:val="0"/>
          <w:iCs w:val="0"/>
          <w:color w:val="auto"/>
          <w:kern w:val="2"/>
          <w:sz w:val="21"/>
          <w:szCs w:val="21"/>
          <w:u w:val="none"/>
          <w:lang w:val="en-US" w:eastAsia="zh-CN" w:bidi="ar"/>
        </w:rPr>
      </w:pPr>
      <w:r>
        <w:rPr>
          <w:rFonts w:hint="default" w:ascii="Times New Roman" w:hAnsi="Times New Roman" w:cs="Times New Roman" w:eastAsiaTheme="minorEastAsia"/>
          <w:i w:val="0"/>
          <w:iCs w:val="0"/>
          <w:color w:val="auto"/>
          <w:kern w:val="2"/>
          <w:sz w:val="21"/>
          <w:szCs w:val="21"/>
          <w:u w:val="none"/>
          <w:lang w:val="en-US" w:eastAsia="zh-CN" w:bidi="ar"/>
        </w:rPr>
        <w:t>2024年7月12日</w:t>
      </w:r>
      <w:r>
        <w:rPr>
          <w:rFonts w:hint="default" w:cs="Times New Roman"/>
          <w:i w:val="0"/>
          <w:iCs w:val="0"/>
          <w:color w:val="auto"/>
          <w:kern w:val="2"/>
          <w:sz w:val="21"/>
          <w:szCs w:val="21"/>
          <w:u w:val="none"/>
          <w:lang w:val="en-US" w:eastAsia="zh-CN" w:bidi="ar"/>
        </w:rPr>
        <w:t>，</w:t>
      </w:r>
      <w:r>
        <w:rPr>
          <w:rFonts w:hint="default" w:ascii="Times New Roman" w:hAnsi="Times New Roman" w:cs="Times New Roman" w:eastAsiaTheme="minorEastAsia"/>
          <w:i w:val="0"/>
          <w:iCs w:val="0"/>
          <w:color w:val="auto"/>
          <w:kern w:val="2"/>
          <w:sz w:val="21"/>
          <w:szCs w:val="21"/>
          <w:u w:val="none"/>
          <w:lang w:val="en-US" w:eastAsia="zh-CN" w:bidi="ar"/>
        </w:rPr>
        <w:t>由吉木萨尔县二工镇人民政府出具</w:t>
      </w:r>
      <w:r>
        <w:rPr>
          <w:rFonts w:hint="default" w:cs="Times New Roman"/>
          <w:i w:val="0"/>
          <w:iCs w:val="0"/>
          <w:color w:val="auto"/>
          <w:kern w:val="2"/>
          <w:sz w:val="21"/>
          <w:szCs w:val="21"/>
          <w:u w:val="none"/>
          <w:lang w:val="en-US" w:eastAsia="zh-CN" w:bidi="ar"/>
        </w:rPr>
        <w:t>《关于&lt;吉木萨尔县二工镇大泉湖村2024年以工代赈基础设施建设项目&gt;不涉及重要设备中标通知书及重要设备采购，安装合同的情况说明》显示，“根据吉木萨尔县二工镇大泉湖村2024年以工代赈基础设施建设项目施工设计该项目不涉及重要设备中标通知书及重要设备采购，安装合同。”</w:t>
      </w:r>
    </w:p>
    <w:p w14:paraId="79101AC5">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2.项目采购情况</w:t>
      </w:r>
    </w:p>
    <w:p w14:paraId="273266BD">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吉木萨尔县二工镇人民政府委托</w:t>
      </w:r>
      <w:r>
        <w:rPr>
          <w:rFonts w:hint="default" w:ascii="Times New Roman" w:hAnsi="Times New Roman" w:cs="Times New Roman" w:eastAsiaTheme="minorEastAsia"/>
          <w:i w:val="0"/>
          <w:iCs w:val="0"/>
          <w:color w:val="auto"/>
          <w:kern w:val="2"/>
          <w:sz w:val="21"/>
          <w:szCs w:val="21"/>
          <w:u w:val="none"/>
          <w:lang w:val="en-US" w:eastAsia="zh-CN" w:bidi="ar"/>
        </w:rPr>
        <w:t>新疆晶智工程项目管理有限公司编制了项目招标控制价，审定的招标控制价金额为</w:t>
      </w:r>
      <w:r>
        <w:rPr>
          <w:rFonts w:hint="default" w:cs="Times New Roman"/>
          <w:i w:val="0"/>
          <w:iCs w:val="0"/>
          <w:color w:val="auto"/>
          <w:kern w:val="2"/>
          <w:sz w:val="21"/>
          <w:szCs w:val="21"/>
          <w:u w:val="none"/>
          <w:lang w:val="en-US" w:eastAsia="zh-CN" w:bidi="ar"/>
        </w:rPr>
        <w:t>720.72</w:t>
      </w:r>
      <w:r>
        <w:rPr>
          <w:rFonts w:hint="default" w:ascii="Times New Roman" w:hAnsi="Times New Roman" w:cs="Times New Roman" w:eastAsiaTheme="minorEastAsia"/>
          <w:i w:val="0"/>
          <w:iCs w:val="0"/>
          <w:color w:val="auto"/>
          <w:kern w:val="2"/>
          <w:sz w:val="21"/>
          <w:szCs w:val="21"/>
          <w:u w:val="none"/>
          <w:lang w:val="en-US" w:eastAsia="zh-CN" w:bidi="ar"/>
        </w:rPr>
        <w:t>万元。</w:t>
      </w:r>
      <w:r>
        <w:rPr>
          <w:rFonts w:hint="default" w:ascii="Times New Roman" w:hAnsi="Times New Roman" w:cs="Times New Roman"/>
          <w:color w:val="auto"/>
          <w:lang w:val="en-US" w:eastAsia="zh-CN"/>
        </w:rPr>
        <w:t>2024年7月8日，吉木萨尔县二工镇人民政府委托新疆鑫耀览项目管理咨询有限公司为项目招标代理机构，通过竞争性磋商的方式，确定该项目施工中标单位为新疆三友工程建设有限公司，中标金额为</w:t>
      </w:r>
      <w:r>
        <w:rPr>
          <w:rFonts w:hint="default" w:cs="Times New Roman"/>
          <w:color w:val="auto"/>
          <w:lang w:val="en-US" w:eastAsia="zh-CN"/>
        </w:rPr>
        <w:t>703.67</w:t>
      </w:r>
      <w:r>
        <w:rPr>
          <w:rFonts w:hint="default" w:ascii="Times New Roman" w:hAnsi="Times New Roman" w:cs="Times New Roman"/>
          <w:color w:val="auto"/>
          <w:lang w:val="en-US" w:eastAsia="zh-CN"/>
        </w:rPr>
        <w:t>万元，中标内容为：新建道路8公里及附属配套设施</w:t>
      </w:r>
      <w:r>
        <w:rPr>
          <w:rFonts w:hint="default" w:cs="Times New Roman"/>
          <w:color w:val="auto"/>
          <w:lang w:val="en-US" w:eastAsia="zh-CN"/>
        </w:rPr>
        <w:t>，</w:t>
      </w:r>
      <w:r>
        <w:rPr>
          <w:rFonts w:hint="default" w:ascii="Times New Roman" w:hAnsi="Times New Roman" w:cs="Times New Roman"/>
          <w:color w:val="auto"/>
          <w:lang w:val="en-US" w:eastAsia="zh-CN"/>
        </w:rPr>
        <w:t>施工图纸设计范围内全部内容及工程量清单的全部内容；项目工期</w:t>
      </w:r>
      <w:r>
        <w:rPr>
          <w:rFonts w:hint="default" w:cs="Times New Roman"/>
          <w:color w:val="auto"/>
          <w:lang w:val="en-US" w:eastAsia="zh-CN"/>
        </w:rPr>
        <w:t>83</w:t>
      </w:r>
      <w:r>
        <w:rPr>
          <w:rFonts w:hint="default" w:ascii="Times New Roman" w:hAnsi="Times New Roman" w:cs="Times New Roman"/>
          <w:color w:val="auto"/>
          <w:lang w:val="en-US" w:eastAsia="zh-CN"/>
        </w:rPr>
        <w:t>天。</w:t>
      </w:r>
    </w:p>
    <w:p w14:paraId="56F53EF4">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cs="Times New Roman"/>
          <w:color w:val="auto"/>
          <w:lang w:val="en-US" w:eastAsia="zh-CN"/>
        </w:rPr>
        <w:t>该项目累计签订其他服务合同共7份，主要包括《</w:t>
      </w:r>
      <w:r>
        <w:rPr>
          <w:rFonts w:hint="default" w:ascii="Times New Roman" w:hAnsi="Times New Roman" w:cs="Times New Roman"/>
          <w:color w:val="auto"/>
          <w:lang w:val="en-US" w:eastAsia="zh-CN"/>
        </w:rPr>
        <w:t>技术咨询合同</w:t>
      </w:r>
      <w:r>
        <w:rPr>
          <w:rFonts w:hint="default" w:cs="Times New Roman"/>
          <w:color w:val="auto"/>
          <w:lang w:val="en-US" w:eastAsia="zh-CN"/>
        </w:rPr>
        <w:t>》《</w:t>
      </w:r>
      <w:r>
        <w:rPr>
          <w:rFonts w:hint="default" w:ascii="Times New Roman" w:hAnsi="Times New Roman" w:cs="Times New Roman"/>
          <w:color w:val="auto"/>
          <w:lang w:val="en-US" w:eastAsia="zh-CN"/>
        </w:rPr>
        <w:t>监理合同</w:t>
      </w:r>
      <w:r>
        <w:rPr>
          <w:rFonts w:hint="default" w:cs="Times New Roman"/>
          <w:color w:val="auto"/>
          <w:lang w:val="en-US" w:eastAsia="zh-CN"/>
        </w:rPr>
        <w:t>》《</w:t>
      </w:r>
      <w:r>
        <w:rPr>
          <w:rFonts w:hint="default" w:ascii="Times New Roman" w:hAnsi="Times New Roman" w:cs="Times New Roman"/>
          <w:color w:val="auto"/>
          <w:lang w:val="en-US" w:eastAsia="zh-CN"/>
        </w:rPr>
        <w:t>测绘合同</w:t>
      </w:r>
      <w:r>
        <w:rPr>
          <w:rFonts w:hint="default" w:cs="Times New Roman"/>
          <w:color w:val="auto"/>
          <w:lang w:val="en-US" w:eastAsia="zh-CN"/>
        </w:rPr>
        <w:t>》《</w:t>
      </w:r>
      <w:r>
        <w:rPr>
          <w:rFonts w:hint="default" w:ascii="Times New Roman" w:hAnsi="Times New Roman" w:cs="Times New Roman"/>
          <w:color w:val="auto"/>
          <w:lang w:val="en-US" w:eastAsia="zh-CN"/>
        </w:rPr>
        <w:t>建设工程勘察合同</w:t>
      </w:r>
      <w:r>
        <w:rPr>
          <w:rFonts w:hint="default" w:cs="Times New Roman"/>
          <w:color w:val="auto"/>
          <w:lang w:val="en-US" w:eastAsia="zh-CN"/>
        </w:rPr>
        <w:t>》《</w:t>
      </w:r>
      <w:r>
        <w:rPr>
          <w:rFonts w:hint="default" w:ascii="Times New Roman" w:hAnsi="Times New Roman" w:cs="Times New Roman"/>
          <w:color w:val="auto"/>
          <w:lang w:val="en-US" w:eastAsia="zh-CN"/>
        </w:rPr>
        <w:t>建设工程造价咨询合同</w:t>
      </w:r>
      <w:r>
        <w:rPr>
          <w:rFonts w:hint="default" w:cs="Times New Roman"/>
          <w:color w:val="auto"/>
          <w:lang w:val="en-US" w:eastAsia="zh-CN"/>
        </w:rPr>
        <w:t>》《</w:t>
      </w:r>
      <w:r>
        <w:rPr>
          <w:rFonts w:hint="default" w:ascii="Times New Roman" w:hAnsi="Times New Roman" w:cs="Times New Roman"/>
          <w:color w:val="auto"/>
          <w:lang w:val="en-US" w:eastAsia="zh-CN"/>
        </w:rPr>
        <w:t>建设工程设计合同</w:t>
      </w:r>
      <w:r>
        <w:rPr>
          <w:rFonts w:hint="default" w:cs="Times New Roman"/>
          <w:color w:val="auto"/>
          <w:lang w:val="en-US" w:eastAsia="zh-CN"/>
        </w:rPr>
        <w:t>》《</w:t>
      </w:r>
      <w:r>
        <w:rPr>
          <w:rFonts w:hint="default" w:ascii="Times New Roman" w:hAnsi="Times New Roman" w:cs="Times New Roman"/>
          <w:color w:val="auto"/>
          <w:lang w:val="en-US" w:eastAsia="zh-CN"/>
        </w:rPr>
        <w:t>基本建设</w:t>
      </w:r>
      <w:r>
        <w:rPr>
          <w:rFonts w:hint="default" w:cs="Times New Roman"/>
          <w:color w:val="auto"/>
          <w:lang w:val="en-US" w:eastAsia="zh-CN"/>
        </w:rPr>
        <w:t>项目</w:t>
      </w:r>
      <w:r>
        <w:rPr>
          <w:rFonts w:hint="default" w:ascii="Times New Roman" w:hAnsi="Times New Roman" w:cs="Times New Roman"/>
          <w:color w:val="auto"/>
          <w:lang w:val="en-US" w:eastAsia="zh-CN"/>
        </w:rPr>
        <w:t>委托审计业务竣工财务决算审计合同书</w:t>
      </w:r>
      <w:r>
        <w:rPr>
          <w:rFonts w:hint="default" w:cs="Times New Roman"/>
          <w:color w:val="auto"/>
          <w:lang w:val="en-US" w:eastAsia="zh-CN"/>
        </w:rPr>
        <w:t>》</w:t>
      </w:r>
      <w:r>
        <w:rPr>
          <w:rFonts w:hint="default" w:ascii="Times New Roman" w:hAnsi="Times New Roman" w:cs="Times New Roman"/>
          <w:color w:val="auto"/>
          <w:lang w:val="en-US" w:eastAsia="zh-CN"/>
        </w:rPr>
        <w:t>。</w:t>
      </w:r>
      <w:r>
        <w:rPr>
          <w:rFonts w:hint="default"/>
          <w:color w:val="auto"/>
          <w:lang w:val="en-US" w:eastAsia="zh-CN"/>
        </w:rPr>
        <w:t>截至本次绩效评价期间，项目实施单位未提供以上七项服务合同的政府采购过程资料。</w:t>
      </w:r>
    </w:p>
    <w:p w14:paraId="7C3DC11D">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3.项目完成情况</w:t>
      </w:r>
    </w:p>
    <w:p w14:paraId="5B4597B9">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default" w:cs="Times New Roman"/>
          <w:color w:val="auto"/>
          <w:lang w:val="en-US" w:eastAsia="zh-CN"/>
        </w:rPr>
        <w:t>该</w:t>
      </w:r>
      <w:r>
        <w:rPr>
          <w:rFonts w:hint="default" w:ascii="Times New Roman" w:hAnsi="Times New Roman" w:cs="Times New Roman" w:eastAsiaTheme="minorEastAsia"/>
          <w:color w:val="auto"/>
          <w:lang w:val="en-US" w:eastAsia="zh-CN"/>
        </w:rPr>
        <w:t>项目实际</w:t>
      </w:r>
      <w:r>
        <w:rPr>
          <w:rFonts w:hint="default" w:ascii="Times New Roman" w:hAnsi="Times New Roman" w:cs="Times New Roman" w:eastAsiaTheme="minorEastAsia"/>
          <w:color w:val="auto"/>
          <w:lang w:val="en-US" w:eastAsia="zh-Hans"/>
        </w:rPr>
        <w:t>于202</w:t>
      </w:r>
      <w:r>
        <w:rPr>
          <w:rFonts w:hint="default" w:ascii="Times New Roman" w:hAnsi="Times New Roman" w:cs="Times New Roman"/>
          <w:color w:val="auto"/>
          <w:lang w:val="en-US" w:eastAsia="zh-CN"/>
        </w:rPr>
        <w:t>4</w:t>
      </w:r>
      <w:r>
        <w:rPr>
          <w:rFonts w:hint="default" w:ascii="Times New Roman" w:hAnsi="Times New Roman" w:cs="Times New Roman" w:eastAsiaTheme="minorEastAsia"/>
          <w:color w:val="auto"/>
          <w:lang w:val="en-US" w:eastAsia="zh-Hans"/>
        </w:rPr>
        <w:t>年</w:t>
      </w:r>
      <w:r>
        <w:rPr>
          <w:rFonts w:hint="default" w:ascii="Times New Roman" w:hAnsi="Times New Roman" w:cs="Times New Roman"/>
          <w:color w:val="auto"/>
          <w:lang w:val="en-US" w:eastAsia="zh-CN"/>
        </w:rPr>
        <w:t>7</w:t>
      </w:r>
      <w:r>
        <w:rPr>
          <w:rFonts w:hint="default" w:ascii="Times New Roman" w:hAnsi="Times New Roman" w:cs="Times New Roman" w:eastAsiaTheme="minorEastAsia"/>
          <w:color w:val="auto"/>
          <w:lang w:val="en-US" w:eastAsia="zh-Hans"/>
        </w:rPr>
        <w:t>月</w:t>
      </w:r>
      <w:r>
        <w:rPr>
          <w:rFonts w:hint="default" w:ascii="Times New Roman" w:hAnsi="Times New Roman" w:cs="Times New Roman" w:eastAsiaTheme="minorEastAsia"/>
          <w:color w:val="auto"/>
          <w:lang w:val="en-US" w:eastAsia="zh-CN"/>
        </w:rPr>
        <w:t>1</w:t>
      </w:r>
      <w:r>
        <w:rPr>
          <w:rFonts w:hint="default" w:ascii="Times New Roman" w:hAnsi="Times New Roman" w:cs="Times New Roman"/>
          <w:color w:val="auto"/>
          <w:lang w:val="en-US" w:eastAsia="zh-CN"/>
        </w:rPr>
        <w:t>2</w:t>
      </w:r>
      <w:r>
        <w:rPr>
          <w:rFonts w:hint="default" w:ascii="Times New Roman" w:hAnsi="Times New Roman" w:cs="Times New Roman" w:eastAsiaTheme="minorEastAsia"/>
          <w:color w:val="auto"/>
          <w:lang w:val="en-US" w:eastAsia="zh-Hans"/>
        </w:rPr>
        <w:t>日开工，</w:t>
      </w:r>
      <w:r>
        <w:rPr>
          <w:rFonts w:hint="default" w:cs="Times New Roman"/>
          <w:color w:val="auto"/>
          <w:lang w:val="en-US" w:eastAsia="zh-CN"/>
        </w:rPr>
        <w:t>由</w:t>
      </w:r>
      <w:r>
        <w:rPr>
          <w:rFonts w:hint="default" w:ascii="Times New Roman" w:hAnsi="Times New Roman" w:cs="Times New Roman"/>
          <w:color w:val="auto"/>
          <w:lang w:val="en-US" w:eastAsia="zh-CN"/>
        </w:rPr>
        <w:t>新疆三友工程建设有限公司</w:t>
      </w:r>
      <w:r>
        <w:rPr>
          <w:rFonts w:hint="default" w:cs="Times New Roman"/>
          <w:color w:val="auto"/>
          <w:lang w:val="en-US" w:eastAsia="zh-CN"/>
        </w:rPr>
        <w:t>完成</w:t>
      </w:r>
      <w:r>
        <w:rPr>
          <w:rFonts w:hint="default"/>
          <w:color w:val="auto"/>
          <w:kern w:val="0"/>
          <w:sz w:val="20"/>
          <w:szCs w:val="20"/>
          <w:lang w:bidi="ar"/>
        </w:rPr>
        <w:t>新建</w:t>
      </w:r>
      <w:r>
        <w:rPr>
          <w:rFonts w:hint="default"/>
          <w:color w:val="auto"/>
          <w:kern w:val="0"/>
          <w:sz w:val="20"/>
          <w:szCs w:val="20"/>
          <w:lang w:val="en-US" w:eastAsia="zh-CN" w:bidi="ar"/>
        </w:rPr>
        <w:t>农村</w:t>
      </w:r>
      <w:r>
        <w:rPr>
          <w:rFonts w:hint="default"/>
          <w:color w:val="auto"/>
          <w:kern w:val="0"/>
          <w:sz w:val="20"/>
          <w:szCs w:val="20"/>
          <w:lang w:bidi="ar"/>
        </w:rPr>
        <w:t>道路公里数</w:t>
      </w:r>
      <w:r>
        <w:rPr>
          <w:rFonts w:hint="default"/>
          <w:color w:val="auto"/>
          <w:kern w:val="0"/>
          <w:sz w:val="20"/>
          <w:szCs w:val="20"/>
          <w:lang w:val="en-US" w:eastAsia="zh-CN" w:bidi="ar"/>
        </w:rPr>
        <w:t>达到8</w:t>
      </w:r>
      <w:r>
        <w:rPr>
          <w:rFonts w:hint="default"/>
          <w:color w:val="auto"/>
          <w:lang w:val="en-US" w:eastAsia="zh-CN"/>
        </w:rPr>
        <w:t>公里</w:t>
      </w:r>
      <w:r>
        <w:rPr>
          <w:rFonts w:hint="default"/>
          <w:color w:val="auto"/>
          <w:lang w:eastAsia="zh-CN"/>
        </w:rPr>
        <w:t>。</w:t>
      </w:r>
      <w:r>
        <w:rPr>
          <w:rFonts w:hint="default" w:ascii="Times New Roman" w:hAnsi="Times New Roman" w:cs="Times New Roman" w:eastAsiaTheme="minorEastAsia"/>
          <w:color w:val="auto"/>
          <w:lang w:val="en-US" w:eastAsia="zh-Hans"/>
        </w:rPr>
        <w:t>202</w:t>
      </w:r>
      <w:r>
        <w:rPr>
          <w:rFonts w:hint="default" w:ascii="Times New Roman" w:hAnsi="Times New Roman" w:cs="Times New Roman"/>
          <w:color w:val="auto"/>
          <w:lang w:val="en-US" w:eastAsia="zh-CN"/>
        </w:rPr>
        <w:t>4</w:t>
      </w:r>
      <w:r>
        <w:rPr>
          <w:rFonts w:hint="default" w:ascii="Times New Roman" w:hAnsi="Times New Roman" w:cs="Times New Roman" w:eastAsiaTheme="minorEastAsia"/>
          <w:color w:val="auto"/>
          <w:lang w:val="en-US" w:eastAsia="zh-Hans"/>
        </w:rPr>
        <w:t>年</w:t>
      </w:r>
      <w:r>
        <w:rPr>
          <w:rFonts w:hint="default" w:ascii="Times New Roman" w:hAnsi="Times New Roman" w:cs="Times New Roman"/>
          <w:color w:val="auto"/>
          <w:lang w:val="en-US" w:eastAsia="zh-CN"/>
        </w:rPr>
        <w:t>12</w:t>
      </w:r>
      <w:r>
        <w:rPr>
          <w:rFonts w:hint="default" w:ascii="Times New Roman" w:hAnsi="Times New Roman" w:cs="Times New Roman" w:eastAsiaTheme="minorEastAsia"/>
          <w:color w:val="auto"/>
          <w:lang w:val="en-US" w:eastAsia="zh-Hans"/>
        </w:rPr>
        <w:t>月</w:t>
      </w:r>
      <w:r>
        <w:rPr>
          <w:rFonts w:hint="default" w:ascii="Times New Roman" w:hAnsi="Times New Roman" w:cs="Times New Roman"/>
          <w:color w:val="auto"/>
          <w:lang w:val="en-US" w:eastAsia="zh-CN"/>
        </w:rPr>
        <w:t>10</w:t>
      </w:r>
      <w:r>
        <w:rPr>
          <w:rFonts w:hint="default" w:ascii="Times New Roman" w:hAnsi="Times New Roman" w:cs="Times New Roman" w:eastAsiaTheme="minorEastAsia"/>
          <w:color w:val="auto"/>
          <w:lang w:val="en-US" w:eastAsia="zh-Hans"/>
        </w:rPr>
        <w:t>日</w:t>
      </w:r>
      <w:r>
        <w:rPr>
          <w:rFonts w:hint="default" w:cs="Times New Roman"/>
          <w:color w:val="auto"/>
          <w:lang w:val="en-US" w:eastAsia="zh-CN"/>
        </w:rPr>
        <w:t>提交交工验收证书</w:t>
      </w:r>
      <w:r>
        <w:rPr>
          <w:rFonts w:hint="default" w:ascii="Times New Roman" w:hAnsi="Times New Roman" w:cs="Times New Roman" w:eastAsiaTheme="minorEastAsia"/>
          <w:color w:val="auto"/>
          <w:lang w:val="en-US" w:eastAsia="zh-Hans"/>
        </w:rPr>
        <w:t>，</w:t>
      </w:r>
      <w:r>
        <w:rPr>
          <w:rFonts w:hint="default" w:ascii="Times New Roman" w:hAnsi="Times New Roman" w:cs="Times New Roman" w:eastAsiaTheme="minorEastAsia"/>
          <w:color w:val="auto"/>
          <w:lang w:val="en-US" w:eastAsia="zh-CN"/>
        </w:rPr>
        <w:t>于</w:t>
      </w:r>
      <w:r>
        <w:rPr>
          <w:rFonts w:hint="default" w:ascii="Times New Roman" w:hAnsi="Times New Roman" w:cs="Times New Roman" w:eastAsiaTheme="minorEastAsia"/>
          <w:color w:val="auto"/>
          <w:lang w:val="en-US" w:eastAsia="zh-Hans"/>
        </w:rPr>
        <w:t>202</w:t>
      </w:r>
      <w:r>
        <w:rPr>
          <w:rFonts w:hint="default" w:ascii="Times New Roman" w:hAnsi="Times New Roman" w:cs="Times New Roman"/>
          <w:color w:val="auto"/>
          <w:lang w:val="en-US" w:eastAsia="zh-CN"/>
        </w:rPr>
        <w:t>4</w:t>
      </w:r>
      <w:r>
        <w:rPr>
          <w:rFonts w:hint="default" w:ascii="Times New Roman" w:hAnsi="Times New Roman" w:cs="Times New Roman" w:eastAsiaTheme="minorEastAsia"/>
          <w:color w:val="auto"/>
          <w:lang w:val="en-US" w:eastAsia="zh-Hans"/>
        </w:rPr>
        <w:t>年</w:t>
      </w:r>
      <w:r>
        <w:rPr>
          <w:rFonts w:hint="default" w:ascii="Times New Roman" w:hAnsi="Times New Roman" w:cs="Times New Roman"/>
          <w:color w:val="auto"/>
          <w:lang w:val="en-US" w:eastAsia="zh-CN"/>
        </w:rPr>
        <w:t>12</w:t>
      </w:r>
      <w:r>
        <w:rPr>
          <w:rFonts w:hint="default" w:ascii="Times New Roman" w:hAnsi="Times New Roman" w:cs="Times New Roman" w:eastAsiaTheme="minorEastAsia"/>
          <w:color w:val="auto"/>
          <w:lang w:val="en-US" w:eastAsia="zh-Hans"/>
        </w:rPr>
        <w:t>月</w:t>
      </w:r>
      <w:r>
        <w:rPr>
          <w:rFonts w:hint="default" w:ascii="Times New Roman" w:hAnsi="Times New Roman" w:cs="Times New Roman"/>
          <w:color w:val="auto"/>
          <w:lang w:val="en-US" w:eastAsia="zh-CN"/>
        </w:rPr>
        <w:t>11</w:t>
      </w:r>
      <w:r>
        <w:rPr>
          <w:rFonts w:hint="default" w:ascii="Times New Roman" w:hAnsi="Times New Roman" w:cs="Times New Roman" w:eastAsiaTheme="minorEastAsia"/>
          <w:color w:val="auto"/>
          <w:lang w:val="en-US" w:eastAsia="zh-Hans"/>
        </w:rPr>
        <w:t>日</w:t>
      </w:r>
      <w:r>
        <w:rPr>
          <w:rFonts w:hint="default" w:cs="Times New Roman"/>
          <w:color w:val="auto"/>
          <w:lang w:val="en-US" w:eastAsia="zh-CN"/>
        </w:rPr>
        <w:t>组织建设单位、勘察单位、设计单位、监理单位、施工单位完成该项目验收，验收内容：</w:t>
      </w:r>
      <w:r>
        <w:rPr>
          <w:color w:val="auto"/>
        </w:rPr>
        <w:t>本项目由36条路线组成，路线全长8Km及附属配套设施，公路等级为四级，公路设计速度20km/h，路基宽度4.5/5.5m，行车道宽度4.0/5.0m，土路肩宽度2x25m。路面类型为沥青路面</w:t>
      </w:r>
      <w:r>
        <w:rPr>
          <w:rFonts w:hint="default"/>
          <w:color w:val="auto"/>
          <w:lang w:eastAsia="zh-CN"/>
        </w:rPr>
        <w:t>；</w:t>
      </w:r>
      <w:r>
        <w:rPr>
          <w:color w:val="auto"/>
        </w:rPr>
        <w:t>共设置涵洞35道，均为新建1-0.5m钢筋混凝土圆涵</w:t>
      </w:r>
      <w:r>
        <w:rPr>
          <w:rFonts w:hint="default"/>
          <w:color w:val="auto"/>
          <w:lang w:eastAsia="zh-CN"/>
        </w:rPr>
        <w:t>；</w:t>
      </w:r>
      <w:r>
        <w:rPr>
          <w:color w:val="auto"/>
        </w:rPr>
        <w:t>交通标志</w:t>
      </w:r>
      <w:r>
        <w:rPr>
          <w:rFonts w:hint="default"/>
          <w:color w:val="auto"/>
          <w:lang w:eastAsia="zh-CN"/>
        </w:rPr>
        <w:t>；</w:t>
      </w:r>
      <w:r>
        <w:rPr>
          <w:color w:val="auto"/>
        </w:rPr>
        <w:t>全线共设置21个，</w:t>
      </w:r>
      <w:r>
        <w:rPr>
          <w:rFonts w:hint="default"/>
          <w:color w:val="auto"/>
          <w:lang w:val="en-US" w:eastAsia="zh-CN"/>
        </w:rPr>
        <w:t>验收意见为“经验收组检查验收，已对吉木萨尔县二工镇大泉湖村2024年以工代赈基础设施建设项目施工完毕，道路及附属设施齐全，保障了公路畅通。”</w:t>
      </w:r>
    </w:p>
    <w:p w14:paraId="2B2F2306">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highlight w:val="none"/>
          <w:lang w:val="en-US" w:eastAsia="zh-CN"/>
        </w:rPr>
      </w:pPr>
      <w:r>
        <w:rPr>
          <w:rFonts w:hint="default"/>
          <w:color w:val="auto"/>
        </w:rPr>
        <w:t>根据《关于下达以工代赈示范工程专项2024年中央基建投资预算的通知》（昌州财建〔2024〕22号）要求，该项目劳务报酬支出不低于235</w:t>
      </w:r>
      <w:r>
        <w:rPr>
          <w:rFonts w:hint="default"/>
          <w:color w:val="auto"/>
          <w:lang w:val="en-US" w:eastAsia="zh-CN"/>
        </w:rPr>
        <w:t>.00</w:t>
      </w:r>
      <w:r>
        <w:rPr>
          <w:rFonts w:hint="default"/>
          <w:color w:val="auto"/>
        </w:rPr>
        <w:t>万元</w:t>
      </w:r>
      <w:r>
        <w:rPr>
          <w:rFonts w:hint="default"/>
          <w:color w:val="auto"/>
          <w:highlight w:val="none"/>
        </w:rPr>
        <w:t>，</w:t>
      </w:r>
      <w:r>
        <w:rPr>
          <w:rFonts w:hint="eastAsia"/>
          <w:color w:val="auto"/>
          <w:lang w:val="en-US" w:eastAsia="zh-CN"/>
        </w:rPr>
        <w:t>通过查看项目单位2025年9月4日提供的</w:t>
      </w:r>
      <w:r>
        <w:rPr>
          <w:rFonts w:hint="default"/>
          <w:color w:val="auto"/>
          <w:lang w:val="en-US" w:eastAsia="zh-CN"/>
        </w:rPr>
        <w:t>《关于吉木萨尔县二工镇大泉湖村2024年以工代赈基础设施建设项目劳务工人数量的情况说明》</w:t>
      </w:r>
      <w:r>
        <w:rPr>
          <w:rFonts w:hint="eastAsia"/>
          <w:color w:val="auto"/>
          <w:lang w:val="en-US" w:eastAsia="zh-CN"/>
        </w:rPr>
        <w:t>显示</w:t>
      </w:r>
      <w:r>
        <w:rPr>
          <w:rFonts w:hint="default"/>
          <w:color w:val="auto"/>
          <w:lang w:val="en-US" w:eastAsia="zh-CN"/>
        </w:rPr>
        <w:t>：“</w:t>
      </w:r>
      <w:r>
        <w:rPr>
          <w:rFonts w:hint="eastAsia"/>
          <w:color w:val="auto"/>
          <w:lang w:val="en-US" w:eastAsia="zh-CN"/>
        </w:rPr>
        <w:t>一总体情况：</w:t>
      </w:r>
      <w:r>
        <w:rPr>
          <w:rFonts w:hint="default"/>
          <w:color w:val="auto"/>
          <w:lang w:val="en-US" w:eastAsia="zh-CN"/>
        </w:rPr>
        <w:t>本次统计周期为2024年7月1日至9月30日，涉及劳务工人均为吉木萨尔县二工镇大泉湖村人员，主要从事了吉木萨尔县二工镇大泉湖村2024年以工代赈基础设施建设项目工作，如钢筋工、司泵工、模板工、机械等工作，统计数据来源于新疆大诚众昌建筑劳务有限公司吉木萨尔县分公司登记及企业报备信息</w:t>
      </w:r>
      <w:r>
        <w:rPr>
          <w:rFonts w:hint="eastAsia"/>
          <w:color w:val="auto"/>
          <w:lang w:val="en-US" w:eastAsia="zh-CN"/>
        </w:rPr>
        <w:t>。二、各月具体人数：2024年7月涉及劳务工人177人；2024年8月劳务工人204人；2024年9月涉及劳务工人189人。以上数据为截至说明日期的统计结果，若需进一步细化人员工种、年龄段等信息，可随时沟通补充。</w:t>
      </w:r>
      <w:r>
        <w:rPr>
          <w:rFonts w:hint="default"/>
          <w:color w:val="auto"/>
          <w:lang w:val="en-US" w:eastAsia="zh-CN"/>
        </w:rPr>
        <w:t>”。</w:t>
      </w:r>
      <w:r>
        <w:rPr>
          <w:rFonts w:hint="eastAsia"/>
          <w:color w:val="auto"/>
          <w:lang w:val="en-US" w:eastAsia="zh-CN"/>
        </w:rPr>
        <w:t>同时根据提供的</w:t>
      </w:r>
      <w:r>
        <w:rPr>
          <w:rFonts w:hint="default"/>
          <w:color w:val="auto"/>
          <w:highlight w:val="none"/>
        </w:rPr>
        <w:t>《202407务工人员工资发放表》《202408务工人员工资发放表》《202409务工人员工资发放表》等资料</w:t>
      </w:r>
      <w:r>
        <w:rPr>
          <w:rFonts w:hint="default"/>
          <w:color w:val="auto"/>
          <w:highlight w:val="none"/>
          <w:lang w:val="en-US" w:eastAsia="zh-CN"/>
        </w:rPr>
        <w:t>统计</w:t>
      </w:r>
      <w:r>
        <w:rPr>
          <w:rFonts w:hint="default"/>
          <w:color w:val="auto"/>
          <w:highlight w:val="none"/>
        </w:rPr>
        <w:t>，该项目共计发放</w:t>
      </w:r>
      <w:r>
        <w:rPr>
          <w:rFonts w:hint="default" w:ascii="Times New Roman" w:hAnsi="Times New Roman" w:cs="Times New Roman"/>
          <w:color w:val="auto"/>
          <w:highlight w:val="none"/>
          <w:lang w:val="en-US" w:eastAsia="zh-CN"/>
        </w:rPr>
        <w:t>劳务费</w:t>
      </w:r>
      <w:r>
        <w:rPr>
          <w:rFonts w:hint="default"/>
          <w:color w:val="auto"/>
          <w:highlight w:val="none"/>
        </w:rPr>
        <w:t>196.35万元</w:t>
      </w:r>
      <w:r>
        <w:rPr>
          <w:rFonts w:hint="default"/>
          <w:color w:val="auto"/>
          <w:highlight w:val="none"/>
          <w:lang w:eastAsia="zh-CN"/>
        </w:rPr>
        <w:t>，</w:t>
      </w:r>
      <w:r>
        <w:rPr>
          <w:rFonts w:hint="default"/>
          <w:color w:val="auto"/>
          <w:highlight w:val="none"/>
        </w:rPr>
        <w:t>其中：2024年7月发放劳务费37.00万元，涉及劳务工人177人；2024年8月发放劳务费90.34万元，涉及劳务工人204人；2024年9月发放劳务费69.01万元，涉及劳务工人189人。</w:t>
      </w:r>
    </w:p>
    <w:p w14:paraId="6E29E936">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4.项目工程结算审核及竣工财务决算审计情况</w:t>
      </w:r>
    </w:p>
    <w:p w14:paraId="6BE56D87">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val="en-US" w:eastAsia="zh-CN"/>
        </w:rPr>
      </w:pPr>
      <w:r>
        <w:rPr>
          <w:rFonts w:hint="default" w:cs="Times New Roman"/>
          <w:color w:val="auto"/>
          <w:lang w:val="en-US" w:eastAsia="zh-CN"/>
        </w:rPr>
        <w:t>吉木萨尔县二工镇人民政府聘请</w:t>
      </w:r>
      <w:r>
        <w:rPr>
          <w:rFonts w:hint="default" w:ascii="Times New Roman" w:hAnsi="Times New Roman" w:cs="Times New Roman" w:eastAsiaTheme="minorEastAsia"/>
          <w:color w:val="auto"/>
          <w:lang w:val="en-US" w:eastAsia="zh-CN"/>
        </w:rPr>
        <w:t>新疆恒瑞博源工程项目管理有限公司</w:t>
      </w:r>
      <w:r>
        <w:rPr>
          <w:rFonts w:hint="default" w:cs="Times New Roman"/>
          <w:color w:val="auto"/>
          <w:lang w:val="en-US" w:eastAsia="zh-CN"/>
        </w:rPr>
        <w:t>完成该项目</w:t>
      </w:r>
      <w:r>
        <w:rPr>
          <w:rFonts w:hint="default" w:ascii="Times New Roman" w:hAnsi="Times New Roman" w:cs="Times New Roman" w:eastAsiaTheme="minorEastAsia"/>
          <w:color w:val="auto"/>
          <w:lang w:val="en-US" w:eastAsia="zh-CN"/>
        </w:rPr>
        <w:t>竣工结算审核</w:t>
      </w:r>
      <w:r>
        <w:rPr>
          <w:rFonts w:hint="default" w:cs="Times New Roman"/>
          <w:color w:val="auto"/>
          <w:lang w:val="en-US" w:eastAsia="zh-CN"/>
        </w:rPr>
        <w:t>工作，并于2025年5月31日</w:t>
      </w:r>
      <w:r>
        <w:rPr>
          <w:rFonts w:hint="default" w:ascii="Times New Roman" w:hAnsi="Times New Roman" w:cs="Times New Roman" w:eastAsiaTheme="minorEastAsia"/>
          <w:color w:val="auto"/>
          <w:lang w:val="en-US" w:eastAsia="zh-CN"/>
        </w:rPr>
        <w:t>出具《吉木萨尔县</w:t>
      </w:r>
      <w:r>
        <w:rPr>
          <w:rFonts w:hint="default" w:cs="Times New Roman"/>
          <w:color w:val="auto"/>
          <w:lang w:val="en-US" w:eastAsia="zh-CN"/>
        </w:rPr>
        <w:t>二</w:t>
      </w:r>
      <w:r>
        <w:rPr>
          <w:rFonts w:hint="default" w:ascii="Times New Roman" w:hAnsi="Times New Roman" w:cs="Times New Roman" w:eastAsiaTheme="minorEastAsia"/>
          <w:color w:val="auto"/>
          <w:lang w:val="en-US" w:eastAsia="zh-CN"/>
        </w:rPr>
        <w:t>工镇大泉湖村2024年以工代赈基础设施建设项目竣工结算审核报告》</w:t>
      </w:r>
      <w:r>
        <w:rPr>
          <w:rFonts w:hint="default" w:cs="Times New Roman"/>
          <w:color w:val="auto"/>
          <w:lang w:val="en-US" w:eastAsia="zh-CN"/>
        </w:rPr>
        <w:t>，该</w:t>
      </w:r>
      <w:r>
        <w:rPr>
          <w:rFonts w:hint="default" w:ascii="Times New Roman" w:hAnsi="Times New Roman" w:cs="Times New Roman" w:eastAsiaTheme="minorEastAsia"/>
          <w:color w:val="auto"/>
          <w:lang w:val="en-US" w:eastAsia="zh-CN"/>
        </w:rPr>
        <w:t>项目</w:t>
      </w:r>
      <w:r>
        <w:rPr>
          <w:rFonts w:hint="default" w:cs="Times New Roman"/>
          <w:color w:val="auto"/>
          <w:lang w:val="en-US" w:eastAsia="zh-CN"/>
        </w:rPr>
        <w:t>工程</w:t>
      </w:r>
      <w:r>
        <w:rPr>
          <w:rFonts w:hint="default" w:ascii="Times New Roman" w:hAnsi="Times New Roman" w:cs="Times New Roman" w:eastAsiaTheme="minorEastAsia"/>
          <w:color w:val="auto"/>
          <w:lang w:val="en-US" w:eastAsia="zh-CN"/>
        </w:rPr>
        <w:t>结算审定金额</w:t>
      </w:r>
      <w:r>
        <w:rPr>
          <w:rFonts w:hint="default" w:ascii="Times New Roman" w:hAnsi="Times New Roman" w:cs="Times New Roman"/>
          <w:color w:val="auto"/>
          <w:lang w:val="en-US" w:eastAsia="zh-CN"/>
        </w:rPr>
        <w:t>687.24万</w:t>
      </w:r>
      <w:r>
        <w:rPr>
          <w:rFonts w:hint="default" w:ascii="Times New Roman" w:hAnsi="Times New Roman" w:cs="Times New Roman" w:eastAsiaTheme="minorEastAsia"/>
          <w:color w:val="auto"/>
          <w:lang w:val="en-US" w:eastAsia="zh-CN"/>
        </w:rPr>
        <w:t>元。</w:t>
      </w:r>
    </w:p>
    <w:p w14:paraId="31F1E527">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val="en-US" w:eastAsia="zh-CN"/>
        </w:rPr>
      </w:pPr>
      <w:r>
        <w:rPr>
          <w:rFonts w:hint="default" w:cs="Times New Roman"/>
          <w:color w:val="auto"/>
          <w:lang w:val="en-US" w:eastAsia="zh-CN"/>
        </w:rPr>
        <w:t>吉木萨尔县二工镇人民政府聘请</w:t>
      </w:r>
      <w:r>
        <w:rPr>
          <w:rFonts w:hint="default" w:ascii="Times New Roman" w:hAnsi="Times New Roman" w:cs="Times New Roman"/>
          <w:color w:val="auto"/>
          <w:lang w:val="en-US" w:eastAsia="zh-CN"/>
        </w:rPr>
        <w:t>新疆鸿联会计师事务所</w:t>
      </w:r>
      <w:r>
        <w:rPr>
          <w:rFonts w:hint="default" w:cs="Times New Roman"/>
          <w:color w:val="auto"/>
          <w:lang w:val="en-US" w:eastAsia="zh-CN"/>
        </w:rPr>
        <w:t>（</w:t>
      </w:r>
      <w:r>
        <w:rPr>
          <w:rFonts w:hint="default" w:ascii="Times New Roman" w:hAnsi="Times New Roman" w:cs="Times New Roman"/>
          <w:color w:val="auto"/>
          <w:lang w:val="en-US" w:eastAsia="zh-CN"/>
        </w:rPr>
        <w:t>普通合伙</w:t>
      </w:r>
      <w:r>
        <w:rPr>
          <w:rFonts w:hint="default" w:cs="Times New Roman"/>
          <w:color w:val="auto"/>
          <w:lang w:val="en-US" w:eastAsia="zh-CN"/>
        </w:rPr>
        <w:t>）完成该项目</w:t>
      </w:r>
      <w:r>
        <w:rPr>
          <w:rFonts w:hint="default" w:ascii="Times New Roman" w:hAnsi="Times New Roman" w:cs="Times New Roman" w:eastAsiaTheme="minorEastAsia"/>
          <w:color w:val="auto"/>
          <w:lang w:val="en-US" w:eastAsia="zh-CN"/>
        </w:rPr>
        <w:t>竣工财务决算审计</w:t>
      </w:r>
      <w:r>
        <w:rPr>
          <w:rFonts w:hint="default" w:cs="Times New Roman"/>
          <w:color w:val="auto"/>
          <w:lang w:val="en-US" w:eastAsia="zh-CN"/>
        </w:rPr>
        <w:t>工作，并于</w:t>
      </w:r>
      <w:r>
        <w:rPr>
          <w:rFonts w:hint="default" w:ascii="Times New Roman" w:hAnsi="Times New Roman" w:cs="Times New Roman"/>
          <w:color w:val="auto"/>
          <w:lang w:val="en-US" w:eastAsia="zh-CN"/>
        </w:rPr>
        <w:t>2025年6月18日</w:t>
      </w:r>
      <w:r>
        <w:rPr>
          <w:rFonts w:hint="default" w:cs="Times New Roman"/>
          <w:color w:val="auto"/>
          <w:lang w:val="en-US" w:eastAsia="zh-CN"/>
        </w:rPr>
        <w:t>出具</w:t>
      </w:r>
      <w:r>
        <w:rPr>
          <w:rFonts w:hint="default" w:ascii="Times New Roman" w:hAnsi="Times New Roman" w:cs="Times New Roman" w:eastAsiaTheme="minorEastAsia"/>
          <w:color w:val="auto"/>
          <w:lang w:val="en-US" w:eastAsia="zh-CN"/>
        </w:rPr>
        <w:t>《吉木萨尔县二工镇大泉湖村2024年以工代赈基础设施建设项目竣工财务决算审计报告》（报告文号</w:t>
      </w:r>
      <w:r>
        <w:rPr>
          <w:rFonts w:hint="default" w:cs="Times New Roman"/>
          <w:color w:val="auto"/>
          <w:lang w:val="en-US" w:eastAsia="zh-CN"/>
        </w:rPr>
        <w:t>：</w:t>
      </w:r>
      <w:r>
        <w:rPr>
          <w:rFonts w:hint="default" w:ascii="Times New Roman" w:hAnsi="Times New Roman" w:cs="Times New Roman" w:eastAsiaTheme="minorEastAsia"/>
          <w:color w:val="auto"/>
          <w:lang w:val="en-US" w:eastAsia="zh-CN"/>
        </w:rPr>
        <w:t>新鸿联专审字[2025]第112号）</w:t>
      </w:r>
      <w:r>
        <w:rPr>
          <w:rFonts w:hint="default" w:ascii="Times New Roman" w:hAnsi="Times New Roman" w:cs="Times New Roman"/>
          <w:color w:val="auto"/>
          <w:lang w:val="en-US" w:eastAsia="zh-CN"/>
        </w:rPr>
        <w:t>，</w:t>
      </w:r>
      <w:r>
        <w:rPr>
          <w:rFonts w:hint="default" w:cs="Times New Roman"/>
          <w:color w:val="auto"/>
          <w:lang w:val="en-US" w:eastAsia="zh-CN"/>
        </w:rPr>
        <w:t>该</w:t>
      </w:r>
      <w:r>
        <w:rPr>
          <w:rFonts w:hint="default" w:ascii="Times New Roman" w:hAnsi="Times New Roman" w:cs="Times New Roman" w:eastAsiaTheme="minorEastAsia"/>
          <w:color w:val="auto"/>
          <w:lang w:val="en-US" w:eastAsia="zh-CN"/>
        </w:rPr>
        <w:t>项目单位实际完成投资727</w:t>
      </w:r>
      <w:r>
        <w:rPr>
          <w:rFonts w:hint="default" w:ascii="Times New Roman" w:hAnsi="Times New Roman" w:cs="Times New Roman"/>
          <w:color w:val="auto"/>
          <w:lang w:val="en-US" w:eastAsia="zh-CN"/>
        </w:rPr>
        <w:t>.</w:t>
      </w:r>
      <w:r>
        <w:rPr>
          <w:rFonts w:hint="default" w:ascii="Times New Roman" w:hAnsi="Times New Roman" w:cs="Times New Roman" w:eastAsiaTheme="minorEastAsia"/>
          <w:color w:val="auto"/>
          <w:lang w:val="en-US" w:eastAsia="zh-CN"/>
        </w:rPr>
        <w:t>7</w:t>
      </w:r>
      <w:r>
        <w:rPr>
          <w:rFonts w:hint="default" w:ascii="Times New Roman" w:hAnsi="Times New Roman" w:cs="Times New Roman"/>
          <w:color w:val="auto"/>
          <w:lang w:val="en-US" w:eastAsia="zh-CN"/>
        </w:rPr>
        <w:t>7万</w:t>
      </w:r>
      <w:r>
        <w:rPr>
          <w:rFonts w:hint="default" w:ascii="Times New Roman" w:hAnsi="Times New Roman" w:cs="Times New Roman" w:eastAsiaTheme="minorEastAsia"/>
          <w:color w:val="auto"/>
          <w:lang w:val="en-US" w:eastAsia="zh-CN"/>
        </w:rPr>
        <w:t>元。</w:t>
      </w:r>
    </w:p>
    <w:p w14:paraId="38EBC968">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3.</w:t>
      </w:r>
      <w:r>
        <w:rPr>
          <w:rFonts w:hint="default" w:ascii="Times New Roman" w:hAnsi="Times New Roman" w:cs="Times New Roman"/>
          <w:b/>
          <w:bCs/>
          <w:color w:val="auto"/>
        </w:rPr>
        <w:t>项目</w:t>
      </w:r>
      <w:r>
        <w:rPr>
          <w:rFonts w:hint="default" w:ascii="Times New Roman" w:hAnsi="Times New Roman" w:cs="Times New Roman"/>
          <w:b/>
          <w:bCs/>
          <w:color w:val="auto"/>
          <w:lang w:val="en-US" w:eastAsia="zh-CN"/>
        </w:rPr>
        <w:t>资产</w:t>
      </w:r>
      <w:r>
        <w:rPr>
          <w:rFonts w:hint="default" w:ascii="Times New Roman" w:hAnsi="Times New Roman" w:cs="Times New Roman"/>
          <w:b/>
          <w:bCs/>
          <w:color w:val="auto"/>
        </w:rPr>
        <w:t>管理</w:t>
      </w:r>
      <w:r>
        <w:rPr>
          <w:rFonts w:hint="default"/>
          <w:lang w:val="en-US" w:eastAsia="zh-CN"/>
        </w:rPr>
        <w:t>情况</w:t>
      </w:r>
    </w:p>
    <w:p w14:paraId="13636448">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color w:val="auto"/>
          <w:highlight w:val="none"/>
          <w:lang w:eastAsia="zh-CN"/>
        </w:rPr>
      </w:pPr>
      <w:r>
        <w:rPr>
          <w:rFonts w:hint="default"/>
          <w:color w:val="auto"/>
          <w:lang w:val="en-US" w:eastAsia="zh-CN"/>
        </w:rPr>
        <w:t>根据项目实施单位提供</w:t>
      </w:r>
      <w:r>
        <w:rPr>
          <w:rFonts w:hint="default"/>
          <w:color w:val="auto"/>
        </w:rPr>
        <w:t>财务</w:t>
      </w:r>
      <w:r>
        <w:rPr>
          <w:rFonts w:hint="default"/>
          <w:color w:val="auto"/>
          <w:lang w:val="en-US" w:eastAsia="zh-CN"/>
        </w:rPr>
        <w:t>凭证</w:t>
      </w:r>
      <w:r>
        <w:rPr>
          <w:rFonts w:hint="default"/>
          <w:color w:val="auto"/>
        </w:rPr>
        <w:t>，该项目</w:t>
      </w:r>
      <w:r>
        <w:rPr>
          <w:rFonts w:hint="default"/>
          <w:color w:val="auto"/>
          <w:lang w:val="en-US" w:eastAsia="zh-CN"/>
        </w:rPr>
        <w:t>财务会计核算时将</w:t>
      </w:r>
      <w:r>
        <w:rPr>
          <w:rFonts w:hint="default"/>
          <w:color w:val="auto"/>
        </w:rPr>
        <w:t>工程款费用</w:t>
      </w:r>
      <w:r>
        <w:rPr>
          <w:rFonts w:hint="default"/>
          <w:color w:val="auto"/>
          <w:lang w:val="en-US" w:eastAsia="zh-CN"/>
        </w:rPr>
        <w:t>687.24</w:t>
      </w:r>
      <w:r>
        <w:rPr>
          <w:rFonts w:hint="default"/>
          <w:color w:val="auto"/>
          <w:highlight w:val="none"/>
          <w:lang w:val="en-US" w:eastAsia="zh-CN"/>
        </w:rPr>
        <w:t>万元</w:t>
      </w:r>
      <w:r>
        <w:rPr>
          <w:rFonts w:hint="default"/>
          <w:color w:val="auto"/>
          <w:highlight w:val="none"/>
        </w:rPr>
        <w:t>计入商品和服务费用科目</w:t>
      </w:r>
      <w:r>
        <w:rPr>
          <w:rFonts w:hint="default"/>
          <w:color w:val="auto"/>
          <w:highlight w:val="none"/>
          <w:lang w:eastAsia="zh-CN"/>
        </w:rPr>
        <w:t>。</w:t>
      </w:r>
    </w:p>
    <w:p w14:paraId="3D41284B">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highlight w:val="none"/>
          <w:lang w:val="en-US" w:eastAsia="zh-CN"/>
        </w:rPr>
      </w:pPr>
      <w:r>
        <w:rPr>
          <w:rFonts w:hint="default"/>
          <w:color w:val="auto"/>
          <w:highlight w:val="none"/>
          <w:lang w:val="en-US" w:eastAsia="zh-CN"/>
        </w:rPr>
        <w:t>根据项目实施单位提供《关于吉木萨尔县二工镇大泉湖村2024年以工代赈基础设施建设项目资产移交及运营养护的情况说明》：“根据《国家以工代赈管理办法》要求，待州发改委、县发改委组织验收组通过后，该项目将移交至大泉湖村村集体养护，运营。截至2025年6月30日，尚未办理资产移交手续”</w:t>
      </w:r>
      <w:r>
        <w:rPr>
          <w:rFonts w:hint="default" w:ascii="Times New Roman" w:hAnsi="Times New Roman" w:cs="Times New Roman"/>
          <w:color w:val="auto"/>
          <w:highlight w:val="none"/>
          <w:lang w:val="en-US" w:eastAsia="zh-CN"/>
        </w:rPr>
        <w:t>。</w:t>
      </w:r>
    </w:p>
    <w:p w14:paraId="08AB1977">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30" w:name="_Toc925"/>
      <w:bookmarkStart w:id="31" w:name="_Toc68364659"/>
      <w:r>
        <w:rPr>
          <w:rFonts w:hint="default" w:ascii="Times New Roman" w:hAnsi="Times New Roman"/>
          <w:color w:val="auto"/>
        </w:rPr>
        <w:t>（四）</w:t>
      </w:r>
      <w:r>
        <w:rPr>
          <w:rFonts w:ascii="Times New Roman" w:hAnsi="Times New Roman"/>
          <w:color w:val="auto"/>
        </w:rPr>
        <w:t>项目组织管理</w:t>
      </w:r>
      <w:bookmarkEnd w:id="30"/>
    </w:p>
    <w:p w14:paraId="1D6C75E1">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lang w:val="en-US" w:eastAsia="zh-CN"/>
        </w:rPr>
      </w:pPr>
      <w:r>
        <w:rPr>
          <w:rFonts w:hint="default" w:ascii="Times New Roman" w:hAnsi="Times New Roman" w:cs="Times New Roman"/>
          <w:b/>
          <w:bCs/>
          <w:color w:val="auto"/>
          <w:lang w:val="en-US" w:eastAsia="zh-CN"/>
        </w:rPr>
        <w:t>1.项目实施管理</w:t>
      </w:r>
    </w:p>
    <w:p w14:paraId="60F502A1">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吉木萨尔县二工镇人民政府</w:t>
      </w:r>
      <w:r>
        <w:rPr>
          <w:rFonts w:hint="default" w:ascii="Times New Roman" w:hAnsi="Times New Roman" w:cs="Times New Roman" w:eastAsiaTheme="minorEastAsia"/>
          <w:color w:val="auto"/>
          <w:lang w:val="en-US" w:eastAsia="zh-CN"/>
        </w:rPr>
        <w:t>作为项目实施单位，已完成项目资金申请申报、立项审批以及项目</w:t>
      </w:r>
      <w:r>
        <w:rPr>
          <w:rFonts w:hint="default" w:cs="Times New Roman"/>
          <w:color w:val="auto"/>
          <w:lang w:val="en-US" w:eastAsia="zh-CN"/>
        </w:rPr>
        <w:t>可研、</w:t>
      </w:r>
      <w:r>
        <w:rPr>
          <w:rFonts w:hint="default" w:ascii="Times New Roman" w:hAnsi="Times New Roman" w:cs="Times New Roman" w:eastAsiaTheme="minorEastAsia"/>
          <w:color w:val="auto"/>
          <w:lang w:val="en-US" w:eastAsia="zh-CN"/>
        </w:rPr>
        <w:t>设计、勘察、</w:t>
      </w:r>
      <w:r>
        <w:rPr>
          <w:rFonts w:hint="default" w:cs="Times New Roman"/>
          <w:color w:val="auto"/>
          <w:lang w:val="en-US" w:eastAsia="zh-CN"/>
        </w:rPr>
        <w:t>招标控制价等</w:t>
      </w:r>
      <w:r>
        <w:rPr>
          <w:rFonts w:hint="default" w:ascii="Times New Roman" w:hAnsi="Times New Roman" w:cs="Times New Roman" w:eastAsiaTheme="minorEastAsia"/>
          <w:color w:val="auto"/>
          <w:lang w:val="en-US" w:eastAsia="zh-CN"/>
        </w:rPr>
        <w:t>前期手续的办理。在项目实施过程中，项目的实施执行了项目法人责任制、工程监理制、招投标制、合同管理制和竣工验收制等工程基本建设制度与程序，通过竞争性磋商的方式确定了项目施工单位，并签订合同，由监理单位对项目实施期间项目的质量及工程进行安全管理。项目完工后，按照国家《建设项目（工程）竣工验收办法》的规定组织</w:t>
      </w:r>
      <w:r>
        <w:rPr>
          <w:rFonts w:hint="default" w:ascii="Times New Roman" w:hAnsi="Times New Roman" w:cs="Times New Roman"/>
          <w:color w:val="auto"/>
          <w:lang w:val="en-US" w:eastAsia="zh-CN"/>
        </w:rPr>
        <w:t>完成项目主体工程的</w:t>
      </w:r>
      <w:r>
        <w:rPr>
          <w:rFonts w:hint="default" w:ascii="Times New Roman" w:hAnsi="Times New Roman" w:cs="Times New Roman" w:eastAsiaTheme="minorEastAsia"/>
          <w:color w:val="auto"/>
          <w:lang w:val="en-US" w:eastAsia="zh-CN"/>
        </w:rPr>
        <w:t>竣工验收</w:t>
      </w:r>
      <w:r>
        <w:rPr>
          <w:rFonts w:hint="default" w:ascii="Times New Roman" w:hAnsi="Times New Roman" w:cs="Times New Roman"/>
          <w:color w:val="auto"/>
          <w:lang w:val="en-US" w:eastAsia="zh-CN"/>
        </w:rPr>
        <w:t>工作</w:t>
      </w:r>
      <w:r>
        <w:rPr>
          <w:rFonts w:hint="default" w:ascii="Times New Roman" w:hAnsi="Times New Roman" w:cs="Times New Roman" w:eastAsiaTheme="minorEastAsia"/>
          <w:color w:val="auto"/>
          <w:lang w:val="en-US" w:eastAsia="zh-CN"/>
        </w:rPr>
        <w:t>。</w:t>
      </w:r>
    </w:p>
    <w:p w14:paraId="2053DA32">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eastAsiaTheme="minorEastAsia"/>
          <w:color w:val="auto"/>
          <w:lang w:val="en-US" w:eastAsia="zh-CN"/>
        </w:rPr>
        <w:t>该项目涉及其他相关利益单位详见下表：</w:t>
      </w:r>
    </w:p>
    <w:tbl>
      <w:tblPr>
        <w:tblStyle w:val="18"/>
        <w:tblW w:w="4998" w:type="pct"/>
        <w:jc w:val="center"/>
        <w:tblLayout w:type="autofit"/>
        <w:tblCellMar>
          <w:top w:w="0" w:type="dxa"/>
          <w:left w:w="108" w:type="dxa"/>
          <w:bottom w:w="0" w:type="dxa"/>
          <w:right w:w="108" w:type="dxa"/>
        </w:tblCellMar>
      </w:tblPr>
      <w:tblGrid>
        <w:gridCol w:w="638"/>
        <w:gridCol w:w="4724"/>
        <w:gridCol w:w="3157"/>
      </w:tblGrid>
      <w:tr w14:paraId="368B8B07">
        <w:tblPrEx>
          <w:tblCellMar>
            <w:top w:w="0" w:type="dxa"/>
            <w:left w:w="108" w:type="dxa"/>
            <w:bottom w:w="0" w:type="dxa"/>
            <w:right w:w="108" w:type="dxa"/>
          </w:tblCellMar>
        </w:tblPrEx>
        <w:trPr>
          <w:trHeight w:val="397" w:hRule="atLeast"/>
          <w:tblHeader/>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F88B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序号</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988406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单位名称</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BD5D9D">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b/>
                <w:bCs/>
                <w:color w:val="auto"/>
                <w:sz w:val="21"/>
                <w:szCs w:val="21"/>
                <w:lang w:val="en-US" w:eastAsia="zh-CN"/>
              </w:rPr>
            </w:pPr>
            <w:r>
              <w:rPr>
                <w:rFonts w:hint="default" w:ascii="Times New Roman" w:hAnsi="Times New Roman" w:eastAsia="宋体" w:cs="Times New Roman"/>
                <w:b/>
                <w:bCs/>
                <w:color w:val="auto"/>
                <w:sz w:val="21"/>
                <w:szCs w:val="21"/>
                <w:lang w:val="en-US" w:eastAsia="zh-CN"/>
              </w:rPr>
              <w:t>项目角色</w:t>
            </w:r>
          </w:p>
        </w:tc>
      </w:tr>
      <w:tr w14:paraId="7C70A2FF">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2680E6">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1</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AE023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新疆三友工程建设有限公司</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68A1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施工单位</w:t>
            </w:r>
          </w:p>
        </w:tc>
      </w:tr>
      <w:tr w14:paraId="4721D1F7">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11A3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2</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C4F7CB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中地泓通工程技术有限公司新疆分公司</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4B8B5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可研单位</w:t>
            </w:r>
          </w:p>
        </w:tc>
      </w:tr>
      <w:tr w14:paraId="1141DD65">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14CC1B">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3</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046AC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新疆博跃工程项目管理有限公司</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67E6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监理单位</w:t>
            </w:r>
          </w:p>
        </w:tc>
      </w:tr>
      <w:tr w14:paraId="7F7ECF67">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8903A">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4</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49B98C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新疆兴宇天成测绘地理信息咨询有限公司北庭分公司</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26DE9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测绘单位</w:t>
            </w:r>
          </w:p>
        </w:tc>
      </w:tr>
      <w:tr w14:paraId="61B600B5">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F611F">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5</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A89A40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新疆长江岩土工程勘察设计研究院有限公司</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2A91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勘察单位</w:t>
            </w:r>
          </w:p>
        </w:tc>
      </w:tr>
      <w:tr w14:paraId="7ED91EE8">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8A0D0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6</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81AE36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新疆晶智工程项目管理有限公司</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D6A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招标控制价单位</w:t>
            </w:r>
          </w:p>
        </w:tc>
      </w:tr>
      <w:tr w14:paraId="12D3FD08">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012C8">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7</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EB0B1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中城城园设计有限公司</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E2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设计单位</w:t>
            </w:r>
          </w:p>
        </w:tc>
      </w:tr>
      <w:tr w14:paraId="2EE4A2F9">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412C65">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8</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779064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新疆畅源工程技术咨询服务有限公司</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37FD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水土保持方案单位</w:t>
            </w:r>
          </w:p>
        </w:tc>
      </w:tr>
      <w:tr w14:paraId="7D6133DB">
        <w:tblPrEx>
          <w:tblCellMar>
            <w:top w:w="0" w:type="dxa"/>
            <w:left w:w="108" w:type="dxa"/>
            <w:bottom w:w="0" w:type="dxa"/>
            <w:right w:w="108" w:type="dxa"/>
          </w:tblCellMar>
        </w:tblPrEx>
        <w:trPr>
          <w:trHeight w:val="397" w:hRule="atLeast"/>
          <w:jc w:val="center"/>
        </w:trPr>
        <w:tc>
          <w:tcPr>
            <w:tcW w:w="3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707E11">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color w:val="auto"/>
                <w:sz w:val="21"/>
                <w:szCs w:val="21"/>
                <w:lang w:val="en-US" w:eastAsia="zh-CN"/>
              </w:rPr>
              <w:t>9</w:t>
            </w:r>
          </w:p>
        </w:tc>
        <w:tc>
          <w:tcPr>
            <w:tcW w:w="29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02058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新疆鸿联会计师事务所（普通合伙）</w:t>
            </w:r>
          </w:p>
        </w:tc>
        <w:tc>
          <w:tcPr>
            <w:tcW w:w="16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E878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color w:val="auto"/>
                <w:sz w:val="21"/>
                <w:szCs w:val="21"/>
                <w:lang w:val="en-US" w:eastAsia="zh-CN"/>
              </w:rPr>
            </w:pPr>
            <w:r>
              <w:rPr>
                <w:rFonts w:hint="default" w:ascii="Times New Roman" w:hAnsi="Times New Roman" w:eastAsia="宋体" w:cs="Times New Roman"/>
                <w:i w:val="0"/>
                <w:iCs w:val="0"/>
                <w:color w:val="auto"/>
                <w:kern w:val="0"/>
                <w:sz w:val="21"/>
                <w:szCs w:val="21"/>
                <w:u w:val="none"/>
                <w:lang w:val="en-US" w:eastAsia="zh-CN" w:bidi="ar"/>
              </w:rPr>
              <w:t>审计业务竣工财务决算审计单位</w:t>
            </w:r>
          </w:p>
        </w:tc>
      </w:tr>
    </w:tbl>
    <w:p w14:paraId="31B9A76F">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p>
    <w:p w14:paraId="696B07B6">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b/>
          <w:bCs/>
          <w:color w:val="auto"/>
        </w:rPr>
      </w:pPr>
      <w:r>
        <w:rPr>
          <w:rFonts w:hint="default" w:ascii="Times New Roman" w:hAnsi="Times New Roman" w:cs="Times New Roman"/>
          <w:b/>
          <w:bCs/>
          <w:color w:val="auto"/>
          <w:lang w:val="en-US" w:eastAsia="zh-CN"/>
        </w:rPr>
        <w:t>2.</w:t>
      </w:r>
      <w:r>
        <w:rPr>
          <w:rFonts w:hint="default" w:ascii="Times New Roman" w:hAnsi="Times New Roman" w:cs="Times New Roman"/>
          <w:b/>
          <w:bCs/>
          <w:color w:val="auto"/>
        </w:rPr>
        <w:t>项目资金管理</w:t>
      </w:r>
    </w:p>
    <w:p w14:paraId="6B94B376">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该项目按照《关于下达以工代赈示范工程专项2024年中央基建投资预算的通知》（昌州财建</w:t>
      </w:r>
      <w:r>
        <w:rPr>
          <w:rFonts w:hint="default" w:ascii="Times New Roman" w:hAnsi="Times New Roman" w:eastAsia="宋体" w:cs="Times New Roman"/>
          <w:color w:val="auto"/>
        </w:rPr>
        <w:t>〔</w:t>
      </w:r>
      <w:r>
        <w:rPr>
          <w:rFonts w:hint="default" w:ascii="Times New Roman" w:hAnsi="Times New Roman" w:cs="Times New Roman"/>
          <w:color w:val="auto"/>
        </w:rPr>
        <w:t>2024〕22号）下达的预算资金和建设内容实施，</w:t>
      </w:r>
      <w:r>
        <w:rPr>
          <w:rFonts w:hint="default" w:cs="Times New Roman"/>
          <w:color w:val="auto"/>
          <w:lang w:val="en-US" w:eastAsia="zh-CN"/>
        </w:rPr>
        <w:t>吉木萨尔县二工镇人民政府</w:t>
      </w:r>
      <w:r>
        <w:rPr>
          <w:rFonts w:hint="default" w:ascii="Times New Roman" w:hAnsi="Times New Roman" w:cs="Times New Roman"/>
          <w:color w:val="auto"/>
          <w:lang w:val="en-US" w:eastAsia="zh-CN"/>
        </w:rPr>
        <w:t>根据项目监理单位签发的工程款支付证书</w:t>
      </w:r>
      <w:r>
        <w:rPr>
          <w:rFonts w:hint="default" w:cs="Times New Roman"/>
          <w:color w:val="auto"/>
          <w:lang w:val="en-US" w:eastAsia="zh-CN"/>
        </w:rPr>
        <w:t>、每期支付计量报告</w:t>
      </w:r>
      <w:r>
        <w:rPr>
          <w:rFonts w:hint="default" w:ascii="Times New Roman" w:hAnsi="Times New Roman" w:cs="Times New Roman"/>
          <w:color w:val="auto"/>
          <w:lang w:val="en-US" w:eastAsia="zh-CN"/>
        </w:rPr>
        <w:t>，经单位</w:t>
      </w:r>
      <w:r>
        <w:rPr>
          <w:rFonts w:hint="default" w:ascii="Times New Roman" w:hAnsi="Times New Roman" w:cs="Times New Roman"/>
          <w:color w:val="auto"/>
        </w:rPr>
        <w:t>党组会议</w:t>
      </w:r>
      <w:r>
        <w:rPr>
          <w:rFonts w:hint="default" w:ascii="Times New Roman" w:hAnsi="Times New Roman" w:cs="Times New Roman"/>
          <w:color w:val="auto"/>
          <w:lang w:val="en-US" w:eastAsia="zh-CN"/>
        </w:rPr>
        <w:t>审议后</w:t>
      </w:r>
      <w:r>
        <w:rPr>
          <w:rFonts w:hint="default" w:ascii="Times New Roman" w:hAnsi="Times New Roman" w:cs="Times New Roman"/>
          <w:color w:val="auto"/>
        </w:rPr>
        <w:t>向</w:t>
      </w:r>
      <w:r>
        <w:rPr>
          <w:rFonts w:hint="default" w:cs="Times New Roman"/>
          <w:color w:val="auto"/>
          <w:lang w:val="en-US" w:eastAsia="zh-CN"/>
        </w:rPr>
        <w:t>吉木萨尔</w:t>
      </w:r>
      <w:r>
        <w:rPr>
          <w:rFonts w:hint="default" w:ascii="Times New Roman" w:hAnsi="Times New Roman" w:cs="Times New Roman"/>
          <w:color w:val="auto"/>
          <w:lang w:val="en-US" w:eastAsia="zh-CN"/>
        </w:rPr>
        <w:t>县</w:t>
      </w:r>
      <w:r>
        <w:rPr>
          <w:rFonts w:hint="default" w:ascii="Times New Roman" w:hAnsi="Times New Roman" w:cs="Times New Roman"/>
          <w:color w:val="auto"/>
        </w:rPr>
        <w:t>财政局提交资金支付申请，经审批后采用国库集中支付方式将付款金额直接拨付到</w:t>
      </w:r>
      <w:r>
        <w:rPr>
          <w:rFonts w:hint="default" w:ascii="Times New Roman" w:hAnsi="Times New Roman" w:cs="Times New Roman"/>
          <w:color w:val="auto"/>
          <w:lang w:val="en-US" w:eastAsia="zh-CN"/>
        </w:rPr>
        <w:t>施工</w:t>
      </w:r>
      <w:r>
        <w:rPr>
          <w:rFonts w:hint="default" w:cs="Times New Roman"/>
          <w:color w:val="auto"/>
          <w:lang w:val="en-US" w:eastAsia="zh-CN"/>
        </w:rPr>
        <w:t>、监理、设计等收款</w:t>
      </w:r>
      <w:r>
        <w:rPr>
          <w:rFonts w:hint="default" w:ascii="Times New Roman" w:hAnsi="Times New Roman" w:cs="Times New Roman"/>
          <w:color w:val="auto"/>
          <w:lang w:val="en-US" w:eastAsia="zh-CN"/>
        </w:rPr>
        <w:t>单位。</w:t>
      </w:r>
    </w:p>
    <w:p w14:paraId="55A76C89">
      <w:pPr>
        <w:pStyle w:val="2"/>
        <w:pageBreakBefore w:val="0"/>
        <w:kinsoku/>
        <w:wordWrap/>
        <w:overflowPunct/>
        <w:topLinePunct w:val="0"/>
        <w:autoSpaceDE/>
        <w:autoSpaceDN/>
        <w:bidi w:val="0"/>
        <w:snapToGrid w:val="0"/>
        <w:spacing w:before="0" w:after="0" w:line="360" w:lineRule="auto"/>
        <w:ind w:firstLine="482"/>
        <w:rPr>
          <w:color w:val="auto"/>
        </w:rPr>
      </w:pPr>
      <w:bookmarkStart w:id="32" w:name="_Toc32713"/>
      <w:r>
        <w:rPr>
          <w:rFonts w:hint="default"/>
          <w:color w:val="auto"/>
        </w:rPr>
        <w:t>二、</w:t>
      </w:r>
      <w:r>
        <w:rPr>
          <w:color w:val="auto"/>
        </w:rPr>
        <w:t>项目绩效目标</w:t>
      </w:r>
      <w:bookmarkEnd w:id="31"/>
      <w:bookmarkEnd w:id="32"/>
    </w:p>
    <w:p w14:paraId="1F7DDB76">
      <w:pPr>
        <w:pStyle w:val="3"/>
        <w:bidi w:val="0"/>
        <w:spacing w:before="0" w:after="0" w:line="360" w:lineRule="auto"/>
        <w:rPr>
          <w:rFonts w:ascii="Times New Roman" w:hAnsi="Times New Roman"/>
          <w:color w:val="auto"/>
        </w:rPr>
      </w:pPr>
      <w:bookmarkStart w:id="33" w:name="_Toc19915"/>
      <w:r>
        <w:rPr>
          <w:rFonts w:hint="default" w:ascii="Times New Roman" w:hAnsi="Times New Roman"/>
          <w:color w:val="auto"/>
        </w:rPr>
        <w:t>（一）</w:t>
      </w:r>
      <w:r>
        <w:rPr>
          <w:rFonts w:ascii="Times New Roman" w:hAnsi="Times New Roman"/>
          <w:color w:val="auto"/>
        </w:rPr>
        <w:t>项目绩效总目标</w:t>
      </w:r>
      <w:bookmarkEnd w:id="33"/>
    </w:p>
    <w:p w14:paraId="38B04520">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项目计划在吉木萨尔县二工镇</w:t>
      </w:r>
      <w:r>
        <w:rPr>
          <w:rFonts w:hint="default" w:ascii="Times New Roman" w:hAnsi="Times New Roman" w:cs="Times New Roman"/>
          <w:color w:val="auto"/>
        </w:rPr>
        <w:t>大泉湖村新建</w:t>
      </w:r>
      <w:r>
        <w:rPr>
          <w:rFonts w:hint="default" w:ascii="Times New Roman" w:hAnsi="Times New Roman" w:cs="Times New Roman"/>
          <w:color w:val="auto"/>
          <w:lang w:val="en-US" w:eastAsia="zh-CN"/>
        </w:rPr>
        <w:t>8</w:t>
      </w:r>
      <w:r>
        <w:rPr>
          <w:rFonts w:hint="default" w:ascii="Times New Roman" w:hAnsi="Times New Roman" w:cs="Times New Roman"/>
          <w:color w:val="auto"/>
        </w:rPr>
        <w:t>公里道路及配套附属设施，</w:t>
      </w:r>
      <w:r>
        <w:rPr>
          <w:rFonts w:hint="default" w:ascii="Times New Roman" w:hAnsi="Times New Roman" w:cs="Times New Roman"/>
          <w:color w:val="auto"/>
          <w:lang w:val="en-US" w:eastAsia="zh-CN"/>
        </w:rPr>
        <w:t>通过项目的实施，可有效</w:t>
      </w:r>
      <w:r>
        <w:rPr>
          <w:rFonts w:hint="default" w:ascii="Times New Roman" w:hAnsi="Times New Roman" w:cs="Times New Roman"/>
          <w:color w:val="auto"/>
        </w:rPr>
        <w:t>改善当地交通条件，通过吸纳当地劳动力参与建设，发放劳务报酬，带动就业增收。</w:t>
      </w:r>
    </w:p>
    <w:p w14:paraId="076B9471">
      <w:pPr>
        <w:pStyle w:val="3"/>
        <w:bidi w:val="0"/>
        <w:spacing w:before="0" w:after="0" w:line="360" w:lineRule="auto"/>
        <w:rPr>
          <w:rFonts w:ascii="Times New Roman" w:hAnsi="Times New Roman"/>
          <w:color w:val="auto"/>
        </w:rPr>
      </w:pPr>
      <w:bookmarkStart w:id="34" w:name="_Toc20066"/>
      <w:r>
        <w:rPr>
          <w:rFonts w:hint="default" w:ascii="Times New Roman" w:hAnsi="Times New Roman"/>
          <w:color w:val="auto"/>
        </w:rPr>
        <w:t>（二）年度绩效</w:t>
      </w:r>
      <w:r>
        <w:rPr>
          <w:rFonts w:ascii="Times New Roman" w:hAnsi="Times New Roman"/>
          <w:color w:val="auto"/>
        </w:rPr>
        <w:t>目标</w:t>
      </w:r>
      <w:bookmarkEnd w:id="34"/>
    </w:p>
    <w:p w14:paraId="3E8590E1">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根据《项目支出绩效评价管理办法》（财预〔2020〕10号）的规定，绩效评价小组结合项目实际情况，对吉木萨尔县二工镇大泉湖村2024年以工代赈基础设施建设项目绩效目标进行梳理、细化和补充完善，最终确定该项目年度目标为：新建</w:t>
      </w:r>
      <w:r>
        <w:rPr>
          <w:rFonts w:hint="default" w:ascii="Times New Roman" w:hAnsi="Times New Roman" w:cs="Times New Roman"/>
          <w:color w:val="auto"/>
          <w:lang w:val="en-US" w:eastAsia="zh-CN"/>
        </w:rPr>
        <w:t>8</w:t>
      </w:r>
      <w:r>
        <w:rPr>
          <w:rFonts w:hint="default" w:ascii="Times New Roman" w:hAnsi="Times New Roman" w:cs="Times New Roman"/>
          <w:color w:val="auto"/>
        </w:rPr>
        <w:t>公里</w:t>
      </w:r>
      <w:r>
        <w:rPr>
          <w:rFonts w:hint="default" w:cs="Times New Roman"/>
          <w:color w:val="auto"/>
          <w:lang w:val="en-US" w:eastAsia="zh-CN"/>
        </w:rPr>
        <w:t>农村</w:t>
      </w:r>
      <w:r>
        <w:rPr>
          <w:rFonts w:hint="default" w:ascii="Times New Roman" w:hAnsi="Times New Roman" w:cs="Times New Roman"/>
          <w:color w:val="auto"/>
        </w:rPr>
        <w:t>道路及配套附属设施</w:t>
      </w:r>
      <w:r>
        <w:rPr>
          <w:rFonts w:hint="default" w:ascii="Times New Roman" w:hAnsi="Times New Roman" w:cs="Times New Roman"/>
          <w:color w:val="auto"/>
          <w:lang w:eastAsia="zh-CN"/>
        </w:rPr>
        <w:t>，</w:t>
      </w:r>
      <w:r>
        <w:rPr>
          <w:rFonts w:hint="default" w:ascii="Times New Roman" w:hAnsi="Times New Roman" w:cs="Times New Roman"/>
          <w:color w:val="auto"/>
        </w:rPr>
        <w:t>项目计划</w:t>
      </w:r>
      <w:r>
        <w:rPr>
          <w:rFonts w:hint="default" w:ascii="Times New Roman" w:hAnsi="Times New Roman" w:cs="Times New Roman"/>
          <w:color w:val="auto"/>
          <w:lang w:val="en-US" w:eastAsia="zh-CN"/>
        </w:rPr>
        <w:t>2024年</w:t>
      </w:r>
      <w:r>
        <w:rPr>
          <w:rFonts w:hint="default" w:cs="Times New Roman"/>
          <w:color w:val="auto"/>
          <w:lang w:val="en-US" w:eastAsia="zh-CN"/>
        </w:rPr>
        <w:t>6</w:t>
      </w:r>
      <w:r>
        <w:rPr>
          <w:rFonts w:hint="default" w:ascii="Times New Roman" w:hAnsi="Times New Roman" w:cs="Times New Roman"/>
          <w:color w:val="auto"/>
          <w:lang w:val="en-US" w:eastAsia="zh-CN"/>
        </w:rPr>
        <w:t>月前开工，计划</w:t>
      </w:r>
      <w:r>
        <w:rPr>
          <w:rFonts w:hint="default" w:ascii="Times New Roman" w:hAnsi="Times New Roman" w:cs="Times New Roman"/>
          <w:color w:val="auto"/>
        </w:rPr>
        <w:t>2024年1</w:t>
      </w:r>
      <w:r>
        <w:rPr>
          <w:rFonts w:hint="default" w:cs="Times New Roman"/>
          <w:color w:val="auto"/>
          <w:lang w:val="en-US" w:eastAsia="zh-CN"/>
        </w:rPr>
        <w:t>0</w:t>
      </w:r>
      <w:r>
        <w:rPr>
          <w:rFonts w:hint="default" w:ascii="Times New Roman" w:hAnsi="Times New Roman" w:cs="Times New Roman"/>
          <w:color w:val="auto"/>
        </w:rPr>
        <w:t>月前完工；</w:t>
      </w:r>
      <w:r>
        <w:rPr>
          <w:rFonts w:hint="default" w:cs="Times New Roman"/>
          <w:color w:val="auto"/>
          <w:lang w:val="en-US" w:eastAsia="zh-CN"/>
        </w:rPr>
        <w:t>通过项目的实施，在</w:t>
      </w:r>
      <w:r>
        <w:rPr>
          <w:color w:val="auto"/>
        </w:rPr>
        <w:t>施工期间预计带动当地</w:t>
      </w:r>
      <w:r>
        <w:rPr>
          <w:rFonts w:hint="default"/>
          <w:color w:val="auto"/>
          <w:lang w:val="en-US" w:eastAsia="zh-CN"/>
        </w:rPr>
        <w:t>121名</w:t>
      </w:r>
      <w:r>
        <w:rPr>
          <w:color w:val="auto"/>
        </w:rPr>
        <w:t>群众务工人数</w:t>
      </w:r>
      <w:r>
        <w:rPr>
          <w:rFonts w:hint="default"/>
          <w:color w:val="auto"/>
          <w:lang w:eastAsia="zh-CN"/>
        </w:rPr>
        <w:t>，劳务</w:t>
      </w:r>
      <w:r>
        <w:rPr>
          <w:rFonts w:hint="default" w:ascii="Times New Roman" w:hAnsi="Times New Roman" w:cs="Times New Roman"/>
          <w:color w:val="auto"/>
          <w:lang w:eastAsia="zh-CN"/>
        </w:rPr>
        <w:t>报酬</w:t>
      </w:r>
      <w:r>
        <w:rPr>
          <w:rFonts w:hint="default"/>
          <w:color w:val="auto"/>
          <w:lang w:eastAsia="zh-CN"/>
        </w:rPr>
        <w:t>支出</w:t>
      </w:r>
      <w:r>
        <w:rPr>
          <w:rFonts w:hint="default"/>
          <w:color w:val="auto"/>
          <w:lang w:val="en-US" w:eastAsia="zh-CN"/>
        </w:rPr>
        <w:t>达到235.00万元，可有效改善当地农民出行，</w:t>
      </w:r>
      <w:r>
        <w:rPr>
          <w:color w:val="auto"/>
        </w:rPr>
        <w:t>改善生产生活条件</w:t>
      </w:r>
      <w:r>
        <w:rPr>
          <w:rFonts w:hint="default" w:ascii="Times New Roman" w:hAnsi="Times New Roman" w:cs="Times New Roman"/>
          <w:color w:val="auto"/>
        </w:rPr>
        <w:t>。该项目个性目标设置具体如下：</w:t>
      </w:r>
    </w:p>
    <w:p w14:paraId="5F8611D3">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1.项目产出目标</w:t>
      </w:r>
    </w:p>
    <w:p w14:paraId="273D1725">
      <w:pPr>
        <w:pageBreakBefore w:val="0"/>
        <w:kinsoku/>
        <w:wordWrap/>
        <w:overflowPunct/>
        <w:topLinePunct w:val="0"/>
        <w:autoSpaceDE/>
        <w:autoSpaceDN/>
        <w:bidi w:val="0"/>
        <w:snapToGrid w:val="0"/>
        <w:spacing w:before="0" w:after="0" w:line="360" w:lineRule="auto"/>
        <w:ind w:firstLine="420"/>
        <w:rPr>
          <w:color w:val="auto"/>
        </w:rPr>
      </w:pPr>
      <w:r>
        <w:rPr>
          <w:color w:val="auto"/>
        </w:rPr>
        <w:t>（1）数量指标</w:t>
      </w:r>
    </w:p>
    <w:p w14:paraId="7E7B646F">
      <w:pPr>
        <w:pageBreakBefore w:val="0"/>
        <w:kinsoku/>
        <w:wordWrap/>
        <w:overflowPunct/>
        <w:topLinePunct w:val="0"/>
        <w:autoSpaceDE/>
        <w:autoSpaceDN/>
        <w:bidi w:val="0"/>
        <w:snapToGrid w:val="0"/>
        <w:spacing w:before="0" w:after="0" w:line="360" w:lineRule="auto"/>
        <w:ind w:firstLine="420"/>
        <w:rPr>
          <w:color w:val="auto"/>
        </w:rPr>
      </w:pPr>
      <w:r>
        <w:rPr>
          <w:color w:val="auto"/>
        </w:rPr>
        <w:t>“C11</w:t>
      </w:r>
      <w:r>
        <w:rPr>
          <w:rFonts w:hint="default"/>
          <w:color w:val="auto"/>
          <w:lang w:eastAsia="zh-CN"/>
        </w:rPr>
        <w:t>新建农村道路公里数</w:t>
      </w:r>
      <w:r>
        <w:rPr>
          <w:color w:val="auto"/>
        </w:rPr>
        <w:t>”指标，预期指标值为</w:t>
      </w:r>
      <w:r>
        <w:rPr>
          <w:rFonts w:hint="default"/>
          <w:color w:val="auto"/>
          <w:lang w:val="en-US" w:eastAsia="zh-CN"/>
        </w:rPr>
        <w:t>大于等于8公里</w:t>
      </w:r>
      <w:r>
        <w:rPr>
          <w:rFonts w:hint="default" w:ascii="Times New Roman" w:hAnsi="Times New Roman" w:eastAsia="宋体" w:cs="Times New Roman"/>
          <w:color w:val="auto"/>
        </w:rPr>
        <w:t>。</w:t>
      </w:r>
    </w:p>
    <w:p w14:paraId="7DC6C08B">
      <w:pPr>
        <w:pageBreakBefore w:val="0"/>
        <w:kinsoku/>
        <w:wordWrap/>
        <w:overflowPunct/>
        <w:topLinePunct w:val="0"/>
        <w:autoSpaceDE/>
        <w:autoSpaceDN/>
        <w:bidi w:val="0"/>
        <w:snapToGrid w:val="0"/>
        <w:spacing w:before="0" w:after="0" w:line="360" w:lineRule="auto"/>
        <w:ind w:firstLine="420"/>
        <w:rPr>
          <w:color w:val="auto"/>
        </w:rPr>
      </w:pPr>
      <w:r>
        <w:rPr>
          <w:color w:val="auto"/>
        </w:rPr>
        <w:t>（2）质量指标</w:t>
      </w:r>
    </w:p>
    <w:p w14:paraId="02426D9E">
      <w:pPr>
        <w:pageBreakBefore w:val="0"/>
        <w:kinsoku/>
        <w:wordWrap/>
        <w:overflowPunct/>
        <w:topLinePunct w:val="0"/>
        <w:autoSpaceDE/>
        <w:autoSpaceDN/>
        <w:bidi w:val="0"/>
        <w:snapToGrid w:val="0"/>
        <w:spacing w:before="0" w:after="0" w:line="360" w:lineRule="auto"/>
        <w:ind w:firstLine="420"/>
        <w:rPr>
          <w:color w:val="auto"/>
        </w:rPr>
      </w:pPr>
      <w:r>
        <w:rPr>
          <w:color w:val="auto"/>
        </w:rPr>
        <w:t>“C21竣工验收合格率”指标，预期指标值为</w:t>
      </w:r>
      <w:r>
        <w:rPr>
          <w:rFonts w:hint="default"/>
          <w:color w:val="auto"/>
          <w:lang w:val="en-US" w:eastAsia="zh-CN"/>
        </w:rPr>
        <w:t>100.00%</w:t>
      </w:r>
      <w:r>
        <w:rPr>
          <w:rFonts w:hint="default" w:ascii="Times New Roman" w:hAnsi="Times New Roman" w:eastAsia="宋体" w:cs="Times New Roman"/>
          <w:color w:val="auto"/>
        </w:rPr>
        <w:t>。</w:t>
      </w:r>
    </w:p>
    <w:p w14:paraId="4A54A111">
      <w:pPr>
        <w:pageBreakBefore w:val="0"/>
        <w:kinsoku/>
        <w:wordWrap/>
        <w:overflowPunct/>
        <w:topLinePunct w:val="0"/>
        <w:autoSpaceDE/>
        <w:autoSpaceDN/>
        <w:bidi w:val="0"/>
        <w:snapToGrid w:val="0"/>
        <w:spacing w:before="0" w:after="0" w:line="360" w:lineRule="auto"/>
        <w:ind w:firstLine="420"/>
        <w:rPr>
          <w:color w:val="auto"/>
        </w:rPr>
      </w:pPr>
      <w:r>
        <w:rPr>
          <w:color w:val="auto"/>
        </w:rPr>
        <w:t>（3）时效指标</w:t>
      </w:r>
    </w:p>
    <w:p w14:paraId="0F364201">
      <w:pPr>
        <w:pageBreakBefore w:val="0"/>
        <w:kinsoku/>
        <w:wordWrap/>
        <w:overflowPunct/>
        <w:topLinePunct w:val="0"/>
        <w:autoSpaceDE/>
        <w:autoSpaceDN/>
        <w:bidi w:val="0"/>
        <w:snapToGrid w:val="0"/>
        <w:spacing w:before="0" w:after="0" w:line="360" w:lineRule="auto"/>
        <w:ind w:firstLine="420"/>
        <w:rPr>
          <w:color w:val="auto"/>
        </w:rPr>
      </w:pPr>
      <w:r>
        <w:rPr>
          <w:color w:val="auto"/>
        </w:rPr>
        <w:t>“C31项目计划开工日期”指标，预期指标值为</w:t>
      </w:r>
      <w:r>
        <w:rPr>
          <w:rFonts w:hint="default"/>
          <w:color w:val="auto"/>
          <w:lang w:val="en-US" w:eastAsia="zh-CN"/>
        </w:rPr>
        <w:t>2024年6月前</w:t>
      </w:r>
      <w:r>
        <w:rPr>
          <w:rFonts w:hint="default" w:ascii="Times New Roman" w:hAnsi="Times New Roman" w:eastAsia="宋体" w:cs="Times New Roman"/>
          <w:color w:val="auto"/>
        </w:rPr>
        <w:t>。</w:t>
      </w:r>
    </w:p>
    <w:p w14:paraId="248E2BDF">
      <w:pPr>
        <w:pageBreakBefore w:val="0"/>
        <w:kinsoku/>
        <w:wordWrap/>
        <w:overflowPunct/>
        <w:topLinePunct w:val="0"/>
        <w:autoSpaceDE/>
        <w:autoSpaceDN/>
        <w:bidi w:val="0"/>
        <w:snapToGrid w:val="0"/>
        <w:spacing w:before="0" w:after="0" w:line="360" w:lineRule="auto"/>
        <w:ind w:firstLine="420"/>
        <w:rPr>
          <w:color w:val="auto"/>
        </w:rPr>
      </w:pPr>
      <w:r>
        <w:rPr>
          <w:color w:val="auto"/>
        </w:rPr>
        <w:t>“C32项目计划完工日期”指标，预期指标值为</w:t>
      </w:r>
      <w:r>
        <w:rPr>
          <w:rFonts w:hint="default"/>
          <w:color w:val="auto"/>
          <w:lang w:val="en-US" w:eastAsia="zh-CN"/>
        </w:rPr>
        <w:t>2024年10月前</w:t>
      </w:r>
      <w:r>
        <w:rPr>
          <w:rFonts w:hint="default" w:ascii="Times New Roman" w:hAnsi="Times New Roman" w:eastAsia="宋体" w:cs="Times New Roman"/>
          <w:color w:val="auto"/>
        </w:rPr>
        <w:t>。</w:t>
      </w:r>
    </w:p>
    <w:p w14:paraId="17A264B6">
      <w:pPr>
        <w:pageBreakBefore w:val="0"/>
        <w:numPr>
          <w:ilvl w:val="0"/>
          <w:numId w:val="1"/>
        </w:numPr>
        <w:kinsoku/>
        <w:wordWrap/>
        <w:overflowPunct/>
        <w:topLinePunct w:val="0"/>
        <w:autoSpaceDE/>
        <w:autoSpaceDN/>
        <w:bidi w:val="0"/>
        <w:snapToGrid w:val="0"/>
        <w:spacing w:before="0" w:after="0" w:line="360" w:lineRule="auto"/>
        <w:ind w:firstLine="420"/>
        <w:rPr>
          <w:color w:val="auto"/>
        </w:rPr>
      </w:pPr>
      <w:r>
        <w:rPr>
          <w:color w:val="auto"/>
        </w:rPr>
        <w:t>成本指标</w:t>
      </w:r>
    </w:p>
    <w:p w14:paraId="6BD5FF3E">
      <w:pPr>
        <w:pageBreakBefore w:val="0"/>
        <w:kinsoku/>
        <w:wordWrap/>
        <w:overflowPunct/>
        <w:topLinePunct w:val="0"/>
        <w:autoSpaceDE/>
        <w:autoSpaceDN/>
        <w:bidi w:val="0"/>
        <w:snapToGrid w:val="0"/>
        <w:spacing w:before="0" w:after="0" w:line="360" w:lineRule="auto"/>
        <w:ind w:firstLine="420"/>
        <w:rPr>
          <w:rFonts w:hint="default" w:eastAsiaTheme="minorEastAsia"/>
          <w:color w:val="auto"/>
          <w:lang w:val="en-US" w:eastAsia="zh-CN"/>
        </w:rPr>
      </w:pPr>
      <w:r>
        <w:rPr>
          <w:color w:val="auto"/>
        </w:rPr>
        <w:t>“</w:t>
      </w:r>
      <w:r>
        <w:rPr>
          <w:rFonts w:hint="default"/>
          <w:color w:val="auto"/>
          <w:lang w:eastAsia="zh-CN"/>
        </w:rPr>
        <w:t>C41劳务</w:t>
      </w:r>
      <w:r>
        <w:rPr>
          <w:rFonts w:hint="default" w:ascii="Times New Roman" w:hAnsi="Times New Roman" w:cs="Times New Roman"/>
          <w:color w:val="auto"/>
          <w:lang w:eastAsia="zh-CN"/>
        </w:rPr>
        <w:t>报酬</w:t>
      </w:r>
      <w:r>
        <w:rPr>
          <w:rFonts w:hint="default"/>
          <w:color w:val="auto"/>
          <w:lang w:eastAsia="zh-CN"/>
        </w:rPr>
        <w:t>支出</w:t>
      </w:r>
      <w:r>
        <w:rPr>
          <w:color w:val="auto"/>
        </w:rPr>
        <w:t>”指标，预期指标值为</w:t>
      </w:r>
      <w:r>
        <w:rPr>
          <w:rFonts w:hint="default"/>
          <w:color w:val="auto"/>
          <w:lang w:val="en-US" w:eastAsia="zh-CN"/>
        </w:rPr>
        <w:t>大于等于235.00万元。</w:t>
      </w:r>
    </w:p>
    <w:p w14:paraId="32712152">
      <w:pPr>
        <w:pageBreakBefore w:val="0"/>
        <w:kinsoku/>
        <w:wordWrap/>
        <w:overflowPunct/>
        <w:topLinePunct w:val="0"/>
        <w:autoSpaceDE/>
        <w:autoSpaceDN/>
        <w:bidi w:val="0"/>
        <w:snapToGrid w:val="0"/>
        <w:spacing w:before="0" w:after="0" w:line="360" w:lineRule="auto"/>
        <w:ind w:firstLine="420"/>
        <w:rPr>
          <w:color w:val="auto"/>
        </w:rPr>
      </w:pPr>
      <w:r>
        <w:rPr>
          <w:color w:val="auto"/>
        </w:rPr>
        <w:t>“C4</w:t>
      </w:r>
      <w:r>
        <w:rPr>
          <w:rFonts w:hint="default"/>
          <w:color w:val="auto"/>
          <w:lang w:val="en-US" w:eastAsia="zh-CN"/>
        </w:rPr>
        <w:t>2</w:t>
      </w:r>
      <w:r>
        <w:rPr>
          <w:rFonts w:hint="default"/>
          <w:color w:val="auto"/>
          <w:lang w:eastAsia="zh-CN"/>
        </w:rPr>
        <w:t>项目投资预算控制率</w:t>
      </w:r>
      <w:r>
        <w:rPr>
          <w:color w:val="auto"/>
        </w:rPr>
        <w:t>”指标，预期指标值为</w:t>
      </w:r>
      <w:r>
        <w:rPr>
          <w:rFonts w:hint="default"/>
          <w:color w:val="auto"/>
        </w:rPr>
        <w:t>80.00%</w:t>
      </w:r>
      <w:r>
        <w:rPr>
          <w:rFonts w:hint="default"/>
          <w:color w:val="auto"/>
          <w:lang w:val="en-US" w:eastAsia="zh-CN"/>
        </w:rPr>
        <w:t>-</w:t>
      </w:r>
      <w:r>
        <w:rPr>
          <w:rFonts w:hint="default"/>
          <w:color w:val="auto"/>
        </w:rPr>
        <w:t>100.00%</w:t>
      </w:r>
      <w:r>
        <w:rPr>
          <w:rFonts w:hint="default" w:ascii="Times New Roman" w:hAnsi="Times New Roman" w:eastAsia="宋体" w:cs="Times New Roman"/>
          <w:color w:val="auto"/>
        </w:rPr>
        <w:t>。</w:t>
      </w:r>
    </w:p>
    <w:p w14:paraId="663D6EAA">
      <w:pPr>
        <w:pageBreakBefore w:val="0"/>
        <w:kinsoku/>
        <w:wordWrap/>
        <w:overflowPunct/>
        <w:topLinePunct w:val="0"/>
        <w:autoSpaceDE/>
        <w:autoSpaceDN/>
        <w:bidi w:val="0"/>
        <w:snapToGrid w:val="0"/>
        <w:spacing w:before="0" w:after="0" w:line="360" w:lineRule="auto"/>
        <w:ind w:firstLine="422"/>
        <w:rPr>
          <w:b/>
          <w:color w:val="auto"/>
        </w:rPr>
      </w:pPr>
      <w:r>
        <w:rPr>
          <w:b/>
          <w:color w:val="auto"/>
        </w:rPr>
        <w:t>2.项目效益目标</w:t>
      </w:r>
    </w:p>
    <w:p w14:paraId="6BCC6F42">
      <w:pPr>
        <w:pageBreakBefore w:val="0"/>
        <w:kinsoku/>
        <w:wordWrap/>
        <w:overflowPunct/>
        <w:topLinePunct w:val="0"/>
        <w:autoSpaceDE/>
        <w:autoSpaceDN/>
        <w:bidi w:val="0"/>
        <w:snapToGrid w:val="0"/>
        <w:spacing w:before="0" w:after="0" w:line="360" w:lineRule="auto"/>
        <w:ind w:firstLine="420"/>
        <w:rPr>
          <w:color w:val="auto"/>
        </w:rPr>
      </w:pPr>
      <w:r>
        <w:rPr>
          <w:color w:val="auto"/>
        </w:rPr>
        <w:t>（1）经济效益指标</w:t>
      </w:r>
    </w:p>
    <w:p w14:paraId="21EEFDB4">
      <w:pPr>
        <w:pageBreakBefore w:val="0"/>
        <w:kinsoku/>
        <w:wordWrap/>
        <w:overflowPunct/>
        <w:topLinePunct w:val="0"/>
        <w:autoSpaceDE/>
        <w:autoSpaceDN/>
        <w:bidi w:val="0"/>
        <w:snapToGrid w:val="0"/>
        <w:spacing w:before="0" w:after="0" w:line="360" w:lineRule="auto"/>
        <w:ind w:firstLine="420"/>
        <w:rPr>
          <w:color w:val="auto"/>
        </w:rPr>
      </w:pPr>
      <w:r>
        <w:rPr>
          <w:color w:val="auto"/>
        </w:rPr>
        <w:t>“D</w:t>
      </w:r>
      <w:r>
        <w:rPr>
          <w:rFonts w:hint="default"/>
          <w:color w:val="auto"/>
          <w:lang w:val="en-US" w:eastAsia="zh-CN"/>
        </w:rPr>
        <w:t>1</w:t>
      </w:r>
      <w:r>
        <w:rPr>
          <w:color w:val="auto"/>
        </w:rPr>
        <w:t>1施工期间预计带动当地群众务工人数</w:t>
      </w:r>
      <w:r>
        <w:rPr>
          <w:rFonts w:hint="default"/>
          <w:color w:val="auto"/>
          <w:lang w:eastAsia="zh-CN"/>
        </w:rPr>
        <w:t>（</w:t>
      </w:r>
      <w:r>
        <w:rPr>
          <w:color w:val="auto"/>
        </w:rPr>
        <w:t>非人次</w:t>
      </w:r>
      <w:r>
        <w:rPr>
          <w:rFonts w:hint="default"/>
          <w:color w:val="auto"/>
          <w:lang w:eastAsia="zh-CN"/>
        </w:rPr>
        <w:t>）</w:t>
      </w:r>
      <w:r>
        <w:rPr>
          <w:color w:val="auto"/>
        </w:rPr>
        <w:t>”指标，预期指标值为</w:t>
      </w:r>
      <w:r>
        <w:rPr>
          <w:rFonts w:hint="default"/>
          <w:color w:val="auto"/>
          <w:lang w:val="en-US" w:eastAsia="zh-CN"/>
        </w:rPr>
        <w:t>大于等于121人</w:t>
      </w:r>
      <w:r>
        <w:rPr>
          <w:rFonts w:hint="default" w:ascii="Times New Roman" w:hAnsi="Times New Roman" w:eastAsia="宋体" w:cs="Times New Roman"/>
          <w:color w:val="auto"/>
        </w:rPr>
        <w:t>。</w:t>
      </w:r>
    </w:p>
    <w:p w14:paraId="469FD5D0">
      <w:pPr>
        <w:pageBreakBefore w:val="0"/>
        <w:kinsoku/>
        <w:wordWrap/>
        <w:overflowPunct/>
        <w:topLinePunct w:val="0"/>
        <w:autoSpaceDE/>
        <w:autoSpaceDN/>
        <w:bidi w:val="0"/>
        <w:snapToGrid w:val="0"/>
        <w:spacing w:before="0" w:after="0" w:line="360" w:lineRule="auto"/>
        <w:ind w:firstLine="420"/>
        <w:rPr>
          <w:color w:val="auto"/>
        </w:rPr>
      </w:pPr>
      <w:r>
        <w:rPr>
          <w:color w:val="auto"/>
        </w:rPr>
        <w:t>“D</w:t>
      </w:r>
      <w:r>
        <w:rPr>
          <w:rFonts w:hint="default"/>
          <w:color w:val="auto"/>
          <w:lang w:val="en-US" w:eastAsia="zh-CN"/>
        </w:rPr>
        <w:t>1</w:t>
      </w:r>
      <w:r>
        <w:rPr>
          <w:color w:val="auto"/>
        </w:rPr>
        <w:t>2改善出行困难问题”指标，预期指标值为</w:t>
      </w:r>
      <w:r>
        <w:rPr>
          <w:rFonts w:hint="default"/>
          <w:color w:val="auto"/>
          <w:lang w:val="en-US" w:eastAsia="zh-CN"/>
        </w:rPr>
        <w:t>有效改善</w:t>
      </w:r>
      <w:r>
        <w:rPr>
          <w:rFonts w:hint="default" w:ascii="Times New Roman" w:hAnsi="Times New Roman" w:eastAsia="宋体" w:cs="Times New Roman"/>
          <w:color w:val="auto"/>
        </w:rPr>
        <w:t>。</w:t>
      </w:r>
    </w:p>
    <w:p w14:paraId="75FDBA2E">
      <w:pPr>
        <w:pageBreakBefore w:val="0"/>
        <w:kinsoku/>
        <w:wordWrap/>
        <w:overflowPunct/>
        <w:topLinePunct w:val="0"/>
        <w:autoSpaceDE/>
        <w:autoSpaceDN/>
        <w:bidi w:val="0"/>
        <w:snapToGrid w:val="0"/>
        <w:spacing w:before="0" w:after="0" w:line="360" w:lineRule="auto"/>
        <w:ind w:firstLine="420"/>
        <w:rPr>
          <w:color w:val="auto"/>
        </w:rPr>
      </w:pPr>
      <w:r>
        <w:rPr>
          <w:color w:val="auto"/>
        </w:rPr>
        <w:t>“D</w:t>
      </w:r>
      <w:r>
        <w:rPr>
          <w:rFonts w:hint="default"/>
          <w:color w:val="auto"/>
          <w:lang w:val="en-US" w:eastAsia="zh-CN"/>
        </w:rPr>
        <w:t>13</w:t>
      </w:r>
      <w:r>
        <w:rPr>
          <w:color w:val="auto"/>
        </w:rPr>
        <w:t>改善生产生活条件”指标，预期指标值为</w:t>
      </w:r>
      <w:r>
        <w:rPr>
          <w:rFonts w:hint="default"/>
          <w:color w:val="auto"/>
          <w:lang w:val="en-US" w:eastAsia="zh-CN"/>
        </w:rPr>
        <w:t>有效改善</w:t>
      </w:r>
      <w:r>
        <w:rPr>
          <w:rFonts w:hint="default" w:ascii="Times New Roman" w:hAnsi="Times New Roman" w:eastAsia="宋体" w:cs="Times New Roman"/>
          <w:color w:val="auto"/>
        </w:rPr>
        <w:t>。</w:t>
      </w:r>
    </w:p>
    <w:p w14:paraId="3D8ABD74">
      <w:pPr>
        <w:pageBreakBefore w:val="0"/>
        <w:kinsoku/>
        <w:wordWrap/>
        <w:overflowPunct/>
        <w:topLinePunct w:val="0"/>
        <w:autoSpaceDE/>
        <w:autoSpaceDN/>
        <w:bidi w:val="0"/>
        <w:snapToGrid w:val="0"/>
        <w:spacing w:before="0" w:after="0" w:line="360" w:lineRule="auto"/>
        <w:ind w:firstLine="420"/>
        <w:rPr>
          <w:color w:val="auto"/>
        </w:rPr>
      </w:pPr>
      <w:r>
        <w:rPr>
          <w:b/>
          <w:color w:val="auto"/>
        </w:rPr>
        <w:t>3.</w:t>
      </w:r>
      <w:r>
        <w:rPr>
          <w:b/>
          <w:color w:val="auto"/>
          <w:lang w:eastAsia="zh-Hans"/>
        </w:rPr>
        <w:t>满意度目标</w:t>
      </w:r>
    </w:p>
    <w:p w14:paraId="4D745E8F">
      <w:pPr>
        <w:pageBreakBefore w:val="0"/>
        <w:kinsoku/>
        <w:wordWrap/>
        <w:overflowPunct/>
        <w:topLinePunct w:val="0"/>
        <w:autoSpaceDE/>
        <w:autoSpaceDN/>
        <w:bidi w:val="0"/>
        <w:snapToGrid w:val="0"/>
        <w:spacing w:before="0" w:after="0" w:line="360" w:lineRule="auto"/>
        <w:ind w:firstLine="420"/>
        <w:rPr>
          <w:color w:val="auto"/>
        </w:rPr>
      </w:pPr>
      <w:r>
        <w:rPr>
          <w:color w:val="auto"/>
        </w:rPr>
        <w:t>（1）满意度指标</w:t>
      </w:r>
    </w:p>
    <w:p w14:paraId="34C5F30B">
      <w:pPr>
        <w:pageBreakBefore w:val="0"/>
        <w:kinsoku/>
        <w:wordWrap/>
        <w:overflowPunct/>
        <w:topLinePunct w:val="0"/>
        <w:autoSpaceDE/>
        <w:autoSpaceDN/>
        <w:bidi w:val="0"/>
        <w:snapToGrid w:val="0"/>
        <w:spacing w:before="0" w:after="0" w:line="360" w:lineRule="auto"/>
        <w:ind w:firstLine="420"/>
        <w:rPr>
          <w:color w:val="auto"/>
        </w:rPr>
      </w:pPr>
      <w:bookmarkStart w:id="35" w:name="_Toc68364660"/>
      <w:r>
        <w:rPr>
          <w:color w:val="auto"/>
        </w:rPr>
        <w:t>“D</w:t>
      </w:r>
      <w:r>
        <w:rPr>
          <w:rFonts w:hint="default"/>
          <w:color w:val="auto"/>
          <w:lang w:val="en-US" w:eastAsia="zh-CN"/>
        </w:rPr>
        <w:t>2</w:t>
      </w:r>
      <w:r>
        <w:rPr>
          <w:color w:val="auto"/>
        </w:rPr>
        <w:t>1</w:t>
      </w:r>
      <w:r>
        <w:rPr>
          <w:rFonts w:hint="default"/>
          <w:color w:val="auto"/>
          <w:lang w:eastAsia="zh-CN"/>
        </w:rPr>
        <w:t>参与工程建设的务工群众满意度</w:t>
      </w:r>
      <w:r>
        <w:rPr>
          <w:color w:val="auto"/>
        </w:rPr>
        <w:t>”指标，预期指标值为</w:t>
      </w:r>
      <w:r>
        <w:rPr>
          <w:rFonts w:hint="default"/>
          <w:color w:val="auto"/>
          <w:lang w:val="en-US" w:eastAsia="zh-CN"/>
        </w:rPr>
        <w:t>大于等于90%</w:t>
      </w:r>
      <w:r>
        <w:rPr>
          <w:rFonts w:hint="default" w:ascii="Times New Roman" w:hAnsi="Times New Roman" w:eastAsia="宋体" w:cs="Times New Roman"/>
          <w:color w:val="auto"/>
        </w:rPr>
        <w:t>。</w:t>
      </w:r>
    </w:p>
    <w:p w14:paraId="57E0B379">
      <w:pPr>
        <w:pStyle w:val="2"/>
        <w:pageBreakBefore w:val="0"/>
        <w:kinsoku/>
        <w:wordWrap/>
        <w:overflowPunct/>
        <w:topLinePunct w:val="0"/>
        <w:autoSpaceDE/>
        <w:autoSpaceDN/>
        <w:bidi w:val="0"/>
        <w:snapToGrid w:val="0"/>
        <w:spacing w:before="0" w:after="0" w:line="360" w:lineRule="auto"/>
        <w:ind w:firstLine="482"/>
        <w:rPr>
          <w:color w:val="auto"/>
        </w:rPr>
      </w:pPr>
      <w:bookmarkStart w:id="36" w:name="_Toc13881"/>
      <w:r>
        <w:rPr>
          <w:rFonts w:hint="default"/>
          <w:color w:val="auto"/>
        </w:rPr>
        <w:t>三</w:t>
      </w:r>
      <w:r>
        <w:rPr>
          <w:color w:val="auto"/>
        </w:rPr>
        <w:t>、绩效评价工作开展情况</w:t>
      </w:r>
      <w:bookmarkEnd w:id="35"/>
      <w:bookmarkEnd w:id="36"/>
    </w:p>
    <w:p w14:paraId="4F0B0BB2">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37" w:name="_Toc27940"/>
      <w:bookmarkStart w:id="38" w:name="_Toc1422"/>
      <w:bookmarkStart w:id="39" w:name="_Toc68364661"/>
      <w:r>
        <w:rPr>
          <w:rFonts w:hint="default" w:ascii="Times New Roman" w:hAnsi="Times New Roman"/>
          <w:color w:val="auto"/>
        </w:rPr>
        <w:t>（一</w:t>
      </w:r>
      <w:r>
        <w:rPr>
          <w:rFonts w:ascii="Times New Roman" w:hAnsi="Times New Roman"/>
          <w:color w:val="auto"/>
        </w:rPr>
        <w:t>）绩效评价</w:t>
      </w:r>
      <w:r>
        <w:rPr>
          <w:rFonts w:hint="default" w:ascii="Times New Roman" w:hAnsi="Times New Roman"/>
          <w:color w:val="auto"/>
        </w:rPr>
        <w:t>依据</w:t>
      </w:r>
      <w:bookmarkEnd w:id="37"/>
      <w:bookmarkEnd w:id="38"/>
    </w:p>
    <w:p w14:paraId="32877765">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《中华人民共和国预算法》；</w:t>
      </w:r>
    </w:p>
    <w:p w14:paraId="14D53D82">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w:t>
      </w:r>
      <w:r>
        <w:rPr>
          <w:rFonts w:hint="default" w:cs="Times New Roman"/>
          <w:color w:val="auto"/>
          <w:highlight w:val="none"/>
          <w:lang w:eastAsia="zh-CN"/>
        </w:rPr>
        <w:t>中共中央、国务院</w:t>
      </w:r>
      <w:r>
        <w:rPr>
          <w:rFonts w:hint="default" w:ascii="Times New Roman" w:hAnsi="Times New Roman" w:cs="Times New Roman"/>
          <w:color w:val="auto"/>
          <w:highlight w:val="none"/>
        </w:rPr>
        <w:t>关于全面实施预算绩效管理的意见》（中发〔2018〕34号）；</w:t>
      </w:r>
    </w:p>
    <w:p w14:paraId="35D25645">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《项目支出绩效评价管理办法》（财预〔2020〕10号）；</w:t>
      </w:r>
    </w:p>
    <w:p w14:paraId="5AF2F314">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《自治区党委自治区人民政府关于全面实施预算绩效管理的实施意见》（新党发〔2018〕30号）；</w:t>
      </w:r>
    </w:p>
    <w:p w14:paraId="3BB09B41">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《自治区全面实施预算绩效管理的工作方案》（新财预〔2018〕158号）；</w:t>
      </w:r>
    </w:p>
    <w:p w14:paraId="4BBE60F8">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《自治区财政支出绩效评价管理暂行办法》（新财预〔2018〕189号）；</w:t>
      </w:r>
    </w:p>
    <w:p w14:paraId="1391495E">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《关于委托第三方机构参与预算绩效管理的指导意见》（财预〔2021〕6号）；</w:t>
      </w:r>
    </w:p>
    <w:p w14:paraId="1147112E">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《财政部关于印发〈第三方机构预算绩效评价业务监督管理暂行办法〉的通知》（财监〔2021〕4号）；</w:t>
      </w:r>
    </w:p>
    <w:p w14:paraId="28EFD26C">
      <w:pPr>
        <w:pageBreakBefore w:val="0"/>
        <w:numPr>
          <w:ilvl w:val="0"/>
          <w:numId w:val="2"/>
        </w:numPr>
        <w:kinsoku/>
        <w:wordWrap/>
        <w:overflowPunct/>
        <w:topLinePunct w:val="0"/>
        <w:autoSpaceDE/>
        <w:autoSpaceDN/>
        <w:bidi w:val="0"/>
        <w:snapToGrid w:val="0"/>
        <w:spacing w:before="0" w:after="0" w:line="360" w:lineRule="auto"/>
        <w:ind w:firstLine="664"/>
        <w:rPr>
          <w:rFonts w:hint="default" w:ascii="Times New Roman" w:hAnsi="Times New Roman" w:cs="Times New Roman"/>
          <w:color w:val="auto"/>
          <w:highlight w:val="none"/>
        </w:rPr>
      </w:pPr>
      <w:r>
        <w:rPr>
          <w:rFonts w:hint="default" w:ascii="Times New Roman" w:hAnsi="Times New Roman" w:cs="Times New Roman"/>
          <w:color w:val="auto"/>
          <w:highlight w:val="none"/>
        </w:rPr>
        <w:t>《关于进一步加强和规范第三方机构参与预算绩效管理的通知》（新财预〔2021〕49号）；</w:t>
      </w:r>
    </w:p>
    <w:p w14:paraId="08954635">
      <w:pPr>
        <w:pageBreakBefore w:val="0"/>
        <w:kinsoku/>
        <w:wordWrap/>
        <w:overflowPunct/>
        <w:topLinePunct w:val="0"/>
        <w:autoSpaceDE/>
        <w:autoSpaceDN/>
        <w:bidi w:val="0"/>
        <w:snapToGrid w:val="0"/>
        <w:spacing w:before="0" w:after="0" w:line="360" w:lineRule="auto"/>
        <w:ind w:firstLine="420"/>
        <w:rPr>
          <w:rFonts w:hint="default"/>
          <w:color w:val="auto"/>
          <w:lang w:val="en-US" w:eastAsia="zh-CN"/>
        </w:rPr>
      </w:pPr>
      <w:r>
        <w:rPr>
          <w:rFonts w:hint="default"/>
          <w:color w:val="auto"/>
          <w:lang w:val="en-US" w:eastAsia="zh-CN"/>
        </w:rPr>
        <w:t>10.《中共中央、国务院关于全面推进乡村振兴加快农业农村现代化的意见》；</w:t>
      </w:r>
    </w:p>
    <w:p w14:paraId="415C542B">
      <w:pPr>
        <w:pageBreakBefore w:val="0"/>
        <w:kinsoku/>
        <w:wordWrap/>
        <w:overflowPunct/>
        <w:topLinePunct w:val="0"/>
        <w:autoSpaceDE/>
        <w:autoSpaceDN/>
        <w:bidi w:val="0"/>
        <w:snapToGrid w:val="0"/>
        <w:spacing w:before="0" w:after="0" w:line="360" w:lineRule="auto"/>
        <w:ind w:firstLine="420"/>
        <w:rPr>
          <w:rFonts w:hint="default"/>
          <w:color w:val="auto"/>
          <w:lang w:val="en-US" w:eastAsia="zh-CN"/>
        </w:rPr>
      </w:pPr>
      <w:r>
        <w:rPr>
          <w:rFonts w:hint="default"/>
          <w:color w:val="auto"/>
          <w:lang w:val="en-US" w:eastAsia="zh-CN"/>
        </w:rPr>
        <w:t>11.《中共吉木萨尔县委员会办公室吉木萨尔县人民政府办公室关于印发&lt;吉木萨尔县二工镇机构改革方案&gt;的通知》（吉县党办字〔2024〕23号）；</w:t>
      </w:r>
    </w:p>
    <w:p w14:paraId="5030897D">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12.《中华人民共和国国民经济和社会发展第十四个五年规划和2035年远景目标纲要》；</w:t>
      </w:r>
    </w:p>
    <w:p w14:paraId="20790468">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13.《国家发展改革委关于印发&lt;全国“十四五”以工代赈工作方案&gt;的通知》（发改振兴〔2021〕1019号）；</w:t>
      </w:r>
    </w:p>
    <w:p w14:paraId="6B42FFEE">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14.《新疆维吾尔自治区财政衔接推进乡村振兴补助资金管理办法》（新财规〔2021〕11号）；</w:t>
      </w:r>
    </w:p>
    <w:p w14:paraId="680A7AD5">
      <w:pPr>
        <w:pageBreakBefore w:val="0"/>
        <w:kinsoku/>
        <w:wordWrap/>
        <w:overflowPunct/>
        <w:topLinePunct w:val="0"/>
        <w:autoSpaceDE/>
        <w:autoSpaceDN/>
        <w:bidi w:val="0"/>
        <w:snapToGrid w:val="0"/>
        <w:spacing w:before="0" w:after="0" w:line="360" w:lineRule="auto"/>
        <w:ind w:firstLine="420"/>
        <w:rPr>
          <w:rFonts w:hint="default"/>
          <w:color w:val="auto"/>
          <w:lang w:val="en-US" w:eastAsia="zh-CN"/>
        </w:rPr>
      </w:pPr>
      <w:r>
        <w:rPr>
          <w:rFonts w:hint="default"/>
          <w:color w:val="auto"/>
          <w:lang w:val="en-US" w:eastAsia="zh-CN"/>
        </w:rPr>
        <w:t>15.《吉木萨尔县二工镇大泉湖村2024年以工代赈基础设施建设项目工程可行性研究报告》；</w:t>
      </w:r>
    </w:p>
    <w:p w14:paraId="17F8E18E">
      <w:pPr>
        <w:pageBreakBefore w:val="0"/>
        <w:kinsoku/>
        <w:wordWrap/>
        <w:overflowPunct/>
        <w:topLinePunct w:val="0"/>
        <w:autoSpaceDE/>
        <w:autoSpaceDN/>
        <w:bidi w:val="0"/>
        <w:snapToGrid w:val="0"/>
        <w:spacing w:before="0" w:after="0" w:line="360" w:lineRule="auto"/>
        <w:ind w:firstLine="420"/>
        <w:rPr>
          <w:rFonts w:hint="default"/>
          <w:color w:val="auto"/>
          <w:lang w:val="en-US" w:eastAsia="zh-CN"/>
        </w:rPr>
      </w:pPr>
      <w:r>
        <w:rPr>
          <w:rFonts w:hint="default"/>
          <w:color w:val="auto"/>
          <w:lang w:val="en-US" w:eastAsia="zh-CN"/>
        </w:rPr>
        <w:t>16.《关于吉木萨尔县二工镇大泉湖村2024年以工代赈基础设施建设项目可行性研究报告的批复》（吉县发改〔2023〕211号）；</w:t>
      </w:r>
    </w:p>
    <w:p w14:paraId="638E1AC0">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17.《关于下达以工代赈示范工程专项2024年中央基建投资预算的通知》（昌州财建</w:t>
      </w:r>
      <w:r>
        <w:rPr>
          <w:rFonts w:hint="default" w:cs="Times New Roman"/>
          <w:color w:val="auto"/>
          <w:lang w:val="en-US" w:eastAsia="zh-CN"/>
        </w:rPr>
        <w:t>〔2024〕22号</w:t>
      </w:r>
      <w:r>
        <w:rPr>
          <w:rFonts w:hint="default" w:ascii="Times New Roman" w:hAnsi="Times New Roman" w:cs="Times New Roman"/>
          <w:color w:val="auto"/>
          <w:lang w:val="en-US" w:eastAsia="zh-CN"/>
        </w:rPr>
        <w:t>）；</w:t>
      </w:r>
    </w:p>
    <w:p w14:paraId="0867C23A">
      <w:pPr>
        <w:pageBreakBefore w:val="0"/>
        <w:kinsoku/>
        <w:wordWrap/>
        <w:overflowPunct/>
        <w:topLinePunct w:val="0"/>
        <w:autoSpaceDE/>
        <w:autoSpaceDN/>
        <w:bidi w:val="0"/>
        <w:snapToGrid w:val="0"/>
        <w:spacing w:before="0" w:after="0" w:line="360" w:lineRule="auto"/>
        <w:ind w:firstLine="420"/>
        <w:rPr>
          <w:rFonts w:ascii="Times New Roman" w:hAnsi="Times New Roman" w:cs="Times New Roman"/>
          <w:color w:val="auto"/>
        </w:rPr>
      </w:pPr>
      <w:r>
        <w:rPr>
          <w:rFonts w:hint="default" w:cs="Times New Roman"/>
          <w:color w:val="auto"/>
          <w:lang w:val="en-US" w:eastAsia="zh-CN"/>
        </w:rPr>
        <w:t>18.</w:t>
      </w:r>
      <w:r>
        <w:rPr>
          <w:rFonts w:hint="default" w:ascii="Times New Roman" w:hAnsi="Times New Roman" w:cs="Times New Roman"/>
          <w:color w:val="auto"/>
          <w:lang w:val="en-US" w:eastAsia="zh-CN"/>
        </w:rPr>
        <w:t>项目</w:t>
      </w:r>
      <w:r>
        <w:rPr>
          <w:rFonts w:hint="default" w:cs="Times New Roman"/>
          <w:color w:val="auto"/>
          <w:lang w:val="en-US" w:eastAsia="zh-CN"/>
        </w:rPr>
        <w:t>实施过程开工报告、竣工报告、竣工决算报告等</w:t>
      </w:r>
      <w:r>
        <w:rPr>
          <w:rFonts w:hint="default" w:ascii="Times New Roman" w:hAnsi="Times New Roman" w:cs="Times New Roman"/>
          <w:color w:val="auto"/>
          <w:lang w:val="en-US" w:eastAsia="zh-CN"/>
        </w:rPr>
        <w:t>其他资料。</w:t>
      </w:r>
    </w:p>
    <w:bookmarkEnd w:id="39"/>
    <w:p w14:paraId="5B24DA99">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s="Times New Roman"/>
          <w:color w:val="auto"/>
        </w:rPr>
      </w:pPr>
      <w:bookmarkStart w:id="40" w:name="_Toc25375"/>
      <w:bookmarkStart w:id="41" w:name="_Toc30709"/>
      <w:bookmarkStart w:id="42" w:name="_Toc4228"/>
      <w:bookmarkStart w:id="43" w:name="_Toc68364664"/>
      <w:r>
        <w:rPr>
          <w:rFonts w:ascii="Times New Roman" w:hAnsi="Times New Roman" w:cs="Times New Roman"/>
          <w:color w:val="auto"/>
        </w:rPr>
        <w:t>（</w:t>
      </w:r>
      <w:r>
        <w:rPr>
          <w:rFonts w:hint="default" w:ascii="Times New Roman" w:hAnsi="Times New Roman" w:cs="Times New Roman"/>
          <w:color w:val="auto"/>
        </w:rPr>
        <w:t>二</w:t>
      </w:r>
      <w:r>
        <w:rPr>
          <w:rFonts w:ascii="Times New Roman" w:hAnsi="Times New Roman" w:cs="Times New Roman"/>
          <w:color w:val="auto"/>
        </w:rPr>
        <w:t>）绩效评价目的、对象和范围</w:t>
      </w:r>
      <w:bookmarkEnd w:id="40"/>
      <w:bookmarkEnd w:id="41"/>
      <w:bookmarkEnd w:id="42"/>
    </w:p>
    <w:p w14:paraId="70B6E3AE">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bookmarkStart w:id="44" w:name="_Toc68364662"/>
      <w:r>
        <w:rPr>
          <w:rFonts w:hint="default" w:ascii="Times New Roman" w:hAnsi="Times New Roman" w:cs="Times New Roman"/>
          <w:color w:val="auto"/>
          <w:highlight w:val="none"/>
        </w:rPr>
        <w:t>1.绩效评价目的</w:t>
      </w:r>
    </w:p>
    <w:p w14:paraId="40A43297">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本次</w:t>
      </w:r>
      <w:r>
        <w:rPr>
          <w:rFonts w:hint="default" w:ascii="Times New Roman" w:hAnsi="Times New Roman" w:cs="Times New Roman"/>
          <w:color w:val="auto"/>
          <w:highlight w:val="none"/>
        </w:rPr>
        <w:t>绩效评价的目的是为全面了解该项目预算编</w:t>
      </w:r>
      <w:r>
        <w:rPr>
          <w:rFonts w:hint="default" w:cs="Times New Roman"/>
          <w:color w:val="auto"/>
          <w:highlight w:val="none"/>
          <w:lang w:eastAsia="zh-CN"/>
        </w:rPr>
        <w:t>制的</w:t>
      </w:r>
      <w:r>
        <w:rPr>
          <w:rFonts w:hint="default" w:ascii="Times New Roman" w:hAnsi="Times New Roman" w:cs="Times New Roman"/>
          <w:color w:val="auto"/>
          <w:highlight w:val="none"/>
        </w:rPr>
        <w:t>合理性、资金使用合规性、项目管理的规范性、项目目标的实现情况、服务对象的满意度等，通过本次项目绩效评价来总结经验和教训，促进项目成果转化和应用，为今后类似项目的长效管理，提供可行性参考建议。</w:t>
      </w:r>
    </w:p>
    <w:p w14:paraId="5096E72D">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eastAsiaTheme="minorEastAsia"/>
          <w:color w:val="auto"/>
          <w:highlight w:val="none"/>
          <w:lang w:val="en-US" w:eastAsia="zh-CN"/>
        </w:rPr>
      </w:pPr>
      <w:r>
        <w:rPr>
          <w:rFonts w:hint="default" w:ascii="Times New Roman" w:hAnsi="Times New Roman" w:cs="Times New Roman"/>
          <w:color w:val="auto"/>
          <w:highlight w:val="none"/>
        </w:rPr>
        <w:t>2.绩效评价对象</w:t>
      </w:r>
      <w:r>
        <w:rPr>
          <w:rFonts w:hint="default" w:ascii="Times New Roman" w:hAnsi="Times New Roman" w:cs="Times New Roman"/>
          <w:color w:val="auto"/>
          <w:highlight w:val="none"/>
          <w:lang w:val="en-US" w:eastAsia="zh-CN"/>
        </w:rPr>
        <w:t>及范围</w:t>
      </w:r>
    </w:p>
    <w:p w14:paraId="04E37537">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rPr>
        <w:t>本次绩效评价的对象为吉木萨尔县二工镇大泉湖村2024年以工代赈基础设施建设项目</w:t>
      </w:r>
      <w:r>
        <w:rPr>
          <w:rFonts w:hint="default" w:ascii="Times New Roman" w:hAnsi="Times New Roman" w:cs="Times New Roman"/>
          <w:color w:val="auto"/>
          <w:highlight w:val="none"/>
          <w:lang w:val="en-US" w:eastAsia="zh-CN"/>
        </w:rPr>
        <w:t>，该项目立项批复已明确项目建设期为2024年7月至2024年10月，</w:t>
      </w:r>
      <w:r>
        <w:rPr>
          <w:rFonts w:hint="default" w:cs="Times New Roman"/>
          <w:color w:val="auto"/>
          <w:highlight w:val="none"/>
          <w:lang w:val="en-US" w:eastAsia="zh-CN"/>
        </w:rPr>
        <w:t>截至2024</w:t>
      </w:r>
      <w:r>
        <w:rPr>
          <w:rFonts w:hint="default" w:ascii="Times New Roman" w:hAnsi="Times New Roman" w:cs="Times New Roman"/>
          <w:color w:val="auto"/>
          <w:highlight w:val="none"/>
          <w:lang w:val="en-US" w:eastAsia="zh-CN"/>
        </w:rPr>
        <w:t>年12月</w:t>
      </w:r>
      <w:r>
        <w:rPr>
          <w:rFonts w:hint="default" w:ascii="Times New Roman" w:hAnsi="Times New Roman" w:cs="Times New Roman"/>
          <w:color w:val="auto"/>
          <w:highlight w:val="none"/>
        </w:rPr>
        <w:t>该项目已建成</w:t>
      </w:r>
      <w:r>
        <w:rPr>
          <w:rFonts w:hint="default" w:ascii="Times New Roman" w:hAnsi="Times New Roman" w:cs="Times New Roman"/>
          <w:color w:val="auto"/>
          <w:highlight w:val="none"/>
          <w:lang w:val="en-US" w:eastAsia="zh-CN"/>
        </w:rPr>
        <w:t>并</w:t>
      </w:r>
      <w:r>
        <w:rPr>
          <w:rFonts w:hint="default" w:ascii="Times New Roman" w:hAnsi="Times New Roman" w:cs="Times New Roman"/>
          <w:color w:val="auto"/>
          <w:highlight w:val="none"/>
        </w:rPr>
        <w:t>完成竣工验收，</w:t>
      </w:r>
      <w:r>
        <w:rPr>
          <w:rFonts w:hint="default" w:cs="Times New Roman"/>
          <w:color w:val="auto"/>
          <w:highlight w:val="none"/>
          <w:lang w:val="en-US" w:eastAsia="zh-CN"/>
        </w:rPr>
        <w:t>并于</w:t>
      </w:r>
      <w:r>
        <w:rPr>
          <w:rFonts w:hint="default" w:ascii="Times New Roman" w:hAnsi="Times New Roman" w:cs="Times New Roman"/>
          <w:color w:val="auto"/>
          <w:lang w:val="en-US" w:eastAsia="zh-CN"/>
        </w:rPr>
        <w:t>2025年6月18日</w:t>
      </w:r>
      <w:r>
        <w:rPr>
          <w:rFonts w:hint="default" w:cs="Times New Roman"/>
          <w:color w:val="auto"/>
          <w:lang w:val="en-US" w:eastAsia="zh-CN"/>
        </w:rPr>
        <w:t>前完成项目工程结算审核以及竣工财务决算审计报告编制工作</w:t>
      </w:r>
      <w:r>
        <w:rPr>
          <w:rFonts w:hint="default" w:ascii="Times New Roman" w:hAnsi="Times New Roman" w:cs="Times New Roman"/>
          <w:color w:val="auto"/>
          <w:highlight w:val="none"/>
        </w:rPr>
        <w:t>。因此，本次绩效评价范围主要围绕项目</w:t>
      </w:r>
      <w:r>
        <w:rPr>
          <w:rFonts w:hint="default" w:cs="Times New Roman"/>
          <w:color w:val="auto"/>
          <w:highlight w:val="none"/>
          <w:lang w:val="en-US" w:eastAsia="zh-CN"/>
        </w:rPr>
        <w:t>建设期及延续</w:t>
      </w:r>
      <w:r>
        <w:rPr>
          <w:rFonts w:hint="default" w:ascii="Times New Roman" w:hAnsi="Times New Roman" w:cs="Times New Roman"/>
          <w:color w:val="auto"/>
          <w:highlight w:val="none"/>
          <w:lang w:val="en-US" w:eastAsia="zh-CN"/>
        </w:rPr>
        <w:t>完工后</w:t>
      </w:r>
      <w:r>
        <w:rPr>
          <w:rFonts w:hint="default" w:ascii="Times New Roman" w:hAnsi="Times New Roman" w:cs="Times New Roman"/>
          <w:color w:val="auto"/>
          <w:highlight w:val="none"/>
        </w:rPr>
        <w:t>的决策情况、资金管理和使用情况、制度建设及执行情况、建设期实现的产出和效益等</w:t>
      </w:r>
      <w:r>
        <w:rPr>
          <w:rFonts w:hint="default" w:ascii="Times New Roman" w:hAnsi="Times New Roman" w:cs="Times New Roman"/>
          <w:color w:val="auto"/>
          <w:highlight w:val="none"/>
          <w:lang w:val="en-US" w:eastAsia="zh-CN"/>
        </w:rPr>
        <w:t>。</w:t>
      </w:r>
    </w:p>
    <w:p w14:paraId="6F27DC38">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lang w:val="en-US" w:eastAsia="zh-CN"/>
        </w:rPr>
        <w:t>3.</w:t>
      </w:r>
      <w:r>
        <w:rPr>
          <w:rFonts w:hint="default" w:ascii="Times New Roman" w:hAnsi="Times New Roman" w:cs="Times New Roman"/>
          <w:color w:val="auto"/>
          <w:highlight w:val="none"/>
        </w:rPr>
        <w:t>绩效评价时段</w:t>
      </w:r>
    </w:p>
    <w:p w14:paraId="27647122">
      <w:pPr>
        <w:pageBreakBefore w:val="0"/>
        <w:widowControl w:val="0"/>
        <w:kinsoku/>
        <w:wordWrap/>
        <w:overflowPunct/>
        <w:topLinePunct w:val="0"/>
        <w:autoSpaceDE/>
        <w:autoSpaceDN/>
        <w:bidi w:val="0"/>
        <w:adjustRightInd w:val="0"/>
        <w:snapToGrid w:val="0"/>
        <w:spacing w:line="360" w:lineRule="auto"/>
        <w:ind w:firstLine="664"/>
        <w:textAlignment w:val="auto"/>
        <w:rPr>
          <w:rFonts w:hint="default" w:ascii="Times New Roman" w:hAnsi="Times New Roman" w:cs="Times New Roman"/>
          <w:color w:val="auto"/>
          <w:highlight w:val="none"/>
        </w:rPr>
      </w:pPr>
      <w:r>
        <w:rPr>
          <w:rFonts w:hint="default" w:ascii="Times New Roman" w:hAnsi="Times New Roman" w:cs="Times New Roman"/>
          <w:color w:val="auto"/>
          <w:highlight w:val="none"/>
        </w:rPr>
        <w:t>本次绩效评价评价时段为</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202</w:t>
      </w:r>
      <w:r>
        <w:rPr>
          <w:rFonts w:hint="default" w:cs="Times New Roman"/>
          <w:color w:val="auto"/>
          <w:highlight w:val="none"/>
          <w:lang w:val="en-US" w:eastAsia="zh-CN"/>
        </w:rPr>
        <w:t>4</w:t>
      </w:r>
      <w:r>
        <w:rPr>
          <w:rFonts w:hint="default" w:ascii="Times New Roman" w:hAnsi="Times New Roman" w:cs="Times New Roman"/>
          <w:color w:val="auto"/>
          <w:highlight w:val="none"/>
        </w:rPr>
        <w:t>年</w:t>
      </w:r>
      <w:r>
        <w:rPr>
          <w:rFonts w:hint="default" w:cs="Times New Roman"/>
          <w:color w:val="auto"/>
          <w:highlight w:val="none"/>
          <w:lang w:val="en-US" w:eastAsia="zh-CN"/>
        </w:rPr>
        <w:t>1</w:t>
      </w:r>
      <w:r>
        <w:rPr>
          <w:rFonts w:hint="default" w:ascii="Times New Roman" w:hAnsi="Times New Roman" w:cs="Times New Roman"/>
          <w:color w:val="auto"/>
          <w:highlight w:val="none"/>
        </w:rPr>
        <w:t>月</w:t>
      </w:r>
      <w:r>
        <w:rPr>
          <w:rFonts w:hint="default" w:cs="Times New Roman"/>
          <w:color w:val="auto"/>
          <w:highlight w:val="none"/>
          <w:lang w:val="en-US" w:eastAsia="zh-CN"/>
        </w:rPr>
        <w:t>1日</w:t>
      </w:r>
      <w:r>
        <w:rPr>
          <w:rFonts w:hint="default" w:ascii="Times New Roman" w:hAnsi="Times New Roman" w:cs="Times New Roman"/>
          <w:color w:val="auto"/>
          <w:highlight w:val="none"/>
        </w:rPr>
        <w:t>-</w:t>
      </w:r>
      <w:r>
        <w:rPr>
          <w:rFonts w:hint="default" w:ascii="Times New Roman" w:hAnsi="Times New Roman" w:cs="Times New Roman"/>
          <w:color w:val="auto"/>
          <w:highlight w:val="none"/>
          <w:lang w:val="en-US" w:eastAsia="zh-CN"/>
        </w:rPr>
        <w:t>202</w:t>
      </w:r>
      <w:r>
        <w:rPr>
          <w:rFonts w:hint="default" w:cs="Times New Roman"/>
          <w:color w:val="auto"/>
          <w:highlight w:val="none"/>
          <w:lang w:val="en-US" w:eastAsia="zh-CN"/>
        </w:rPr>
        <w:t>5</w:t>
      </w:r>
      <w:r>
        <w:rPr>
          <w:rFonts w:hint="default" w:ascii="Times New Roman" w:hAnsi="Times New Roman" w:cs="Times New Roman"/>
          <w:color w:val="auto"/>
          <w:highlight w:val="none"/>
        </w:rPr>
        <w:t>年</w:t>
      </w:r>
      <w:r>
        <w:rPr>
          <w:rFonts w:hint="default" w:cs="Times New Roman"/>
          <w:color w:val="auto"/>
          <w:highlight w:val="none"/>
          <w:lang w:val="en-US" w:eastAsia="zh-CN"/>
        </w:rPr>
        <w:t>6</w:t>
      </w:r>
      <w:r>
        <w:rPr>
          <w:rFonts w:hint="default" w:ascii="Times New Roman" w:hAnsi="Times New Roman" w:cs="Times New Roman"/>
          <w:color w:val="auto"/>
          <w:highlight w:val="none"/>
        </w:rPr>
        <w:t>月</w:t>
      </w:r>
      <w:r>
        <w:rPr>
          <w:rFonts w:hint="default" w:cs="Times New Roman"/>
          <w:color w:val="auto"/>
          <w:highlight w:val="none"/>
          <w:lang w:val="en-US" w:eastAsia="zh-CN"/>
        </w:rPr>
        <w:t>30日</w:t>
      </w:r>
      <w:r>
        <w:rPr>
          <w:rFonts w:hint="default" w:ascii="Times New Roman" w:hAnsi="Times New Roman" w:cs="Times New Roman"/>
          <w:color w:val="auto"/>
          <w:highlight w:val="none"/>
        </w:rPr>
        <w:t>。</w:t>
      </w:r>
    </w:p>
    <w:p w14:paraId="56CCC317">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s="Times New Roman"/>
          <w:color w:val="auto"/>
        </w:rPr>
      </w:pPr>
      <w:bookmarkStart w:id="45" w:name="_Toc30096"/>
      <w:bookmarkStart w:id="46" w:name="_Toc24763"/>
      <w:bookmarkStart w:id="47" w:name="_Toc26287"/>
      <w:r>
        <w:rPr>
          <w:rFonts w:ascii="Times New Roman" w:hAnsi="Times New Roman" w:cs="Times New Roman"/>
          <w:color w:val="auto"/>
        </w:rPr>
        <w:t>（</w:t>
      </w:r>
      <w:r>
        <w:rPr>
          <w:rFonts w:hint="default" w:ascii="Times New Roman" w:hAnsi="Times New Roman" w:cs="Times New Roman"/>
          <w:color w:val="auto"/>
        </w:rPr>
        <w:t>三</w:t>
      </w:r>
      <w:r>
        <w:rPr>
          <w:rFonts w:ascii="Times New Roman" w:hAnsi="Times New Roman" w:cs="Times New Roman"/>
          <w:color w:val="auto"/>
        </w:rPr>
        <w:t>）绩效评价原则</w:t>
      </w:r>
      <w:bookmarkEnd w:id="44"/>
      <w:bookmarkEnd w:id="45"/>
      <w:bookmarkEnd w:id="46"/>
      <w:bookmarkEnd w:id="47"/>
    </w:p>
    <w:p w14:paraId="6EC95733">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本次绩效评价遵循的原则包括：</w:t>
      </w:r>
    </w:p>
    <w:p w14:paraId="18019876">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（1）独立性原则：在评价工作中保持充分的第三方独立性，不受其他第三方不当干预。</w:t>
      </w:r>
    </w:p>
    <w:p w14:paraId="231BA5C3">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（2）客观性原则：</w:t>
      </w:r>
      <w:r>
        <w:rPr>
          <w:rFonts w:ascii="Times New Roman" w:hAnsi="Times New Roman" w:cs="Times New Roman"/>
          <w:color w:val="auto"/>
        </w:rPr>
        <w:t>第三方机构应当按照协议（合同）约定事项开展绩效评价，</w:t>
      </w:r>
      <w:r>
        <w:rPr>
          <w:rFonts w:hint="default" w:ascii="Times New Roman" w:hAnsi="Times New Roman" w:cs="Times New Roman"/>
          <w:color w:val="auto"/>
        </w:rPr>
        <w:t>以客观事实为依据，</w:t>
      </w:r>
      <w:r>
        <w:rPr>
          <w:rFonts w:ascii="Times New Roman" w:hAnsi="Times New Roman" w:cs="Times New Roman"/>
          <w:color w:val="auto"/>
        </w:rPr>
        <w:t>实事求是地向委托方提供服务。</w:t>
      </w:r>
    </w:p>
    <w:p w14:paraId="4996D234">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（3）科学性原则。第三方机构应当履行必要评价程序，对原始资料进行核查验证，选择一种或多种方法进行对比分析，形成结论并出具评价报告。</w:t>
      </w:r>
    </w:p>
    <w:p w14:paraId="706A6B6D">
      <w:pPr>
        <w:pageBreakBefore w:val="0"/>
        <w:widowControl w:val="0"/>
        <w:kinsoku/>
        <w:wordWrap/>
        <w:overflowPunct/>
        <w:topLinePunct w:val="0"/>
        <w:autoSpaceDE/>
        <w:autoSpaceDN/>
        <w:bidi w:val="0"/>
        <w:adjustRightInd w:val="0"/>
        <w:snapToGrid w:val="0"/>
        <w:spacing w:line="360" w:lineRule="auto"/>
        <w:ind w:firstLine="0"/>
        <w:textAlignment w:val="auto"/>
        <w:rPr>
          <w:rFonts w:hint="default" w:ascii="Times New Roman" w:hAnsi="Times New Roman" w:cs="Times New Roman"/>
          <w:color w:val="auto"/>
        </w:rPr>
      </w:pPr>
      <w:r>
        <w:rPr>
          <w:rFonts w:hint="default" w:ascii="Times New Roman" w:hAnsi="Times New Roman" w:cs="Times New Roman"/>
          <w:color w:val="auto"/>
        </w:rPr>
        <w:t>（4）公正性原则：在评价过程中坚持公正、客观地反映实际情况，不隐瞒、弄虚作假。</w:t>
      </w:r>
    </w:p>
    <w:p w14:paraId="5ACDC2E0">
      <w:pPr>
        <w:keepNext w:val="0"/>
        <w:keepLines w:val="0"/>
        <w:pageBreakBefore w:val="0"/>
        <w:widowControl w:val="0"/>
        <w:kinsoku/>
        <w:wordWrap/>
        <w:overflowPunct/>
        <w:topLinePunct w:val="0"/>
        <w:autoSpaceDE/>
        <w:autoSpaceDN/>
        <w:bidi w:val="0"/>
        <w:adjustRightInd w:val="0"/>
        <w:snapToGrid w:val="0"/>
        <w:spacing w:line="360" w:lineRule="auto"/>
        <w:ind w:firstLine="482"/>
        <w:textAlignment w:val="auto"/>
        <w:outlineLvl w:val="1"/>
        <w:rPr>
          <w:rFonts w:ascii="Times New Roman" w:hAnsi="Times New Roman" w:cs="Times New Roman"/>
          <w:b/>
          <w:bCs/>
          <w:color w:val="auto"/>
          <w:sz w:val="24"/>
          <w:szCs w:val="28"/>
          <w:highlight w:val="none"/>
        </w:rPr>
      </w:pPr>
      <w:bookmarkStart w:id="48" w:name="_Toc32600"/>
      <w:bookmarkStart w:id="49" w:name="_Toc18530"/>
      <w:bookmarkStart w:id="50" w:name="_Toc14077"/>
      <w:bookmarkStart w:id="51" w:name="_Toc742"/>
      <w:r>
        <w:rPr>
          <w:rFonts w:hint="default" w:ascii="Times New Roman" w:hAnsi="Times New Roman" w:cs="Times New Roman"/>
          <w:b/>
          <w:bCs/>
          <w:color w:val="auto"/>
          <w:sz w:val="24"/>
          <w:szCs w:val="28"/>
          <w:highlight w:val="none"/>
          <w:lang w:eastAsia="zh-CN"/>
        </w:rPr>
        <w:t>（</w:t>
      </w:r>
      <w:r>
        <w:rPr>
          <w:rFonts w:hint="default" w:ascii="Times New Roman" w:hAnsi="Times New Roman" w:cs="Times New Roman"/>
          <w:b/>
          <w:bCs/>
          <w:color w:val="auto"/>
          <w:sz w:val="24"/>
          <w:szCs w:val="28"/>
          <w:highlight w:val="none"/>
          <w:lang w:val="en-US" w:eastAsia="zh-CN"/>
        </w:rPr>
        <w:t>四</w:t>
      </w:r>
      <w:r>
        <w:rPr>
          <w:rStyle w:val="34"/>
          <w:rFonts w:hint="default" w:ascii="Times New Roman" w:hAnsi="Times New Roman" w:cs="Times New Roman"/>
          <w:color w:val="auto"/>
          <w:highlight w:val="none"/>
          <w:lang w:eastAsia="zh-CN"/>
        </w:rPr>
        <w:t>）</w:t>
      </w:r>
      <w:r>
        <w:rPr>
          <w:rStyle w:val="34"/>
          <w:rFonts w:hint="default" w:ascii="Times New Roman" w:hAnsi="Times New Roman" w:cs="Times New Roman"/>
          <w:color w:val="auto"/>
          <w:highlight w:val="none"/>
          <w:lang w:val="en-US" w:eastAsia="zh-CN"/>
        </w:rPr>
        <w:t>绩效评价标准</w:t>
      </w:r>
      <w:bookmarkEnd w:id="48"/>
      <w:bookmarkEnd w:id="49"/>
      <w:bookmarkEnd w:id="50"/>
      <w:bookmarkEnd w:id="51"/>
    </w:p>
    <w:p w14:paraId="7BEA177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rPr>
      </w:pPr>
      <w:r>
        <w:rPr>
          <w:rFonts w:ascii="Times New Roman" w:hAnsi="Times New Roman" w:cs="Times New Roman"/>
          <w:color w:val="auto"/>
        </w:rPr>
        <w:t>绩效评价标准通常包括计划标准、行业标准、历史标准等。</w:t>
      </w:r>
      <w:r>
        <w:rPr>
          <w:rFonts w:hint="default" w:ascii="Times New Roman" w:hAnsi="Times New Roman" w:cs="Times New Roman"/>
          <w:color w:val="auto"/>
          <w:highlight w:val="none"/>
        </w:rPr>
        <w:t>本次绩效评价采用计划标准，</w:t>
      </w:r>
      <w:r>
        <w:rPr>
          <w:rFonts w:ascii="Times New Roman" w:hAnsi="Times New Roman" w:cs="Times New Roman"/>
          <w:color w:val="auto"/>
        </w:rPr>
        <w:t>本次绩效评价优先参照国家公布的行业指标数据制定的评价标准</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无行业标准的</w:t>
      </w:r>
      <w:r>
        <w:rPr>
          <w:rFonts w:hint="default" w:ascii="Times New Roman" w:hAnsi="Times New Roman" w:cs="Times New Roman"/>
          <w:color w:val="auto"/>
          <w:highlight w:val="none"/>
        </w:rPr>
        <w:t>以预先制定的目标、计划、预算、定额等作为评价标准，对比分析项目产出、效益的完成情况。对于定性指标，通过文献查阅、问卷调查及访谈方式，采集相关数据，运用等级描述法，设置分级标准，体现该指标认可程度的差异。对于定量指标，通过公式计算、数据统计等方式予以量化，可以准确衡量，并设定目标值的考核指标。</w:t>
      </w:r>
    </w:p>
    <w:p w14:paraId="409EA0D6">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s="Times New Roman"/>
          <w:color w:val="auto"/>
        </w:rPr>
      </w:pPr>
      <w:bookmarkStart w:id="52" w:name="_Toc14018"/>
      <w:bookmarkStart w:id="53" w:name="_Toc9090"/>
      <w:bookmarkStart w:id="54" w:name="_Toc29091"/>
      <w:r>
        <w:rPr>
          <w:rFonts w:hint="default" w:ascii="Times New Roman" w:hAnsi="Times New Roman" w:cs="Times New Roman"/>
          <w:color w:val="auto"/>
        </w:rPr>
        <w:t>（</w:t>
      </w:r>
      <w:r>
        <w:rPr>
          <w:rFonts w:hint="default" w:ascii="Times New Roman" w:hAnsi="Times New Roman" w:cs="Times New Roman"/>
          <w:color w:val="auto"/>
          <w:lang w:val="en-US" w:eastAsia="zh-CN"/>
        </w:rPr>
        <w:t>五</w:t>
      </w:r>
      <w:r>
        <w:rPr>
          <w:rFonts w:hint="default" w:ascii="Times New Roman" w:hAnsi="Times New Roman" w:cs="Times New Roman"/>
          <w:color w:val="auto"/>
        </w:rPr>
        <w:t>）</w:t>
      </w:r>
      <w:r>
        <w:rPr>
          <w:rFonts w:ascii="Times New Roman" w:hAnsi="Times New Roman" w:cs="Times New Roman"/>
          <w:color w:val="auto"/>
        </w:rPr>
        <w:t>绩效评价</w:t>
      </w:r>
      <w:r>
        <w:rPr>
          <w:rFonts w:hint="default" w:ascii="Times New Roman" w:hAnsi="Times New Roman" w:cs="Times New Roman"/>
          <w:color w:val="auto"/>
        </w:rPr>
        <w:t>方法</w:t>
      </w:r>
      <w:bookmarkEnd w:id="52"/>
      <w:bookmarkEnd w:id="53"/>
      <w:bookmarkEnd w:id="54"/>
    </w:p>
    <w:p w14:paraId="5B842752">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正确的评价方法是评价工作顺利开展的保障，在结合实际经验的情况下，绩效评价小组根据该项目资金的性质和特</w:t>
      </w:r>
      <w:r>
        <w:rPr>
          <w:rFonts w:hint="default" w:ascii="Times New Roman" w:hAnsi="Times New Roman" w:cs="Times New Roman"/>
          <w:b w:val="0"/>
          <w:bCs w:val="0"/>
          <w:color w:val="auto"/>
        </w:rPr>
        <w:t>点，选用比较法、因素分析法、公众评判法以及文献法对项目进行评价，旨在通过综合分析影响绩效目标实现、实施效果的内外部因素，从而评价该项目绩效。</w:t>
      </w:r>
    </w:p>
    <w:p w14:paraId="6E33B393">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（1）项目决策类指标评价方法</w:t>
      </w:r>
    </w:p>
    <w:p w14:paraId="01AC6668">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立项依据充分性：比较法和文献法，查找法律法规政策以及规划，对比实际执行内容和政策支持内容是否匹配，分析立项依据充分性。</w:t>
      </w:r>
    </w:p>
    <w:p w14:paraId="08F42D5C">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立项程序规范性：比较法和文献法，查找相关项目设立的政策和文件要求，对比分析实际执行程序是否按照政策及文件要求执行，分析立项程序的规范性。</w:t>
      </w:r>
    </w:p>
    <w:p w14:paraId="43A462E9">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rPr>
        <w:t>绩效目标合理性：文献法和因素分析法，对比分析年初编制项目支出绩效目标表与项目内容的相关性、资金的匹配性等。</w:t>
      </w:r>
    </w:p>
    <w:p w14:paraId="3D0C78C9">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rPr>
      </w:pPr>
      <w:r>
        <w:rPr>
          <w:rFonts w:hint="default" w:ascii="Times New Roman" w:hAnsi="Times New Roman" w:cs="Times New Roman"/>
          <w:color w:val="auto"/>
          <w:lang w:val="en-US" w:eastAsia="zh-CN"/>
        </w:rPr>
        <w:t>绩效指标明确性：</w:t>
      </w:r>
      <w:r>
        <w:rPr>
          <w:rFonts w:hint="default" w:ascii="Times New Roman" w:hAnsi="Times New Roman" w:cs="Times New Roman"/>
          <w:color w:val="auto"/>
        </w:rPr>
        <w:t>文献法和因素分析法，分析年初编制项目支出绩效</w:t>
      </w:r>
      <w:r>
        <w:rPr>
          <w:rFonts w:hint="default" w:ascii="Times New Roman" w:hAnsi="Times New Roman" w:cs="Times New Roman"/>
          <w:color w:val="auto"/>
          <w:lang w:val="en-US" w:eastAsia="zh-CN"/>
        </w:rPr>
        <w:t>目标</w:t>
      </w:r>
      <w:r>
        <w:rPr>
          <w:rFonts w:hint="default" w:ascii="Times New Roman" w:hAnsi="Times New Roman" w:cs="Times New Roman"/>
          <w:color w:val="auto"/>
        </w:rPr>
        <w:t>内容</w:t>
      </w:r>
      <w:r>
        <w:rPr>
          <w:rFonts w:hint="default" w:ascii="Times New Roman" w:hAnsi="Times New Roman" w:cs="Times New Roman"/>
          <w:color w:val="auto"/>
          <w:lang w:val="en-US" w:eastAsia="zh-CN"/>
        </w:rPr>
        <w:t>是否</w:t>
      </w:r>
      <w:r>
        <w:rPr>
          <w:rFonts w:hint="default" w:ascii="Times New Roman" w:hAnsi="Times New Roman" w:cs="Times New Roman"/>
          <w:color w:val="auto"/>
        </w:rPr>
        <w:t>指向明确，可通过清晰、可衡量的指标予以体现，指标设置清晰准确，且量化易评等。</w:t>
      </w:r>
    </w:p>
    <w:p w14:paraId="1D134AF1">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预算编制科学性：比较法和因素分析法，项目预算编制是否经过科学论证、有明确标准，资金额度与年度目标是否相适应，用以反映和考核项目预算编制的科学性、合理性情况。</w:t>
      </w:r>
    </w:p>
    <w:p w14:paraId="007CCBF5">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资金分配合理性：因素分析法，综合分析资金的分配依据是否充分，分配金额是否与项目实施单位需求金额一致。</w:t>
      </w:r>
    </w:p>
    <w:p w14:paraId="6FDE43B2">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（2）项目过程类指标评价方法</w:t>
      </w:r>
    </w:p>
    <w:p w14:paraId="17E06A40">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资金到位率：比较法和因素分析法，项目是否完成且资金到位数满足年度预算规模需求；项目尚未完成，分析实际完成值和预期指标值之间的差距和原因。</w:t>
      </w:r>
    </w:p>
    <w:p w14:paraId="1BDEF58B">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预算执行率：比较法和因素分析法，项目是否完成且执行数控制在年度预算规模之内的；项目尚未完成，并分析实际完成值和预期指标值之间的差距和原因。</w:t>
      </w:r>
    </w:p>
    <w:p w14:paraId="0D6FCAC5">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资金使用合规性：比较法、文献法和因素分析法等，通过实地调研，检查项目资金使用情况，对比专项资金管理办法要求，分析资金使用合规性。</w:t>
      </w:r>
    </w:p>
    <w:p w14:paraId="5EFC1A8A">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rPr>
        <w:t>管理制度健全性：文献法</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通过查阅单位提供的内控制度，对比行政事业单位内控制度，分析项目实施单位的财务和业务管理制度是否健全，分析财务和业务管理制度对项目顺利实施的保障情况如何。</w:t>
      </w:r>
    </w:p>
    <w:p w14:paraId="1AE898E8">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lang w:val="en-US" w:eastAsia="zh-CN"/>
        </w:rPr>
      </w:pPr>
      <w:r>
        <w:rPr>
          <w:rFonts w:hint="default" w:ascii="Times New Roman" w:hAnsi="Times New Roman" w:cs="Times New Roman"/>
          <w:color w:val="auto"/>
        </w:rPr>
        <w:t>制度执行有效性：文献法</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通过查阅项目实施的全过程资料，结合相关管理制度与项目实施单位内控制度，分析项目实施是否符合相关管理规定，分析相关管理制度的有效执行情况。</w:t>
      </w:r>
    </w:p>
    <w:p w14:paraId="141A7E0F">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color w:val="auto"/>
          <w:highlight w:val="none"/>
          <w:lang w:val="en-US" w:eastAsia="zh-CN"/>
        </w:rPr>
      </w:pPr>
      <w:r>
        <w:rPr>
          <w:rFonts w:hint="default" w:ascii="Times New Roman" w:hAnsi="Times New Roman" w:cs="Times New Roman"/>
          <w:color w:val="auto"/>
          <w:highlight w:val="none"/>
          <w:lang w:val="en-US" w:eastAsia="zh-CN"/>
        </w:rPr>
        <w:t>项目资产管理规范性：</w:t>
      </w:r>
      <w:r>
        <w:rPr>
          <w:rFonts w:hint="default" w:ascii="Times New Roman" w:hAnsi="Times New Roman" w:cs="Times New Roman"/>
          <w:color w:val="auto"/>
          <w:highlight w:val="none"/>
        </w:rPr>
        <w:t>文献法</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val="en-US" w:eastAsia="zh-CN"/>
        </w:rPr>
        <w:t>通过查阅项目资产管理的资料，结合相关管理制度，分析项目竣工后是否按照国有资产管理规定履行资产备案和产权登记。</w:t>
      </w:r>
    </w:p>
    <w:p w14:paraId="4FA8735D">
      <w:pPr>
        <w:pageBreakBefore w:val="0"/>
        <w:widowControl w:val="0"/>
        <w:kinsoku/>
        <w:wordWrap/>
        <w:overflowPunct/>
        <w:topLinePunct w:val="0"/>
        <w:autoSpaceDE/>
        <w:autoSpaceDN/>
        <w:bidi w:val="0"/>
        <w:adjustRightInd w:val="0"/>
        <w:snapToGrid w:val="0"/>
        <w:spacing w:line="360" w:lineRule="auto"/>
        <w:ind w:firstLine="420"/>
        <w:textAlignment w:val="auto"/>
        <w:rPr>
          <w:rFonts w:ascii="Times New Roman" w:hAnsi="Times New Roman" w:cs="Times New Roman"/>
          <w:color w:val="auto"/>
        </w:rPr>
      </w:pPr>
      <w:r>
        <w:rPr>
          <w:rFonts w:hint="default" w:ascii="Times New Roman" w:hAnsi="Times New Roman" w:cs="Times New Roman"/>
          <w:color w:val="auto"/>
        </w:rPr>
        <w:t>（3）项目产出类指标评价方法</w:t>
      </w:r>
    </w:p>
    <w:p w14:paraId="08E74C71">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ascii="Times New Roman" w:hAnsi="Times New Roman" w:cs="Times New Roman" w:eastAsiaTheme="minorEastAsia"/>
          <w:color w:val="auto"/>
          <w:lang w:eastAsia="zh-CN"/>
        </w:rPr>
      </w:pPr>
      <w:r>
        <w:rPr>
          <w:rFonts w:hint="default" w:ascii="Times New Roman" w:hAnsi="Times New Roman" w:cs="Times New Roman"/>
          <w:color w:val="auto"/>
        </w:rPr>
        <w:t>项目</w:t>
      </w:r>
      <w:r>
        <w:rPr>
          <w:rFonts w:hint="default" w:ascii="Times New Roman" w:hAnsi="Times New Roman" w:cs="Times New Roman"/>
          <w:color w:val="auto"/>
          <w:lang w:val="en-US" w:eastAsia="zh-CN"/>
        </w:rPr>
        <w:t>产出</w:t>
      </w:r>
      <w:r>
        <w:rPr>
          <w:rFonts w:hint="default" w:ascii="Times New Roman" w:hAnsi="Times New Roman" w:cs="Times New Roman"/>
          <w:color w:val="auto"/>
        </w:rPr>
        <w:t>类指标主要采用比较法和因素分析法，通过对比实际完成值和预期指标值</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综合分析影响绩效目标实现的内外部因素</w:t>
      </w:r>
      <w:r>
        <w:rPr>
          <w:rFonts w:hint="default" w:ascii="Times New Roman" w:hAnsi="Times New Roman" w:cs="Times New Roman"/>
          <w:color w:val="auto"/>
        </w:rPr>
        <w:t>。</w:t>
      </w:r>
    </w:p>
    <w:p w14:paraId="676379C7">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eastAsia="zh-CN"/>
        </w:rPr>
      </w:pPr>
      <w:r>
        <w:rPr>
          <w:rFonts w:hint="default" w:cs="Times New Roman"/>
          <w:color w:val="auto"/>
          <w:lang w:eastAsia="zh-CN"/>
        </w:rPr>
        <w:t>新建农村道路公里数</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根据</w:t>
      </w:r>
      <w:r>
        <w:rPr>
          <w:rFonts w:hint="default" w:ascii="Times New Roman" w:hAnsi="Times New Roman" w:cs="Times New Roman"/>
          <w:color w:val="auto"/>
        </w:rPr>
        <w:t>项目合同</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竣工报告等，通过对比实际完成值和预期指标值，评价是否完成预期</w:t>
      </w:r>
      <w:r>
        <w:rPr>
          <w:rFonts w:hint="default" w:cs="Times New Roman"/>
          <w:color w:val="auto"/>
          <w:lang w:eastAsia="zh-CN"/>
        </w:rPr>
        <w:t>新建农村道路公里数</w:t>
      </w:r>
      <w:r>
        <w:rPr>
          <w:rFonts w:hint="default" w:ascii="Times New Roman" w:hAnsi="Times New Roman" w:cs="Times New Roman"/>
          <w:color w:val="auto"/>
          <w:lang w:val="en-US" w:eastAsia="zh-CN"/>
        </w:rPr>
        <w:t>。</w:t>
      </w:r>
    </w:p>
    <w:p w14:paraId="68DBCEFE">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rPr>
        <w:t>竣工验收合格率</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根据竣工验收报告等，通过对比实际完成值和预期指标值，评价项目工程竣工验收通过情况。</w:t>
      </w:r>
    </w:p>
    <w:p w14:paraId="743B4078">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val="en-US" w:eastAsia="zh-CN"/>
        </w:rPr>
      </w:pPr>
      <w:r>
        <w:rPr>
          <w:rFonts w:hint="default" w:ascii="Times New Roman" w:hAnsi="Times New Roman" w:cs="Times New Roman"/>
          <w:color w:val="auto"/>
          <w:lang w:val="en-US" w:eastAsia="zh-CN"/>
        </w:rPr>
        <w:t>项目按计划开工时间</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根据立项批复、</w:t>
      </w:r>
      <w:r>
        <w:rPr>
          <w:rFonts w:hint="default" w:ascii="Times New Roman" w:hAnsi="Times New Roman" w:cs="Times New Roman"/>
          <w:color w:val="auto"/>
        </w:rPr>
        <w:t>项目合同</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开工报告等，通过对比实际完成值和预期指标值，评价项目是否按计划开工。</w:t>
      </w:r>
    </w:p>
    <w:p w14:paraId="5C29DFD7">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eastAsiaTheme="minorEastAsia"/>
          <w:color w:val="auto"/>
          <w:lang w:eastAsia="zh-CN"/>
        </w:rPr>
      </w:pPr>
      <w:r>
        <w:rPr>
          <w:rFonts w:ascii="Times New Roman" w:hAnsi="Times New Roman" w:cs="Times New Roman"/>
          <w:color w:val="auto"/>
        </w:rPr>
        <w:t>项目按计划完工时间</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根据立项批复、</w:t>
      </w:r>
      <w:r>
        <w:rPr>
          <w:rFonts w:hint="default" w:ascii="Times New Roman" w:hAnsi="Times New Roman" w:cs="Times New Roman"/>
          <w:color w:val="auto"/>
        </w:rPr>
        <w:t>项目合同</w:t>
      </w:r>
      <w:r>
        <w:rPr>
          <w:rFonts w:hint="default" w:ascii="Times New Roman" w:hAnsi="Times New Roman" w:cs="Times New Roman"/>
          <w:color w:val="auto"/>
          <w:lang w:eastAsia="zh-CN"/>
        </w:rPr>
        <w:t>、</w:t>
      </w:r>
      <w:r>
        <w:rPr>
          <w:rFonts w:hint="default" w:ascii="Times New Roman" w:hAnsi="Times New Roman" w:cs="Times New Roman"/>
          <w:color w:val="auto"/>
          <w:lang w:val="en-US" w:eastAsia="zh-CN"/>
        </w:rPr>
        <w:t>完工报告等，通过对比实际完成值和预期指标值，评价项目是否按计划完工。</w:t>
      </w:r>
    </w:p>
    <w:p w14:paraId="570C5349">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cs="Times New Roman"/>
          <w:color w:val="auto"/>
          <w:lang w:val="en-US" w:eastAsia="zh-CN"/>
        </w:rPr>
      </w:pPr>
      <w:r>
        <w:rPr>
          <w:rFonts w:hint="default"/>
          <w:color w:val="auto"/>
          <w:lang w:eastAsia="zh-CN"/>
        </w:rPr>
        <w:t>劳务</w:t>
      </w:r>
      <w:r>
        <w:rPr>
          <w:rFonts w:hint="default" w:ascii="Times New Roman" w:hAnsi="Times New Roman" w:cs="Times New Roman"/>
          <w:color w:val="auto"/>
          <w:lang w:eastAsia="zh-CN"/>
        </w:rPr>
        <w:t>报酬</w:t>
      </w:r>
      <w:r>
        <w:rPr>
          <w:rFonts w:hint="default"/>
          <w:color w:val="auto"/>
          <w:lang w:eastAsia="zh-CN"/>
        </w:rPr>
        <w:t>支出：</w:t>
      </w:r>
      <w:r>
        <w:rPr>
          <w:rFonts w:hint="default" w:ascii="Times New Roman" w:hAnsi="Times New Roman" w:cs="Times New Roman"/>
          <w:color w:val="auto"/>
          <w:lang w:val="en-US" w:eastAsia="zh-CN"/>
        </w:rPr>
        <w:t>根据资金下达文件、合同</w:t>
      </w:r>
      <w:r>
        <w:rPr>
          <w:rFonts w:hint="default" w:cs="Times New Roman"/>
          <w:color w:val="auto"/>
          <w:lang w:val="en-US" w:eastAsia="zh-CN"/>
        </w:rPr>
        <w:t>、劳务费支出</w:t>
      </w:r>
      <w:r>
        <w:rPr>
          <w:rFonts w:hint="default" w:ascii="Times New Roman" w:hAnsi="Times New Roman" w:cs="Times New Roman"/>
          <w:color w:val="auto"/>
          <w:lang w:val="en-US" w:eastAsia="zh-CN"/>
        </w:rPr>
        <w:t>等，通过对比实际完成值和预期指标值，评价项目实际</w:t>
      </w:r>
      <w:r>
        <w:rPr>
          <w:rFonts w:hint="default"/>
          <w:color w:val="auto"/>
          <w:lang w:eastAsia="zh-CN"/>
        </w:rPr>
        <w:t>劳务</w:t>
      </w:r>
      <w:r>
        <w:rPr>
          <w:rFonts w:hint="default" w:ascii="Times New Roman" w:hAnsi="Times New Roman" w:cs="Times New Roman"/>
          <w:color w:val="auto"/>
          <w:lang w:eastAsia="zh-CN"/>
        </w:rPr>
        <w:t>报酬</w:t>
      </w:r>
      <w:r>
        <w:rPr>
          <w:rFonts w:hint="default"/>
          <w:color w:val="auto"/>
          <w:lang w:eastAsia="zh-CN"/>
        </w:rPr>
        <w:t>支出</w:t>
      </w:r>
      <w:r>
        <w:rPr>
          <w:rFonts w:hint="default" w:ascii="Times New Roman" w:hAnsi="Times New Roman" w:cs="Times New Roman"/>
          <w:color w:val="auto"/>
          <w:lang w:val="en-US" w:eastAsia="zh-CN"/>
        </w:rPr>
        <w:t>控制情况</w:t>
      </w:r>
      <w:r>
        <w:rPr>
          <w:rFonts w:hint="default" w:cs="Times New Roman"/>
          <w:color w:val="auto"/>
          <w:lang w:val="en-US" w:eastAsia="zh-CN"/>
        </w:rPr>
        <w:t>。</w:t>
      </w:r>
    </w:p>
    <w:p w14:paraId="659095B6">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cs="Times New Roman"/>
          <w:color w:val="auto"/>
          <w:lang w:val="en-US" w:eastAsia="zh-CN"/>
        </w:rPr>
      </w:pPr>
      <w:r>
        <w:rPr>
          <w:rFonts w:hint="default" w:ascii="Times New Roman" w:hAnsi="Times New Roman" w:cs="Times New Roman"/>
          <w:color w:val="auto"/>
          <w:lang w:eastAsia="zh-CN"/>
        </w:rPr>
        <w:t>项目投资预算控制率：</w:t>
      </w:r>
      <w:r>
        <w:rPr>
          <w:rFonts w:hint="default" w:ascii="Times New Roman" w:hAnsi="Times New Roman" w:cs="Times New Roman"/>
          <w:color w:val="auto"/>
          <w:lang w:val="en-US" w:eastAsia="zh-CN"/>
        </w:rPr>
        <w:t>根据资金下达文件、合同</w:t>
      </w:r>
      <w:r>
        <w:rPr>
          <w:rFonts w:hint="default" w:cs="Times New Roman"/>
          <w:color w:val="auto"/>
          <w:lang w:val="en-US" w:eastAsia="zh-CN"/>
        </w:rPr>
        <w:t>、财务竣工决算</w:t>
      </w:r>
      <w:r>
        <w:rPr>
          <w:rFonts w:hint="default" w:ascii="Times New Roman" w:hAnsi="Times New Roman" w:cs="Times New Roman"/>
          <w:color w:val="auto"/>
          <w:lang w:val="en-US" w:eastAsia="zh-CN"/>
        </w:rPr>
        <w:t>等，通过对比实际完成值和预期指标值，评价项目实际投资控制情况</w:t>
      </w:r>
      <w:r>
        <w:rPr>
          <w:rFonts w:hint="default" w:cs="Times New Roman"/>
          <w:color w:val="auto"/>
          <w:lang w:val="en-US" w:eastAsia="zh-CN"/>
        </w:rPr>
        <w:t>。</w:t>
      </w:r>
    </w:p>
    <w:p w14:paraId="78E1BD79">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default"/>
          <w:color w:val="auto"/>
        </w:rPr>
        <w:t>（4）项目效益类指标评价方法</w:t>
      </w:r>
    </w:p>
    <w:p w14:paraId="04E3E4FE">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default"/>
          <w:color w:val="auto"/>
        </w:rPr>
        <w:t>项目效益类指标主要采用文献法、比较法和因素分析法</w:t>
      </w:r>
      <w:r>
        <w:rPr>
          <w:rFonts w:hint="default"/>
          <w:color w:val="auto"/>
          <w:lang w:eastAsia="zh-CN"/>
        </w:rPr>
        <w:t>、</w:t>
      </w:r>
      <w:r>
        <w:rPr>
          <w:rFonts w:hint="default"/>
          <w:color w:val="auto"/>
          <w:lang w:val="en-US" w:eastAsia="zh-CN"/>
        </w:rPr>
        <w:t>公众评判法</w:t>
      </w:r>
      <w:r>
        <w:rPr>
          <w:rFonts w:hint="default"/>
          <w:color w:val="auto"/>
        </w:rPr>
        <w:t>，通过对比实际完成值和预期指标值</w:t>
      </w:r>
      <w:r>
        <w:rPr>
          <w:rFonts w:hint="default"/>
          <w:color w:val="auto"/>
          <w:lang w:eastAsia="zh-CN"/>
        </w:rPr>
        <w:t>，</w:t>
      </w:r>
      <w:r>
        <w:rPr>
          <w:rFonts w:hint="default"/>
          <w:color w:val="auto"/>
          <w:lang w:val="en-US" w:eastAsia="zh-CN"/>
        </w:rPr>
        <w:t>综合分析影响绩效目标实现的内外部因素</w:t>
      </w:r>
      <w:r>
        <w:rPr>
          <w:rFonts w:hint="default"/>
          <w:color w:val="auto"/>
        </w:rPr>
        <w:t>。</w:t>
      </w:r>
    </w:p>
    <w:p w14:paraId="2B01CA8C">
      <w:pPr>
        <w:spacing w:line="360" w:lineRule="auto"/>
        <w:ind w:firstLine="420"/>
        <w:rPr>
          <w:rFonts w:hint="default"/>
          <w:color w:val="auto"/>
          <w:lang w:val="en-US" w:eastAsia="zh-CN"/>
        </w:rPr>
      </w:pPr>
      <w:r>
        <w:rPr>
          <w:rFonts w:hint="default"/>
          <w:color w:val="auto"/>
          <w:lang w:val="en-US" w:eastAsia="zh-CN"/>
        </w:rPr>
        <w:t>施工期间预计带动当地群众务工人数（非人次）：</w:t>
      </w:r>
      <w:r>
        <w:rPr>
          <w:rFonts w:hint="default" w:ascii="Times New Roman" w:hAnsi="Times New Roman" w:cs="Times New Roman"/>
          <w:color w:val="auto"/>
          <w:lang w:val="en-US" w:eastAsia="zh-CN"/>
        </w:rPr>
        <w:t>根据资金下达文件、劳务工资支出等，通过对比实际完成值和预期指标值，评价项目</w:t>
      </w:r>
      <w:r>
        <w:rPr>
          <w:rFonts w:hint="default"/>
          <w:color w:val="auto"/>
          <w:lang w:val="en-US" w:eastAsia="zh-CN"/>
        </w:rPr>
        <w:t>施工期间预计带动当地群众务工人数（非人次）</w:t>
      </w:r>
      <w:r>
        <w:rPr>
          <w:rFonts w:hint="default" w:ascii="Times New Roman" w:hAnsi="Times New Roman" w:cs="Times New Roman"/>
          <w:color w:val="auto"/>
          <w:lang w:val="en-US" w:eastAsia="zh-CN"/>
        </w:rPr>
        <w:t>实现情况。</w:t>
      </w:r>
    </w:p>
    <w:p w14:paraId="6682D3B7">
      <w:pPr>
        <w:spacing w:line="360" w:lineRule="auto"/>
        <w:ind w:firstLine="420"/>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改善出行困难问题</w:t>
      </w:r>
      <w:r>
        <w:rPr>
          <w:rFonts w:hint="default" w:cs="Times New Roman"/>
          <w:color w:val="auto"/>
          <w:lang w:val="en-US" w:eastAsia="zh-CN"/>
        </w:rPr>
        <w:t>、改</w:t>
      </w:r>
      <w:r>
        <w:rPr>
          <w:rFonts w:hint="default"/>
          <w:color w:val="auto"/>
          <w:lang w:val="en-US" w:eastAsia="zh-CN"/>
        </w:rPr>
        <w:t>善生产生活条件</w:t>
      </w:r>
      <w:r>
        <w:rPr>
          <w:rFonts w:hint="default" w:ascii="Times New Roman" w:hAnsi="Times New Roman" w:cs="Times New Roman"/>
          <w:color w:val="auto"/>
          <w:lang w:val="en-US" w:eastAsia="zh-CN"/>
        </w:rPr>
        <w:t>：通过</w:t>
      </w:r>
      <w:r>
        <w:rPr>
          <w:rFonts w:hint="default" w:cs="Times New Roman"/>
          <w:color w:val="auto"/>
          <w:lang w:val="en-US" w:eastAsia="zh-CN"/>
        </w:rPr>
        <w:t>使用</w:t>
      </w:r>
      <w:r>
        <w:rPr>
          <w:rFonts w:hint="default" w:ascii="Times New Roman" w:hAnsi="Times New Roman" w:cs="Times New Roman"/>
          <w:color w:val="auto"/>
          <w:lang w:val="en-US" w:eastAsia="zh-CN"/>
        </w:rPr>
        <w:t>公众</w:t>
      </w:r>
      <w:r>
        <w:rPr>
          <w:rFonts w:hint="default" w:cs="Times New Roman"/>
          <w:color w:val="auto"/>
          <w:lang w:val="en-US" w:eastAsia="zh-CN"/>
        </w:rPr>
        <w:t>评判法，</w:t>
      </w:r>
      <w:r>
        <w:rPr>
          <w:rFonts w:hint="default"/>
          <w:color w:val="auto"/>
          <w:lang w:val="en-US" w:eastAsia="zh-CN"/>
        </w:rPr>
        <w:t>当地群众务工人数</w:t>
      </w:r>
      <w:r>
        <w:rPr>
          <w:rFonts w:hint="default" w:ascii="Times New Roman" w:hAnsi="Times New Roman" w:cs="Times New Roman"/>
          <w:color w:val="auto"/>
          <w:lang w:val="en-US" w:eastAsia="zh-CN"/>
        </w:rPr>
        <w:t>关于实施效果的反馈对本次评价工作具有重要意义，评价过程中采用个别访谈或调查问卷等方式开展相关工作。调研结果参照《关于印发&lt;自治区项目支出绩效目标设置指引</w:t>
      </w:r>
      <w:r>
        <w:rPr>
          <w:rFonts w:hint="default" w:cs="Times New Roman"/>
          <w:color w:val="auto"/>
          <w:lang w:val="en-US" w:eastAsia="zh-CN"/>
        </w:rPr>
        <w:t>&gt;</w:t>
      </w:r>
      <w:r>
        <w:rPr>
          <w:rFonts w:hint="default" w:ascii="Times New Roman" w:hAnsi="Times New Roman" w:cs="Times New Roman"/>
          <w:color w:val="auto"/>
          <w:lang w:val="en-US" w:eastAsia="zh-CN"/>
        </w:rPr>
        <w:t>的通知</w:t>
      </w:r>
      <w:r>
        <w:rPr>
          <w:rFonts w:hint="default" w:cs="Times New Roman"/>
          <w:color w:val="auto"/>
          <w:lang w:val="en-US" w:eastAsia="zh-CN"/>
        </w:rPr>
        <w:t>》</w:t>
      </w:r>
      <w:r>
        <w:rPr>
          <w:rFonts w:hint="default" w:ascii="Times New Roman" w:hAnsi="Times New Roman" w:cs="Times New Roman"/>
          <w:color w:val="auto"/>
          <w:lang w:val="en-US" w:eastAsia="zh-CN"/>
        </w:rPr>
        <w:t>（新财预〔2022〕42号）文件，分为基本达成目标、部分实现目标、实现目标程度较低三档，分别按照该指标对应分值区间100%-80%（含）、80%-60%（含）、60%-0%合理确定分值。</w:t>
      </w:r>
    </w:p>
    <w:p w14:paraId="3973F791">
      <w:pPr>
        <w:spacing w:line="360" w:lineRule="auto"/>
        <w:ind w:firstLine="420"/>
        <w:rPr>
          <w:rFonts w:hint="default"/>
          <w:lang w:val="en-US" w:eastAsia="zh-CN"/>
        </w:rPr>
      </w:pPr>
      <w:r>
        <w:rPr>
          <w:rFonts w:hint="default" w:ascii="Times New Roman" w:hAnsi="Times New Roman" w:cs="Times New Roman"/>
          <w:color w:val="auto"/>
          <w:lang w:val="en-US" w:eastAsia="zh-CN"/>
        </w:rPr>
        <w:t>参与工程建设的务工群众满意度</w:t>
      </w:r>
      <w:r>
        <w:rPr>
          <w:rFonts w:hint="default"/>
          <w:lang w:val="en-US" w:eastAsia="zh-CN"/>
        </w:rPr>
        <w:t>：通过公众评判法：该项目实施受益参与工程建设的务工群众的反馈对本次评价工作具有重要意义，评价过程中采用调查问卷方式开展相关工作。</w:t>
      </w:r>
    </w:p>
    <w:p w14:paraId="35E38451">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ascii="Times New Roman" w:hAnsi="Times New Roman"/>
          <w:color w:val="auto"/>
        </w:rPr>
      </w:pPr>
      <w:bookmarkStart w:id="55" w:name="_Toc9215"/>
      <w:bookmarkStart w:id="56" w:name="_Toc12560"/>
      <w:bookmarkStart w:id="57" w:name="_Toc9630"/>
      <w:r>
        <w:rPr>
          <w:rFonts w:hint="default" w:ascii="Times New Roman" w:hAnsi="Times New Roman"/>
          <w:color w:val="auto"/>
        </w:rPr>
        <w:t>（</w:t>
      </w:r>
      <w:r>
        <w:rPr>
          <w:rFonts w:hint="default" w:ascii="Times New Roman" w:hAnsi="Times New Roman"/>
          <w:color w:val="auto"/>
          <w:lang w:val="en-US" w:eastAsia="zh-CN"/>
        </w:rPr>
        <w:t>六</w:t>
      </w:r>
      <w:r>
        <w:rPr>
          <w:rFonts w:hint="default" w:ascii="Times New Roman" w:hAnsi="Times New Roman"/>
          <w:color w:val="auto"/>
        </w:rPr>
        <w:t>）</w:t>
      </w:r>
      <w:r>
        <w:rPr>
          <w:rFonts w:ascii="Times New Roman" w:hAnsi="Times New Roman"/>
          <w:color w:val="auto"/>
        </w:rPr>
        <w:t>绩效评价指标体系</w:t>
      </w:r>
      <w:r>
        <w:rPr>
          <w:rFonts w:hint="default" w:ascii="Times New Roman" w:hAnsi="Times New Roman"/>
          <w:color w:val="auto"/>
        </w:rPr>
        <w:t>设计</w:t>
      </w:r>
      <w:bookmarkEnd w:id="55"/>
      <w:bookmarkEnd w:id="56"/>
      <w:bookmarkEnd w:id="57"/>
    </w:p>
    <w:p w14:paraId="222EB1D9">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color w:val="auto"/>
          <w:highlight w:val="none"/>
          <w:lang w:val="en-US" w:eastAsia="zh-CN"/>
        </w:rPr>
      </w:pPr>
      <w:bookmarkStart w:id="58" w:name="_Toc68364663"/>
      <w:r>
        <w:rPr>
          <w:rFonts w:hint="default" w:ascii="Times New Roman" w:hAnsi="Times New Roman" w:cs="Times New Roman"/>
          <w:color w:val="auto"/>
          <w:lang w:val="zh-TW" w:eastAsia="zh-TW"/>
        </w:rPr>
        <w:t>按照《项目支出绩效评价管理办法》（财预〔2020〕10号）文件要求，绩效评价指标的确定与项目密切相关，全面反映补助类项目立项程序、实施过程、资金管理、实际产出和产生的效益；优先选取最具代表性、最能直接反映产出和效益的核心指标，精简实用；指标名称与指标值明确、具体、可衡量，相关数据及佐证资料可采集、可获得；与</w:t>
      </w:r>
      <w:r>
        <w:rPr>
          <w:rFonts w:hint="default" w:ascii="Times New Roman" w:hAnsi="Times New Roman" w:cs="Times New Roman"/>
          <w:color w:val="auto"/>
          <w:lang w:val="en-US" w:eastAsia="zh-CN"/>
        </w:rPr>
        <w:t>基本建设</w:t>
      </w:r>
      <w:r>
        <w:rPr>
          <w:rFonts w:hint="default" w:ascii="Times New Roman" w:hAnsi="Times New Roman" w:cs="Times New Roman"/>
          <w:color w:val="auto"/>
          <w:lang w:val="zh-TW" w:eastAsia="zh-TW"/>
        </w:rPr>
        <w:t>类项目绩效评价指标和标准具有一致性，便于评价结果相互比较。</w:t>
      </w:r>
      <w:r>
        <w:rPr>
          <w:color w:val="auto"/>
        </w:rPr>
        <w:t>绩效评价小组结合项目的实际情况，综合考虑相关性、重要性、可衡量性、可操作性和可实现性，按照逻辑分析法设计本次绩效评价指标体系，</w:t>
      </w:r>
      <w:r>
        <w:rPr>
          <w:rFonts w:hint="default" w:ascii="Times New Roman" w:hAnsi="Times New Roman" w:cs="Times New Roman"/>
          <w:color w:val="auto"/>
          <w:highlight w:val="none"/>
          <w:lang w:val="en-US" w:eastAsia="zh-CN"/>
        </w:rPr>
        <w:t>其中一级指标按照</w:t>
      </w:r>
      <w:r>
        <w:rPr>
          <w:rFonts w:hint="default"/>
          <w:color w:val="auto"/>
          <w:lang w:val="zh-TW" w:eastAsia="zh-TW"/>
        </w:rPr>
        <w:t>决策指标（</w:t>
      </w:r>
      <w:r>
        <w:rPr>
          <w:rFonts w:hint="default"/>
          <w:color w:val="auto"/>
          <w:lang w:val="en-US"/>
        </w:rPr>
        <w:t>1</w:t>
      </w:r>
      <w:r>
        <w:rPr>
          <w:rFonts w:hint="default"/>
          <w:color w:val="auto"/>
          <w:lang w:val="en-US" w:eastAsia="zh-CN"/>
        </w:rPr>
        <w:t>5</w:t>
      </w:r>
      <w:r>
        <w:rPr>
          <w:rFonts w:hint="default"/>
          <w:color w:val="auto"/>
          <w:lang w:val="en-US"/>
        </w:rPr>
        <w:t>.00</w:t>
      </w:r>
      <w:r>
        <w:rPr>
          <w:rFonts w:hint="default"/>
          <w:color w:val="auto"/>
          <w:lang w:val="zh-TW" w:eastAsia="zh-TW"/>
        </w:rPr>
        <w:t>%）、过程指标（</w:t>
      </w:r>
      <w:r>
        <w:rPr>
          <w:rFonts w:hint="default"/>
          <w:color w:val="auto"/>
          <w:lang w:val="en-US" w:eastAsia="zh-CN"/>
        </w:rPr>
        <w:t>25</w:t>
      </w:r>
      <w:r>
        <w:rPr>
          <w:rFonts w:hint="default"/>
          <w:color w:val="auto"/>
        </w:rPr>
        <w:t>.00</w:t>
      </w:r>
      <w:r>
        <w:rPr>
          <w:rFonts w:hint="default"/>
          <w:color w:val="auto"/>
          <w:lang w:val="zh-TW" w:eastAsia="zh-TW"/>
        </w:rPr>
        <w:t>%）、产出指标（</w:t>
      </w:r>
      <w:r>
        <w:rPr>
          <w:rFonts w:hint="default"/>
          <w:color w:val="auto"/>
        </w:rPr>
        <w:t>3</w:t>
      </w:r>
      <w:r>
        <w:rPr>
          <w:rFonts w:hint="default"/>
          <w:color w:val="auto"/>
          <w:lang w:val="en-US" w:eastAsia="zh-CN"/>
        </w:rPr>
        <w:t>5</w:t>
      </w:r>
      <w:r>
        <w:rPr>
          <w:rFonts w:hint="default"/>
          <w:color w:val="auto"/>
        </w:rPr>
        <w:t>.00</w:t>
      </w:r>
      <w:r>
        <w:rPr>
          <w:rFonts w:hint="default"/>
          <w:color w:val="auto"/>
          <w:lang w:val="zh-TW" w:eastAsia="zh-TW"/>
        </w:rPr>
        <w:t>%）、效益指标（</w:t>
      </w:r>
      <w:r>
        <w:rPr>
          <w:rFonts w:hint="default"/>
          <w:color w:val="auto"/>
          <w:lang w:val="en-US" w:eastAsia="zh-CN"/>
        </w:rPr>
        <w:t>30</w:t>
      </w:r>
      <w:r>
        <w:rPr>
          <w:rFonts w:hint="default"/>
          <w:color w:val="auto"/>
        </w:rPr>
        <w:t>.00</w:t>
      </w:r>
      <w:r>
        <w:rPr>
          <w:rFonts w:hint="default"/>
          <w:color w:val="auto"/>
          <w:lang w:val="zh-TW" w:eastAsia="zh-TW"/>
        </w:rPr>
        <w:t>%）</w:t>
      </w:r>
      <w:r>
        <w:rPr>
          <w:rFonts w:hint="default"/>
          <w:color w:val="auto"/>
          <w:lang w:val="en-US" w:eastAsia="zh-CN"/>
        </w:rPr>
        <w:t>设置一级指标类型和权重</w:t>
      </w:r>
      <w:r>
        <w:rPr>
          <w:rFonts w:hint="default"/>
          <w:color w:val="auto"/>
          <w:lang w:val="zh-TW" w:eastAsia="zh-CN"/>
        </w:rPr>
        <w:t>，</w:t>
      </w:r>
      <w:r>
        <w:rPr>
          <w:rFonts w:hint="default" w:ascii="Times New Roman" w:hAnsi="Times New Roman" w:cs="Times New Roman"/>
          <w:color w:val="auto"/>
          <w:highlight w:val="none"/>
          <w:lang w:val="en-US" w:eastAsia="zh-CN"/>
        </w:rPr>
        <w:t>二级和三级指标根据各项指标在评价体系中的重要程度确定，考虑项目实施和管理对项目绩效的影响等因素赋予相应的权重分值</w:t>
      </w:r>
      <w:r>
        <w:rPr>
          <w:rFonts w:hint="default" w:ascii="Times New Roman" w:hAnsi="Times New Roman" w:cs="Times New Roman"/>
          <w:color w:val="auto"/>
          <w:highlight w:val="none"/>
          <w:lang w:val="zh-TW" w:eastAsia="zh-CN"/>
        </w:rPr>
        <w:t>。</w:t>
      </w:r>
      <w:r>
        <w:rPr>
          <w:rFonts w:hint="default"/>
          <w:color w:val="auto"/>
          <w:highlight w:val="none"/>
          <w:lang w:val="en-US" w:eastAsia="zh-CN"/>
        </w:rPr>
        <w:t>具体指标分类如下：</w:t>
      </w:r>
    </w:p>
    <w:p w14:paraId="67012817">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决策指标</w:t>
      </w:r>
      <w:r>
        <w:rPr>
          <w:rFonts w:hint="default" w:ascii="Times New Roman" w:hAnsi="Times New Roman" w:cs="Times New Roman"/>
          <w:color w:val="auto"/>
          <w:highlight w:val="none"/>
          <w:lang w:eastAsia="zh-CN"/>
        </w:rPr>
        <w:t>：</w:t>
      </w:r>
      <w:r>
        <w:rPr>
          <w:rFonts w:hint="default" w:ascii="Times New Roman" w:hAnsi="Times New Roman" w:cs="Times New Roman"/>
          <w:bCs/>
          <w:color w:val="auto"/>
          <w:highlight w:val="none"/>
        </w:rPr>
        <w:t>从项目立项</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绩效目标</w:t>
      </w:r>
      <w:r>
        <w:rPr>
          <w:rFonts w:hint="default" w:ascii="Times New Roman" w:hAnsi="Times New Roman" w:cs="Times New Roman"/>
          <w:bCs/>
          <w:color w:val="auto"/>
          <w:highlight w:val="none"/>
          <w:lang w:eastAsia="zh-CN"/>
        </w:rPr>
        <w:t>、</w:t>
      </w:r>
      <w:r>
        <w:rPr>
          <w:rFonts w:hint="default" w:ascii="Times New Roman" w:hAnsi="Times New Roman" w:cs="Times New Roman"/>
          <w:bCs/>
          <w:color w:val="auto"/>
          <w:highlight w:val="none"/>
        </w:rPr>
        <w:t>资金投入</w:t>
      </w:r>
      <w:r>
        <w:rPr>
          <w:rFonts w:hint="default" w:ascii="Times New Roman" w:hAnsi="Times New Roman" w:cs="Times New Roman"/>
          <w:bCs/>
          <w:color w:val="auto"/>
          <w:highlight w:val="none"/>
          <w:lang w:val="en-US" w:eastAsia="zh-CN"/>
        </w:rPr>
        <w:t>三个</w:t>
      </w:r>
      <w:r>
        <w:rPr>
          <w:rFonts w:hint="default" w:ascii="Times New Roman" w:hAnsi="Times New Roman" w:cs="Times New Roman"/>
          <w:bCs/>
          <w:color w:val="auto"/>
          <w:highlight w:val="none"/>
        </w:rPr>
        <w:t>方面对</w:t>
      </w:r>
      <w:r>
        <w:rPr>
          <w:rFonts w:hint="default" w:ascii="Times New Roman" w:hAnsi="Times New Roman" w:cs="Times New Roman"/>
          <w:bCs/>
          <w:color w:val="auto"/>
          <w:highlight w:val="none"/>
          <w:lang w:val="en-US" w:eastAsia="zh-CN"/>
        </w:rPr>
        <w:t>项目</w:t>
      </w:r>
      <w:r>
        <w:rPr>
          <w:rFonts w:hint="default" w:ascii="Times New Roman" w:hAnsi="Times New Roman" w:cs="Times New Roman"/>
          <w:bCs/>
          <w:color w:val="auto"/>
          <w:highlight w:val="none"/>
        </w:rPr>
        <w:t>决策情况进行评价，</w:t>
      </w:r>
      <w:r>
        <w:rPr>
          <w:rFonts w:hint="default" w:ascii="Times New Roman" w:hAnsi="Times New Roman" w:cs="Times New Roman"/>
          <w:bCs/>
          <w:color w:val="auto"/>
          <w:highlight w:val="none"/>
          <w:lang w:val="en-US" w:eastAsia="zh-CN"/>
        </w:rPr>
        <w:t>设置了包括</w:t>
      </w:r>
      <w:r>
        <w:rPr>
          <w:rFonts w:hint="default" w:ascii="Times New Roman" w:hAnsi="Times New Roman" w:cs="Times New Roman"/>
          <w:color w:val="auto"/>
          <w:highlight w:val="none"/>
        </w:rPr>
        <w:t>A11立项依据充分性、A12立项程序规范性、A21绩效目标合理性、A22绩效指标明确性、A31预算编制科学性、A32资金分配合理性</w:t>
      </w:r>
      <w:r>
        <w:rPr>
          <w:rFonts w:hint="default" w:ascii="Times New Roman" w:hAnsi="Times New Roman" w:cs="Times New Roman"/>
          <w:bCs/>
          <w:color w:val="auto"/>
          <w:highlight w:val="none"/>
          <w:lang w:val="en-US" w:eastAsia="zh-CN"/>
        </w:rPr>
        <w:t>6</w:t>
      </w:r>
      <w:r>
        <w:rPr>
          <w:rFonts w:hint="default" w:ascii="Times New Roman" w:hAnsi="Times New Roman" w:cs="Times New Roman"/>
          <w:bCs/>
          <w:color w:val="auto"/>
          <w:highlight w:val="none"/>
        </w:rPr>
        <w:t>个三级指标</w:t>
      </w:r>
      <w:r>
        <w:rPr>
          <w:rFonts w:hint="default" w:ascii="Times New Roman" w:hAnsi="Times New Roman" w:cs="Times New Roman"/>
          <w:color w:val="auto"/>
          <w:highlight w:val="none"/>
          <w:lang w:eastAsia="zh-CN"/>
        </w:rPr>
        <w:t>。</w:t>
      </w:r>
    </w:p>
    <w:p w14:paraId="5E3EC0E0">
      <w:pPr>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lang w:val="en-US" w:eastAsia="zh-CN"/>
        </w:rPr>
        <w:t>过程指标：</w:t>
      </w:r>
      <w:r>
        <w:rPr>
          <w:rFonts w:hint="default" w:ascii="Times New Roman" w:hAnsi="Times New Roman" w:cs="Times New Roman"/>
          <w:bCs/>
          <w:color w:val="auto"/>
          <w:highlight w:val="none"/>
        </w:rPr>
        <w:t>从</w:t>
      </w:r>
      <w:r>
        <w:rPr>
          <w:rFonts w:hint="default" w:ascii="Times New Roman" w:hAnsi="Times New Roman" w:cs="Times New Roman"/>
          <w:bCs/>
          <w:color w:val="auto"/>
          <w:highlight w:val="none"/>
          <w:lang w:val="en-US" w:eastAsia="zh-CN"/>
        </w:rPr>
        <w:t>资金管理和组织实施两个方面</w:t>
      </w:r>
      <w:r>
        <w:rPr>
          <w:rFonts w:hint="default" w:ascii="Times New Roman" w:hAnsi="Times New Roman" w:cs="Times New Roman"/>
          <w:bCs/>
          <w:color w:val="auto"/>
          <w:highlight w:val="none"/>
        </w:rPr>
        <w:t>评价</w:t>
      </w:r>
      <w:r>
        <w:rPr>
          <w:rFonts w:hint="default" w:ascii="Times New Roman" w:hAnsi="Times New Roman" w:cs="Times New Roman"/>
          <w:bCs/>
          <w:color w:val="auto"/>
          <w:highlight w:val="none"/>
          <w:lang w:val="en-US" w:eastAsia="zh-CN"/>
        </w:rPr>
        <w:t>项目实施过程</w:t>
      </w:r>
      <w:r>
        <w:rPr>
          <w:rFonts w:hint="default" w:ascii="Times New Roman" w:hAnsi="Times New Roman" w:cs="Times New Roman"/>
          <w:bCs/>
          <w:color w:val="auto"/>
          <w:highlight w:val="none"/>
        </w:rPr>
        <w:t>情况，</w:t>
      </w:r>
      <w:r>
        <w:rPr>
          <w:rFonts w:hint="default" w:ascii="Times New Roman" w:hAnsi="Times New Roman" w:cs="Times New Roman"/>
          <w:bCs/>
          <w:color w:val="auto"/>
          <w:highlight w:val="none"/>
          <w:lang w:val="en-US" w:eastAsia="zh-CN"/>
        </w:rPr>
        <w:t>设置了包括</w:t>
      </w:r>
      <w:r>
        <w:rPr>
          <w:rFonts w:hint="default" w:ascii="Times New Roman" w:hAnsi="Times New Roman" w:cs="Times New Roman"/>
          <w:color w:val="auto"/>
          <w:highlight w:val="none"/>
        </w:rPr>
        <w:t>B11资金到位率、B12预算执行率、B13资金使用合规性、B21管理制度健全性、B22制度执行有效性</w:t>
      </w:r>
      <w:r>
        <w:rPr>
          <w:rFonts w:hint="default" w:cs="Times New Roman"/>
          <w:color w:val="auto"/>
          <w:highlight w:val="none"/>
          <w:lang w:eastAsia="zh-CN"/>
        </w:rPr>
        <w:t>、</w:t>
      </w:r>
      <w:r>
        <w:rPr>
          <w:rFonts w:hint="default" w:cs="Times New Roman"/>
          <w:color w:val="auto"/>
          <w:highlight w:val="none"/>
          <w:lang w:val="en-US" w:eastAsia="zh-CN"/>
        </w:rPr>
        <w:t>B23</w:t>
      </w:r>
      <w:r>
        <w:rPr>
          <w:rFonts w:hint="default"/>
          <w:color w:val="auto"/>
          <w:highlight w:val="none"/>
          <w:lang w:val="en-US" w:eastAsia="zh-CN"/>
        </w:rPr>
        <w:t>项目资产管理规范性</w:t>
      </w:r>
      <w:r>
        <w:rPr>
          <w:rFonts w:hint="default" w:ascii="Times New Roman" w:hAnsi="Times New Roman" w:cs="Times New Roman"/>
          <w:bCs/>
          <w:color w:val="auto"/>
          <w:highlight w:val="none"/>
          <w:lang w:val="en-US" w:eastAsia="zh-CN"/>
        </w:rPr>
        <w:t>6</w:t>
      </w:r>
      <w:r>
        <w:rPr>
          <w:rFonts w:hint="default" w:ascii="Times New Roman" w:hAnsi="Times New Roman" w:cs="Times New Roman"/>
          <w:bCs/>
          <w:color w:val="auto"/>
          <w:highlight w:val="none"/>
        </w:rPr>
        <w:t>个三级指标</w:t>
      </w:r>
      <w:r>
        <w:rPr>
          <w:rFonts w:hint="default" w:ascii="Times New Roman" w:hAnsi="Times New Roman" w:cs="Times New Roman"/>
          <w:color w:val="auto"/>
          <w:highlight w:val="none"/>
          <w:lang w:eastAsia="zh-CN"/>
        </w:rPr>
        <w:t>。</w:t>
      </w:r>
    </w:p>
    <w:p w14:paraId="61444542">
      <w:pPr>
        <w:pageBreakBefore w:val="0"/>
        <w:kinsoku/>
        <w:wordWrap/>
        <w:overflowPunct/>
        <w:topLinePunct w:val="0"/>
        <w:autoSpaceDE/>
        <w:autoSpaceDN/>
        <w:bidi w:val="0"/>
        <w:snapToGrid w:val="0"/>
        <w:spacing w:before="0" w:after="0" w:line="360" w:lineRule="auto"/>
        <w:ind w:firstLine="420" w:firstLineChars="200"/>
        <w:rPr>
          <w:rFonts w:hint="default" w:ascii="Times New Roman" w:hAnsi="Times New Roman" w:cs="Times New Roman"/>
          <w:color w:val="auto"/>
          <w:highlight w:val="none"/>
          <w:lang w:eastAsia="zh-CN"/>
        </w:rPr>
      </w:pPr>
      <w:r>
        <w:rPr>
          <w:rFonts w:hint="default" w:ascii="Times New Roman" w:hAnsi="Times New Roman" w:cs="Times New Roman"/>
          <w:color w:val="auto"/>
          <w:highlight w:val="none"/>
        </w:rPr>
        <w:t>产出指标</w:t>
      </w:r>
      <w:r>
        <w:rPr>
          <w:rFonts w:hint="default" w:ascii="Times New Roman" w:hAnsi="Times New Roman" w:cs="Times New Roman"/>
          <w:color w:val="auto"/>
          <w:highlight w:val="none"/>
          <w:lang w:eastAsia="zh-CN"/>
        </w:rPr>
        <w:t>：</w:t>
      </w:r>
      <w:r>
        <w:rPr>
          <w:rFonts w:hint="default" w:ascii="Times New Roman" w:hAnsi="Times New Roman" w:cs="Times New Roman"/>
          <w:bCs/>
          <w:color w:val="auto"/>
          <w:highlight w:val="none"/>
        </w:rPr>
        <w:t>从</w:t>
      </w:r>
      <w:r>
        <w:rPr>
          <w:rFonts w:hint="default" w:ascii="Times New Roman" w:hAnsi="Times New Roman" w:cs="Times New Roman"/>
          <w:bCs/>
          <w:color w:val="auto"/>
          <w:highlight w:val="none"/>
          <w:lang w:val="en-US" w:eastAsia="zh-CN"/>
        </w:rPr>
        <w:t>数量、质量、时效、成本</w:t>
      </w:r>
      <w:r>
        <w:rPr>
          <w:rFonts w:hint="default" w:cs="Times New Roman"/>
          <w:bCs/>
          <w:color w:val="auto"/>
          <w:highlight w:val="none"/>
          <w:lang w:val="en-US" w:eastAsia="zh-CN"/>
        </w:rPr>
        <w:t>四</w:t>
      </w:r>
      <w:r>
        <w:rPr>
          <w:rFonts w:hint="default" w:ascii="Times New Roman" w:hAnsi="Times New Roman" w:cs="Times New Roman"/>
          <w:bCs/>
          <w:color w:val="auto"/>
          <w:highlight w:val="none"/>
        </w:rPr>
        <w:t>方面</w:t>
      </w:r>
      <w:r>
        <w:rPr>
          <w:rFonts w:hint="default" w:ascii="Times New Roman" w:hAnsi="Times New Roman" w:cs="Times New Roman"/>
          <w:bCs/>
          <w:color w:val="auto"/>
          <w:highlight w:val="none"/>
          <w:lang w:val="en-US" w:eastAsia="zh-CN"/>
        </w:rPr>
        <w:t>评价项目实施完成后的产出</w:t>
      </w:r>
      <w:r>
        <w:rPr>
          <w:rFonts w:hint="default" w:ascii="Times New Roman" w:hAnsi="Times New Roman" w:cs="Times New Roman"/>
          <w:bCs/>
          <w:color w:val="auto"/>
          <w:highlight w:val="none"/>
        </w:rPr>
        <w:t>情况，</w:t>
      </w:r>
      <w:r>
        <w:rPr>
          <w:rFonts w:hint="default" w:ascii="Times New Roman" w:hAnsi="Times New Roman" w:cs="Times New Roman"/>
          <w:bCs/>
          <w:color w:val="auto"/>
          <w:highlight w:val="none"/>
          <w:lang w:val="en-US" w:eastAsia="zh-CN"/>
        </w:rPr>
        <w:t>设置了包括C11</w:t>
      </w:r>
      <w:r>
        <w:rPr>
          <w:rFonts w:hint="default" w:cs="Times New Roman"/>
          <w:bCs/>
          <w:color w:val="auto"/>
          <w:highlight w:val="none"/>
          <w:lang w:val="en-US" w:eastAsia="zh-CN"/>
        </w:rPr>
        <w:t>新建农村道路公里数、</w:t>
      </w:r>
      <w:r>
        <w:rPr>
          <w:rFonts w:hint="default" w:ascii="Times New Roman" w:hAnsi="Times New Roman" w:cs="Times New Roman"/>
          <w:bCs/>
          <w:color w:val="auto"/>
          <w:highlight w:val="none"/>
          <w:lang w:val="en-US" w:eastAsia="zh-CN"/>
        </w:rPr>
        <w:t>C21竣工验收合格率</w:t>
      </w:r>
      <w:r>
        <w:rPr>
          <w:rFonts w:hint="default" w:cs="Times New Roman"/>
          <w:bCs/>
          <w:color w:val="auto"/>
          <w:highlight w:val="none"/>
          <w:lang w:val="en-US" w:eastAsia="zh-CN"/>
        </w:rPr>
        <w:t>、</w:t>
      </w:r>
      <w:r>
        <w:rPr>
          <w:rFonts w:hint="default" w:ascii="Times New Roman" w:hAnsi="Times New Roman" w:cs="Times New Roman"/>
          <w:bCs/>
          <w:color w:val="auto"/>
          <w:highlight w:val="none"/>
          <w:lang w:val="en-US" w:eastAsia="zh-CN"/>
        </w:rPr>
        <w:t>C31项目计划开工日期</w:t>
      </w:r>
      <w:r>
        <w:rPr>
          <w:rFonts w:hint="default" w:cs="Times New Roman"/>
          <w:bCs/>
          <w:color w:val="auto"/>
          <w:highlight w:val="none"/>
          <w:lang w:val="en-US" w:eastAsia="zh-CN"/>
        </w:rPr>
        <w:t>、</w:t>
      </w:r>
      <w:r>
        <w:rPr>
          <w:rFonts w:hint="default" w:ascii="Times New Roman" w:hAnsi="Times New Roman" w:cs="Times New Roman"/>
          <w:bCs/>
          <w:color w:val="auto"/>
          <w:highlight w:val="none"/>
          <w:lang w:val="en-US" w:eastAsia="zh-CN"/>
        </w:rPr>
        <w:t>C32项目计划完工日期</w:t>
      </w:r>
      <w:r>
        <w:rPr>
          <w:rFonts w:hint="default" w:cs="Times New Roman"/>
          <w:bCs/>
          <w:color w:val="auto"/>
          <w:highlight w:val="none"/>
          <w:lang w:val="en-US" w:eastAsia="zh-CN"/>
        </w:rPr>
        <w:t>、C41</w:t>
      </w:r>
      <w:r>
        <w:rPr>
          <w:rFonts w:hint="default"/>
          <w:color w:val="auto"/>
          <w:lang w:eastAsia="zh-CN"/>
        </w:rPr>
        <w:t>劳务</w:t>
      </w:r>
      <w:r>
        <w:rPr>
          <w:rFonts w:hint="default" w:ascii="Times New Roman" w:hAnsi="Times New Roman" w:cs="Times New Roman"/>
          <w:color w:val="auto"/>
          <w:lang w:eastAsia="zh-CN"/>
        </w:rPr>
        <w:t>报酬</w:t>
      </w:r>
      <w:r>
        <w:rPr>
          <w:rFonts w:hint="default"/>
          <w:color w:val="auto"/>
          <w:lang w:eastAsia="zh-CN"/>
        </w:rPr>
        <w:t>支出、</w:t>
      </w:r>
      <w:r>
        <w:rPr>
          <w:rFonts w:hint="default" w:ascii="Times New Roman" w:hAnsi="Times New Roman" w:cs="Times New Roman"/>
          <w:bCs/>
          <w:color w:val="auto"/>
          <w:highlight w:val="none"/>
          <w:lang w:val="en-US" w:eastAsia="zh-CN"/>
        </w:rPr>
        <w:t>C4</w:t>
      </w:r>
      <w:r>
        <w:rPr>
          <w:rFonts w:hint="default" w:cs="Times New Roman"/>
          <w:bCs/>
          <w:color w:val="auto"/>
          <w:highlight w:val="none"/>
          <w:lang w:val="en-US" w:eastAsia="zh-CN"/>
        </w:rPr>
        <w:t>2项目投资预算控制率</w:t>
      </w:r>
      <w:r>
        <w:rPr>
          <w:rFonts w:hint="default" w:cs="Times New Roman"/>
          <w:color w:val="auto"/>
          <w:highlight w:val="none"/>
          <w:lang w:val="en-US" w:eastAsia="zh-CN"/>
        </w:rPr>
        <w:t>6个三级指标</w:t>
      </w:r>
      <w:r>
        <w:rPr>
          <w:rFonts w:hint="default" w:ascii="Times New Roman" w:hAnsi="Times New Roman" w:cs="Times New Roman"/>
          <w:color w:val="auto"/>
          <w:highlight w:val="none"/>
          <w:lang w:eastAsia="zh-CN"/>
        </w:rPr>
        <w:t>。</w:t>
      </w:r>
    </w:p>
    <w:p w14:paraId="5032148F">
      <w:pPr>
        <w:spacing w:before="0" w:after="0" w:line="360" w:lineRule="auto"/>
        <w:ind w:firstLine="420" w:firstLineChars="200"/>
        <w:rPr>
          <w:rFonts w:hint="default" w:ascii="Times New Roman" w:hAnsi="Times New Roman" w:cs="Times New Roman" w:eastAsiaTheme="minorEastAsia"/>
          <w:color w:val="auto"/>
          <w:highlight w:val="none"/>
          <w:lang w:eastAsia="zh-CN"/>
        </w:rPr>
      </w:pPr>
      <w:r>
        <w:rPr>
          <w:rFonts w:hint="default" w:ascii="Times New Roman" w:hAnsi="Times New Roman" w:cs="Times New Roman"/>
          <w:b w:val="0"/>
          <w:bCs w:val="0"/>
          <w:color w:val="auto"/>
          <w:highlight w:val="none"/>
          <w:lang w:val="en-US" w:eastAsia="zh-CN"/>
        </w:rPr>
        <w:t>效益指标：</w:t>
      </w:r>
      <w:r>
        <w:rPr>
          <w:rFonts w:hint="default" w:cs="Times New Roman"/>
          <w:b w:val="0"/>
          <w:bCs w:val="0"/>
          <w:color w:val="auto"/>
          <w:highlight w:val="none"/>
          <w:lang w:val="en-US" w:eastAsia="zh-CN"/>
        </w:rPr>
        <w:t>设置了包括D11施工期间预计带动当地群众务工人数（非人次）、D12改善出行困难问题、D13改善生产生活条件、D21参与工程建设的务工群众满意度4</w:t>
      </w:r>
      <w:r>
        <w:rPr>
          <w:rFonts w:hint="default"/>
          <w:color w:val="auto"/>
          <w:highlight w:val="none"/>
          <w:lang w:val="en-US" w:eastAsia="zh-CN"/>
        </w:rPr>
        <w:t>个三级指标</w:t>
      </w:r>
      <w:r>
        <w:rPr>
          <w:rFonts w:hint="default" w:ascii="Times New Roman" w:hAnsi="Times New Roman" w:cs="Times New Roman"/>
          <w:color w:val="auto"/>
          <w:highlight w:val="none"/>
          <w:lang w:eastAsia="zh-CN"/>
        </w:rPr>
        <w:t>。</w:t>
      </w:r>
    </w:p>
    <w:p w14:paraId="0228E729">
      <w:pPr>
        <w:pStyle w:val="3"/>
        <w:pageBreakBefore w:val="0"/>
        <w:widowControl w:val="0"/>
        <w:kinsoku/>
        <w:wordWrap/>
        <w:overflowPunct/>
        <w:topLinePunct w:val="0"/>
        <w:autoSpaceDE/>
        <w:autoSpaceDN/>
        <w:bidi w:val="0"/>
        <w:adjustRightInd w:val="0"/>
        <w:snapToGrid w:val="0"/>
        <w:spacing w:before="0" w:after="0" w:line="360" w:lineRule="auto"/>
        <w:ind w:firstLine="482"/>
        <w:textAlignment w:val="auto"/>
        <w:rPr>
          <w:rFonts w:hint="default" w:ascii="Times New Roman" w:hAnsi="Times New Roman" w:cs="Times New Roman"/>
          <w:color w:val="auto"/>
          <w:lang w:val="en-US" w:eastAsia="zh-CN"/>
        </w:rPr>
      </w:pPr>
      <w:bookmarkStart w:id="59" w:name="_Toc30023"/>
      <w:bookmarkStart w:id="60" w:name="_Toc17416"/>
      <w:bookmarkStart w:id="61" w:name="_Toc18757"/>
      <w:r>
        <w:rPr>
          <w:rFonts w:hint="default" w:ascii="Times New Roman" w:hAnsi="Times New Roman" w:cs="Times New Roman"/>
          <w:color w:val="auto"/>
          <w:lang w:val="en-US" w:eastAsia="zh-CN"/>
        </w:rPr>
        <w:t>（七）绩效评价工作过程</w:t>
      </w:r>
      <w:bookmarkEnd w:id="58"/>
      <w:bookmarkEnd w:id="59"/>
      <w:bookmarkEnd w:id="60"/>
      <w:bookmarkEnd w:id="61"/>
    </w:p>
    <w:p w14:paraId="76098001">
      <w:pPr>
        <w:spacing w:before="0" w:after="0" w:line="360" w:lineRule="auto"/>
        <w:ind w:firstLine="420" w:firstLineChars="200"/>
        <w:rPr>
          <w:rFonts w:hint="default" w:ascii="Times New Roman" w:hAnsi="Times New Roman" w:cs="Times New Roman"/>
          <w:color w:val="auto"/>
        </w:rPr>
      </w:pPr>
      <w:r>
        <w:rPr>
          <w:rFonts w:hint="default" w:ascii="Times New Roman" w:hAnsi="Times New Roman" w:cs="Times New Roman"/>
          <w:color w:val="auto"/>
        </w:rPr>
        <w:t>我们接受委托，按规定开展了前期准备、制定绩效评价工作方案、组织实施、报告撰写等绩效评价工作程序。绩效评价从</w:t>
      </w:r>
      <w:r>
        <w:rPr>
          <w:rFonts w:hint="default" w:cs="Times New Roman"/>
          <w:color w:val="auto"/>
          <w:lang w:val="en-US" w:eastAsia="zh-CN"/>
        </w:rPr>
        <w:t>2025</w:t>
      </w:r>
      <w:r>
        <w:rPr>
          <w:rFonts w:hint="default" w:ascii="Times New Roman" w:hAnsi="Times New Roman" w:cs="Times New Roman"/>
          <w:color w:val="auto"/>
        </w:rPr>
        <w:t>年</w:t>
      </w:r>
      <w:r>
        <w:rPr>
          <w:rFonts w:hint="default" w:cs="Times New Roman"/>
          <w:color w:val="auto"/>
          <w:lang w:val="en-US" w:eastAsia="zh-CN"/>
        </w:rPr>
        <w:t>7</w:t>
      </w:r>
      <w:r>
        <w:rPr>
          <w:rFonts w:hint="default" w:ascii="Times New Roman" w:hAnsi="Times New Roman" w:cs="Times New Roman"/>
          <w:color w:val="auto"/>
        </w:rPr>
        <w:t>月</w:t>
      </w:r>
      <w:r>
        <w:rPr>
          <w:rFonts w:hint="default" w:cs="Times New Roman"/>
          <w:color w:val="auto"/>
          <w:lang w:val="en-US" w:eastAsia="zh-CN"/>
        </w:rPr>
        <w:t>1</w:t>
      </w:r>
      <w:r>
        <w:rPr>
          <w:rFonts w:hint="default" w:ascii="Times New Roman" w:hAnsi="Times New Roman" w:cs="Times New Roman"/>
          <w:color w:val="auto"/>
        </w:rPr>
        <w:t>日启动，在各方有效配合下，评价工作于</w:t>
      </w:r>
      <w:r>
        <w:rPr>
          <w:rFonts w:hint="default" w:cs="Times New Roman"/>
          <w:color w:val="auto"/>
          <w:lang w:val="en-US" w:eastAsia="zh-CN"/>
        </w:rPr>
        <w:t>2025</w:t>
      </w:r>
      <w:r>
        <w:rPr>
          <w:rFonts w:hint="default" w:ascii="Times New Roman" w:hAnsi="Times New Roman" w:cs="Times New Roman"/>
          <w:color w:val="auto"/>
        </w:rPr>
        <w:t>年</w:t>
      </w:r>
      <w:r>
        <w:rPr>
          <w:rFonts w:hint="default" w:cs="Times New Roman"/>
          <w:color w:val="auto"/>
          <w:lang w:val="en-US" w:eastAsia="zh-CN"/>
        </w:rPr>
        <w:t>8</w:t>
      </w:r>
      <w:r>
        <w:rPr>
          <w:rFonts w:hint="default" w:ascii="Times New Roman" w:hAnsi="Times New Roman" w:cs="Times New Roman"/>
          <w:color w:val="auto"/>
        </w:rPr>
        <w:t>月</w:t>
      </w:r>
      <w:r>
        <w:rPr>
          <w:rFonts w:hint="default" w:cs="Times New Roman"/>
          <w:color w:val="auto"/>
          <w:lang w:val="en-US" w:eastAsia="zh-CN"/>
        </w:rPr>
        <w:t>30</w:t>
      </w:r>
      <w:r>
        <w:rPr>
          <w:rFonts w:hint="default" w:ascii="Times New Roman" w:hAnsi="Times New Roman" w:cs="Times New Roman"/>
          <w:color w:val="auto"/>
        </w:rPr>
        <w:t>日前完成。主要实施过程如下：</w:t>
      </w:r>
    </w:p>
    <w:p w14:paraId="0671EC45">
      <w:pPr>
        <w:pStyle w:val="5"/>
        <w:pageBreakBefore w:val="0"/>
        <w:widowControl w:val="0"/>
        <w:kinsoku/>
        <w:wordWrap/>
        <w:overflowPunct/>
        <w:topLinePunct w:val="0"/>
        <w:autoSpaceDE/>
        <w:autoSpaceDN/>
        <w:bidi w:val="0"/>
        <w:adjustRightInd w:val="0"/>
        <w:snapToGrid w:val="0"/>
        <w:spacing w:line="360" w:lineRule="auto"/>
        <w:ind w:firstLine="641"/>
        <w:textAlignment w:val="auto"/>
        <w:rPr>
          <w:rFonts w:ascii="Times New Roman" w:hAnsi="Times New Roman" w:eastAsia="宋体"/>
          <w:color w:val="auto"/>
        </w:rPr>
      </w:pPr>
      <w:r>
        <w:rPr>
          <w:rFonts w:ascii="Times New Roman" w:hAnsi="Times New Roman"/>
          <w:color w:val="auto"/>
        </w:rPr>
        <w:t>1.前期准备</w:t>
      </w:r>
    </w:p>
    <w:p w14:paraId="2DBA8538">
      <w:pPr>
        <w:pageBreakBefore w:val="0"/>
        <w:widowControl w:val="0"/>
        <w:kinsoku/>
        <w:wordWrap/>
        <w:overflowPunct/>
        <w:topLinePunct w:val="0"/>
        <w:autoSpaceDE/>
        <w:autoSpaceDN/>
        <w:bidi w:val="0"/>
        <w:adjustRightInd w:val="0"/>
        <w:snapToGrid w:val="0"/>
        <w:spacing w:line="360" w:lineRule="auto"/>
        <w:ind w:firstLine="640"/>
        <w:textAlignment w:val="auto"/>
        <w:rPr>
          <w:b/>
          <w:bCs w:val="0"/>
          <w:color w:val="auto"/>
        </w:rPr>
      </w:pPr>
      <w:r>
        <w:rPr>
          <w:rFonts w:hint="default"/>
          <w:bCs/>
          <w:color w:val="auto"/>
          <w:lang w:eastAsia="zh-CN"/>
        </w:rPr>
        <w:t>（</w:t>
      </w:r>
      <w:r>
        <w:rPr>
          <w:rFonts w:hint="default"/>
          <w:bCs/>
          <w:color w:val="auto"/>
          <w:lang w:val="en-US" w:eastAsia="zh-CN"/>
        </w:rPr>
        <w:t>1</w:t>
      </w:r>
      <w:r>
        <w:rPr>
          <w:rFonts w:hint="default"/>
          <w:bCs/>
          <w:color w:val="auto"/>
          <w:lang w:eastAsia="zh-CN"/>
        </w:rPr>
        <w:t>）</w:t>
      </w:r>
      <w:r>
        <w:rPr>
          <w:color w:val="auto"/>
        </w:rPr>
        <w:t>根据</w:t>
      </w:r>
      <w:r>
        <w:rPr>
          <w:rFonts w:hint="default"/>
          <w:color w:val="auto"/>
        </w:rPr>
        <w:t>前期调研了解</w:t>
      </w:r>
      <w:r>
        <w:rPr>
          <w:color w:val="auto"/>
        </w:rPr>
        <w:t>项目</w:t>
      </w:r>
      <w:r>
        <w:rPr>
          <w:rFonts w:hint="default"/>
          <w:color w:val="auto"/>
        </w:rPr>
        <w:t>基本情况及实施背景资料，</w:t>
      </w:r>
      <w:r>
        <w:rPr>
          <w:color w:val="auto"/>
        </w:rPr>
        <w:t>按照项目</w:t>
      </w:r>
      <w:r>
        <w:rPr>
          <w:rFonts w:hint="default"/>
          <w:color w:val="auto"/>
        </w:rPr>
        <w:t>绩效评价</w:t>
      </w:r>
      <w:r>
        <w:rPr>
          <w:color w:val="auto"/>
        </w:rPr>
        <w:t>工作要求，</w:t>
      </w:r>
      <w:r>
        <w:rPr>
          <w:rFonts w:hint="default"/>
          <w:color w:val="auto"/>
          <w:lang w:val="en-US" w:eastAsia="zh-CN"/>
        </w:rPr>
        <w:t>拟定评价</w:t>
      </w:r>
      <w:r>
        <w:rPr>
          <w:color w:val="auto"/>
        </w:rPr>
        <w:t>工作方案，</w:t>
      </w:r>
      <w:r>
        <w:rPr>
          <w:rFonts w:hint="default"/>
          <w:color w:val="auto"/>
        </w:rPr>
        <w:t>确定绩效评价目的、评价对象和范围、评价期限</w:t>
      </w:r>
      <w:r>
        <w:rPr>
          <w:rFonts w:hint="default"/>
          <w:color w:val="auto"/>
          <w:lang w:eastAsia="zh-CN"/>
        </w:rPr>
        <w:t>。</w:t>
      </w:r>
    </w:p>
    <w:p w14:paraId="24D588D1">
      <w:pPr>
        <w:pageBreakBefore w:val="0"/>
        <w:widowControl w:val="0"/>
        <w:kinsoku/>
        <w:wordWrap/>
        <w:overflowPunct/>
        <w:topLinePunct w:val="0"/>
        <w:autoSpaceDE/>
        <w:autoSpaceDN/>
        <w:bidi w:val="0"/>
        <w:adjustRightInd w:val="0"/>
        <w:snapToGrid w:val="0"/>
        <w:spacing w:line="360" w:lineRule="auto"/>
        <w:ind w:firstLine="640"/>
        <w:textAlignment w:val="auto"/>
        <w:rPr>
          <w:color w:val="auto"/>
        </w:rPr>
      </w:pPr>
      <w:r>
        <w:rPr>
          <w:rFonts w:hint="default"/>
          <w:color w:val="auto"/>
          <w:lang w:eastAsia="zh-CN"/>
        </w:rPr>
        <w:t>（</w:t>
      </w:r>
      <w:r>
        <w:rPr>
          <w:rFonts w:hint="default"/>
          <w:color w:val="auto"/>
          <w:lang w:val="en-US" w:eastAsia="zh-CN"/>
        </w:rPr>
        <w:t>2</w:t>
      </w:r>
      <w:r>
        <w:rPr>
          <w:rFonts w:hint="default"/>
          <w:color w:val="auto"/>
          <w:lang w:eastAsia="zh-CN"/>
        </w:rPr>
        <w:t>）</w:t>
      </w:r>
      <w:r>
        <w:rPr>
          <w:color w:val="auto"/>
        </w:rPr>
        <w:t>成立绩效评价小组。</w:t>
      </w:r>
      <w:r>
        <w:rPr>
          <w:rFonts w:hint="default"/>
          <w:color w:val="auto"/>
          <w:lang w:val="en-US" w:eastAsia="zh-CN"/>
        </w:rPr>
        <w:t>绩效评价小组</w:t>
      </w:r>
      <w:r>
        <w:rPr>
          <w:rFonts w:hint="default"/>
          <w:color w:val="auto"/>
        </w:rPr>
        <w:t>实行组长负责制，项目总负责人统筹全盘工作，对</w:t>
      </w:r>
      <w:r>
        <w:rPr>
          <w:rFonts w:hint="default"/>
          <w:color w:val="auto"/>
          <w:lang w:val="en-US" w:eastAsia="zh-CN"/>
        </w:rPr>
        <w:t>绩效评价</w:t>
      </w:r>
      <w:r>
        <w:rPr>
          <w:rFonts w:hint="default"/>
          <w:color w:val="auto"/>
        </w:rPr>
        <w:t>工作提供技术指导与支持，</w:t>
      </w:r>
      <w:r>
        <w:rPr>
          <w:rFonts w:hint="default"/>
          <w:color w:val="auto"/>
          <w:lang w:val="en-US" w:eastAsia="zh-CN"/>
        </w:rPr>
        <w:t>报告稽核负责人</w:t>
      </w:r>
      <w:r>
        <w:rPr>
          <w:rFonts w:hint="default"/>
          <w:color w:val="auto"/>
        </w:rPr>
        <w:t>对评价工作质量把关，并负责报告数据审核验收、报告撰写指导、报告验收等技术</w:t>
      </w:r>
      <w:r>
        <w:rPr>
          <w:rFonts w:hint="default"/>
          <w:b w:val="0"/>
          <w:bCs w:val="0"/>
          <w:color w:val="auto"/>
        </w:rPr>
        <w:t>工作；绩效评价组成员计划安排</w:t>
      </w:r>
      <w:r>
        <w:rPr>
          <w:rFonts w:hint="default" w:cs="Times New Roman"/>
          <w:b w:val="0"/>
          <w:bCs w:val="0"/>
          <w:color w:val="auto"/>
          <w:lang w:val="en-US" w:eastAsia="zh-CN"/>
        </w:rPr>
        <w:t>2</w:t>
      </w:r>
      <w:r>
        <w:rPr>
          <w:rFonts w:hint="default"/>
          <w:b w:val="0"/>
          <w:bCs w:val="0"/>
          <w:color w:val="auto"/>
        </w:rPr>
        <w:t>人，完成现场调研、资料收集和检查、项目相</w:t>
      </w:r>
      <w:r>
        <w:rPr>
          <w:rFonts w:hint="default"/>
          <w:color w:val="auto"/>
        </w:rPr>
        <w:t>关人员访谈、问题清单整理、数据整理、撰写报告等工作</w:t>
      </w:r>
      <w:r>
        <w:rPr>
          <w:rFonts w:hint="default"/>
          <w:color w:val="auto"/>
          <w:lang w:eastAsia="zh-CN"/>
        </w:rPr>
        <w:t>，</w:t>
      </w:r>
      <w:r>
        <w:rPr>
          <w:color w:val="auto"/>
        </w:rPr>
        <w:t>具体成员及职责分工如下：</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5" w:type="dxa"/>
          <w:left w:w="15" w:type="dxa"/>
          <w:bottom w:w="15" w:type="dxa"/>
          <w:right w:w="15" w:type="dxa"/>
        </w:tblCellMar>
      </w:tblPr>
      <w:tblGrid>
        <w:gridCol w:w="557"/>
        <w:gridCol w:w="881"/>
        <w:gridCol w:w="1356"/>
        <w:gridCol w:w="1616"/>
        <w:gridCol w:w="3926"/>
      </w:tblGrid>
      <w:tr w14:paraId="53C73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tblHeader/>
          <w:jc w:val="center"/>
        </w:trPr>
        <w:tc>
          <w:tcPr>
            <w:tcW w:w="334" w:type="pct"/>
            <w:noWrap w:val="0"/>
            <w:vAlign w:val="center"/>
          </w:tcPr>
          <w:p w14:paraId="315F2317">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sz w:val="21"/>
                <w:szCs w:val="21"/>
                <w:highlight w:val="none"/>
                <w:lang w:eastAsia="en-US"/>
              </w:rPr>
            </w:pPr>
            <w:r>
              <w:rPr>
                <w:rFonts w:hint="default" w:ascii="Times New Roman" w:hAnsi="Times New Roman" w:cs="Times New Roman" w:eastAsiaTheme="minorEastAsia"/>
                <w:b/>
                <w:color w:val="auto"/>
                <w:kern w:val="0"/>
                <w:sz w:val="21"/>
                <w:szCs w:val="21"/>
                <w:highlight w:val="none"/>
                <w:lang w:bidi="ar"/>
              </w:rPr>
              <w:t>序号</w:t>
            </w:r>
          </w:p>
        </w:tc>
        <w:tc>
          <w:tcPr>
            <w:tcW w:w="528" w:type="pct"/>
            <w:noWrap w:val="0"/>
            <w:vAlign w:val="center"/>
          </w:tcPr>
          <w:p w14:paraId="42739BB3">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sz w:val="21"/>
                <w:szCs w:val="21"/>
                <w:highlight w:val="none"/>
                <w:lang w:eastAsia="en-US"/>
              </w:rPr>
            </w:pPr>
            <w:r>
              <w:rPr>
                <w:rFonts w:hint="default" w:ascii="Times New Roman" w:hAnsi="Times New Roman" w:cs="Times New Roman" w:eastAsiaTheme="minorEastAsia"/>
                <w:b/>
                <w:color w:val="auto"/>
                <w:kern w:val="0"/>
                <w:sz w:val="21"/>
                <w:szCs w:val="21"/>
                <w:highlight w:val="none"/>
                <w:lang w:bidi="ar"/>
              </w:rPr>
              <w:t>姓名</w:t>
            </w:r>
          </w:p>
        </w:tc>
        <w:tc>
          <w:tcPr>
            <w:tcW w:w="813" w:type="pct"/>
            <w:noWrap w:val="0"/>
            <w:vAlign w:val="center"/>
          </w:tcPr>
          <w:p w14:paraId="4B95859E">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sz w:val="21"/>
                <w:szCs w:val="21"/>
                <w:highlight w:val="none"/>
              </w:rPr>
            </w:pPr>
            <w:r>
              <w:rPr>
                <w:rFonts w:hint="default" w:ascii="Times New Roman" w:hAnsi="Times New Roman" w:cs="Times New Roman" w:eastAsiaTheme="minorEastAsia"/>
                <w:b/>
                <w:color w:val="auto"/>
                <w:sz w:val="21"/>
                <w:szCs w:val="21"/>
                <w:highlight w:val="none"/>
              </w:rPr>
              <w:t>项目角色</w:t>
            </w:r>
          </w:p>
        </w:tc>
        <w:tc>
          <w:tcPr>
            <w:tcW w:w="969" w:type="pct"/>
            <w:noWrap w:val="0"/>
            <w:vAlign w:val="center"/>
          </w:tcPr>
          <w:p w14:paraId="6BB5FE3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sz w:val="21"/>
                <w:szCs w:val="21"/>
                <w:highlight w:val="none"/>
                <w:lang w:eastAsia="en-US"/>
              </w:rPr>
            </w:pPr>
            <w:r>
              <w:rPr>
                <w:rFonts w:hint="default" w:ascii="Times New Roman" w:hAnsi="Times New Roman" w:cs="Times New Roman" w:eastAsiaTheme="minorEastAsia"/>
                <w:b/>
                <w:color w:val="auto"/>
                <w:kern w:val="0"/>
                <w:sz w:val="21"/>
                <w:szCs w:val="21"/>
                <w:highlight w:val="none"/>
                <w:lang w:bidi="ar"/>
              </w:rPr>
              <w:t>资质或公司职位</w:t>
            </w:r>
          </w:p>
        </w:tc>
        <w:tc>
          <w:tcPr>
            <w:tcW w:w="2354" w:type="pct"/>
            <w:noWrap w:val="0"/>
            <w:vAlign w:val="center"/>
          </w:tcPr>
          <w:p w14:paraId="7CC0582D">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
                <w:color w:val="auto"/>
                <w:kern w:val="0"/>
                <w:sz w:val="21"/>
                <w:szCs w:val="21"/>
                <w:highlight w:val="none"/>
                <w:lang w:bidi="ar"/>
              </w:rPr>
            </w:pPr>
            <w:r>
              <w:rPr>
                <w:rFonts w:hint="default" w:ascii="Times New Roman" w:hAnsi="Times New Roman" w:cs="Times New Roman" w:eastAsiaTheme="minorEastAsia"/>
                <w:b/>
                <w:color w:val="auto"/>
                <w:kern w:val="0"/>
                <w:sz w:val="21"/>
                <w:szCs w:val="21"/>
                <w:highlight w:val="none"/>
                <w:lang w:bidi="ar"/>
              </w:rPr>
              <w:t>主要职责</w:t>
            </w:r>
          </w:p>
        </w:tc>
      </w:tr>
      <w:tr w14:paraId="79DED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587D526E">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kern w:val="0"/>
                <w:sz w:val="21"/>
                <w:szCs w:val="21"/>
                <w:highlight w:val="none"/>
                <w:lang w:bidi="ar"/>
              </w:rPr>
              <w:t>1</w:t>
            </w:r>
          </w:p>
        </w:tc>
        <w:tc>
          <w:tcPr>
            <w:tcW w:w="528" w:type="pct"/>
            <w:noWrap w:val="0"/>
            <w:vAlign w:val="center"/>
          </w:tcPr>
          <w:p w14:paraId="23EF969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Cs/>
                <w:color w:val="auto"/>
                <w:kern w:val="0"/>
                <w:sz w:val="21"/>
                <w:szCs w:val="21"/>
                <w:highlight w:val="none"/>
                <w:lang w:bidi="ar"/>
              </w:rPr>
            </w:pPr>
            <w:r>
              <w:rPr>
                <w:rFonts w:hint="default" w:ascii="Times New Roman" w:hAnsi="Times New Roman" w:cs="Times New Roman" w:eastAsiaTheme="minorEastAsia"/>
                <w:color w:val="auto"/>
                <w:kern w:val="0"/>
                <w:sz w:val="21"/>
                <w:szCs w:val="21"/>
                <w:highlight w:val="none"/>
                <w:lang w:bidi="ar"/>
              </w:rPr>
              <w:t>冯延萍</w:t>
            </w:r>
          </w:p>
        </w:tc>
        <w:tc>
          <w:tcPr>
            <w:tcW w:w="813" w:type="pct"/>
            <w:noWrap w:val="0"/>
            <w:vAlign w:val="center"/>
          </w:tcPr>
          <w:p w14:paraId="60B38D6A">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主评人</w:t>
            </w:r>
          </w:p>
        </w:tc>
        <w:tc>
          <w:tcPr>
            <w:tcW w:w="969" w:type="pct"/>
            <w:noWrap w:val="0"/>
            <w:vAlign w:val="center"/>
          </w:tcPr>
          <w:p w14:paraId="44C33EF2">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注册会计师、中级会计师</w:t>
            </w:r>
          </w:p>
        </w:tc>
        <w:tc>
          <w:tcPr>
            <w:tcW w:w="2354" w:type="pct"/>
            <w:noWrap w:val="0"/>
            <w:vAlign w:val="center"/>
          </w:tcPr>
          <w:p w14:paraId="54CD7C8F">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cs="Times New Roman" w:eastAsiaTheme="minorEastAsia"/>
                <w:color w:val="auto"/>
                <w:kern w:val="0"/>
                <w:sz w:val="21"/>
                <w:szCs w:val="21"/>
                <w:highlight w:val="none"/>
                <w:lang w:bidi="ar"/>
              </w:rPr>
            </w:pPr>
            <w:r>
              <w:rPr>
                <w:rFonts w:hint="default" w:ascii="Times New Roman" w:hAnsi="Times New Roman" w:cs="Times New Roman" w:eastAsiaTheme="minorEastAsia"/>
                <w:bCs/>
                <w:snapToGrid w:val="0"/>
                <w:color w:val="auto"/>
                <w:sz w:val="21"/>
                <w:szCs w:val="21"/>
                <w:highlight w:val="none"/>
              </w:rPr>
              <w:t>负责项目总体计划的审批，项目重大风险的整体把握，对整体检查工作进行全面技术把关和指导，以保证评价工作按时按质完成；对整体项目评价结论进行最终复核。</w:t>
            </w:r>
          </w:p>
        </w:tc>
      </w:tr>
      <w:tr w14:paraId="68281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65EC162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val="en-US" w:eastAsia="zh-CN" w:bidi="ar"/>
              </w:rPr>
            </w:pPr>
            <w:r>
              <w:rPr>
                <w:rFonts w:hint="default" w:ascii="Times New Roman" w:hAnsi="Times New Roman" w:cs="Times New Roman"/>
                <w:color w:val="auto"/>
                <w:kern w:val="0"/>
                <w:sz w:val="21"/>
                <w:szCs w:val="21"/>
                <w:highlight w:val="none"/>
                <w:lang w:val="en-US" w:eastAsia="zh-CN" w:bidi="ar"/>
              </w:rPr>
              <w:t>2</w:t>
            </w:r>
          </w:p>
        </w:tc>
        <w:tc>
          <w:tcPr>
            <w:tcW w:w="528" w:type="pct"/>
            <w:noWrap w:val="0"/>
            <w:vAlign w:val="center"/>
          </w:tcPr>
          <w:p w14:paraId="19CAB739">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color w:val="auto"/>
                <w:sz w:val="21"/>
                <w:szCs w:val="21"/>
                <w:lang w:val="en-US" w:eastAsia="zh-CN"/>
              </w:rPr>
              <w:t>腊晓林</w:t>
            </w:r>
          </w:p>
        </w:tc>
        <w:tc>
          <w:tcPr>
            <w:tcW w:w="813" w:type="pct"/>
            <w:noWrap w:val="0"/>
            <w:vAlign w:val="center"/>
          </w:tcPr>
          <w:p w14:paraId="29F33C9F">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报告复核人</w:t>
            </w:r>
          </w:p>
        </w:tc>
        <w:tc>
          <w:tcPr>
            <w:tcW w:w="969" w:type="pct"/>
            <w:noWrap w:val="0"/>
            <w:vAlign w:val="center"/>
          </w:tcPr>
          <w:p w14:paraId="30BAE5E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技术总监</w:t>
            </w:r>
          </w:p>
        </w:tc>
        <w:tc>
          <w:tcPr>
            <w:tcW w:w="2354" w:type="pct"/>
            <w:noWrap w:val="0"/>
            <w:vAlign w:val="center"/>
          </w:tcPr>
          <w:p w14:paraId="2F88C976">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cs="Times New Roman" w:eastAsiaTheme="minorEastAsia"/>
                <w:bCs/>
                <w:snapToGrid w:val="0"/>
                <w:color w:val="auto"/>
                <w:sz w:val="21"/>
                <w:szCs w:val="21"/>
                <w:highlight w:val="none"/>
                <w:lang w:val="en-US" w:eastAsia="zh-CN"/>
              </w:rPr>
            </w:pPr>
            <w:r>
              <w:rPr>
                <w:rFonts w:hint="default" w:ascii="Times New Roman" w:hAnsi="Times New Roman" w:cs="Times New Roman" w:eastAsiaTheme="minorEastAsia"/>
                <w:bCs/>
                <w:snapToGrid w:val="0"/>
                <w:color w:val="auto"/>
                <w:sz w:val="21"/>
                <w:szCs w:val="21"/>
                <w:highlight w:val="none"/>
                <w:lang w:val="en-US" w:eastAsia="zh-CN"/>
              </w:rPr>
              <w:t>审核实施方案，负责对项目成果进行复核，</w:t>
            </w:r>
            <w:r>
              <w:rPr>
                <w:rFonts w:hint="default" w:ascii="Times New Roman" w:hAnsi="Times New Roman" w:cs="Times New Roman" w:eastAsiaTheme="minorEastAsia"/>
                <w:color w:val="auto"/>
                <w:sz w:val="21"/>
                <w:szCs w:val="21"/>
                <w:highlight w:val="none"/>
              </w:rPr>
              <w:t>杜绝或减少对外出具的报告中出现不应出错或低级错误的发生，确保工作质量不出现重大纰漏。通过稽核强化工作质量管理，严格把控评价结果报告质量关，规范出具报告的标准。</w:t>
            </w:r>
          </w:p>
        </w:tc>
      </w:tr>
      <w:tr w14:paraId="127B7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 w:hRule="atLeast"/>
          <w:jc w:val="center"/>
        </w:trPr>
        <w:tc>
          <w:tcPr>
            <w:tcW w:w="334" w:type="pct"/>
            <w:noWrap w:val="0"/>
            <w:vAlign w:val="center"/>
          </w:tcPr>
          <w:p w14:paraId="20FE1BE5">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eastAsia="zh-CN"/>
              </w:rPr>
            </w:pPr>
            <w:r>
              <w:rPr>
                <w:rFonts w:hint="default" w:ascii="Times New Roman" w:hAnsi="Times New Roman" w:cs="Times New Roman"/>
                <w:color w:val="auto"/>
                <w:kern w:val="0"/>
                <w:sz w:val="21"/>
                <w:szCs w:val="21"/>
                <w:highlight w:val="none"/>
                <w:lang w:val="en-US" w:eastAsia="zh-CN" w:bidi="ar"/>
              </w:rPr>
              <w:t>3</w:t>
            </w:r>
          </w:p>
        </w:tc>
        <w:tc>
          <w:tcPr>
            <w:tcW w:w="528" w:type="pct"/>
            <w:noWrap w:val="0"/>
            <w:vAlign w:val="center"/>
          </w:tcPr>
          <w:p w14:paraId="10C7A4A8">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cs="Times New Roman"/>
                <w:color w:val="auto"/>
                <w:sz w:val="21"/>
                <w:szCs w:val="21"/>
                <w:lang w:val="en-US" w:eastAsia="zh-CN"/>
              </w:rPr>
              <w:t>郝欢</w:t>
            </w:r>
          </w:p>
        </w:tc>
        <w:tc>
          <w:tcPr>
            <w:tcW w:w="813" w:type="pct"/>
            <w:noWrap w:val="0"/>
            <w:vAlign w:val="center"/>
          </w:tcPr>
          <w:p w14:paraId="3C3501E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eastAsia="en-US"/>
              </w:rPr>
            </w:pPr>
            <w:r>
              <w:rPr>
                <w:rFonts w:hint="default" w:ascii="Times New Roman" w:hAnsi="Times New Roman" w:cs="Times New Roman" w:eastAsiaTheme="minorEastAsia"/>
                <w:color w:val="auto"/>
                <w:sz w:val="21"/>
                <w:szCs w:val="21"/>
                <w:highlight w:val="none"/>
              </w:rPr>
              <w:t>项目负责人</w:t>
            </w:r>
          </w:p>
        </w:tc>
        <w:tc>
          <w:tcPr>
            <w:tcW w:w="969" w:type="pct"/>
            <w:noWrap w:val="0"/>
            <w:vAlign w:val="center"/>
          </w:tcPr>
          <w:p w14:paraId="26A405D9">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rPr>
            </w:pPr>
            <w:r>
              <w:rPr>
                <w:rFonts w:hint="default" w:ascii="Times New Roman" w:hAnsi="Times New Roman" w:cs="Times New Roman" w:eastAsiaTheme="minorEastAsia"/>
                <w:color w:val="auto"/>
                <w:sz w:val="21"/>
                <w:szCs w:val="21"/>
                <w:highlight w:val="none"/>
              </w:rPr>
              <w:t>项目</w:t>
            </w:r>
            <w:r>
              <w:rPr>
                <w:rFonts w:hint="default" w:ascii="Times New Roman" w:hAnsi="Times New Roman" w:cs="Times New Roman" w:eastAsiaTheme="minorEastAsia"/>
                <w:color w:val="auto"/>
                <w:sz w:val="21"/>
                <w:szCs w:val="21"/>
                <w:highlight w:val="none"/>
                <w:lang w:eastAsia="zh-Hans"/>
              </w:rPr>
              <w:t>经理</w:t>
            </w:r>
          </w:p>
        </w:tc>
        <w:tc>
          <w:tcPr>
            <w:tcW w:w="2354" w:type="pct"/>
            <w:noWrap w:val="0"/>
            <w:vAlign w:val="center"/>
          </w:tcPr>
          <w:p w14:paraId="697AF06A">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cs="Times New Roman" w:eastAsiaTheme="minorEastAsia"/>
                <w:color w:val="auto"/>
                <w:kern w:val="0"/>
                <w:sz w:val="21"/>
                <w:szCs w:val="21"/>
                <w:highlight w:val="none"/>
                <w:lang w:eastAsia="zh-CN" w:bidi="ar"/>
              </w:rPr>
            </w:pPr>
            <w:r>
              <w:rPr>
                <w:rFonts w:hint="default" w:ascii="Times New Roman" w:hAnsi="Times New Roman" w:cs="Times New Roman" w:eastAsiaTheme="minorEastAsia"/>
                <w:bCs/>
                <w:snapToGrid w:val="0"/>
                <w:color w:val="auto"/>
                <w:sz w:val="21"/>
                <w:szCs w:val="21"/>
                <w:highlight w:val="none"/>
              </w:rPr>
              <w:t>负责制定项目实施计划，并组织开展具体评价工作，把控项目质量、项目进度和方向，推动服务方案执行和落实；讨论阶段性成果，向本单位和委托方关于本项目进展情况定期汇报进展情况；对项目过程中的技术方法提供咨询和辅导，及时完成项目成果</w:t>
            </w:r>
            <w:r>
              <w:rPr>
                <w:rFonts w:hint="default" w:ascii="Times New Roman" w:hAnsi="Times New Roman" w:cs="Times New Roman" w:eastAsiaTheme="minorEastAsia"/>
                <w:bCs/>
                <w:snapToGrid w:val="0"/>
                <w:color w:val="auto"/>
                <w:sz w:val="21"/>
                <w:szCs w:val="21"/>
                <w:highlight w:val="none"/>
                <w:lang w:eastAsia="zh-CN"/>
              </w:rPr>
              <w:t>。</w:t>
            </w:r>
          </w:p>
        </w:tc>
      </w:tr>
      <w:tr w14:paraId="61868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7" w:hRule="atLeast"/>
          <w:jc w:val="center"/>
        </w:trPr>
        <w:tc>
          <w:tcPr>
            <w:tcW w:w="334" w:type="pct"/>
            <w:noWrap w:val="0"/>
            <w:vAlign w:val="center"/>
          </w:tcPr>
          <w:p w14:paraId="391255C4">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kern w:val="0"/>
                <w:sz w:val="21"/>
                <w:szCs w:val="21"/>
                <w:highlight w:val="none"/>
                <w:lang w:eastAsia="zh-CN" w:bidi="ar"/>
              </w:rPr>
            </w:pPr>
            <w:r>
              <w:rPr>
                <w:rFonts w:hint="default" w:ascii="Times New Roman" w:hAnsi="Times New Roman" w:cs="Times New Roman"/>
                <w:color w:val="auto"/>
                <w:kern w:val="0"/>
                <w:sz w:val="21"/>
                <w:szCs w:val="21"/>
                <w:highlight w:val="none"/>
                <w:lang w:val="en-US" w:eastAsia="zh-CN" w:bidi="ar"/>
              </w:rPr>
              <w:t>4</w:t>
            </w:r>
          </w:p>
        </w:tc>
        <w:tc>
          <w:tcPr>
            <w:tcW w:w="528" w:type="pct"/>
            <w:shd w:val="clear" w:color="auto" w:fill="auto"/>
            <w:noWrap w:val="0"/>
            <w:vAlign w:val="center"/>
          </w:tcPr>
          <w:p w14:paraId="3C122B06">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bCs/>
                <w:snapToGrid w:val="0"/>
                <w:color w:val="auto"/>
                <w:spacing w:val="6"/>
                <w:kern w:val="2"/>
                <w:sz w:val="21"/>
                <w:szCs w:val="21"/>
                <w:highlight w:val="none"/>
                <w:lang w:val="en-US" w:eastAsia="zh-CN" w:bidi="ar-SA"/>
              </w:rPr>
            </w:pPr>
            <w:r>
              <w:rPr>
                <w:rFonts w:hint="default" w:cs="Times New Roman"/>
                <w:bCs/>
                <w:snapToGrid w:val="0"/>
                <w:color w:val="auto"/>
                <w:spacing w:val="6"/>
                <w:kern w:val="2"/>
                <w:sz w:val="21"/>
                <w:szCs w:val="21"/>
                <w:highlight w:val="none"/>
                <w:lang w:val="en-US" w:eastAsia="zh-CN" w:bidi="ar-SA"/>
              </w:rPr>
              <w:t>石俊宇</w:t>
            </w:r>
          </w:p>
        </w:tc>
        <w:tc>
          <w:tcPr>
            <w:tcW w:w="813" w:type="pct"/>
            <w:shd w:val="clear" w:color="auto" w:fill="auto"/>
            <w:noWrap w:val="0"/>
            <w:vAlign w:val="center"/>
          </w:tcPr>
          <w:p w14:paraId="2D6D5B67">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rPr>
              <w:t>项目绩效评价人员</w:t>
            </w:r>
          </w:p>
        </w:tc>
        <w:tc>
          <w:tcPr>
            <w:tcW w:w="969" w:type="pct"/>
            <w:shd w:val="clear" w:color="auto" w:fill="auto"/>
            <w:noWrap w:val="0"/>
            <w:vAlign w:val="center"/>
          </w:tcPr>
          <w:p w14:paraId="24B48ED9">
            <w:pPr>
              <w:keepNext w:val="0"/>
              <w:keepLines w:val="0"/>
              <w:pageBreakBefore w:val="0"/>
              <w:widowControl/>
              <w:shd w:val="clear" w:color="auto" w:fill="auto"/>
              <w:kinsoku/>
              <w:wordWrap/>
              <w:overflowPunct/>
              <w:topLinePunct w:val="0"/>
              <w:autoSpaceDE/>
              <w:autoSpaceDN/>
              <w:bidi w:val="0"/>
              <w:adjustRightInd/>
              <w:snapToGrid/>
              <w:spacing w:line="240" w:lineRule="auto"/>
              <w:ind w:firstLine="0" w:firstLineChars="0"/>
              <w:jc w:val="center"/>
              <w:textAlignment w:val="center"/>
              <w:rPr>
                <w:rFonts w:hint="default" w:ascii="Times New Roman" w:hAnsi="Times New Roman" w:cs="Times New Roman" w:eastAsiaTheme="minorEastAsia"/>
                <w:color w:val="auto"/>
                <w:sz w:val="21"/>
                <w:szCs w:val="21"/>
                <w:highlight w:val="none"/>
                <w:lang w:val="en-US" w:eastAsia="zh-CN"/>
              </w:rPr>
            </w:pPr>
            <w:r>
              <w:rPr>
                <w:rFonts w:hint="default" w:ascii="Times New Roman" w:hAnsi="Times New Roman" w:cs="Times New Roman" w:eastAsiaTheme="minorEastAsia"/>
                <w:color w:val="auto"/>
                <w:sz w:val="21"/>
                <w:szCs w:val="21"/>
                <w:highlight w:val="none"/>
                <w:lang w:val="en-US" w:eastAsia="zh-CN"/>
              </w:rPr>
              <w:t>项目助理</w:t>
            </w:r>
          </w:p>
        </w:tc>
        <w:tc>
          <w:tcPr>
            <w:tcW w:w="2354" w:type="pct"/>
            <w:noWrap w:val="0"/>
            <w:vAlign w:val="center"/>
          </w:tcPr>
          <w:p w14:paraId="2B367CB0">
            <w:pPr>
              <w:keepNext w:val="0"/>
              <w:keepLines w:val="0"/>
              <w:pageBreakBefore w:val="0"/>
              <w:shd w:val="clear" w:color="auto" w:fill="auto"/>
              <w:kinsoku/>
              <w:wordWrap/>
              <w:overflowPunct/>
              <w:topLinePunct w:val="0"/>
              <w:autoSpaceDE/>
              <w:autoSpaceDN/>
              <w:bidi w:val="0"/>
              <w:adjustRightInd/>
              <w:snapToGrid/>
              <w:spacing w:line="240" w:lineRule="auto"/>
              <w:ind w:firstLine="0" w:firstLineChars="0"/>
              <w:jc w:val="left"/>
              <w:rPr>
                <w:rFonts w:hint="default" w:ascii="Times New Roman" w:hAnsi="Times New Roman" w:cs="Times New Roman" w:eastAsiaTheme="minorEastAsia"/>
                <w:color w:val="auto"/>
                <w:kern w:val="0"/>
                <w:sz w:val="21"/>
                <w:szCs w:val="21"/>
                <w:highlight w:val="none"/>
                <w:lang w:bidi="ar"/>
              </w:rPr>
            </w:pPr>
            <w:r>
              <w:rPr>
                <w:rFonts w:hint="default" w:ascii="Times New Roman" w:hAnsi="Times New Roman" w:cs="Times New Roman" w:eastAsiaTheme="minorEastAsia"/>
                <w:bCs/>
                <w:snapToGrid w:val="0"/>
                <w:color w:val="auto"/>
                <w:sz w:val="21"/>
                <w:szCs w:val="21"/>
                <w:highlight w:val="none"/>
              </w:rPr>
              <w:t>按照计划和分工</w:t>
            </w:r>
            <w:r>
              <w:rPr>
                <w:rFonts w:hint="default" w:ascii="Times New Roman" w:hAnsi="Times New Roman" w:cs="Times New Roman" w:eastAsiaTheme="minorEastAsia"/>
                <w:bCs/>
                <w:snapToGrid w:val="0"/>
                <w:color w:val="auto"/>
                <w:sz w:val="21"/>
                <w:szCs w:val="21"/>
                <w:highlight w:val="none"/>
                <w:lang w:eastAsia="zh-CN"/>
              </w:rPr>
              <w:t>完成</w:t>
            </w:r>
            <w:r>
              <w:rPr>
                <w:rFonts w:hint="default" w:ascii="Times New Roman" w:hAnsi="Times New Roman" w:cs="Times New Roman" w:eastAsiaTheme="minorEastAsia"/>
                <w:bCs/>
                <w:snapToGrid w:val="0"/>
                <w:color w:val="auto"/>
                <w:sz w:val="21"/>
                <w:szCs w:val="21"/>
                <w:highlight w:val="none"/>
              </w:rPr>
              <w:t>现场调研、资料收集和检查、项目相关人员访谈、问题清单整理、数据整理、撰写报告等工作。</w:t>
            </w:r>
          </w:p>
        </w:tc>
      </w:tr>
    </w:tbl>
    <w:p w14:paraId="085E6417">
      <w:pPr>
        <w:spacing w:before="0" w:after="0"/>
        <w:rPr>
          <w:rFonts w:hint="default"/>
          <w:color w:val="auto"/>
        </w:rPr>
      </w:pPr>
    </w:p>
    <w:p w14:paraId="11431291">
      <w:pPr>
        <w:pStyle w:val="5"/>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rPr>
        <w:t>2.确定绩效评价工作方案</w:t>
      </w:r>
    </w:p>
    <w:p w14:paraId="5A240A19">
      <w:pPr>
        <w:bidi w:val="0"/>
        <w:spacing w:before="0" w:after="0" w:line="360" w:lineRule="auto"/>
        <w:rPr>
          <w:rFonts w:hint="default"/>
          <w:color w:val="auto"/>
        </w:rPr>
      </w:pPr>
      <w:r>
        <w:rPr>
          <w:rFonts w:hint="default"/>
          <w:color w:val="auto"/>
        </w:rPr>
        <w:t>绩效评价小组根据前期初步收集的项目资料，根据项目实施内容及政策文件要求，制定《</w:t>
      </w:r>
      <w:r>
        <w:rPr>
          <w:rFonts w:hint="default" w:cs="Times New Roman"/>
          <w:color w:val="auto"/>
          <w:lang w:val="en-US" w:eastAsia="zh-CN"/>
        </w:rPr>
        <w:t>吉木萨尔县二工镇大泉湖村2024年以工代赈基础设施建设项目</w:t>
      </w:r>
      <w:r>
        <w:rPr>
          <w:rFonts w:hint="default"/>
          <w:color w:val="auto"/>
        </w:rPr>
        <w:t>绩效评价实施方案》。</w:t>
      </w:r>
      <w:r>
        <w:rPr>
          <w:rFonts w:hint="default" w:cs="Times New Roman"/>
          <w:color w:val="auto"/>
          <w:lang w:val="en-US" w:eastAsia="zh-CN"/>
        </w:rPr>
        <w:t>经项目组审核</w:t>
      </w:r>
      <w:r>
        <w:rPr>
          <w:rFonts w:hint="default"/>
          <w:color w:val="auto"/>
        </w:rPr>
        <w:t>后，项目绩效评价工作正式启动。</w:t>
      </w:r>
    </w:p>
    <w:p w14:paraId="6EA81B8E">
      <w:pPr>
        <w:pStyle w:val="5"/>
        <w:spacing w:before="0" w:after="0" w:line="360" w:lineRule="auto"/>
        <w:ind w:firstLine="641"/>
        <w:rPr>
          <w:rFonts w:ascii="Times New Roman" w:hAnsi="Times New Roman"/>
          <w:color w:val="auto"/>
        </w:rPr>
      </w:pPr>
      <w:r>
        <w:rPr>
          <w:rFonts w:ascii="Times New Roman" w:hAnsi="Times New Roman"/>
          <w:color w:val="auto"/>
        </w:rPr>
        <w:t>3.组织实施</w:t>
      </w:r>
    </w:p>
    <w:p w14:paraId="3519385C">
      <w:pPr>
        <w:spacing w:before="0" w:after="0" w:line="360" w:lineRule="auto"/>
        <w:ind w:firstLine="640"/>
        <w:rPr>
          <w:color w:val="auto"/>
        </w:rPr>
      </w:pPr>
      <w:r>
        <w:rPr>
          <w:rFonts w:hint="default" w:cs="Times New Roman"/>
          <w:color w:val="auto"/>
          <w:lang w:val="en-US" w:eastAsia="zh-CN"/>
        </w:rPr>
        <w:t>2025</w:t>
      </w:r>
      <w:r>
        <w:rPr>
          <w:rFonts w:hint="default" w:ascii="Times New Roman" w:hAnsi="Times New Roman" w:cs="Times New Roman"/>
          <w:color w:val="auto"/>
        </w:rPr>
        <w:t>年</w:t>
      </w:r>
      <w:r>
        <w:rPr>
          <w:rFonts w:hint="default" w:cs="Times New Roman"/>
          <w:color w:val="auto"/>
          <w:lang w:val="en-US" w:eastAsia="zh-CN"/>
        </w:rPr>
        <w:t>7</w:t>
      </w:r>
      <w:r>
        <w:rPr>
          <w:rFonts w:hint="default" w:ascii="Times New Roman" w:hAnsi="Times New Roman" w:cs="Times New Roman"/>
          <w:color w:val="auto"/>
        </w:rPr>
        <w:t>月</w:t>
      </w:r>
      <w:r>
        <w:rPr>
          <w:rFonts w:hint="default" w:cs="Times New Roman"/>
          <w:color w:val="auto"/>
          <w:lang w:val="en-US" w:eastAsia="zh-CN"/>
        </w:rPr>
        <w:t>10</w:t>
      </w:r>
      <w:r>
        <w:rPr>
          <w:rFonts w:hint="default" w:ascii="Times New Roman" w:hAnsi="Times New Roman" w:cs="Times New Roman"/>
          <w:color w:val="auto"/>
        </w:rPr>
        <w:t>日</w:t>
      </w:r>
      <w:r>
        <w:rPr>
          <w:rFonts w:hint="default" w:cs="Times New Roman"/>
          <w:color w:val="auto"/>
          <w:lang w:val="en-US" w:eastAsia="zh-CN"/>
        </w:rPr>
        <w:t>至2025</w:t>
      </w:r>
      <w:r>
        <w:rPr>
          <w:rFonts w:hint="default" w:ascii="Times New Roman" w:hAnsi="Times New Roman" w:cs="Times New Roman"/>
          <w:color w:val="auto"/>
        </w:rPr>
        <w:t>年</w:t>
      </w:r>
      <w:r>
        <w:rPr>
          <w:rFonts w:hint="default" w:cs="Times New Roman"/>
          <w:color w:val="auto"/>
          <w:lang w:val="en-US" w:eastAsia="zh-CN"/>
        </w:rPr>
        <w:t>7</w:t>
      </w:r>
      <w:r>
        <w:rPr>
          <w:rFonts w:hint="default" w:ascii="Times New Roman" w:hAnsi="Times New Roman" w:cs="Times New Roman"/>
          <w:color w:val="auto"/>
        </w:rPr>
        <w:t>月</w:t>
      </w:r>
      <w:r>
        <w:rPr>
          <w:rFonts w:hint="default" w:cs="Times New Roman"/>
          <w:color w:val="auto"/>
          <w:lang w:val="en-US" w:eastAsia="zh-CN"/>
        </w:rPr>
        <w:t>25</w:t>
      </w:r>
      <w:r>
        <w:rPr>
          <w:rFonts w:hint="default" w:ascii="Times New Roman" w:hAnsi="Times New Roman" w:cs="Times New Roman"/>
          <w:color w:val="auto"/>
        </w:rPr>
        <w:t>日</w:t>
      </w:r>
      <w:r>
        <w:rPr>
          <w:rFonts w:hint="default" w:cs="Times New Roman"/>
          <w:color w:val="auto"/>
          <w:lang w:eastAsia="zh-CN"/>
        </w:rPr>
        <w:t>，</w:t>
      </w:r>
      <w:r>
        <w:rPr>
          <w:color w:val="auto"/>
        </w:rPr>
        <w:t>绩效评价组采取现场和非现场评价相结合的方式开展调研、查阅基础资料、数据采集、访谈、数据分析等绩效评价工作，具体实施情况如下：</w:t>
      </w:r>
    </w:p>
    <w:p w14:paraId="5AFD7F3B">
      <w:pPr>
        <w:spacing w:before="0" w:after="0" w:line="360" w:lineRule="auto"/>
        <w:ind w:firstLine="640"/>
        <w:rPr>
          <w:color w:val="auto"/>
          <w:highlight w:val="none"/>
        </w:rPr>
      </w:pPr>
      <w:bookmarkStart w:id="62" w:name="_Toc11994"/>
      <w:r>
        <w:rPr>
          <w:color w:val="auto"/>
        </w:rPr>
        <w:t>（1）</w:t>
      </w:r>
      <w:r>
        <w:rPr>
          <w:rFonts w:hint="default"/>
          <w:color w:val="auto"/>
        </w:rPr>
        <w:t>与</w:t>
      </w:r>
      <w:r>
        <w:rPr>
          <w:rFonts w:hint="default"/>
          <w:color w:val="auto"/>
          <w:lang w:val="en-US" w:eastAsia="zh-CN"/>
        </w:rPr>
        <w:t>吉木萨尔县二工镇人民政府相关业务处室</w:t>
      </w:r>
      <w:r>
        <w:rPr>
          <w:rFonts w:hint="default"/>
          <w:color w:val="auto"/>
        </w:rPr>
        <w:t>管理人员进行访谈沟通，全面了解项目实施的目的、预算安排、组织管理、实施结果等方面的内容。</w:t>
      </w:r>
      <w:r>
        <w:rPr>
          <w:color w:val="auto"/>
        </w:rPr>
        <w:t>根据</w:t>
      </w:r>
      <w:r>
        <w:rPr>
          <w:rFonts w:hint="default"/>
          <w:color w:val="auto"/>
          <w:lang w:val="en-US" w:eastAsia="zh-CN"/>
        </w:rPr>
        <w:t>吉木萨尔县二工镇人民政府</w:t>
      </w:r>
      <w:r>
        <w:rPr>
          <w:color w:val="auto"/>
        </w:rPr>
        <w:t>提供的项目立项、实施、资金使用及管理等方面的资料，对资料进行梳理、分析，并对标相关的政策依据、法律法规、单位制度</w:t>
      </w:r>
      <w:r>
        <w:rPr>
          <w:color w:val="auto"/>
          <w:highlight w:val="none"/>
        </w:rPr>
        <w:t>等，</w:t>
      </w:r>
      <w:r>
        <w:rPr>
          <w:rFonts w:hint="default"/>
          <w:color w:val="auto"/>
          <w:highlight w:val="none"/>
        </w:rPr>
        <w:t>完成绩效评价内容所需的印证资料整理汇总。</w:t>
      </w:r>
    </w:p>
    <w:p w14:paraId="51868F42">
      <w:pPr>
        <w:spacing w:before="0" w:after="0" w:line="360" w:lineRule="auto"/>
        <w:ind w:firstLine="0"/>
        <w:rPr>
          <w:rFonts w:hint="default" w:eastAsiaTheme="minorEastAsia"/>
          <w:color w:val="auto"/>
          <w:highlight w:val="none"/>
          <w:lang w:val="en-US" w:eastAsia="zh-CN"/>
        </w:rPr>
      </w:pPr>
      <w:r>
        <w:rPr>
          <w:color w:val="auto"/>
          <w:highlight w:val="none"/>
        </w:rPr>
        <w:t>（</w:t>
      </w:r>
      <w:r>
        <w:rPr>
          <w:rFonts w:hint="default"/>
          <w:color w:val="auto"/>
          <w:highlight w:val="none"/>
          <w:lang w:val="en-US" w:eastAsia="zh-CN"/>
        </w:rPr>
        <w:t>2</w:t>
      </w:r>
      <w:r>
        <w:rPr>
          <w:color w:val="auto"/>
          <w:highlight w:val="none"/>
        </w:rPr>
        <w:t>）</w:t>
      </w:r>
      <w:bookmarkEnd w:id="62"/>
      <w:bookmarkStart w:id="63" w:name="_Toc26870"/>
      <w:bookmarkStart w:id="64" w:name="_Toc428278235"/>
      <w:bookmarkStart w:id="65" w:name="_Toc419984726"/>
      <w:r>
        <w:rPr>
          <w:rFonts w:hint="default"/>
          <w:color w:val="auto"/>
          <w:highlight w:val="none"/>
        </w:rPr>
        <w:t>实地调研和</w:t>
      </w:r>
      <w:r>
        <w:rPr>
          <w:rFonts w:hint="default"/>
          <w:color w:val="auto"/>
          <w:highlight w:val="none"/>
          <w:lang w:eastAsia="zh-CN"/>
        </w:rPr>
        <w:t>现场勘查，</w:t>
      </w:r>
      <w:r>
        <w:rPr>
          <w:rFonts w:hint="default"/>
          <w:b w:val="0"/>
          <w:bCs w:val="0"/>
          <w:color w:val="auto"/>
          <w:highlight w:val="none"/>
          <w:lang w:val="en-US" w:eastAsia="zh-CN"/>
        </w:rPr>
        <w:t>现场补充</w:t>
      </w:r>
      <w:r>
        <w:rPr>
          <w:b w:val="0"/>
          <w:bCs w:val="0"/>
          <w:color w:val="auto"/>
          <w:highlight w:val="none"/>
        </w:rPr>
        <w:t>收集</w:t>
      </w:r>
      <w:r>
        <w:rPr>
          <w:rFonts w:hint="default"/>
          <w:b w:val="0"/>
          <w:bCs w:val="0"/>
          <w:color w:val="auto"/>
          <w:highlight w:val="none"/>
          <w:lang w:val="en-US" w:eastAsia="zh-CN"/>
        </w:rPr>
        <w:t>前期提供不全的项目资料</w:t>
      </w:r>
      <w:r>
        <w:rPr>
          <w:b w:val="0"/>
          <w:bCs w:val="0"/>
          <w:color w:val="auto"/>
          <w:highlight w:val="none"/>
        </w:rPr>
        <w:t>，完成</w:t>
      </w:r>
      <w:r>
        <w:rPr>
          <w:rFonts w:hint="default"/>
          <w:b w:val="0"/>
          <w:bCs w:val="0"/>
          <w:color w:val="auto"/>
          <w:highlight w:val="none"/>
          <w:lang w:val="en-US" w:eastAsia="zh-CN"/>
        </w:rPr>
        <w:t>现场勘察</w:t>
      </w:r>
      <w:r>
        <w:rPr>
          <w:b w:val="0"/>
          <w:bCs w:val="0"/>
          <w:color w:val="auto"/>
          <w:highlight w:val="none"/>
        </w:rPr>
        <w:t>资料</w:t>
      </w:r>
      <w:r>
        <w:rPr>
          <w:rFonts w:hint="default"/>
          <w:b w:val="0"/>
          <w:bCs w:val="0"/>
          <w:color w:val="auto"/>
          <w:highlight w:val="none"/>
          <w:lang w:val="en-US" w:eastAsia="zh-CN"/>
        </w:rPr>
        <w:t>与补充收集资料的</w:t>
      </w:r>
      <w:r>
        <w:rPr>
          <w:b w:val="0"/>
          <w:bCs w:val="0"/>
          <w:color w:val="auto"/>
          <w:highlight w:val="none"/>
        </w:rPr>
        <w:t>整理汇总</w:t>
      </w:r>
      <w:r>
        <w:rPr>
          <w:rFonts w:hint="default"/>
          <w:b w:val="0"/>
          <w:bCs w:val="0"/>
          <w:color w:val="auto"/>
          <w:highlight w:val="none"/>
          <w:lang w:val="en-US" w:eastAsia="zh-CN"/>
        </w:rPr>
        <w:t>。</w:t>
      </w:r>
      <w:r>
        <w:rPr>
          <w:rFonts w:hint="default"/>
          <w:color w:val="auto"/>
          <w:highlight w:val="none"/>
          <w:lang w:eastAsia="zh-CN"/>
        </w:rPr>
        <w:t>对项目管理和资产状况进行调查、记录，与项目负责人进行交谈，并对必要的财务数据进行现场调研取证，了解项目</w:t>
      </w:r>
      <w:r>
        <w:rPr>
          <w:rFonts w:hint="default"/>
          <w:color w:val="auto"/>
          <w:highlight w:val="none"/>
          <w:lang w:val="en-US" w:eastAsia="zh-CN"/>
        </w:rPr>
        <w:t>完工进度情况</w:t>
      </w:r>
      <w:r>
        <w:rPr>
          <w:rFonts w:hint="default"/>
          <w:color w:val="auto"/>
          <w:highlight w:val="none"/>
          <w:lang w:eastAsia="zh-CN"/>
        </w:rPr>
        <w:t>。</w:t>
      </w:r>
    </w:p>
    <w:p w14:paraId="733FD8A7">
      <w:pPr>
        <w:spacing w:before="0" w:after="0" w:line="360" w:lineRule="auto"/>
        <w:ind w:firstLine="640"/>
        <w:rPr>
          <w:rFonts w:hint="default"/>
          <w:b/>
          <w:bCs/>
          <w:color w:val="auto"/>
          <w:lang w:val="en-US" w:eastAsia="zh-CN"/>
        </w:rPr>
      </w:pPr>
      <w:r>
        <w:rPr>
          <w:rFonts w:hint="default"/>
          <w:color w:val="auto"/>
          <w:highlight w:val="none"/>
          <w:lang w:eastAsia="zh-CN"/>
        </w:rPr>
        <w:t>（</w:t>
      </w:r>
      <w:r>
        <w:rPr>
          <w:rFonts w:hint="default"/>
          <w:color w:val="auto"/>
          <w:highlight w:val="none"/>
          <w:lang w:val="en-US" w:eastAsia="zh-CN"/>
        </w:rPr>
        <w:t>3</w:t>
      </w:r>
      <w:r>
        <w:rPr>
          <w:rFonts w:hint="default"/>
          <w:color w:val="auto"/>
          <w:highlight w:val="none"/>
          <w:lang w:eastAsia="zh-CN"/>
        </w:rPr>
        <w:t>）</w:t>
      </w:r>
      <w:bookmarkEnd w:id="63"/>
      <w:bookmarkEnd w:id="64"/>
      <w:bookmarkEnd w:id="65"/>
      <w:r>
        <w:rPr>
          <w:rFonts w:hint="default"/>
          <w:color w:val="auto"/>
        </w:rPr>
        <w:t>经调研了解，对有明确受益对象的评价项目，设计满意度调查问卷，对调查对象开展独立第三方调研工作。</w:t>
      </w:r>
      <w:r>
        <w:rPr>
          <w:rFonts w:hint="default"/>
          <w:color w:val="auto"/>
          <w:lang w:val="en-US" w:eastAsia="zh-CN"/>
        </w:rPr>
        <w:t>该项目受益对象主要为</w:t>
      </w:r>
      <w:r>
        <w:rPr>
          <w:rFonts w:hint="default"/>
          <w:lang w:val="en-US" w:eastAsia="zh-CN"/>
        </w:rPr>
        <w:t>参与工程建设的务工群众</w:t>
      </w:r>
      <w:r>
        <w:rPr>
          <w:rFonts w:hint="default"/>
          <w:color w:val="auto"/>
        </w:rPr>
        <w:t>。</w:t>
      </w:r>
      <w:r>
        <w:rPr>
          <w:rFonts w:hint="default"/>
          <w:color w:val="auto"/>
          <w:lang w:val="en-US" w:eastAsia="zh-CN"/>
        </w:rPr>
        <w:t>本次满意度问卷调查按照不低于受益对象30</w:t>
      </w:r>
      <w:r>
        <w:rPr>
          <w:rFonts w:hint="eastAsia"/>
          <w:color w:val="auto"/>
          <w:lang w:val="en-US" w:eastAsia="zh-CN"/>
        </w:rPr>
        <w:t>%的</w:t>
      </w:r>
      <w:r>
        <w:rPr>
          <w:rFonts w:hint="default"/>
          <w:color w:val="auto"/>
          <w:lang w:val="en-US" w:eastAsia="zh-CN"/>
        </w:rPr>
        <w:t>比例</w:t>
      </w:r>
      <w:r>
        <w:rPr>
          <w:rFonts w:hint="default"/>
          <w:color w:val="auto"/>
        </w:rPr>
        <w:t>对该项目</w:t>
      </w:r>
      <w:r>
        <w:rPr>
          <w:rFonts w:hint="default"/>
          <w:color w:val="auto"/>
          <w:lang w:val="en-US" w:eastAsia="zh-CN"/>
        </w:rPr>
        <w:t>受益</w:t>
      </w:r>
      <w:r>
        <w:rPr>
          <w:rFonts w:hint="default"/>
          <w:color w:val="auto"/>
          <w:lang w:eastAsia="zh-CN"/>
        </w:rPr>
        <w:t>参与工程建设的务工群众</w:t>
      </w:r>
      <w:r>
        <w:rPr>
          <w:rFonts w:hint="default"/>
          <w:color w:val="auto"/>
          <w:lang w:val="en-US" w:eastAsia="zh-CN"/>
        </w:rPr>
        <w:t>发放问卷60</w:t>
      </w:r>
      <w:r>
        <w:rPr>
          <w:rFonts w:hint="default"/>
          <w:color w:val="auto"/>
        </w:rPr>
        <w:t>份，最终收回</w:t>
      </w:r>
      <w:r>
        <w:rPr>
          <w:rFonts w:hint="default"/>
          <w:color w:val="auto"/>
          <w:lang w:val="en-US" w:eastAsia="zh-CN"/>
        </w:rPr>
        <w:t>问卷60</w:t>
      </w:r>
      <w:r>
        <w:rPr>
          <w:rFonts w:hint="default"/>
          <w:color w:val="auto"/>
        </w:rPr>
        <w:t>份，有效问卷</w:t>
      </w:r>
      <w:r>
        <w:rPr>
          <w:rFonts w:hint="default"/>
          <w:color w:val="auto"/>
          <w:lang w:val="en-US" w:eastAsia="zh-CN"/>
        </w:rPr>
        <w:t>60</w:t>
      </w:r>
      <w:r>
        <w:rPr>
          <w:rFonts w:hint="default"/>
          <w:color w:val="auto"/>
        </w:rPr>
        <w:t>份</w:t>
      </w:r>
      <w:r>
        <w:rPr>
          <w:rFonts w:hint="default"/>
          <w:b/>
          <w:bCs/>
          <w:color w:val="auto"/>
          <w:lang w:val="en-US" w:eastAsia="zh-CN"/>
        </w:rPr>
        <w:t>。</w:t>
      </w:r>
    </w:p>
    <w:p w14:paraId="76590F31">
      <w:pPr>
        <w:spacing w:before="0" w:after="0" w:line="360" w:lineRule="auto"/>
        <w:ind w:firstLine="640"/>
        <w:rPr>
          <w:color w:val="auto"/>
        </w:rPr>
      </w:pPr>
      <w:r>
        <w:rPr>
          <w:rFonts w:hint="default"/>
          <w:color w:val="auto"/>
          <w:kern w:val="0"/>
          <w:szCs w:val="24"/>
          <w:highlight w:val="none"/>
          <w:lang w:eastAsia="zh-CN"/>
        </w:rPr>
        <w:t>（</w:t>
      </w:r>
      <w:r>
        <w:rPr>
          <w:rFonts w:hint="default"/>
          <w:color w:val="auto"/>
          <w:kern w:val="0"/>
          <w:szCs w:val="24"/>
          <w:highlight w:val="none"/>
          <w:lang w:val="en-US" w:eastAsia="zh-CN"/>
        </w:rPr>
        <w:t>4</w:t>
      </w:r>
      <w:r>
        <w:rPr>
          <w:rFonts w:hint="default"/>
          <w:color w:val="auto"/>
          <w:kern w:val="0"/>
          <w:szCs w:val="24"/>
          <w:highlight w:val="none"/>
          <w:lang w:eastAsia="zh-CN"/>
        </w:rPr>
        <w:t>）</w:t>
      </w:r>
      <w:r>
        <w:rPr>
          <w:color w:val="auto"/>
          <w:kern w:val="0"/>
          <w:szCs w:val="24"/>
          <w:highlight w:val="none"/>
        </w:rPr>
        <w:t>通过对采集的数据资料进行复核汇总、分类整理和综合分析，按照设立的评价指标、标准、权重、方法</w:t>
      </w:r>
      <w:r>
        <w:rPr>
          <w:color w:val="auto"/>
          <w:kern w:val="0"/>
          <w:szCs w:val="24"/>
        </w:rPr>
        <w:t>实施评价，并形成评价工作底稿</w:t>
      </w:r>
      <w:r>
        <w:rPr>
          <w:color w:val="auto"/>
        </w:rPr>
        <w:t>。</w:t>
      </w:r>
    </w:p>
    <w:p w14:paraId="2DBFA4D5">
      <w:pPr>
        <w:pStyle w:val="5"/>
        <w:spacing w:before="0" w:after="0" w:line="360" w:lineRule="auto"/>
        <w:ind w:firstLine="641"/>
        <w:rPr>
          <w:rFonts w:ascii="Times New Roman" w:hAnsi="Times New Roman"/>
          <w:color w:val="auto"/>
        </w:rPr>
      </w:pPr>
      <w:bookmarkStart w:id="66" w:name="_Toc2618"/>
      <w:r>
        <w:rPr>
          <w:rFonts w:ascii="Times New Roman" w:hAnsi="Times New Roman"/>
          <w:color w:val="auto"/>
        </w:rPr>
        <w:t>4.撰写评价报告</w:t>
      </w:r>
      <w:bookmarkEnd w:id="66"/>
    </w:p>
    <w:p w14:paraId="6504CB5A">
      <w:pPr>
        <w:spacing w:before="0" w:after="0" w:line="360" w:lineRule="auto"/>
        <w:ind w:firstLine="640"/>
        <w:rPr>
          <w:color w:val="auto"/>
        </w:rPr>
      </w:pPr>
      <w:r>
        <w:rPr>
          <w:rFonts w:hint="default" w:cs="Times New Roman"/>
          <w:color w:val="auto"/>
          <w:lang w:val="en-US" w:eastAsia="zh-CN"/>
        </w:rPr>
        <w:t>2025</w:t>
      </w:r>
      <w:r>
        <w:rPr>
          <w:rFonts w:hint="default" w:ascii="Times New Roman" w:hAnsi="Times New Roman" w:cs="Times New Roman"/>
          <w:color w:val="auto"/>
        </w:rPr>
        <w:t>年</w:t>
      </w:r>
      <w:r>
        <w:rPr>
          <w:rFonts w:hint="default" w:cs="Times New Roman"/>
          <w:color w:val="auto"/>
          <w:lang w:val="en-US" w:eastAsia="zh-CN"/>
        </w:rPr>
        <w:t>7</w:t>
      </w:r>
      <w:r>
        <w:rPr>
          <w:rFonts w:hint="default" w:ascii="Times New Roman" w:hAnsi="Times New Roman" w:cs="Times New Roman"/>
          <w:color w:val="auto"/>
        </w:rPr>
        <w:t>月</w:t>
      </w:r>
      <w:r>
        <w:rPr>
          <w:rFonts w:hint="default" w:cs="Times New Roman"/>
          <w:color w:val="auto"/>
          <w:lang w:val="en-US" w:eastAsia="zh-CN"/>
        </w:rPr>
        <w:t>26</w:t>
      </w:r>
      <w:r>
        <w:rPr>
          <w:rFonts w:hint="default" w:ascii="Times New Roman" w:hAnsi="Times New Roman" w:cs="Times New Roman"/>
          <w:color w:val="auto"/>
        </w:rPr>
        <w:t>日</w:t>
      </w:r>
      <w:r>
        <w:rPr>
          <w:rFonts w:hint="default" w:cs="Times New Roman"/>
          <w:color w:val="auto"/>
          <w:lang w:val="en-US" w:eastAsia="zh-CN"/>
        </w:rPr>
        <w:t>至2025</w:t>
      </w:r>
      <w:r>
        <w:rPr>
          <w:rFonts w:hint="default" w:ascii="Times New Roman" w:hAnsi="Times New Roman" w:cs="Times New Roman"/>
          <w:color w:val="auto"/>
        </w:rPr>
        <w:t>年</w:t>
      </w:r>
      <w:r>
        <w:rPr>
          <w:rFonts w:hint="default" w:cs="Times New Roman"/>
          <w:color w:val="auto"/>
          <w:lang w:val="en-US" w:eastAsia="zh-CN"/>
        </w:rPr>
        <w:t>8</w:t>
      </w:r>
      <w:r>
        <w:rPr>
          <w:rFonts w:hint="default" w:ascii="Times New Roman" w:hAnsi="Times New Roman" w:cs="Times New Roman"/>
          <w:color w:val="auto"/>
        </w:rPr>
        <w:t>月</w:t>
      </w:r>
      <w:r>
        <w:rPr>
          <w:rFonts w:hint="default" w:cs="Times New Roman"/>
          <w:color w:val="auto"/>
          <w:lang w:val="en-US" w:eastAsia="zh-CN"/>
        </w:rPr>
        <w:t>25</w:t>
      </w:r>
      <w:r>
        <w:rPr>
          <w:rFonts w:hint="default" w:ascii="Times New Roman" w:hAnsi="Times New Roman" w:cs="Times New Roman"/>
          <w:color w:val="auto"/>
        </w:rPr>
        <w:t>日</w:t>
      </w:r>
      <w:r>
        <w:rPr>
          <w:rFonts w:hint="default" w:cs="Times New Roman"/>
          <w:color w:val="auto"/>
          <w:lang w:eastAsia="zh-CN"/>
        </w:rPr>
        <w:t>，</w:t>
      </w:r>
      <w:r>
        <w:rPr>
          <w:color w:val="auto"/>
        </w:rPr>
        <w:t>归集绩效评价工作底稿，起草项目绩效评价报告，经公司内部质量审核通过后向委托人提交绩效评价报告初稿，并报送项目实施单位以及行业主管部门，进行结果反馈，充分交换意见</w:t>
      </w:r>
    </w:p>
    <w:p w14:paraId="77F062D2">
      <w:pPr>
        <w:pStyle w:val="5"/>
        <w:spacing w:before="0" w:after="0" w:line="360" w:lineRule="auto"/>
        <w:ind w:firstLine="641"/>
        <w:rPr>
          <w:rFonts w:hint="default" w:ascii="Times New Roman" w:hAnsi="Times New Roman" w:cs="Times New Roman"/>
          <w:color w:val="auto"/>
        </w:rPr>
      </w:pPr>
      <w:r>
        <w:rPr>
          <w:rFonts w:hint="default" w:ascii="Times New Roman" w:hAnsi="Times New Roman" w:cs="Times New Roman"/>
          <w:color w:val="auto"/>
          <w:lang w:val="en-US" w:eastAsia="zh-CN"/>
        </w:rPr>
        <w:t>5</w:t>
      </w:r>
      <w:r>
        <w:rPr>
          <w:rFonts w:hint="default" w:ascii="Times New Roman" w:hAnsi="Times New Roman" w:cs="Times New Roman"/>
          <w:color w:val="auto"/>
        </w:rPr>
        <w:t>.资料档案</w:t>
      </w:r>
    </w:p>
    <w:p w14:paraId="7EAFC602">
      <w:pPr>
        <w:spacing w:before="0" w:after="0" w:line="360" w:lineRule="auto"/>
        <w:ind w:firstLine="640"/>
        <w:rPr>
          <w:rFonts w:hint="default"/>
          <w:color w:val="auto"/>
        </w:rPr>
      </w:pPr>
      <w:r>
        <w:rPr>
          <w:rFonts w:hint="default"/>
          <w:color w:val="auto"/>
        </w:rPr>
        <w:t>第三方机构将绩效评价过程中收集的全部有效资料，主要包括绩效评价工作方案、绩效指标的佐证材料、各单位反馈意见和建议、实地调研记录、调查问卷、绩效评价报告等一并归档，并按照有关档案管理规定妥善管理。</w:t>
      </w:r>
    </w:p>
    <w:p w14:paraId="06859071">
      <w:pPr>
        <w:pStyle w:val="2"/>
        <w:pageBreakBefore w:val="0"/>
        <w:kinsoku/>
        <w:wordWrap/>
        <w:overflowPunct/>
        <w:topLinePunct w:val="0"/>
        <w:autoSpaceDE/>
        <w:autoSpaceDN/>
        <w:bidi w:val="0"/>
        <w:snapToGrid w:val="0"/>
        <w:spacing w:before="0" w:after="0" w:line="360" w:lineRule="auto"/>
        <w:ind w:firstLine="482"/>
        <w:rPr>
          <w:color w:val="auto"/>
        </w:rPr>
      </w:pPr>
      <w:bookmarkStart w:id="67" w:name="_Toc7926"/>
      <w:r>
        <w:rPr>
          <w:rFonts w:hint="default"/>
          <w:color w:val="auto"/>
        </w:rPr>
        <w:t>四</w:t>
      </w:r>
      <w:r>
        <w:rPr>
          <w:color w:val="auto"/>
        </w:rPr>
        <w:t>、综合评价情况及评价结论</w:t>
      </w:r>
      <w:bookmarkEnd w:id="43"/>
      <w:bookmarkEnd w:id="67"/>
    </w:p>
    <w:p w14:paraId="791D307A">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lang w:eastAsia="zh-TW"/>
        </w:rPr>
      </w:pPr>
      <w:bookmarkStart w:id="68" w:name="_Toc7590"/>
      <w:bookmarkStart w:id="69" w:name="_Toc22544"/>
      <w:bookmarkStart w:id="70" w:name="_Toc535"/>
      <w:r>
        <w:rPr>
          <w:rFonts w:hint="default" w:ascii="Times New Roman" w:hAnsi="Times New Roman"/>
          <w:color w:val="auto"/>
        </w:rPr>
        <w:t>（一）评价得分情况</w:t>
      </w:r>
      <w:bookmarkEnd w:id="68"/>
    </w:p>
    <w:p w14:paraId="0F118D29">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lang w:val="zh-TW" w:eastAsia="zh-TW"/>
        </w:rPr>
        <w:t>通过调研、数据分析、访谈等方式，根据绩效评价方案确定的指标体系及评分标准，对“</w:t>
      </w:r>
      <w:r>
        <w:rPr>
          <w:rFonts w:hint="default"/>
          <w:color w:val="auto"/>
          <w:lang w:val="en-US" w:eastAsia="zh-CN"/>
        </w:rPr>
        <w:t>吉木萨尔县二工镇大泉湖村2024年以工代赈基础设施建设项目</w:t>
      </w:r>
      <w:r>
        <w:rPr>
          <w:rFonts w:hint="default"/>
          <w:color w:val="auto"/>
          <w:lang w:val="zh-TW" w:eastAsia="zh-TW"/>
        </w:rPr>
        <w:t>”绩效进行客观评价，经评价分析，该项目最终评分结果为</w:t>
      </w:r>
      <w:r>
        <w:rPr>
          <w:rFonts w:hint="default"/>
          <w:color w:val="auto"/>
          <w:lang w:val="en-US" w:eastAsia="zh-CN"/>
        </w:rPr>
        <w:t>85.</w:t>
      </w:r>
      <w:r>
        <w:rPr>
          <w:rFonts w:hint="eastAsia"/>
          <w:color w:val="auto"/>
          <w:lang w:val="en-US" w:eastAsia="zh-CN"/>
        </w:rPr>
        <w:t>7</w:t>
      </w:r>
      <w:r>
        <w:rPr>
          <w:rFonts w:hint="default"/>
          <w:color w:val="auto"/>
          <w:lang w:val="en-US" w:eastAsia="zh-CN"/>
        </w:rPr>
        <w:t>8</w:t>
      </w:r>
      <w:r>
        <w:rPr>
          <w:rFonts w:hint="default"/>
          <w:color w:val="auto"/>
          <w:lang w:val="zh-TW" w:eastAsia="zh-TW"/>
        </w:rPr>
        <w:t>分，绩效评级为“</w:t>
      </w:r>
      <w:r>
        <w:rPr>
          <w:rFonts w:hint="default"/>
          <w:color w:val="auto"/>
          <w:lang w:val="en-US" w:eastAsia="zh-CN"/>
        </w:rPr>
        <w:t>良</w:t>
      </w:r>
      <w:r>
        <w:rPr>
          <w:rFonts w:hint="default"/>
          <w:color w:val="auto"/>
          <w:lang w:val="zh-TW" w:eastAsia="zh-TW"/>
        </w:rPr>
        <w:t>”。各部分权重和绩效分值如下表：</w:t>
      </w:r>
    </w:p>
    <w:p w14:paraId="78F4CD0A">
      <w:pPr>
        <w:pageBreakBefore w:val="0"/>
        <w:kinsoku/>
        <w:wordWrap/>
        <w:overflowPunct/>
        <w:topLinePunct w:val="0"/>
        <w:autoSpaceDE/>
        <w:autoSpaceDN/>
        <w:bidi w:val="0"/>
        <w:snapToGrid w:val="0"/>
        <w:spacing w:before="0" w:after="0" w:line="360" w:lineRule="auto"/>
        <w:ind w:firstLine="0" w:firstLineChars="0"/>
        <w:jc w:val="center"/>
        <w:rPr>
          <w:rFonts w:ascii="Times New Roman" w:hAnsi="Times New Roman" w:eastAsia="黑体" w:cs="Times New Roman"/>
          <w:color w:val="auto"/>
        </w:rPr>
      </w:pPr>
      <w:r>
        <w:rPr>
          <w:rFonts w:hint="default" w:ascii="Times New Roman" w:hAnsi="Times New Roman" w:eastAsia="黑体" w:cs="Times New Roman"/>
          <w:color w:val="auto"/>
          <w:lang w:val="zh-TW" w:eastAsia="zh-TW"/>
        </w:rPr>
        <w:t>表</w:t>
      </w:r>
      <w:r>
        <w:rPr>
          <w:rFonts w:hint="default" w:ascii="Times New Roman" w:hAnsi="Times New Roman" w:eastAsia="黑体" w:cs="Times New Roman"/>
          <w:color w:val="auto"/>
          <w:lang w:val="en-US" w:eastAsia="zh-CN"/>
        </w:rPr>
        <w:t>4</w:t>
      </w:r>
      <w:r>
        <w:rPr>
          <w:rFonts w:hint="default" w:ascii="Times New Roman" w:hAnsi="Times New Roman" w:eastAsia="黑体" w:cs="Times New Roman"/>
          <w:color w:val="auto"/>
          <w:lang w:val="zh-TW" w:eastAsia="zh-TW"/>
        </w:rPr>
        <w:t>-1</w:t>
      </w:r>
      <w:r>
        <w:rPr>
          <w:rFonts w:hint="default" w:ascii="Times New Roman" w:hAnsi="Times New Roman" w:eastAsia="黑体" w:cs="Times New Roman"/>
          <w:color w:val="auto"/>
          <w:lang w:val="zh-TW" w:eastAsia="zh-CN"/>
        </w:rPr>
        <w:t>：</w:t>
      </w:r>
      <w:r>
        <w:rPr>
          <w:rFonts w:hint="default" w:ascii="Times New Roman" w:hAnsi="Times New Roman" w:eastAsia="黑体" w:cs="Times New Roman"/>
          <w:color w:val="auto"/>
          <w:lang w:val="en-US" w:eastAsia="zh-CN"/>
        </w:rPr>
        <w:t>吉木萨尔县二工镇大泉湖村2024年以工代赈基础设施建设项目</w:t>
      </w:r>
      <w:r>
        <w:rPr>
          <w:rFonts w:hint="default" w:ascii="Times New Roman" w:hAnsi="Times New Roman" w:eastAsia="黑体" w:cs="Times New Roman"/>
          <w:color w:val="auto"/>
          <w:lang w:val="zh-TW"/>
        </w:rPr>
        <w:t>得分表</w:t>
      </w:r>
    </w:p>
    <w:tbl>
      <w:tblPr>
        <w:tblStyle w:val="18"/>
        <w:tblW w:w="4998" w:type="pct"/>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83"/>
        <w:gridCol w:w="1613"/>
        <w:gridCol w:w="1613"/>
        <w:gridCol w:w="1613"/>
        <w:gridCol w:w="1613"/>
        <w:gridCol w:w="1128"/>
      </w:tblGrid>
      <w:tr w14:paraId="1BDC92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4"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69F2A61">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指标</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6A0A00E">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项目决策类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62A5BF2">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过程</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18A7DF92">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产出</w:t>
            </w:r>
            <w:r>
              <w:rPr>
                <w:rFonts w:hAnsi="Times New Roman" w:eastAsia="宋体" w:cs="Times New Roman"/>
                <w:b/>
                <w:bCs/>
                <w:color w:val="auto"/>
                <w:sz w:val="21"/>
                <w:szCs w:val="21"/>
                <w:lang w:val="zh-TW" w:eastAsia="zh-TW"/>
              </w:rPr>
              <w:t>类</w:t>
            </w:r>
          </w:p>
        </w:tc>
        <w:tc>
          <w:tcPr>
            <w:tcW w:w="952"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6D47CB02">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lang w:val="zh-TW" w:eastAsia="zh-TW"/>
              </w:rPr>
            </w:pPr>
            <w:r>
              <w:rPr>
                <w:rFonts w:hAnsi="Times New Roman" w:eastAsia="宋体" w:cs="Times New Roman"/>
                <w:b/>
                <w:bCs/>
                <w:color w:val="auto"/>
                <w:sz w:val="21"/>
                <w:szCs w:val="21"/>
                <w:lang w:val="zh-TW" w:eastAsia="zh-TW"/>
              </w:rPr>
              <w:t>项目</w:t>
            </w:r>
            <w:r>
              <w:rPr>
                <w:rFonts w:hAnsi="Times New Roman" w:eastAsia="宋体" w:cs="Times New Roman"/>
                <w:b/>
                <w:bCs/>
                <w:color w:val="auto"/>
                <w:sz w:val="21"/>
                <w:szCs w:val="21"/>
              </w:rPr>
              <w:t>效益</w:t>
            </w:r>
            <w:r>
              <w:rPr>
                <w:rFonts w:hAnsi="Times New Roman" w:eastAsia="宋体" w:cs="Times New Roman"/>
                <w:b/>
                <w:bCs/>
                <w:color w:val="auto"/>
                <w:sz w:val="21"/>
                <w:szCs w:val="21"/>
                <w:lang w:val="zh-TW" w:eastAsia="zh-TW"/>
              </w:rPr>
              <w:t>类</w:t>
            </w:r>
          </w:p>
        </w:tc>
        <w:tc>
          <w:tcPr>
            <w:tcW w:w="666"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A9C9DA8">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合计分值</w:t>
            </w:r>
          </w:p>
        </w:tc>
      </w:tr>
      <w:tr w14:paraId="03B753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F60D4E4">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权重</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8D91335">
            <w:pPr>
              <w:pStyle w:val="30"/>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10.00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1093B50">
            <w:pPr>
              <w:pStyle w:val="30"/>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25.00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F824784">
            <w:pPr>
              <w:pStyle w:val="30"/>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35.00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6DC0530">
            <w:pPr>
              <w:pStyle w:val="30"/>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30.00</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E7615E5">
            <w:pPr>
              <w:pStyle w:val="30"/>
              <w:pageBreakBefore w:val="0"/>
              <w:kinsoku/>
              <w:wordWrap/>
              <w:overflowPunct/>
              <w:topLinePunct w:val="0"/>
              <w:autoSpaceDE/>
              <w:autoSpaceDN/>
              <w:bidi w:val="0"/>
              <w:snapToGrid w:val="0"/>
              <w:spacing w:before="0" w:after="0" w:line="240" w:lineRule="auto"/>
              <w:jc w:val="center"/>
              <w:rPr>
                <w:rFonts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100.00</w:t>
            </w:r>
          </w:p>
        </w:tc>
      </w:tr>
      <w:tr w14:paraId="2CB4C2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7"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34C4EC34">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196E0041">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9.</w:t>
            </w:r>
            <w:r>
              <w:rPr>
                <w:rFonts w:hint="eastAsia" w:hAnsi="Times New Roman" w:eastAsia="宋体" w:cs="Times New Roman"/>
                <w:b w:val="0"/>
                <w:bCs w:val="0"/>
                <w:color w:val="auto"/>
                <w:sz w:val="21"/>
                <w:szCs w:val="21"/>
                <w:lang w:val="en-US" w:eastAsia="zh-CN"/>
              </w:rPr>
              <w:t>6</w:t>
            </w:r>
            <w:r>
              <w:rPr>
                <w:rFonts w:hint="default" w:ascii="Times New Roman" w:hAnsi="Times New Roman" w:eastAsia="宋体" w:cs="Times New Roman"/>
                <w:b w:val="0"/>
                <w:bCs w:val="0"/>
                <w:color w:val="auto"/>
                <w:sz w:val="21"/>
                <w:szCs w:val="21"/>
                <w:lang w:val="en-US" w:eastAsia="zh-CN"/>
              </w:rPr>
              <w:t>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DD91F36">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18.50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24B6D77">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27.68</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2471C18">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30.00</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6852B47B">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85.</w:t>
            </w:r>
            <w:r>
              <w:rPr>
                <w:rFonts w:hint="eastAsia" w:hAnsi="Times New Roman" w:eastAsia="宋体" w:cs="Times New Roman"/>
                <w:b w:val="0"/>
                <w:bCs w:val="0"/>
                <w:color w:val="auto"/>
                <w:sz w:val="21"/>
                <w:szCs w:val="21"/>
                <w:lang w:val="en-US" w:eastAsia="zh-CN"/>
              </w:rPr>
              <w:t>7</w:t>
            </w:r>
            <w:r>
              <w:rPr>
                <w:rFonts w:hint="default" w:ascii="Times New Roman" w:hAnsi="Times New Roman" w:eastAsia="宋体" w:cs="Times New Roman"/>
                <w:b w:val="0"/>
                <w:bCs w:val="0"/>
                <w:color w:val="auto"/>
                <w:sz w:val="21"/>
                <w:szCs w:val="21"/>
                <w:lang w:val="en-US" w:eastAsia="zh-CN"/>
              </w:rPr>
              <w:t>8</w:t>
            </w:r>
          </w:p>
        </w:tc>
      </w:tr>
      <w:tr w14:paraId="454B71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521" w:type="pct"/>
            <w:tcBorders>
              <w:top w:val="single" w:color="000000" w:sz="4" w:space="0"/>
              <w:left w:val="single" w:color="000000" w:sz="4" w:space="0"/>
              <w:bottom w:val="single" w:color="000000" w:sz="4" w:space="0"/>
              <w:right w:val="single" w:color="000000" w:sz="4" w:space="0"/>
            </w:tcBorders>
            <w:shd w:val="clear" w:color="auto" w:fill="FFFFFF"/>
            <w:tcMar>
              <w:top w:w="80" w:type="dxa"/>
              <w:left w:w="80" w:type="dxa"/>
              <w:bottom w:w="80" w:type="dxa"/>
              <w:right w:w="80" w:type="dxa"/>
            </w:tcMar>
            <w:vAlign w:val="center"/>
          </w:tcPr>
          <w:p w14:paraId="4352DD55">
            <w:pPr>
              <w:pStyle w:val="30"/>
              <w:pageBreakBefore w:val="0"/>
              <w:kinsoku/>
              <w:wordWrap/>
              <w:overflowPunct/>
              <w:topLinePunct w:val="0"/>
              <w:autoSpaceDE/>
              <w:autoSpaceDN/>
              <w:bidi w:val="0"/>
              <w:snapToGrid w:val="0"/>
              <w:spacing w:before="0" w:after="0" w:line="240" w:lineRule="auto"/>
              <w:jc w:val="center"/>
              <w:rPr>
                <w:rFonts w:hAnsi="Times New Roman" w:eastAsia="宋体" w:cs="Times New Roman"/>
                <w:b/>
                <w:bCs/>
                <w:color w:val="auto"/>
                <w:sz w:val="21"/>
                <w:szCs w:val="21"/>
              </w:rPr>
            </w:pPr>
            <w:r>
              <w:rPr>
                <w:rFonts w:hAnsi="Times New Roman" w:eastAsia="宋体" w:cs="Times New Roman"/>
                <w:b/>
                <w:bCs/>
                <w:color w:val="auto"/>
                <w:sz w:val="21"/>
                <w:szCs w:val="21"/>
                <w:lang w:val="zh-TW" w:eastAsia="zh-TW"/>
              </w:rPr>
              <w:t>得分率</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5CB458EB">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9</w:t>
            </w:r>
            <w:r>
              <w:rPr>
                <w:rFonts w:hint="eastAsia" w:hAnsi="Times New Roman" w:eastAsia="宋体" w:cs="Times New Roman"/>
                <w:b w:val="0"/>
                <w:bCs w:val="0"/>
                <w:color w:val="auto"/>
                <w:sz w:val="21"/>
                <w:szCs w:val="21"/>
                <w:lang w:val="en-US" w:eastAsia="zh-CN"/>
              </w:rPr>
              <w:t>6</w:t>
            </w:r>
            <w:r>
              <w:rPr>
                <w:rFonts w:hint="default" w:ascii="Times New Roman" w:hAnsi="Times New Roman" w:eastAsia="宋体" w:cs="Times New Roman"/>
                <w:b w:val="0"/>
                <w:bCs w:val="0"/>
                <w:color w:val="auto"/>
                <w:sz w:val="21"/>
                <w:szCs w:val="21"/>
                <w:lang w:val="en-US" w:eastAsia="zh-CN"/>
              </w:rPr>
              <w:t>.00%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34B6EDE4">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74.00%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8467D18">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79.10%</w:t>
            </w:r>
          </w:p>
        </w:tc>
        <w:tc>
          <w:tcPr>
            <w:tcW w:w="1613"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0A059E01">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100.00%</w:t>
            </w:r>
          </w:p>
        </w:tc>
        <w:tc>
          <w:tcPr>
            <w:tcW w:w="1128" w:type="dxa"/>
            <w:tcBorders>
              <w:top w:val="single" w:color="000000" w:sz="4" w:space="0"/>
              <w:left w:val="single" w:color="000000" w:sz="4" w:space="0"/>
              <w:bottom w:val="single" w:color="000000" w:sz="4" w:space="0"/>
              <w:right w:val="single" w:color="000000" w:sz="4" w:space="0"/>
            </w:tcBorders>
            <w:tcMar>
              <w:top w:w="80" w:type="dxa"/>
              <w:left w:w="80" w:type="dxa"/>
              <w:bottom w:w="80" w:type="dxa"/>
              <w:right w:w="80" w:type="dxa"/>
            </w:tcMar>
            <w:vAlign w:val="center"/>
          </w:tcPr>
          <w:p w14:paraId="75030177">
            <w:pPr>
              <w:pStyle w:val="30"/>
              <w:pageBreakBefore w:val="0"/>
              <w:kinsoku/>
              <w:wordWrap/>
              <w:overflowPunct/>
              <w:topLinePunct w:val="0"/>
              <w:autoSpaceDE/>
              <w:autoSpaceDN/>
              <w:bidi w:val="0"/>
              <w:snapToGrid w:val="0"/>
              <w:spacing w:before="0" w:after="0" w:line="240" w:lineRule="auto"/>
              <w:jc w:val="center"/>
              <w:rPr>
                <w:rFonts w:hint="default" w:ascii="Times New Roman" w:hAnsi="Times New Roman" w:eastAsia="宋体" w:cs="Times New Roman"/>
                <w:b w:val="0"/>
                <w:bCs w:val="0"/>
                <w:color w:val="auto"/>
                <w:sz w:val="21"/>
                <w:szCs w:val="21"/>
                <w:lang w:val="zh-TW" w:eastAsia="zh-TW"/>
              </w:rPr>
            </w:pPr>
            <w:r>
              <w:rPr>
                <w:rFonts w:hint="default" w:ascii="Times New Roman" w:hAnsi="Times New Roman" w:eastAsia="宋体" w:cs="Times New Roman"/>
                <w:b w:val="0"/>
                <w:bCs w:val="0"/>
                <w:color w:val="auto"/>
                <w:sz w:val="21"/>
                <w:szCs w:val="21"/>
                <w:lang w:val="en-US" w:eastAsia="zh-CN"/>
              </w:rPr>
              <w:t>85.</w:t>
            </w:r>
            <w:r>
              <w:rPr>
                <w:rFonts w:hint="eastAsia" w:hAnsi="Times New Roman" w:eastAsia="宋体" w:cs="Times New Roman"/>
                <w:b w:val="0"/>
                <w:bCs w:val="0"/>
                <w:color w:val="auto"/>
                <w:sz w:val="21"/>
                <w:szCs w:val="21"/>
                <w:lang w:val="en-US" w:eastAsia="zh-CN"/>
              </w:rPr>
              <w:t>7</w:t>
            </w:r>
            <w:r>
              <w:rPr>
                <w:rFonts w:hint="default" w:ascii="Times New Roman" w:hAnsi="Times New Roman" w:eastAsia="宋体" w:cs="Times New Roman"/>
                <w:b w:val="0"/>
                <w:bCs w:val="0"/>
                <w:color w:val="auto"/>
                <w:sz w:val="21"/>
                <w:szCs w:val="21"/>
                <w:lang w:val="en-US" w:eastAsia="zh-CN"/>
              </w:rPr>
              <w:t>8%</w:t>
            </w:r>
          </w:p>
        </w:tc>
      </w:tr>
    </w:tbl>
    <w:p w14:paraId="55285608">
      <w:pPr>
        <w:pageBreakBefore w:val="0"/>
        <w:kinsoku/>
        <w:wordWrap/>
        <w:overflowPunct/>
        <w:topLinePunct w:val="0"/>
        <w:autoSpaceDE/>
        <w:autoSpaceDN/>
        <w:bidi w:val="0"/>
        <w:snapToGrid w:val="0"/>
        <w:spacing w:before="0" w:after="0" w:line="360" w:lineRule="auto"/>
        <w:ind w:firstLine="420"/>
        <w:rPr>
          <w:color w:val="auto"/>
        </w:rPr>
      </w:pPr>
    </w:p>
    <w:p w14:paraId="00A9C009">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71" w:name="_Toc19845"/>
      <w:bookmarkStart w:id="72" w:name="_Toc7488"/>
      <w:r>
        <w:rPr>
          <w:rFonts w:hint="default" w:ascii="Times New Roman" w:hAnsi="Times New Roman"/>
          <w:color w:val="auto"/>
        </w:rPr>
        <w:t>（二）综合评价结论</w:t>
      </w:r>
      <w:bookmarkEnd w:id="71"/>
      <w:bookmarkEnd w:id="72"/>
    </w:p>
    <w:p w14:paraId="048E4CC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color w:val="auto"/>
          <w:lang w:val="en-US" w:eastAsia="zh-CN"/>
        </w:rPr>
      </w:pPr>
      <w:bookmarkStart w:id="73" w:name="_Toc5537"/>
      <w:r>
        <w:rPr>
          <w:rFonts w:hint="default" w:ascii="Times New Roman" w:hAnsi="Times New Roman" w:cs="Times New Roman"/>
          <w:color w:val="auto"/>
          <w:lang w:val="en-US" w:eastAsia="zh-CN"/>
        </w:rPr>
        <w:t>经评价分析，吉木萨尔县二工镇大泉湖村2024年以工代赈基础设施建设项目实际于2024年7月11日开工建设，实际于2024年12月11日完工，已按照目标完成道路8公里及配套附属设施的建设任务，项目实际</w:t>
      </w:r>
      <w:r>
        <w:rPr>
          <w:rFonts w:hint="default" w:cs="Times New Roman"/>
          <w:color w:val="auto"/>
          <w:lang w:val="en-US" w:eastAsia="zh-CN"/>
        </w:rPr>
        <w:t>发放以工代赈劳务报酬</w:t>
      </w:r>
      <w:r>
        <w:rPr>
          <w:rFonts w:hint="default" w:ascii="Times New Roman" w:hAnsi="Times New Roman" w:cs="Times New Roman"/>
          <w:color w:val="auto"/>
          <w:lang w:val="en-US" w:eastAsia="zh-CN"/>
        </w:rPr>
        <w:t>196.35万元，</w:t>
      </w:r>
      <w:r>
        <w:rPr>
          <w:rFonts w:hint="default" w:cs="Times New Roman"/>
          <w:color w:val="auto"/>
          <w:lang w:val="en-US" w:eastAsia="zh-CN"/>
        </w:rPr>
        <w:t>占中央投资的</w:t>
      </w:r>
      <w:r>
        <w:rPr>
          <w:rFonts w:hint="default" w:ascii="Times New Roman" w:hAnsi="Times New Roman" w:cs="Times New Roman"/>
          <w:color w:val="auto"/>
          <w:lang w:val="en-US" w:eastAsia="zh-CN"/>
        </w:rPr>
        <w:t>25.84%，施工期间共带动当地农村群众务工人数190人，有效改善出行困难问题以及改善生产生活条件。但在实施过程中也存在项目会计核算不够规范，项目</w:t>
      </w:r>
      <w:r>
        <w:rPr>
          <w:rFonts w:hint="default" w:cs="Times New Roman"/>
          <w:color w:val="auto"/>
          <w:lang w:val="en-US" w:eastAsia="zh-CN"/>
        </w:rPr>
        <w:t>尚</w:t>
      </w:r>
      <w:r>
        <w:rPr>
          <w:rFonts w:hint="default" w:ascii="Times New Roman" w:hAnsi="Times New Roman" w:cs="Times New Roman"/>
          <w:color w:val="auto"/>
          <w:lang w:val="en-US" w:eastAsia="zh-CN"/>
        </w:rPr>
        <w:t>未按照《国家以工代赈管理办法》</w:t>
      </w:r>
      <w:r>
        <w:rPr>
          <w:rFonts w:hint="default" w:cs="Times New Roman"/>
          <w:color w:val="auto"/>
          <w:lang w:val="en-US" w:eastAsia="zh-CN"/>
        </w:rPr>
        <w:t>通过发改</w:t>
      </w:r>
      <w:r>
        <w:rPr>
          <w:rFonts w:hint="default" w:ascii="Times New Roman" w:hAnsi="Times New Roman" w:cs="Times New Roman"/>
          <w:color w:val="auto"/>
          <w:lang w:val="en-US" w:eastAsia="zh-CN"/>
        </w:rPr>
        <w:t>验收，未及时履行资产移交</w:t>
      </w:r>
      <w:r>
        <w:rPr>
          <w:rFonts w:hint="default" w:cs="Times New Roman"/>
          <w:color w:val="auto"/>
          <w:lang w:val="en-US" w:eastAsia="zh-CN"/>
        </w:rPr>
        <w:t>手续并</w:t>
      </w:r>
      <w:r>
        <w:rPr>
          <w:rFonts w:hint="default" w:ascii="Times New Roman" w:hAnsi="Times New Roman" w:cs="Times New Roman"/>
          <w:color w:val="auto"/>
          <w:lang w:val="en-US" w:eastAsia="zh-CN"/>
        </w:rPr>
        <w:t>建立相关后期管护制度、项目实施过程管理不够到位等问题。</w:t>
      </w:r>
      <w:bookmarkEnd w:id="73"/>
    </w:p>
    <w:p w14:paraId="109041BC">
      <w:pPr>
        <w:pStyle w:val="2"/>
        <w:pageBreakBefore w:val="0"/>
        <w:kinsoku/>
        <w:wordWrap/>
        <w:overflowPunct/>
        <w:topLinePunct w:val="0"/>
        <w:autoSpaceDE/>
        <w:autoSpaceDN/>
        <w:bidi w:val="0"/>
        <w:snapToGrid w:val="0"/>
        <w:spacing w:before="0" w:after="0" w:line="360" w:lineRule="auto"/>
        <w:ind w:firstLine="482"/>
        <w:rPr>
          <w:color w:val="auto"/>
        </w:rPr>
      </w:pPr>
      <w:bookmarkStart w:id="74" w:name="_Toc31395"/>
      <w:r>
        <w:rPr>
          <w:rFonts w:hint="default"/>
          <w:color w:val="auto"/>
        </w:rPr>
        <w:t>五</w:t>
      </w:r>
      <w:r>
        <w:rPr>
          <w:color w:val="auto"/>
        </w:rPr>
        <w:t>、绩效评价指标分析</w:t>
      </w:r>
      <w:bookmarkEnd w:id="69"/>
      <w:bookmarkEnd w:id="70"/>
      <w:bookmarkEnd w:id="74"/>
    </w:p>
    <w:p w14:paraId="447DBD16">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75" w:name="_Toc22260"/>
      <w:bookmarkStart w:id="76" w:name="_Toc8277"/>
      <w:bookmarkStart w:id="77" w:name="_Toc18078"/>
      <w:r>
        <w:rPr>
          <w:rFonts w:ascii="Times New Roman" w:hAnsi="Times New Roman"/>
          <w:color w:val="auto"/>
        </w:rPr>
        <w:t>（一）项目决策情况</w:t>
      </w:r>
      <w:bookmarkEnd w:id="75"/>
      <w:bookmarkEnd w:id="76"/>
      <w:bookmarkEnd w:id="77"/>
    </w:p>
    <w:p w14:paraId="4411565F">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default" w:ascii="Times New Roman" w:hAnsi="Times New Roman" w:eastAsia="黑体" w:cs="Times New Roman"/>
          <w:b w:val="0"/>
          <w:bCs w:val="0"/>
          <w:color w:val="auto"/>
          <w:szCs w:val="16"/>
        </w:rPr>
      </w:pPr>
      <w:r>
        <w:rPr>
          <w:color w:val="auto"/>
        </w:rPr>
        <w:t>项目决策类指标由</w:t>
      </w:r>
      <w:r>
        <w:rPr>
          <w:rFonts w:hint="default"/>
          <w:color w:val="auto"/>
        </w:rPr>
        <w:t>3</w:t>
      </w:r>
      <w:r>
        <w:rPr>
          <w:color w:val="auto"/>
        </w:rPr>
        <w:t>个二级</w:t>
      </w:r>
      <w:r>
        <w:rPr>
          <w:rFonts w:hint="default" w:ascii="Times New Roman" w:hAnsi="Times New Roman" w:cs="Times New Roman"/>
          <w:color w:val="auto"/>
          <w:lang w:val="en-US" w:eastAsia="zh-CN"/>
        </w:rPr>
        <w:t>指标</w:t>
      </w:r>
      <w:r>
        <w:rPr>
          <w:color w:val="auto"/>
        </w:rPr>
        <w:t>和</w:t>
      </w:r>
      <w:r>
        <w:rPr>
          <w:rFonts w:hint="default"/>
          <w:color w:val="auto"/>
        </w:rPr>
        <w:t>6</w:t>
      </w:r>
      <w:r>
        <w:rPr>
          <w:color w:val="auto"/>
        </w:rPr>
        <w:t>个三级指标构成，权重分</w:t>
      </w:r>
      <w:r>
        <w:rPr>
          <w:rFonts w:hint="default"/>
          <w:color w:val="auto"/>
        </w:rPr>
        <w:t>10.00</w:t>
      </w:r>
      <w:r>
        <w:rPr>
          <w:color w:val="auto"/>
        </w:rPr>
        <w:t>分，实际得分</w:t>
      </w:r>
      <w:r>
        <w:rPr>
          <w:rFonts w:hint="default"/>
          <w:color w:val="auto"/>
        </w:rPr>
        <w:t>9.</w:t>
      </w:r>
      <w:r>
        <w:rPr>
          <w:rFonts w:hint="eastAsia"/>
          <w:color w:val="auto"/>
          <w:lang w:val="en-US" w:eastAsia="zh-CN"/>
        </w:rPr>
        <w:t>6</w:t>
      </w:r>
      <w:r>
        <w:rPr>
          <w:rFonts w:hint="default"/>
          <w:color w:val="auto"/>
        </w:rPr>
        <w:t>0</w:t>
      </w:r>
      <w:r>
        <w:rPr>
          <w:color w:val="auto"/>
        </w:rPr>
        <w:t>分</w:t>
      </w:r>
      <w:r>
        <w:rPr>
          <w:rFonts w:hint="default"/>
          <w:color w:val="auto"/>
        </w:rPr>
        <w:t>，</w:t>
      </w:r>
      <w:r>
        <w:rPr>
          <w:rFonts w:hint="default" w:ascii="Times New Roman" w:hAnsi="Times New Roman" w:cs="Times New Roman"/>
          <w:color w:val="auto"/>
        </w:rPr>
        <w:t>得分率</w:t>
      </w:r>
      <w:r>
        <w:rPr>
          <w:rFonts w:hint="default"/>
          <w:color w:val="auto"/>
        </w:rPr>
        <w:t>为9</w:t>
      </w:r>
      <w:r>
        <w:rPr>
          <w:rFonts w:hint="eastAsia"/>
          <w:color w:val="auto"/>
          <w:lang w:val="en-US" w:eastAsia="zh-CN"/>
        </w:rPr>
        <w:t>6</w:t>
      </w:r>
      <w:r>
        <w:rPr>
          <w:rFonts w:hint="default"/>
          <w:color w:val="auto"/>
        </w:rPr>
        <w:t>.00%</w:t>
      </w:r>
      <w:r>
        <w:rPr>
          <w:color w:val="auto"/>
        </w:rPr>
        <w:t>。各指标业绩值和绩效分值如下表所示：</w:t>
      </w:r>
    </w:p>
    <w:p w14:paraId="3E5091D6">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b w:val="0"/>
          <w:bCs w:val="0"/>
          <w:color w:val="auto"/>
          <w:szCs w:val="16"/>
        </w:rPr>
      </w:pPr>
      <w:r>
        <w:rPr>
          <w:rFonts w:hint="default" w:ascii="Times New Roman" w:hAnsi="Times New Roman" w:eastAsia="黑体" w:cs="Times New Roman"/>
          <w:b w:val="0"/>
          <w:bCs w:val="0"/>
          <w:color w:val="auto"/>
          <w:szCs w:val="16"/>
        </w:rPr>
        <w:t>表</w:t>
      </w:r>
      <w:r>
        <w:rPr>
          <w:rFonts w:hint="default" w:ascii="Times New Roman" w:hAnsi="Times New Roman" w:eastAsia="黑体" w:cs="Times New Roman"/>
          <w:b w:val="0"/>
          <w:bCs w:val="0"/>
          <w:color w:val="auto"/>
          <w:szCs w:val="16"/>
          <w:lang w:val="en-US" w:eastAsia="zh-CN"/>
        </w:rPr>
        <w:t>5</w:t>
      </w:r>
      <w:r>
        <w:rPr>
          <w:rFonts w:hint="default" w:ascii="Times New Roman" w:hAnsi="Times New Roman" w:eastAsia="黑体" w:cs="Times New Roman"/>
          <w:b w:val="0"/>
          <w:bCs w:val="0"/>
          <w:color w:val="auto"/>
          <w:szCs w:val="16"/>
        </w:rPr>
        <w:t>-1：项目决策类指标及分值</w:t>
      </w:r>
    </w:p>
    <w:tbl>
      <w:tblPr>
        <w:tblStyle w:val="18"/>
        <w:tblW w:w="4998" w:type="pct"/>
        <w:tblInd w:w="0" w:type="dxa"/>
        <w:tblLayout w:type="autofit"/>
        <w:tblCellMar>
          <w:top w:w="0" w:type="dxa"/>
          <w:left w:w="0" w:type="dxa"/>
          <w:bottom w:w="0" w:type="dxa"/>
          <w:right w:w="0" w:type="dxa"/>
        </w:tblCellMar>
      </w:tblPr>
      <w:tblGrid>
        <w:gridCol w:w="1081"/>
        <w:gridCol w:w="1068"/>
        <w:gridCol w:w="1848"/>
        <w:gridCol w:w="968"/>
        <w:gridCol w:w="1028"/>
        <w:gridCol w:w="763"/>
        <w:gridCol w:w="785"/>
        <w:gridCol w:w="786"/>
      </w:tblGrid>
      <w:tr w14:paraId="78AC6FC4">
        <w:tblPrEx>
          <w:tblCellMar>
            <w:top w:w="0" w:type="dxa"/>
            <w:left w:w="0" w:type="dxa"/>
            <w:bottom w:w="0" w:type="dxa"/>
            <w:right w:w="0" w:type="dxa"/>
          </w:tblCellMar>
        </w:tblPrEx>
        <w:trPr>
          <w:trHeight w:val="397" w:hRule="atLeast"/>
          <w:tblHeader/>
        </w:trPr>
        <w:tc>
          <w:tcPr>
            <w:tcW w:w="64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B5D4832">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4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16501FC">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0AB7A92">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81"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45F86A0">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17"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6A73284">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458"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212A8B6">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76C2F2B">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71" w:type="pct"/>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8D8C6FA">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14:paraId="2AB6F208">
        <w:tblPrEx>
          <w:tblCellMar>
            <w:top w:w="0" w:type="dxa"/>
            <w:left w:w="0" w:type="dxa"/>
            <w:bottom w:w="0" w:type="dxa"/>
            <w:right w:w="0" w:type="dxa"/>
          </w:tblCellMar>
        </w:tblPrEx>
        <w:trPr>
          <w:trHeight w:val="397" w:hRule="atLeast"/>
        </w:trPr>
        <w:tc>
          <w:tcPr>
            <w:tcW w:w="649"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5A7FCB2">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r>
              <w:rPr>
                <w:rFonts w:hint="default"/>
                <w:color w:val="auto"/>
                <w:kern w:val="0"/>
                <w:sz w:val="20"/>
                <w:szCs w:val="20"/>
                <w:lang w:bidi="ar"/>
              </w:rPr>
              <w:t>A决策（10.00分）</w:t>
            </w: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699DC61">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A1项目立项（3.00分）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72A2459">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A11立项依据充分性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253459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充分</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896E72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充分</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E57B4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9A68CA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6C9C3E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64DDAB07">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8D04E68">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B21E062">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40ED116">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A12立项程序规范性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D9929D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合规</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D27819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合规</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0C2E8A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4FF237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248968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7D33EE16">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4DDA4A6">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A8F22AC">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A2绩效目标（4.00分）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F7E4D26">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A21绩效目标合理性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6A0CEF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合理</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75595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较合理</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E465DD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2.00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DA8372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w:t>
            </w:r>
            <w:r>
              <w:rPr>
                <w:rFonts w:hint="eastAsia" w:eastAsia="宋体" w:cs="Times New Roman"/>
                <w:i w:val="0"/>
                <w:iCs w:val="0"/>
                <w:color w:val="auto"/>
                <w:kern w:val="0"/>
                <w:sz w:val="20"/>
                <w:szCs w:val="20"/>
                <w:u w:val="none"/>
                <w:lang w:val="en-US" w:eastAsia="zh-CN" w:bidi="ar"/>
              </w:rPr>
              <w:t>6</w:t>
            </w:r>
            <w:r>
              <w:rPr>
                <w:rFonts w:hint="default" w:ascii="Times New Roman" w:hAnsi="Times New Roman" w:eastAsia="宋体" w:cs="Times New Roman"/>
                <w:i w:val="0"/>
                <w:iCs w:val="0"/>
                <w:color w:val="auto"/>
                <w:kern w:val="0"/>
                <w:sz w:val="20"/>
                <w:szCs w:val="20"/>
                <w:u w:val="none"/>
                <w:lang w:val="en-US" w:eastAsia="zh-CN" w:bidi="ar"/>
              </w:rPr>
              <w:t>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68E811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eastAsia" w:eastAsia="宋体" w:cs="Times New Roman"/>
                <w:i w:val="0"/>
                <w:iCs w:val="0"/>
                <w:color w:val="auto"/>
                <w:kern w:val="0"/>
                <w:sz w:val="20"/>
                <w:szCs w:val="20"/>
                <w:u w:val="none"/>
                <w:lang w:val="en-US" w:eastAsia="zh-CN" w:bidi="ar"/>
              </w:rPr>
              <w:t>8</w:t>
            </w:r>
            <w:r>
              <w:rPr>
                <w:rFonts w:hint="default" w:ascii="Times New Roman" w:hAnsi="Times New Roman" w:eastAsia="宋体" w:cs="Times New Roman"/>
                <w:i w:val="0"/>
                <w:iCs w:val="0"/>
                <w:color w:val="auto"/>
                <w:kern w:val="0"/>
                <w:sz w:val="20"/>
                <w:szCs w:val="20"/>
                <w:u w:val="none"/>
                <w:lang w:val="en-US" w:eastAsia="zh-CN" w:bidi="ar"/>
              </w:rPr>
              <w:t>0.00%</w:t>
            </w:r>
          </w:p>
        </w:tc>
      </w:tr>
      <w:tr w14:paraId="23FB23AC">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0066DAA">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50764D22">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A638824">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A22绩效指标明确性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487EA6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明确</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64BB29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明确</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3AAD1FB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2.00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CBD3A4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2.00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21B12A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2F48A2BB">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E390D6F">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restar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342A67CF">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A3资金投入（3.00分）</w:t>
            </w: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E15B0DD">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A31预算编制科学性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1017E8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科学</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0568D7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科学</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1D38A3E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057B121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DC3701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61244C2C">
        <w:tblPrEx>
          <w:tblCellMar>
            <w:top w:w="0" w:type="dxa"/>
            <w:left w:w="0" w:type="dxa"/>
            <w:bottom w:w="0" w:type="dxa"/>
            <w:right w:w="0" w:type="dxa"/>
          </w:tblCellMar>
        </w:tblPrEx>
        <w:trPr>
          <w:trHeight w:val="397" w:hRule="atLeast"/>
        </w:trPr>
        <w:tc>
          <w:tcPr>
            <w:tcW w:w="649"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E4BE090">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hint="default" w:ascii="Times New Roman" w:hAnsi="Times New Roman" w:eastAsia="宋体" w:cs="Times New Roman"/>
                <w:color w:val="auto"/>
                <w:kern w:val="0"/>
                <w:sz w:val="20"/>
                <w:szCs w:val="20"/>
                <w:lang w:bidi="ar"/>
              </w:rPr>
            </w:pPr>
          </w:p>
        </w:tc>
        <w:tc>
          <w:tcPr>
            <w:tcW w:w="641" w:type="pct"/>
            <w:vMerge w:val="continue"/>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48F4B8AC">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p>
        </w:tc>
        <w:tc>
          <w:tcPr>
            <w:tcW w:w="1109" w:type="pct"/>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6170189E">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left"/>
              <w:textAlignment w:val="center"/>
              <w:rPr>
                <w:rFonts w:ascii="Times New Roman" w:hAnsi="Times New Roman" w:eastAsia="宋体" w:cs="Times New Roman"/>
                <w:color w:val="auto"/>
                <w:kern w:val="0"/>
                <w:sz w:val="20"/>
                <w:szCs w:val="20"/>
                <w:lang w:bidi="ar"/>
              </w:rPr>
            </w:pPr>
            <w:r>
              <w:rPr>
                <w:rFonts w:hint="default"/>
                <w:color w:val="auto"/>
                <w:kern w:val="0"/>
                <w:sz w:val="20"/>
                <w:szCs w:val="20"/>
                <w:lang w:bidi="ar"/>
              </w:rPr>
              <w:t>A32资金分配合理性</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7F0C3ED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合理</w:t>
            </w: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B8E3D7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合理</w:t>
            </w: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C3CED1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A99F1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1.50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48D58E5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63FBF311">
        <w:tblPrEx>
          <w:tblCellMar>
            <w:top w:w="0" w:type="dxa"/>
            <w:left w:w="0" w:type="dxa"/>
            <w:bottom w:w="0" w:type="dxa"/>
            <w:right w:w="0" w:type="dxa"/>
          </w:tblCellMar>
        </w:tblPrEx>
        <w:trPr>
          <w:trHeight w:val="397" w:hRule="atLeast"/>
        </w:trPr>
        <w:tc>
          <w:tcPr>
            <w:tcW w:w="649" w:type="pct"/>
            <w:gridSpan w:val="3"/>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2BE0F871">
            <w:pPr>
              <w:keepNext w:val="0"/>
              <w:keepLines w:val="0"/>
              <w:pageBreakBefore w:val="0"/>
              <w:widowControl/>
              <w:kinsoku/>
              <w:wordWrap/>
              <w:overflowPunct/>
              <w:topLinePunct w:val="0"/>
              <w:autoSpaceDE/>
              <w:autoSpaceDN/>
              <w:bidi w:val="0"/>
              <w:adjustRightInd/>
              <w:snapToGrid w:val="0"/>
              <w:spacing w:before="0" w:after="0" w:line="240" w:lineRule="auto"/>
              <w:ind w:firstLine="0" w:firstLineChars="0"/>
              <w:jc w:val="center"/>
              <w:textAlignment w:val="center"/>
              <w:rPr>
                <w:rFonts w:hint="default" w:ascii="Times New Roman" w:hAnsi="Times New Roman" w:eastAsia="宋体" w:cs="Times New Roman"/>
                <w:b/>
                <w:bCs/>
                <w:color w:val="auto"/>
                <w:kern w:val="0"/>
                <w:sz w:val="20"/>
                <w:szCs w:val="20"/>
                <w:lang w:bidi="ar"/>
              </w:rPr>
            </w:pPr>
            <w:r>
              <w:rPr>
                <w:rFonts w:hint="default"/>
                <w:b/>
                <w:bCs/>
                <w:color w:val="auto"/>
                <w:kern w:val="0"/>
                <w:sz w:val="20"/>
                <w:szCs w:val="20"/>
                <w:lang w:bidi="ar"/>
              </w:rPr>
              <w:t>合计</w:t>
            </w:r>
          </w:p>
        </w:tc>
        <w:tc>
          <w:tcPr>
            <w:tcW w:w="968" w:type="dxa"/>
            <w:tcBorders>
              <w:top w:val="single" w:color="000000" w:sz="4" w:space="0"/>
              <w:left w:val="single" w:color="000000" w:sz="4" w:space="0"/>
              <w:bottom w:val="single" w:color="000000" w:sz="4" w:space="0"/>
              <w:right w:val="single" w:color="000000" w:sz="4" w:space="0"/>
            </w:tcBorders>
            <w:tcMar>
              <w:top w:w="12" w:type="dxa"/>
              <w:left w:w="12" w:type="dxa"/>
              <w:right w:w="12" w:type="dxa"/>
            </w:tcMar>
            <w:vAlign w:val="center"/>
          </w:tcPr>
          <w:p w14:paraId="0A712EE4">
            <w:pPr>
              <w:keepNext w:val="0"/>
              <w:keepLines w:val="0"/>
              <w:pageBreakBefore w:val="0"/>
              <w:widowControl/>
              <w:kinsoku/>
              <w:wordWrap/>
              <w:overflowPunct/>
              <w:topLinePunct w:val="0"/>
              <w:autoSpaceDE/>
              <w:autoSpaceDN/>
              <w:bidi w:val="0"/>
              <w:spacing w:line="240" w:lineRule="auto"/>
              <w:ind w:firstLine="0" w:firstLineChars="0"/>
              <w:jc w:val="center"/>
              <w:rPr>
                <w:rFonts w:ascii="Times New Roman" w:hAnsi="Times New Roman" w:eastAsia="宋体" w:cs="Times New Roman"/>
                <w:b/>
                <w:bCs/>
                <w:color w:val="auto"/>
                <w:kern w:val="0"/>
                <w:sz w:val="20"/>
                <w:szCs w:val="20"/>
                <w:lang w:bidi="ar"/>
              </w:rPr>
            </w:pPr>
          </w:p>
        </w:tc>
        <w:tc>
          <w:tcPr>
            <w:tcW w:w="1028"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DB2673E">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color w:val="auto"/>
                <w:kern w:val="0"/>
                <w:sz w:val="20"/>
                <w:szCs w:val="20"/>
                <w:lang w:val="en-US" w:eastAsia="zh-CN" w:bidi="ar"/>
              </w:rPr>
            </w:pPr>
          </w:p>
        </w:tc>
        <w:tc>
          <w:tcPr>
            <w:tcW w:w="763"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2DC2D1A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kern w:val="0"/>
                <w:sz w:val="20"/>
                <w:szCs w:val="20"/>
                <w:lang w:bidi="ar"/>
              </w:rPr>
            </w:pPr>
            <w:r>
              <w:rPr>
                <w:rFonts w:hint="default" w:ascii="Times New Roman" w:hAnsi="Times New Roman" w:eastAsia="宋体" w:cs="Times New Roman"/>
                <w:b/>
                <w:bCs/>
                <w:i w:val="0"/>
                <w:iCs w:val="0"/>
                <w:color w:val="auto"/>
                <w:kern w:val="0"/>
                <w:sz w:val="20"/>
                <w:szCs w:val="20"/>
                <w:u w:val="none"/>
                <w:lang w:val="en-US" w:eastAsia="zh-CN" w:bidi="ar"/>
              </w:rPr>
              <w:t>10.00</w:t>
            </w:r>
          </w:p>
        </w:tc>
        <w:tc>
          <w:tcPr>
            <w:tcW w:w="785"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61A7073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kern w:val="0"/>
                <w:sz w:val="20"/>
                <w:szCs w:val="20"/>
                <w:lang w:bidi="ar"/>
              </w:rPr>
            </w:pPr>
            <w:r>
              <w:rPr>
                <w:rFonts w:hint="default" w:ascii="Times New Roman" w:hAnsi="Times New Roman" w:eastAsia="宋体" w:cs="Times New Roman"/>
                <w:b/>
                <w:bCs/>
                <w:i w:val="0"/>
                <w:iCs w:val="0"/>
                <w:color w:val="auto"/>
                <w:kern w:val="0"/>
                <w:sz w:val="20"/>
                <w:szCs w:val="20"/>
                <w:u w:val="none"/>
                <w:lang w:val="en-US" w:eastAsia="zh-CN" w:bidi="ar"/>
              </w:rPr>
              <w:t>9.</w:t>
            </w:r>
            <w:r>
              <w:rPr>
                <w:rFonts w:hint="eastAsia" w:eastAsia="宋体" w:cs="Times New Roman"/>
                <w:b/>
                <w:bCs/>
                <w:i w:val="0"/>
                <w:iCs w:val="0"/>
                <w:color w:val="auto"/>
                <w:kern w:val="0"/>
                <w:sz w:val="20"/>
                <w:szCs w:val="20"/>
                <w:u w:val="none"/>
                <w:lang w:val="en-US" w:eastAsia="zh-CN" w:bidi="ar"/>
              </w:rPr>
              <w:t>6</w:t>
            </w:r>
            <w:r>
              <w:rPr>
                <w:rFonts w:hint="default" w:ascii="Times New Roman" w:hAnsi="Times New Roman" w:eastAsia="宋体" w:cs="Times New Roman"/>
                <w:b/>
                <w:bCs/>
                <w:i w:val="0"/>
                <w:iCs w:val="0"/>
                <w:color w:val="auto"/>
                <w:kern w:val="0"/>
                <w:sz w:val="20"/>
                <w:szCs w:val="20"/>
                <w:u w:val="none"/>
                <w:lang w:val="en-US" w:eastAsia="zh-CN" w:bidi="ar"/>
              </w:rPr>
              <w:t>0</w:t>
            </w:r>
          </w:p>
        </w:tc>
        <w:tc>
          <w:tcPr>
            <w:tcW w:w="786" w:type="dxa"/>
            <w:tcBorders>
              <w:top w:val="single" w:color="000000" w:sz="4" w:space="0"/>
              <w:left w:val="single" w:color="000000" w:sz="4" w:space="0"/>
              <w:bottom w:val="single" w:color="000000" w:sz="4" w:space="0"/>
              <w:right w:val="single" w:color="000000" w:sz="4" w:space="0"/>
            </w:tcBorders>
            <w:noWrap/>
            <w:tcMar>
              <w:top w:w="12" w:type="dxa"/>
              <w:left w:w="12" w:type="dxa"/>
              <w:right w:w="12" w:type="dxa"/>
            </w:tcMar>
            <w:vAlign w:val="center"/>
          </w:tcPr>
          <w:p w14:paraId="531BBBC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kern w:val="0"/>
                <w:sz w:val="20"/>
                <w:szCs w:val="20"/>
                <w:lang w:bidi="ar"/>
              </w:rPr>
            </w:pPr>
            <w:r>
              <w:rPr>
                <w:rFonts w:hint="default" w:ascii="Times New Roman" w:hAnsi="Times New Roman" w:eastAsia="宋体" w:cs="Times New Roman"/>
                <w:b/>
                <w:bCs/>
                <w:i w:val="0"/>
                <w:iCs w:val="0"/>
                <w:color w:val="auto"/>
                <w:kern w:val="0"/>
                <w:sz w:val="20"/>
                <w:szCs w:val="20"/>
                <w:u w:val="none"/>
                <w:lang w:val="en-US" w:eastAsia="zh-CN" w:bidi="ar"/>
              </w:rPr>
              <w:t>9</w:t>
            </w:r>
            <w:r>
              <w:rPr>
                <w:rFonts w:hint="eastAsia" w:eastAsia="宋体" w:cs="Times New Roman"/>
                <w:b/>
                <w:bCs/>
                <w:i w:val="0"/>
                <w:iCs w:val="0"/>
                <w:color w:val="auto"/>
                <w:kern w:val="0"/>
                <w:sz w:val="20"/>
                <w:szCs w:val="20"/>
                <w:u w:val="none"/>
                <w:lang w:val="en-US" w:eastAsia="zh-CN" w:bidi="ar"/>
              </w:rPr>
              <w:t>6</w:t>
            </w:r>
            <w:r>
              <w:rPr>
                <w:rFonts w:hint="default" w:ascii="Times New Roman" w:hAnsi="Times New Roman" w:eastAsia="宋体" w:cs="Times New Roman"/>
                <w:b/>
                <w:bCs/>
                <w:i w:val="0"/>
                <w:iCs w:val="0"/>
                <w:color w:val="auto"/>
                <w:kern w:val="0"/>
                <w:sz w:val="20"/>
                <w:szCs w:val="20"/>
                <w:u w:val="none"/>
                <w:lang w:val="en-US" w:eastAsia="zh-CN" w:bidi="ar"/>
              </w:rPr>
              <w:t>.00%</w:t>
            </w:r>
          </w:p>
        </w:tc>
      </w:tr>
    </w:tbl>
    <w:p w14:paraId="62D76AD1">
      <w:pPr>
        <w:pageBreakBefore w:val="0"/>
        <w:kinsoku/>
        <w:wordWrap/>
        <w:overflowPunct/>
        <w:topLinePunct w:val="0"/>
        <w:autoSpaceDE/>
        <w:autoSpaceDN/>
        <w:bidi w:val="0"/>
        <w:snapToGrid w:val="0"/>
        <w:spacing w:before="0" w:after="0" w:line="240" w:lineRule="auto"/>
        <w:ind w:firstLine="422"/>
        <w:rPr>
          <w:rFonts w:eastAsia="宋体"/>
          <w:b/>
          <w:bCs/>
          <w:color w:val="auto"/>
        </w:rPr>
      </w:pPr>
    </w:p>
    <w:p w14:paraId="362E689E">
      <w:pPr>
        <w:pageBreakBefore w:val="0"/>
        <w:kinsoku/>
        <w:wordWrap/>
        <w:overflowPunct/>
        <w:topLinePunct w:val="0"/>
        <w:autoSpaceDE/>
        <w:autoSpaceDN/>
        <w:bidi w:val="0"/>
        <w:snapToGrid w:val="0"/>
        <w:spacing w:before="0" w:after="0" w:line="240" w:lineRule="auto"/>
        <w:ind w:firstLine="422"/>
        <w:rPr>
          <w:b/>
          <w:bCs/>
          <w:color w:val="auto"/>
        </w:rPr>
      </w:pPr>
      <w:r>
        <w:rPr>
          <w:rFonts w:eastAsia="宋体"/>
          <w:b/>
          <w:bCs/>
          <w:color w:val="auto"/>
        </w:rPr>
        <w:t>指标得分分析</w:t>
      </w:r>
      <w:r>
        <w:rPr>
          <w:b/>
          <w:bCs/>
          <w:color w:val="auto"/>
        </w:rPr>
        <w:t>：</w:t>
      </w:r>
    </w:p>
    <w:p w14:paraId="708FBC01">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w:t>
      </w:r>
      <w:r>
        <w:rPr>
          <w:rFonts w:hint="default"/>
          <w:b/>
          <w:bCs/>
          <w:color w:val="auto"/>
        </w:rPr>
        <w:t>A11立项依据充分性指标：</w:t>
      </w:r>
    </w:p>
    <w:p w14:paraId="1499A958">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color w:val="auto"/>
        </w:rPr>
      </w:pPr>
      <w:r>
        <w:rPr>
          <w:rFonts w:hint="default"/>
          <w:color w:val="auto"/>
        </w:rPr>
        <w:t>①《</w:t>
      </w:r>
      <w:r>
        <w:rPr>
          <w:rFonts w:hint="default"/>
          <w:color w:val="auto"/>
          <w:lang w:eastAsia="zh-CN"/>
        </w:rPr>
        <w:t>中共中央、国务院</w:t>
      </w:r>
      <w:r>
        <w:rPr>
          <w:rFonts w:hint="default"/>
          <w:color w:val="auto"/>
        </w:rPr>
        <w:t>关于全面推进乡村振兴加快农业农村现代化的意见》提出：“加强乡村公共基础设施建设。继续把公共基础设施建设的重点放在农村，着力推进往村覆盖、往户延伸。实施农村道路畅通工程。有序实施较大人口规模自然村（组）通硬化路。加强农村资源路、产业路、旅游路和村内主干道建设。推进农村公路建设项目更多向进村入户倾斜。”该项目立项符合国家政策。</w:t>
      </w:r>
    </w:p>
    <w:p w14:paraId="29476565">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default"/>
          <w:color w:val="auto"/>
        </w:rPr>
        <w:t>②该项目立项符合《中共吉木萨尔县委员会办公室吉木萨尔县人民政府办公室关于印发</w:t>
      </w:r>
      <w:r>
        <w:rPr>
          <w:rFonts w:hint="default"/>
          <w:color w:val="auto"/>
          <w:lang w:val="en-US" w:eastAsia="zh-CN"/>
        </w:rPr>
        <w:t>&lt;</w:t>
      </w:r>
      <w:r>
        <w:rPr>
          <w:rFonts w:hint="default"/>
          <w:color w:val="auto"/>
        </w:rPr>
        <w:t>吉木萨尔县二工镇机构改革方案</w:t>
      </w:r>
      <w:r>
        <w:rPr>
          <w:rFonts w:hint="default"/>
          <w:color w:val="auto"/>
          <w:lang w:val="en-US" w:eastAsia="zh-CN"/>
        </w:rPr>
        <w:t>&gt;</w:t>
      </w:r>
      <w:r>
        <w:rPr>
          <w:rFonts w:hint="default"/>
          <w:color w:val="auto"/>
        </w:rPr>
        <w:t>的通知》（吉县党办字〔2024〕23号）的单位职责范围“负责农业、畜兽医、林业、草原、水利、财政、土地、交通、科技、乡村振兴、统计、新型城镇化、村镇建设，第</w:t>
      </w:r>
      <w:r>
        <w:rPr>
          <w:rFonts w:hint="default"/>
          <w:color w:val="auto"/>
          <w:lang w:eastAsia="zh-CN"/>
        </w:rPr>
        <w:t>一二、三产业</w:t>
      </w:r>
      <w:r>
        <w:rPr>
          <w:rFonts w:hint="default"/>
          <w:color w:val="auto"/>
        </w:rPr>
        <w:t>的规划、管理、协调和监督工作”，项目的实施属于吉木萨尔县二工镇人民政府履职所需。</w:t>
      </w:r>
    </w:p>
    <w:p w14:paraId="6A0C3A15">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default"/>
          <w:color w:val="auto"/>
        </w:rPr>
        <w:t>③该项目</w:t>
      </w:r>
      <w:r>
        <w:rPr>
          <w:rFonts w:hint="default"/>
          <w:color w:val="auto"/>
          <w:lang w:val="en-US" w:eastAsia="zh-CN"/>
        </w:rPr>
        <w:t>资金来源于</w:t>
      </w:r>
      <w:r>
        <w:rPr>
          <w:rFonts w:hint="default"/>
          <w:color w:val="auto"/>
        </w:rPr>
        <w:t>以工代赈示范工程专项2024年</w:t>
      </w:r>
      <w:r>
        <w:rPr>
          <w:rFonts w:hint="default"/>
          <w:color w:val="auto"/>
          <w:lang w:val="en-US" w:eastAsia="zh-CN"/>
        </w:rPr>
        <w:t>中央基建投资预算，</w:t>
      </w:r>
      <w:r>
        <w:rPr>
          <w:rFonts w:hint="default"/>
          <w:color w:val="auto"/>
        </w:rPr>
        <w:t>资金性质为“一般公共预算”，功能分类科目为“2130504农村基础设施建设”，属于公共财政支持范围，符合中央、地方事权支出责任划分原则。</w:t>
      </w:r>
    </w:p>
    <w:p w14:paraId="7A43319D">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default"/>
          <w:color w:val="auto"/>
        </w:rPr>
        <w:t>④该项目立项符合《中华人民共和国国民经济和社会发展第十四个五年规划和2035年远景目标纲要》提出：“提高交通通达深度，推动区域性铁路建设，加快沿边抵边公路建设，继续推进‘四好农村路’建设，完善道路安全设施。”《国家发展改革委关于印发&lt;全国“十四五”以工代赈工作方案&gt;的通知》（发改振兴〔2021〕1019号）提出：“重点建设领域农村交通基础设施。包括农村公路、行政村村内主干道通自然村组道路、巷道、入户路等路基整理、路面硬化及必要防护设施建设，国有农场、林场林区内公路改造，农村简易候车亭，农村渡口、漫水路、漫水桥、简易停车场等小型交通基础设施建设等”行业发展规划。</w:t>
      </w:r>
    </w:p>
    <w:p w14:paraId="252F67F3">
      <w:pPr>
        <w:spacing w:line="360" w:lineRule="auto"/>
        <w:ind w:firstLine="420"/>
        <w:rPr>
          <w:color w:val="auto"/>
        </w:rPr>
      </w:pPr>
      <w:r>
        <w:rPr>
          <w:rFonts w:hint="default"/>
          <w:color w:val="auto"/>
        </w:rPr>
        <w:t>⑤经查询吉木萨尔县二工镇人民政府2024年财政预算绩效项目数据以及同年其他项目，不存在部门内部相关项目重复。</w:t>
      </w:r>
    </w:p>
    <w:p w14:paraId="05C296E0">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该指标满分为1.50分，根据评分标准得</w:t>
      </w:r>
      <w:r>
        <w:rPr>
          <w:rFonts w:hint="default" w:ascii="Times New Roman" w:hAnsi="Times New Roman" w:cs="Times New Roman"/>
          <w:color w:val="auto"/>
          <w:sz w:val="21"/>
          <w:szCs w:val="21"/>
          <w:lang w:eastAsia="zh-CN"/>
        </w:rPr>
        <w:t>1.50</w:t>
      </w:r>
      <w:r>
        <w:rPr>
          <w:color w:val="auto"/>
        </w:rPr>
        <w:t>分。</w:t>
      </w:r>
    </w:p>
    <w:p w14:paraId="3615BE45">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（2）</w:t>
      </w:r>
      <w:r>
        <w:rPr>
          <w:rFonts w:hint="default"/>
          <w:b/>
          <w:bCs/>
          <w:color w:val="auto"/>
        </w:rPr>
        <w:t>A12立项程序规范性指标：</w:t>
      </w:r>
    </w:p>
    <w:p w14:paraId="7320D49D">
      <w:pPr>
        <w:pageBreakBefore w:val="0"/>
        <w:kinsoku/>
        <w:wordWrap/>
        <w:overflowPunct/>
        <w:topLinePunct w:val="0"/>
        <w:autoSpaceDE/>
        <w:autoSpaceDN/>
        <w:bidi w:val="0"/>
        <w:snapToGrid w:val="0"/>
        <w:spacing w:before="0" w:after="0" w:line="360" w:lineRule="auto"/>
        <w:ind w:firstLine="420"/>
        <w:rPr>
          <w:rFonts w:hint="default" w:eastAsiaTheme="minorEastAsia"/>
          <w:color w:val="auto"/>
          <w:lang w:val="en-US" w:eastAsia="zh-CN"/>
        </w:rPr>
      </w:pPr>
      <w:r>
        <w:rPr>
          <w:rFonts w:hint="default"/>
          <w:color w:val="auto"/>
        </w:rPr>
        <w:t>该项目属于乡村道路基础设施建设项目，根据《新疆维吾尔自治区农村公路建设管理办法》要求，吉木萨尔县二工镇人民政府聘请第三方机构编制了《吉木萨尔县二工镇大泉湖村2024年以工代赈基础设施建设项目工程可行性研究报告》，</w:t>
      </w:r>
      <w:r>
        <w:rPr>
          <w:rFonts w:hint="default"/>
          <w:color w:val="auto"/>
          <w:lang w:val="en-US" w:eastAsia="zh-CN"/>
        </w:rPr>
        <w:t>于</w:t>
      </w:r>
      <w:r>
        <w:rPr>
          <w:rFonts w:hint="default"/>
          <w:color w:val="auto"/>
        </w:rPr>
        <w:t>2023年8月27日</w:t>
      </w:r>
      <w:r>
        <w:rPr>
          <w:rFonts w:hint="default"/>
          <w:color w:val="auto"/>
          <w:lang w:val="en-US" w:eastAsia="zh-CN"/>
        </w:rPr>
        <w:t>取得</w:t>
      </w:r>
      <w:r>
        <w:rPr>
          <w:rFonts w:hint="default"/>
          <w:color w:val="auto"/>
        </w:rPr>
        <w:t>吉木萨尔县发改委审批</w:t>
      </w:r>
      <w:r>
        <w:rPr>
          <w:rFonts w:hint="default"/>
          <w:color w:val="auto"/>
          <w:lang w:val="en-US" w:eastAsia="zh-CN"/>
        </w:rPr>
        <w:t>下达的</w:t>
      </w:r>
      <w:r>
        <w:rPr>
          <w:rFonts w:hint="default"/>
          <w:color w:val="auto"/>
        </w:rPr>
        <w:t>《关于吉木萨尔县二工镇大泉湖村2024年以工代赈基础设施建设项目可行性研究报告的批复》（吉县发改〔2023〕211号），确定了项目实施内容与投资计划等，项目事前已经过必要的可行性研究，并按要求完成了可研及立项批复工作</w:t>
      </w:r>
      <w:r>
        <w:rPr>
          <w:rFonts w:hint="default"/>
          <w:color w:val="auto"/>
          <w:lang w:val="en-US" w:eastAsia="zh-CN"/>
        </w:rPr>
        <w:t>。</w:t>
      </w:r>
    </w:p>
    <w:p w14:paraId="5E559020">
      <w:pPr>
        <w:spacing w:line="360" w:lineRule="auto"/>
        <w:ind w:firstLine="420"/>
        <w:rPr>
          <w:rFonts w:hint="default"/>
          <w:color w:val="auto"/>
          <w:lang w:val="en-US" w:eastAsia="zh-CN"/>
        </w:rPr>
      </w:pPr>
      <w:r>
        <w:rPr>
          <w:rFonts w:hint="default"/>
          <w:color w:val="auto"/>
        </w:rPr>
        <w:t>根据实施单位提供的《关于&lt;吉木萨尔县二工镇大泉湖村2024年以工代赈基础设施建设项目用地申请</w:t>
      </w:r>
      <w:r>
        <w:rPr>
          <w:rFonts w:hint="default"/>
          <w:color w:val="auto"/>
          <w:lang w:val="en-US" w:eastAsia="zh-CN"/>
        </w:rPr>
        <w:t>&gt;</w:t>
      </w:r>
      <w:r>
        <w:rPr>
          <w:rFonts w:hint="default"/>
          <w:color w:val="auto"/>
        </w:rPr>
        <w:t>的复函》《关于&lt;吉木萨尔县二工镇大泉湖村2024年以工代赈基础设施建设项目</w:t>
      </w:r>
      <w:r>
        <w:rPr>
          <w:rFonts w:hint="default"/>
          <w:color w:val="auto"/>
          <w:lang w:val="en-US" w:eastAsia="zh-CN"/>
        </w:rPr>
        <w:t>&gt;</w:t>
      </w:r>
      <w:r>
        <w:rPr>
          <w:rFonts w:hint="default"/>
          <w:color w:val="auto"/>
        </w:rPr>
        <w:t>不涉及重要设备中标通知书及重要设备采购，安装</w:t>
      </w:r>
      <w:r>
        <w:rPr>
          <w:rFonts w:hint="default"/>
          <w:color w:val="auto"/>
          <w:lang w:val="en-US" w:eastAsia="zh-CN"/>
        </w:rPr>
        <w:t>合同</w:t>
      </w:r>
      <w:r>
        <w:rPr>
          <w:rFonts w:hint="default"/>
          <w:color w:val="auto"/>
        </w:rPr>
        <w:t>的情况说明》《草原植被恢复费征收缴款通知书》等资料显示，该项目不涉及用地</w:t>
      </w:r>
      <w:r>
        <w:rPr>
          <w:rFonts w:hint="default"/>
          <w:color w:val="auto"/>
          <w:lang w:val="en-US" w:eastAsia="zh-CN"/>
        </w:rPr>
        <w:t>及</w:t>
      </w:r>
      <w:r>
        <w:rPr>
          <w:rFonts w:hint="default"/>
          <w:color w:val="auto"/>
        </w:rPr>
        <w:t>环评</w:t>
      </w:r>
      <w:r>
        <w:rPr>
          <w:rFonts w:hint="default"/>
          <w:color w:val="auto"/>
          <w:lang w:val="en-US" w:eastAsia="zh-CN"/>
        </w:rPr>
        <w:t>手续。</w:t>
      </w:r>
    </w:p>
    <w:p w14:paraId="15EC10AD">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该指标满分为1.50分，根据评分标准得</w:t>
      </w:r>
      <w:r>
        <w:rPr>
          <w:rFonts w:hint="default" w:ascii="Times New Roman" w:hAnsi="Times New Roman" w:cs="Times New Roman"/>
          <w:color w:val="auto"/>
          <w:sz w:val="21"/>
          <w:szCs w:val="21"/>
          <w:lang w:eastAsia="zh-CN"/>
        </w:rPr>
        <w:t>1.</w:t>
      </w:r>
      <w:r>
        <w:rPr>
          <w:rFonts w:hint="default" w:cs="Times New Roman"/>
          <w:color w:val="auto"/>
          <w:sz w:val="21"/>
          <w:szCs w:val="21"/>
          <w:lang w:val="en-US" w:eastAsia="zh-CN"/>
        </w:rPr>
        <w:t>5</w:t>
      </w:r>
      <w:r>
        <w:rPr>
          <w:rFonts w:hint="default" w:ascii="Times New Roman" w:hAnsi="Times New Roman" w:cs="Times New Roman"/>
          <w:color w:val="auto"/>
          <w:sz w:val="21"/>
          <w:szCs w:val="21"/>
          <w:lang w:eastAsia="zh-CN"/>
        </w:rPr>
        <w:t>0</w:t>
      </w:r>
      <w:r>
        <w:rPr>
          <w:color w:val="auto"/>
        </w:rPr>
        <w:t>分。</w:t>
      </w:r>
    </w:p>
    <w:p w14:paraId="58B6A94D">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（3）</w:t>
      </w:r>
      <w:r>
        <w:rPr>
          <w:rFonts w:hint="default"/>
          <w:b/>
          <w:bCs/>
          <w:color w:val="auto"/>
        </w:rPr>
        <w:t>A21绩效目标合理性指标：</w:t>
      </w:r>
    </w:p>
    <w:p w14:paraId="189A2BE1">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rPr>
        <w:t>根据项目实施单位提供的《项目绩效目标表》，项目年度总体目标为“本项目主要实施内容为：大泉湖村新建8公里道路及配套附属设施，项目总投资760万元，资金来源为中央预算内资金。计划于2024年12月31日前完成支付，待项目完成后，改善当地交通条件，通过吸纳当地劳动力参与建设，发放劳务报酬，带动就业增收，争取使受益群众满意度不低于95%。”。绩效目标符合项目正常的行业水平，绩效目标与立项批复相匹配；项目绩效目标表预算金额为中央预算内投资资金740.68万元，绩效目标与立项批复确定的项目预算额760万元不匹配，</w:t>
      </w:r>
      <w:r>
        <w:rPr>
          <w:rFonts w:hint="eastAsia"/>
          <w:color w:val="auto"/>
          <w:lang w:val="en-US" w:eastAsia="zh-CN"/>
        </w:rPr>
        <w:t>同时也未按照立项批复要求在年度绩效目标中明确以工代赈的劳务报酬支出任务目标，</w:t>
      </w:r>
      <w:r>
        <w:rPr>
          <w:rFonts w:hint="default"/>
          <w:color w:val="auto"/>
        </w:rPr>
        <w:t>根据评分标准，扣0.</w:t>
      </w:r>
      <w:r>
        <w:rPr>
          <w:rFonts w:hint="eastAsia"/>
          <w:color w:val="auto"/>
          <w:lang w:val="en-US" w:eastAsia="zh-CN"/>
        </w:rPr>
        <w:t>4</w:t>
      </w:r>
      <w:r>
        <w:rPr>
          <w:rFonts w:hint="default"/>
          <w:color w:val="auto"/>
        </w:rPr>
        <w:t>0分。</w:t>
      </w:r>
    </w:p>
    <w:p w14:paraId="6E65FA7D">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该指标满分为2.00分，根据评分标准得</w:t>
      </w:r>
      <w:r>
        <w:rPr>
          <w:rFonts w:hint="default" w:ascii="Times New Roman" w:hAnsi="Times New Roman" w:cs="Times New Roman"/>
          <w:color w:val="auto"/>
          <w:sz w:val="21"/>
          <w:szCs w:val="21"/>
          <w:lang w:eastAsia="zh-CN"/>
        </w:rPr>
        <w:t>1.</w:t>
      </w:r>
      <w:r>
        <w:rPr>
          <w:rFonts w:hint="eastAsia" w:cs="Times New Roman"/>
          <w:color w:val="auto"/>
          <w:sz w:val="21"/>
          <w:szCs w:val="21"/>
          <w:lang w:val="en-US" w:eastAsia="zh-CN"/>
        </w:rPr>
        <w:t>6</w:t>
      </w:r>
      <w:r>
        <w:rPr>
          <w:rFonts w:hint="default" w:ascii="Times New Roman" w:hAnsi="Times New Roman" w:cs="Times New Roman"/>
          <w:color w:val="auto"/>
          <w:sz w:val="21"/>
          <w:szCs w:val="21"/>
          <w:lang w:eastAsia="zh-CN"/>
        </w:rPr>
        <w:t>0</w:t>
      </w:r>
      <w:r>
        <w:rPr>
          <w:color w:val="auto"/>
        </w:rPr>
        <w:t>分。</w:t>
      </w:r>
    </w:p>
    <w:p w14:paraId="3748F7A9">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（4）</w:t>
      </w:r>
      <w:r>
        <w:rPr>
          <w:rFonts w:hint="default"/>
          <w:b/>
          <w:bCs/>
          <w:color w:val="auto"/>
        </w:rPr>
        <w:t>A22绩效指标明确性指标：</w:t>
      </w:r>
    </w:p>
    <w:p w14:paraId="660EDBCA">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rPr>
        <w:t>根据《项目绩效目标表》，项目实施单位已将绩效目标细化分解为具体的绩效指标，共设置一级指标4个，二级指标6个，三级指标9个，其中定量指标7个，定性指标2个，指标量化率为78%，指标量化率达到目标。项目绩效目标设置与预算关联性紧密，绩效目标和指标具备明确性、可衡量性、可实现性、相关性、时限性。</w:t>
      </w:r>
    </w:p>
    <w:p w14:paraId="0B8B4806">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该指标满分为2.00分，根据评分标准得</w:t>
      </w:r>
      <w:r>
        <w:rPr>
          <w:rFonts w:hint="default" w:ascii="Times New Roman" w:hAnsi="Times New Roman" w:cs="Times New Roman"/>
          <w:color w:val="auto"/>
          <w:sz w:val="21"/>
          <w:szCs w:val="21"/>
          <w:lang w:eastAsia="zh-CN"/>
        </w:rPr>
        <w:t>2.00</w:t>
      </w:r>
      <w:r>
        <w:rPr>
          <w:color w:val="auto"/>
        </w:rPr>
        <w:t>分。</w:t>
      </w:r>
    </w:p>
    <w:p w14:paraId="7AD40BE7">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（5）</w:t>
      </w:r>
      <w:r>
        <w:rPr>
          <w:rFonts w:hint="default"/>
          <w:b/>
          <w:bCs/>
          <w:color w:val="auto"/>
        </w:rPr>
        <w:t>A31预算编制科学性指标：</w:t>
      </w:r>
    </w:p>
    <w:p w14:paraId="78DBADF3">
      <w:pPr>
        <w:spacing w:line="360" w:lineRule="auto"/>
        <w:ind w:firstLine="420"/>
        <w:rPr>
          <w:color w:val="auto"/>
        </w:rPr>
      </w:pPr>
      <w:r>
        <w:rPr>
          <w:rFonts w:hint="default"/>
          <w:color w:val="auto"/>
        </w:rPr>
        <w:t>经查阅项目资料，吉木萨尔县二工镇人民政府委托中地泓通工程技术有限公司新疆分公司编制了《吉木萨尔县二工镇大泉湖村2024年以工代赈基础设施建设项目工程可行性研究报告》，经报吉木萨尔县发展和改革委员会审批，取得由吉木萨尔县发改委审批后获得《关于吉木萨尔县二工镇大泉湖村2024年以工代赈基础设施建设项目可行性研究报告的批复》（吉县发改〔2023〕211号）；经批复的项目投资额和可研报告预算编制的投资额一致，预算编制依据充分，投资预算编制方式合理</w:t>
      </w:r>
      <w:r>
        <w:rPr>
          <w:rFonts w:hint="default"/>
          <w:color w:val="auto"/>
          <w:lang w:eastAsia="zh-CN"/>
        </w:rPr>
        <w:t>。</w:t>
      </w:r>
      <w:r>
        <w:rPr>
          <w:rFonts w:hint="default"/>
          <w:color w:val="auto"/>
        </w:rPr>
        <w:t>经查阅项目立项批复及项目建设过程的合同文件等资料，该项目实际</w:t>
      </w:r>
      <w:r>
        <w:rPr>
          <w:rFonts w:hint="default"/>
          <w:color w:val="auto"/>
          <w:lang w:val="en-US" w:eastAsia="zh-CN"/>
        </w:rPr>
        <w:t>完成</w:t>
      </w:r>
      <w:r>
        <w:rPr>
          <w:rFonts w:hint="default"/>
          <w:color w:val="auto"/>
        </w:rPr>
        <w:t>投资</w:t>
      </w:r>
      <w:r>
        <w:rPr>
          <w:rFonts w:hint="default"/>
          <w:color w:val="auto"/>
          <w:lang w:eastAsia="zh-CN"/>
        </w:rPr>
        <w:t>额</w:t>
      </w:r>
      <w:r>
        <w:rPr>
          <w:rFonts w:hint="default"/>
          <w:color w:val="auto"/>
          <w:lang w:val="en-US" w:eastAsia="zh-CN"/>
        </w:rPr>
        <w:t>为</w:t>
      </w:r>
      <w:r>
        <w:rPr>
          <w:rFonts w:hint="default"/>
          <w:color w:val="auto"/>
        </w:rPr>
        <w:t>727.77万元，经对比计划投资额和实际投资建设情况，项目实际建设工程资金需求未超过项目预算</w:t>
      </w:r>
      <w:r>
        <w:rPr>
          <w:rFonts w:hint="default"/>
          <w:color w:val="auto"/>
          <w:lang w:eastAsia="zh-CN"/>
        </w:rPr>
        <w:t>，</w:t>
      </w:r>
      <w:r>
        <w:rPr>
          <w:rFonts w:hint="default"/>
          <w:color w:val="auto"/>
          <w:lang w:val="en-US" w:eastAsia="zh-CN"/>
        </w:rPr>
        <w:t>投资偏差率控制为4.24%</w:t>
      </w:r>
      <w:r>
        <w:rPr>
          <w:rFonts w:hint="default"/>
          <w:color w:val="auto"/>
          <w:lang w:eastAsia="zh-CN"/>
        </w:rPr>
        <w:t>，</w:t>
      </w:r>
      <w:r>
        <w:rPr>
          <w:rFonts w:hint="default"/>
          <w:color w:val="auto"/>
          <w:lang w:val="en-US" w:eastAsia="zh-CN"/>
        </w:rPr>
        <w:t>未超过投资预算的10%</w:t>
      </w:r>
      <w:r>
        <w:rPr>
          <w:rFonts w:hint="default"/>
          <w:color w:val="auto"/>
          <w:lang w:eastAsia="zh-CN"/>
        </w:rPr>
        <w:t>。</w:t>
      </w:r>
      <w:r>
        <w:rPr>
          <w:rFonts w:hint="default"/>
          <w:color w:val="auto"/>
        </w:rPr>
        <w:t>项目预算编制经过科学论证，预算编制</w:t>
      </w:r>
      <w:r>
        <w:rPr>
          <w:rFonts w:hint="default"/>
          <w:color w:val="auto"/>
          <w:lang w:val="en-US" w:eastAsia="zh-CN"/>
        </w:rPr>
        <w:t>结果较为合理</w:t>
      </w:r>
      <w:r>
        <w:rPr>
          <w:rFonts w:hint="default"/>
          <w:color w:val="auto"/>
        </w:rPr>
        <w:t>。</w:t>
      </w:r>
    </w:p>
    <w:p w14:paraId="277F388A">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该指标满分为1.50分，根据评分标准得</w:t>
      </w:r>
      <w:r>
        <w:rPr>
          <w:rFonts w:hint="default" w:ascii="Times New Roman" w:hAnsi="Times New Roman" w:cs="Times New Roman"/>
          <w:color w:val="auto"/>
          <w:sz w:val="21"/>
          <w:szCs w:val="21"/>
          <w:lang w:eastAsia="zh-CN"/>
        </w:rPr>
        <w:t>1.50</w:t>
      </w:r>
      <w:r>
        <w:rPr>
          <w:color w:val="auto"/>
        </w:rPr>
        <w:t>分。</w:t>
      </w:r>
    </w:p>
    <w:p w14:paraId="60155FAC">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（6）</w:t>
      </w:r>
      <w:r>
        <w:rPr>
          <w:rFonts w:hint="default"/>
          <w:b/>
          <w:bCs/>
          <w:color w:val="auto"/>
        </w:rPr>
        <w:t>A32资金分配合理性指标：</w:t>
      </w:r>
    </w:p>
    <w:p w14:paraId="6ED6BEB8">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rPr>
        <w:t>根据《关于吉木萨尔县二工镇大泉湖村2024年以工代赈基础设施建设项目可行性研究报告的批复》（吉县发改〔2023〕211号）《关于下达以工代赈示范工程专项2024年中央基建投资预算的通知》（昌州财建</w:t>
      </w:r>
      <w:r>
        <w:rPr>
          <w:rFonts w:hint="default" w:ascii="Times New Roman" w:hAnsi="Times New Roman" w:eastAsia="宋体" w:cs="Times New Roman"/>
          <w:color w:val="auto"/>
        </w:rPr>
        <w:t>〔</w:t>
      </w:r>
      <w:r>
        <w:rPr>
          <w:rFonts w:hint="default"/>
          <w:color w:val="auto"/>
        </w:rPr>
        <w:t>2024〕22号）《吉木萨尔县二工镇大泉湖村2024年以工代赈基础设施建设项目竣工财务决算审计报告》（报告文号</w:t>
      </w:r>
      <w:r>
        <w:rPr>
          <w:rFonts w:hint="default"/>
          <w:color w:val="auto"/>
          <w:lang w:eastAsia="zh-CN"/>
        </w:rPr>
        <w:t>：</w:t>
      </w:r>
      <w:r>
        <w:rPr>
          <w:rFonts w:hint="default"/>
          <w:color w:val="auto"/>
        </w:rPr>
        <w:t>新鸿联专审字[2025]第112号）可知，该项目批复预算额度760.00万元</w:t>
      </w:r>
      <w:r>
        <w:rPr>
          <w:rFonts w:hint="eastAsia"/>
          <w:color w:val="auto"/>
          <w:lang w:eastAsia="zh-CN"/>
        </w:rPr>
        <w:t>，</w:t>
      </w:r>
      <w:r>
        <w:rPr>
          <w:rFonts w:hint="eastAsia"/>
          <w:color w:val="auto"/>
          <w:lang w:val="en-US" w:eastAsia="zh-CN"/>
        </w:rPr>
        <w:t>其中劳务报酬预算支出235万元，工程费及其他费用预算支出525万元</w:t>
      </w:r>
      <w:r>
        <w:rPr>
          <w:rFonts w:hint="eastAsia"/>
          <w:color w:val="auto"/>
          <w:lang w:eastAsia="zh-CN"/>
        </w:rPr>
        <w:t>。</w:t>
      </w:r>
      <w:r>
        <w:rPr>
          <w:rFonts w:hint="default"/>
          <w:color w:val="auto"/>
          <w:lang w:val="en-US" w:eastAsia="zh-CN"/>
        </w:rPr>
        <w:t>项目实际投资额为</w:t>
      </w:r>
      <w:r>
        <w:rPr>
          <w:rFonts w:hint="default" w:ascii="Times New Roman" w:hAnsi="Times New Roman" w:cs="Times New Roman" w:eastAsiaTheme="minorEastAsia"/>
          <w:color w:val="auto"/>
          <w:lang w:val="en-US" w:eastAsia="zh-CN"/>
        </w:rPr>
        <w:t>727</w:t>
      </w:r>
      <w:r>
        <w:rPr>
          <w:rFonts w:hint="default" w:ascii="Times New Roman" w:hAnsi="Times New Roman" w:cs="Times New Roman"/>
          <w:color w:val="auto"/>
          <w:lang w:val="en-US" w:eastAsia="zh-CN"/>
        </w:rPr>
        <w:t>.</w:t>
      </w:r>
      <w:r>
        <w:rPr>
          <w:rFonts w:hint="default" w:ascii="Times New Roman" w:hAnsi="Times New Roman" w:cs="Times New Roman" w:eastAsiaTheme="minorEastAsia"/>
          <w:color w:val="auto"/>
          <w:lang w:val="en-US" w:eastAsia="zh-CN"/>
        </w:rPr>
        <w:t>7</w:t>
      </w:r>
      <w:r>
        <w:rPr>
          <w:rFonts w:hint="default" w:ascii="Times New Roman" w:hAnsi="Times New Roman" w:cs="Times New Roman"/>
          <w:color w:val="auto"/>
          <w:lang w:val="en-US" w:eastAsia="zh-CN"/>
        </w:rPr>
        <w:t>7万</w:t>
      </w:r>
      <w:r>
        <w:rPr>
          <w:rFonts w:hint="default" w:ascii="Times New Roman" w:hAnsi="Times New Roman" w:cs="Times New Roman" w:eastAsiaTheme="minorEastAsia"/>
          <w:color w:val="auto"/>
          <w:lang w:val="en-US" w:eastAsia="zh-CN"/>
        </w:rPr>
        <w:t>元</w:t>
      </w:r>
      <w:r>
        <w:rPr>
          <w:rFonts w:hint="default" w:ascii="Times New Roman" w:hAnsi="Times New Roman" w:cs="Times New Roman"/>
          <w:color w:val="auto"/>
          <w:lang w:val="en-US" w:eastAsia="zh-CN"/>
        </w:rPr>
        <w:t>，</w:t>
      </w:r>
      <w:r>
        <w:rPr>
          <w:rFonts w:hint="eastAsia" w:cs="Times New Roman"/>
          <w:color w:val="auto"/>
          <w:lang w:val="en-US" w:eastAsia="zh-CN"/>
        </w:rPr>
        <w:t>其中劳务报酬实际支出196.25万元，工程费及其他费支出531.52万元，项目资金分配</w:t>
      </w:r>
      <w:r>
        <w:rPr>
          <w:rFonts w:hint="default"/>
          <w:color w:val="auto"/>
          <w:lang w:val="en-US" w:eastAsia="zh-CN"/>
        </w:rPr>
        <w:t>满足项目实际投资需求</w:t>
      </w:r>
      <w:r>
        <w:rPr>
          <w:rFonts w:hint="default"/>
          <w:color w:val="auto"/>
        </w:rPr>
        <w:t>，与项目单位实际相适应。</w:t>
      </w:r>
    </w:p>
    <w:p w14:paraId="1B3C11F2">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该指标满分为1.50分，根据评分标准得</w:t>
      </w:r>
      <w:r>
        <w:rPr>
          <w:rFonts w:hint="default" w:ascii="Times New Roman" w:hAnsi="Times New Roman" w:cs="Times New Roman"/>
          <w:color w:val="auto"/>
          <w:sz w:val="21"/>
          <w:szCs w:val="21"/>
          <w:lang w:eastAsia="zh-CN"/>
        </w:rPr>
        <w:t>1.50</w:t>
      </w:r>
      <w:r>
        <w:rPr>
          <w:color w:val="auto"/>
        </w:rPr>
        <w:t>分。</w:t>
      </w:r>
    </w:p>
    <w:p w14:paraId="04E92C6B">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78" w:name="_Toc15969"/>
      <w:r>
        <w:rPr>
          <w:rFonts w:ascii="Times New Roman" w:hAnsi="Times New Roman"/>
          <w:color w:val="auto"/>
        </w:rPr>
        <w:t>（二）项目过程情况</w:t>
      </w:r>
      <w:bookmarkEnd w:id="78"/>
    </w:p>
    <w:p w14:paraId="149C1D42">
      <w:pPr>
        <w:spacing w:line="360" w:lineRule="auto"/>
        <w:rPr>
          <w:rFonts w:hint="default" w:ascii="Times New Roman" w:hAnsi="Times New Roman" w:eastAsia="黑体" w:cs="Times New Roman"/>
          <w:b w:val="0"/>
          <w:bCs w:val="0"/>
          <w:color w:val="auto"/>
          <w:szCs w:val="16"/>
        </w:rPr>
      </w:pPr>
      <w:r>
        <w:rPr>
          <w:color w:val="auto"/>
        </w:rPr>
        <w:t>项目过程类指标由</w:t>
      </w:r>
      <w:r>
        <w:rPr>
          <w:rFonts w:hint="default" w:ascii="Times New Roman" w:hAnsi="Times New Roman" w:cs="Times New Roman"/>
          <w:color w:val="auto"/>
          <w:sz w:val="21"/>
          <w:szCs w:val="21"/>
          <w:lang w:eastAsia="zh-CN"/>
        </w:rPr>
        <w:t>2</w:t>
      </w:r>
      <w:r>
        <w:rPr>
          <w:color w:val="auto"/>
        </w:rPr>
        <w:t>个二级指标和</w:t>
      </w:r>
      <w:r>
        <w:rPr>
          <w:rFonts w:hint="default" w:ascii="Times New Roman" w:hAnsi="Times New Roman" w:cs="Times New Roman"/>
          <w:color w:val="auto"/>
          <w:sz w:val="21"/>
          <w:szCs w:val="21"/>
          <w:lang w:eastAsia="zh-CN"/>
        </w:rPr>
        <w:t>6</w:t>
      </w:r>
      <w:r>
        <w:rPr>
          <w:color w:val="auto"/>
        </w:rPr>
        <w:t>个三级指标构成，权重分</w:t>
      </w:r>
      <w:r>
        <w:rPr>
          <w:rFonts w:hint="default" w:ascii="Times New Roman" w:hAnsi="Times New Roman" w:cs="Times New Roman"/>
          <w:color w:val="auto"/>
          <w:sz w:val="21"/>
          <w:szCs w:val="21"/>
          <w:lang w:eastAsia="zh-CN"/>
        </w:rPr>
        <w:t>25.00</w:t>
      </w:r>
      <w:r>
        <w:rPr>
          <w:color w:val="auto"/>
        </w:rPr>
        <w:t>分，实际得分</w:t>
      </w:r>
      <w:r>
        <w:rPr>
          <w:rFonts w:hint="default" w:cs="Times New Roman"/>
          <w:color w:val="auto"/>
          <w:sz w:val="21"/>
          <w:szCs w:val="21"/>
          <w:lang w:val="en-US" w:eastAsia="zh-CN"/>
        </w:rPr>
        <w:t>18.50</w:t>
      </w:r>
      <w:r>
        <w:rPr>
          <w:color w:val="auto"/>
        </w:rPr>
        <w:t>分</w:t>
      </w:r>
      <w:r>
        <w:rPr>
          <w:rFonts w:hint="default"/>
          <w:color w:val="auto"/>
        </w:rPr>
        <w:t>，得分率为</w:t>
      </w:r>
      <w:r>
        <w:rPr>
          <w:rFonts w:hint="default" w:cs="Times New Roman"/>
          <w:color w:val="auto"/>
          <w:sz w:val="21"/>
          <w:szCs w:val="21"/>
          <w:lang w:val="en-US" w:eastAsia="zh-CN"/>
        </w:rPr>
        <w:t>74</w:t>
      </w:r>
      <w:r>
        <w:rPr>
          <w:rFonts w:hint="default" w:ascii="Times New Roman" w:hAnsi="Times New Roman" w:cs="Times New Roman"/>
          <w:color w:val="auto"/>
          <w:sz w:val="21"/>
          <w:szCs w:val="21"/>
          <w:lang w:eastAsia="zh-CN"/>
        </w:rPr>
        <w:t>.00%</w:t>
      </w:r>
      <w:r>
        <w:rPr>
          <w:color w:val="auto"/>
        </w:rPr>
        <w:t>。各指标业绩值和绩效分值如下表所示：</w:t>
      </w:r>
    </w:p>
    <w:p w14:paraId="20A1B63C">
      <w:pPr>
        <w:rPr>
          <w:rFonts w:hint="default" w:ascii="Times New Roman" w:hAnsi="Times New Roman" w:eastAsia="黑体" w:cs="Times New Roman"/>
          <w:b w:val="0"/>
          <w:bCs w:val="0"/>
          <w:color w:val="auto"/>
          <w:szCs w:val="16"/>
        </w:rPr>
      </w:pPr>
      <w:r>
        <w:rPr>
          <w:rFonts w:hint="default" w:ascii="Times New Roman" w:hAnsi="Times New Roman" w:eastAsia="黑体" w:cs="Times New Roman"/>
          <w:b w:val="0"/>
          <w:bCs w:val="0"/>
          <w:color w:val="auto"/>
          <w:szCs w:val="16"/>
        </w:rPr>
        <w:br w:type="page"/>
      </w:r>
    </w:p>
    <w:p w14:paraId="13E21FCA">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color w:val="auto"/>
          <w:szCs w:val="16"/>
        </w:rPr>
        <w:t>表</w:t>
      </w:r>
      <w:r>
        <w:rPr>
          <w:rFonts w:hint="default" w:ascii="Times New Roman" w:hAnsi="Times New Roman" w:eastAsia="黑体" w:cs="Times New Roman"/>
          <w:b w:val="0"/>
          <w:bCs w:val="0"/>
          <w:color w:val="auto"/>
          <w:szCs w:val="16"/>
          <w:lang w:val="en-US" w:eastAsia="zh-CN"/>
        </w:rPr>
        <w:t>5</w:t>
      </w:r>
      <w:r>
        <w:rPr>
          <w:rFonts w:hint="default" w:ascii="Times New Roman" w:hAnsi="Times New Roman" w:eastAsia="黑体" w:cs="Times New Roman"/>
          <w:b w:val="0"/>
          <w:bCs w:val="0"/>
          <w:color w:val="auto"/>
          <w:szCs w:val="16"/>
        </w:rPr>
        <w:t>-2：项目过程类指标及分值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1036"/>
        <w:gridCol w:w="1112"/>
        <w:gridCol w:w="2283"/>
        <w:gridCol w:w="875"/>
        <w:gridCol w:w="1137"/>
        <w:gridCol w:w="562"/>
        <w:gridCol w:w="564"/>
        <w:gridCol w:w="839"/>
      </w:tblGrid>
      <w:tr w14:paraId="06CF5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16" w:type="pct"/>
            <w:vAlign w:val="center"/>
          </w:tcPr>
          <w:p w14:paraId="64634150">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661" w:type="pct"/>
            <w:vAlign w:val="center"/>
          </w:tcPr>
          <w:p w14:paraId="78C48BB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357" w:type="pct"/>
            <w:vAlign w:val="center"/>
          </w:tcPr>
          <w:p w14:paraId="568C6766">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520" w:type="pct"/>
            <w:vAlign w:val="center"/>
          </w:tcPr>
          <w:p w14:paraId="7AC7B54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76" w:type="pct"/>
            <w:vAlign w:val="center"/>
          </w:tcPr>
          <w:p w14:paraId="6618D70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334" w:type="pct"/>
            <w:vAlign w:val="center"/>
          </w:tcPr>
          <w:p w14:paraId="46F6F65E">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335" w:type="pct"/>
            <w:vAlign w:val="center"/>
          </w:tcPr>
          <w:p w14:paraId="2AB59A3C">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98" w:type="pct"/>
            <w:vAlign w:val="center"/>
          </w:tcPr>
          <w:p w14:paraId="6FA431F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14:paraId="33633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6" w:type="pct"/>
            <w:vMerge w:val="restart"/>
            <w:vAlign w:val="center"/>
          </w:tcPr>
          <w:p w14:paraId="40440A3D">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r>
              <w:rPr>
                <w:rFonts w:hint="default"/>
                <w:color w:val="auto"/>
                <w:sz w:val="20"/>
                <w:szCs w:val="20"/>
              </w:rPr>
              <w:t>B过程（25.00分）</w:t>
            </w:r>
          </w:p>
        </w:tc>
        <w:tc>
          <w:tcPr>
            <w:tcW w:w="661" w:type="pct"/>
            <w:vMerge w:val="restart"/>
            <w:vAlign w:val="center"/>
          </w:tcPr>
          <w:p w14:paraId="57F8097C">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r>
              <w:rPr>
                <w:rFonts w:hint="default"/>
                <w:color w:val="auto"/>
                <w:kern w:val="0"/>
                <w:sz w:val="20"/>
                <w:szCs w:val="20"/>
                <w:lang w:bidi="ar"/>
              </w:rPr>
              <w:t>B1资金管理（13.00分）</w:t>
            </w:r>
          </w:p>
        </w:tc>
        <w:tc>
          <w:tcPr>
            <w:tcW w:w="1357" w:type="pct"/>
            <w:vAlign w:val="center"/>
          </w:tcPr>
          <w:p w14:paraId="1A854382">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B11资金到位率</w:t>
            </w:r>
          </w:p>
        </w:tc>
        <w:tc>
          <w:tcPr>
            <w:tcW w:w="520" w:type="pct"/>
            <w:vAlign w:val="center"/>
          </w:tcPr>
          <w:p w14:paraId="34AE893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100.00%</w:t>
            </w:r>
          </w:p>
        </w:tc>
        <w:tc>
          <w:tcPr>
            <w:tcW w:w="676" w:type="pct"/>
            <w:vAlign w:val="center"/>
          </w:tcPr>
          <w:p w14:paraId="7FB1920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000000"/>
                <w:kern w:val="0"/>
                <w:sz w:val="20"/>
                <w:szCs w:val="20"/>
                <w:u w:val="none"/>
                <w:lang w:val="en-US" w:eastAsia="zh-CN" w:bidi="ar"/>
              </w:rPr>
              <w:t>100.00%</w:t>
            </w:r>
          </w:p>
        </w:tc>
        <w:tc>
          <w:tcPr>
            <w:tcW w:w="334" w:type="pct"/>
            <w:vAlign w:val="center"/>
          </w:tcPr>
          <w:p w14:paraId="088D110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3.00</w:t>
            </w:r>
          </w:p>
        </w:tc>
        <w:tc>
          <w:tcPr>
            <w:tcW w:w="335" w:type="pct"/>
            <w:vAlign w:val="center"/>
          </w:tcPr>
          <w:p w14:paraId="5633195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3.00</w:t>
            </w:r>
          </w:p>
        </w:tc>
        <w:tc>
          <w:tcPr>
            <w:tcW w:w="498" w:type="pct"/>
            <w:vAlign w:val="center"/>
          </w:tcPr>
          <w:p w14:paraId="38088E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60B8F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6" w:type="pct"/>
            <w:vMerge w:val="continue"/>
            <w:vAlign w:val="center"/>
          </w:tcPr>
          <w:p w14:paraId="1F811DA3">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661" w:type="pct"/>
            <w:vMerge w:val="continue"/>
            <w:vAlign w:val="center"/>
          </w:tcPr>
          <w:p w14:paraId="73AA8241">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1357" w:type="pct"/>
            <w:vAlign w:val="center"/>
          </w:tcPr>
          <w:p w14:paraId="2388C0C7">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B12预算执行率</w:t>
            </w:r>
          </w:p>
        </w:tc>
        <w:tc>
          <w:tcPr>
            <w:tcW w:w="520" w:type="pct"/>
            <w:vAlign w:val="center"/>
          </w:tcPr>
          <w:p w14:paraId="02AF30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100.00%</w:t>
            </w:r>
          </w:p>
        </w:tc>
        <w:tc>
          <w:tcPr>
            <w:tcW w:w="676" w:type="pct"/>
            <w:vAlign w:val="center"/>
          </w:tcPr>
          <w:p w14:paraId="526640B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000000"/>
                <w:kern w:val="0"/>
                <w:sz w:val="20"/>
                <w:szCs w:val="20"/>
                <w:u w:val="none"/>
                <w:lang w:val="en-US" w:eastAsia="zh-CN" w:bidi="ar"/>
              </w:rPr>
              <w:t>95.30%</w:t>
            </w:r>
          </w:p>
        </w:tc>
        <w:tc>
          <w:tcPr>
            <w:tcW w:w="334" w:type="pct"/>
            <w:vAlign w:val="center"/>
          </w:tcPr>
          <w:p w14:paraId="58C6F25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5.00</w:t>
            </w:r>
          </w:p>
        </w:tc>
        <w:tc>
          <w:tcPr>
            <w:tcW w:w="335" w:type="pct"/>
            <w:vAlign w:val="center"/>
          </w:tcPr>
          <w:p w14:paraId="567CB1C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4.00</w:t>
            </w:r>
          </w:p>
        </w:tc>
        <w:tc>
          <w:tcPr>
            <w:tcW w:w="498" w:type="pct"/>
            <w:vAlign w:val="center"/>
          </w:tcPr>
          <w:p w14:paraId="67D012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80.00%</w:t>
            </w:r>
          </w:p>
        </w:tc>
      </w:tr>
      <w:tr w14:paraId="675CB0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6" w:type="pct"/>
            <w:vMerge w:val="continue"/>
            <w:vAlign w:val="center"/>
          </w:tcPr>
          <w:p w14:paraId="33ECCC7F">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661" w:type="pct"/>
            <w:vMerge w:val="continue"/>
            <w:vAlign w:val="center"/>
          </w:tcPr>
          <w:p w14:paraId="50EAFB09">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1357" w:type="pct"/>
            <w:vAlign w:val="center"/>
          </w:tcPr>
          <w:p w14:paraId="1C3FA800">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B13资金使用合规性</w:t>
            </w:r>
          </w:p>
        </w:tc>
        <w:tc>
          <w:tcPr>
            <w:tcW w:w="520" w:type="pct"/>
            <w:vAlign w:val="center"/>
          </w:tcPr>
          <w:p w14:paraId="6A1F1B5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合规</w:t>
            </w:r>
          </w:p>
        </w:tc>
        <w:tc>
          <w:tcPr>
            <w:tcW w:w="676" w:type="pct"/>
            <w:vAlign w:val="center"/>
          </w:tcPr>
          <w:p w14:paraId="4BAA76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000000"/>
                <w:kern w:val="0"/>
                <w:sz w:val="20"/>
                <w:szCs w:val="20"/>
                <w:u w:val="none"/>
                <w:lang w:val="en-US" w:eastAsia="zh-CN" w:bidi="ar"/>
              </w:rPr>
              <w:t>合规</w:t>
            </w:r>
          </w:p>
        </w:tc>
        <w:tc>
          <w:tcPr>
            <w:tcW w:w="334" w:type="pct"/>
            <w:vAlign w:val="center"/>
          </w:tcPr>
          <w:p w14:paraId="2F9915C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5.00</w:t>
            </w:r>
          </w:p>
        </w:tc>
        <w:tc>
          <w:tcPr>
            <w:tcW w:w="335" w:type="pct"/>
            <w:vAlign w:val="center"/>
          </w:tcPr>
          <w:p w14:paraId="0332348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5.00</w:t>
            </w:r>
          </w:p>
        </w:tc>
        <w:tc>
          <w:tcPr>
            <w:tcW w:w="498" w:type="pct"/>
            <w:vAlign w:val="center"/>
          </w:tcPr>
          <w:p w14:paraId="3022EB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74978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6" w:type="pct"/>
            <w:vMerge w:val="continue"/>
            <w:vAlign w:val="center"/>
          </w:tcPr>
          <w:p w14:paraId="4B492AFD">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661" w:type="pct"/>
            <w:vMerge w:val="restart"/>
            <w:vAlign w:val="center"/>
          </w:tcPr>
          <w:p w14:paraId="13DE2D64">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r>
              <w:rPr>
                <w:rFonts w:hint="default"/>
                <w:color w:val="auto"/>
                <w:kern w:val="0"/>
                <w:sz w:val="20"/>
                <w:szCs w:val="20"/>
                <w:lang w:bidi="ar"/>
              </w:rPr>
              <w:t>B2组织实施（12.00分）</w:t>
            </w:r>
          </w:p>
        </w:tc>
        <w:tc>
          <w:tcPr>
            <w:tcW w:w="1357" w:type="pct"/>
            <w:vAlign w:val="center"/>
          </w:tcPr>
          <w:p w14:paraId="32196467">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B21管理制度健全性</w:t>
            </w:r>
          </w:p>
        </w:tc>
        <w:tc>
          <w:tcPr>
            <w:tcW w:w="520" w:type="pct"/>
            <w:vAlign w:val="center"/>
          </w:tcPr>
          <w:p w14:paraId="7CEA248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健全</w:t>
            </w:r>
          </w:p>
        </w:tc>
        <w:tc>
          <w:tcPr>
            <w:tcW w:w="676" w:type="pct"/>
            <w:vAlign w:val="center"/>
          </w:tcPr>
          <w:p w14:paraId="208A5F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000000"/>
                <w:kern w:val="0"/>
                <w:sz w:val="20"/>
                <w:szCs w:val="20"/>
                <w:u w:val="none"/>
                <w:lang w:val="en-US" w:eastAsia="zh-CN" w:bidi="ar"/>
              </w:rPr>
              <w:t>较健全</w:t>
            </w:r>
          </w:p>
        </w:tc>
        <w:tc>
          <w:tcPr>
            <w:tcW w:w="334" w:type="pct"/>
            <w:vAlign w:val="center"/>
          </w:tcPr>
          <w:p w14:paraId="6DD793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4.00</w:t>
            </w:r>
          </w:p>
        </w:tc>
        <w:tc>
          <w:tcPr>
            <w:tcW w:w="335" w:type="pct"/>
            <w:vAlign w:val="center"/>
          </w:tcPr>
          <w:p w14:paraId="10D1A9D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3.00</w:t>
            </w:r>
          </w:p>
        </w:tc>
        <w:tc>
          <w:tcPr>
            <w:tcW w:w="498" w:type="pct"/>
            <w:vAlign w:val="center"/>
          </w:tcPr>
          <w:p w14:paraId="1FCDAB0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75.00%</w:t>
            </w:r>
          </w:p>
        </w:tc>
      </w:tr>
      <w:tr w14:paraId="615B7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6" w:type="pct"/>
            <w:vMerge w:val="continue"/>
            <w:vAlign w:val="center"/>
          </w:tcPr>
          <w:p w14:paraId="590201F5">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661" w:type="pct"/>
            <w:vMerge w:val="continue"/>
            <w:vAlign w:val="center"/>
          </w:tcPr>
          <w:p w14:paraId="4E8D637B">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1357" w:type="pct"/>
            <w:vAlign w:val="center"/>
          </w:tcPr>
          <w:p w14:paraId="1C0EB1CF">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B22制度执行有效性</w:t>
            </w:r>
          </w:p>
        </w:tc>
        <w:tc>
          <w:tcPr>
            <w:tcW w:w="520" w:type="pct"/>
            <w:vAlign w:val="center"/>
          </w:tcPr>
          <w:p w14:paraId="51487FD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有效</w:t>
            </w:r>
          </w:p>
        </w:tc>
        <w:tc>
          <w:tcPr>
            <w:tcW w:w="676" w:type="pct"/>
            <w:vAlign w:val="center"/>
          </w:tcPr>
          <w:p w14:paraId="3BBBA1A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sz w:val="20"/>
                <w:szCs w:val="20"/>
                <w:lang w:val="en-US" w:eastAsia="zh-CN"/>
              </w:rPr>
            </w:pPr>
            <w:r>
              <w:rPr>
                <w:rFonts w:hint="eastAsia" w:eastAsia="宋体" w:cs="Times New Roman"/>
                <w:i w:val="0"/>
                <w:iCs w:val="0"/>
                <w:color w:val="000000"/>
                <w:kern w:val="0"/>
                <w:sz w:val="20"/>
                <w:szCs w:val="20"/>
                <w:u w:val="none"/>
                <w:lang w:val="en-US" w:eastAsia="zh-CN" w:bidi="ar"/>
              </w:rPr>
              <w:t>不够</w:t>
            </w:r>
            <w:r>
              <w:rPr>
                <w:rFonts w:hint="default" w:ascii="Times New Roman" w:hAnsi="Times New Roman" w:eastAsia="宋体" w:cs="Times New Roman"/>
                <w:i w:val="0"/>
                <w:iCs w:val="0"/>
                <w:color w:val="000000"/>
                <w:kern w:val="0"/>
                <w:sz w:val="20"/>
                <w:szCs w:val="20"/>
                <w:u w:val="none"/>
                <w:lang w:val="en-US" w:eastAsia="zh-CN" w:bidi="ar"/>
              </w:rPr>
              <w:t>有效</w:t>
            </w:r>
          </w:p>
        </w:tc>
        <w:tc>
          <w:tcPr>
            <w:tcW w:w="334" w:type="pct"/>
            <w:vAlign w:val="center"/>
          </w:tcPr>
          <w:p w14:paraId="282BAB5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6.00</w:t>
            </w:r>
          </w:p>
        </w:tc>
        <w:tc>
          <w:tcPr>
            <w:tcW w:w="335" w:type="pct"/>
            <w:vAlign w:val="center"/>
          </w:tcPr>
          <w:p w14:paraId="7D59B87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3.50</w:t>
            </w:r>
          </w:p>
        </w:tc>
        <w:tc>
          <w:tcPr>
            <w:tcW w:w="498" w:type="pct"/>
            <w:vAlign w:val="center"/>
          </w:tcPr>
          <w:p w14:paraId="0868849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58.33%</w:t>
            </w:r>
          </w:p>
        </w:tc>
      </w:tr>
      <w:tr w14:paraId="4ED5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16" w:type="pct"/>
            <w:vMerge w:val="continue"/>
            <w:vAlign w:val="center"/>
          </w:tcPr>
          <w:p w14:paraId="57A73C80">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661" w:type="pct"/>
            <w:vMerge w:val="continue"/>
            <w:vAlign w:val="center"/>
          </w:tcPr>
          <w:p w14:paraId="408B2EE4">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1357" w:type="pct"/>
            <w:vAlign w:val="center"/>
          </w:tcPr>
          <w:p w14:paraId="0CCB2B31">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B23项目资产管理规范性</w:t>
            </w:r>
          </w:p>
        </w:tc>
        <w:tc>
          <w:tcPr>
            <w:tcW w:w="520" w:type="pct"/>
            <w:vAlign w:val="center"/>
          </w:tcPr>
          <w:p w14:paraId="121528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有效</w:t>
            </w:r>
          </w:p>
        </w:tc>
        <w:tc>
          <w:tcPr>
            <w:tcW w:w="676" w:type="pct"/>
            <w:vAlign w:val="center"/>
          </w:tcPr>
          <w:p w14:paraId="7027B37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sz w:val="20"/>
                <w:szCs w:val="20"/>
                <w:lang w:val="en-US" w:eastAsia="zh-CN"/>
              </w:rPr>
            </w:pPr>
            <w:r>
              <w:rPr>
                <w:rFonts w:hint="eastAsia" w:eastAsia="宋体" w:cs="Times New Roman"/>
                <w:i w:val="0"/>
                <w:iCs w:val="0"/>
                <w:color w:val="000000"/>
                <w:kern w:val="0"/>
                <w:sz w:val="20"/>
                <w:szCs w:val="20"/>
                <w:u w:val="none"/>
                <w:lang w:val="en-US" w:eastAsia="zh-CN" w:bidi="ar"/>
              </w:rPr>
              <w:t>无效</w:t>
            </w:r>
          </w:p>
        </w:tc>
        <w:tc>
          <w:tcPr>
            <w:tcW w:w="334" w:type="pct"/>
            <w:vAlign w:val="center"/>
          </w:tcPr>
          <w:p w14:paraId="704AE6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2.00</w:t>
            </w:r>
          </w:p>
        </w:tc>
        <w:tc>
          <w:tcPr>
            <w:tcW w:w="335" w:type="pct"/>
            <w:vAlign w:val="center"/>
          </w:tcPr>
          <w:p w14:paraId="5A16217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0.00</w:t>
            </w:r>
          </w:p>
        </w:tc>
        <w:tc>
          <w:tcPr>
            <w:tcW w:w="498" w:type="pct"/>
            <w:vAlign w:val="center"/>
          </w:tcPr>
          <w:p w14:paraId="3B33A70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000000"/>
                <w:kern w:val="0"/>
                <w:sz w:val="20"/>
                <w:szCs w:val="20"/>
                <w:u w:val="none"/>
                <w:lang w:val="en-US" w:eastAsia="zh-CN" w:bidi="ar"/>
              </w:rPr>
              <w:t>0.00%</w:t>
            </w:r>
          </w:p>
        </w:tc>
      </w:tr>
      <w:tr w14:paraId="4B221C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34" w:hRule="atLeast"/>
          <w:jc w:val="center"/>
        </w:trPr>
        <w:tc>
          <w:tcPr>
            <w:tcW w:w="2634" w:type="pct"/>
            <w:gridSpan w:val="3"/>
            <w:vAlign w:val="center"/>
          </w:tcPr>
          <w:p w14:paraId="1FBD7E99">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b/>
                <w:bCs/>
                <w:color w:val="auto"/>
                <w:sz w:val="20"/>
                <w:szCs w:val="20"/>
              </w:rPr>
            </w:pPr>
            <w:r>
              <w:rPr>
                <w:rFonts w:hint="default"/>
                <w:b/>
                <w:bCs/>
                <w:color w:val="auto"/>
                <w:sz w:val="20"/>
                <w:szCs w:val="20"/>
              </w:rPr>
              <w:t>合计</w:t>
            </w:r>
          </w:p>
        </w:tc>
        <w:tc>
          <w:tcPr>
            <w:tcW w:w="520" w:type="pct"/>
            <w:vAlign w:val="center"/>
          </w:tcPr>
          <w:p w14:paraId="1837ED00">
            <w:pPr>
              <w:keepNext w:val="0"/>
              <w:keepLines w:val="0"/>
              <w:pageBreakBefore w:val="0"/>
              <w:widowControl/>
              <w:kinsoku/>
              <w:wordWrap/>
              <w:overflowPunct/>
              <w:topLinePunct w:val="0"/>
              <w:autoSpaceDE/>
              <w:autoSpaceDN/>
              <w:bidi w:val="0"/>
              <w:spacing w:line="240" w:lineRule="auto"/>
              <w:ind w:firstLine="0" w:firstLineChars="0"/>
              <w:jc w:val="center"/>
              <w:rPr>
                <w:rFonts w:ascii="Times New Roman" w:hAnsi="Times New Roman" w:eastAsia="宋体" w:cs="Times New Roman"/>
                <w:b/>
                <w:bCs/>
                <w:color w:val="auto"/>
                <w:sz w:val="20"/>
                <w:szCs w:val="20"/>
              </w:rPr>
            </w:pPr>
          </w:p>
        </w:tc>
        <w:tc>
          <w:tcPr>
            <w:tcW w:w="676" w:type="pct"/>
            <w:vAlign w:val="center"/>
          </w:tcPr>
          <w:p w14:paraId="52AF5DE6">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color w:val="auto"/>
                <w:sz w:val="20"/>
                <w:szCs w:val="20"/>
                <w:lang w:val="en-US" w:eastAsia="zh-CN"/>
              </w:rPr>
            </w:pPr>
          </w:p>
        </w:tc>
        <w:tc>
          <w:tcPr>
            <w:tcW w:w="334" w:type="pct"/>
            <w:vAlign w:val="center"/>
          </w:tcPr>
          <w:p w14:paraId="5791233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i w:val="0"/>
                <w:iCs w:val="0"/>
                <w:color w:val="000000"/>
                <w:kern w:val="0"/>
                <w:sz w:val="20"/>
                <w:szCs w:val="20"/>
                <w:u w:val="none"/>
                <w:lang w:val="en-US" w:eastAsia="zh-CN" w:bidi="ar"/>
              </w:rPr>
              <w:t>25.00</w:t>
            </w:r>
          </w:p>
        </w:tc>
        <w:tc>
          <w:tcPr>
            <w:tcW w:w="335" w:type="pct"/>
            <w:vAlign w:val="center"/>
          </w:tcPr>
          <w:p w14:paraId="6CF205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i w:val="0"/>
                <w:iCs w:val="0"/>
                <w:color w:val="000000"/>
                <w:kern w:val="0"/>
                <w:sz w:val="20"/>
                <w:szCs w:val="20"/>
                <w:u w:val="none"/>
                <w:lang w:val="en-US" w:eastAsia="zh-CN" w:bidi="ar"/>
              </w:rPr>
              <w:t>18.50</w:t>
            </w:r>
          </w:p>
        </w:tc>
        <w:tc>
          <w:tcPr>
            <w:tcW w:w="498" w:type="pct"/>
            <w:vAlign w:val="center"/>
          </w:tcPr>
          <w:p w14:paraId="4644B71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i w:val="0"/>
                <w:iCs w:val="0"/>
                <w:color w:val="000000"/>
                <w:kern w:val="0"/>
                <w:sz w:val="20"/>
                <w:szCs w:val="20"/>
                <w:u w:val="none"/>
                <w:lang w:val="en-US" w:eastAsia="zh-CN" w:bidi="ar"/>
              </w:rPr>
              <w:t>74.00%</w:t>
            </w:r>
          </w:p>
        </w:tc>
      </w:tr>
    </w:tbl>
    <w:p w14:paraId="4963689E">
      <w:pPr>
        <w:pageBreakBefore w:val="0"/>
        <w:kinsoku/>
        <w:wordWrap/>
        <w:overflowPunct/>
        <w:topLinePunct w:val="0"/>
        <w:autoSpaceDE/>
        <w:autoSpaceDN/>
        <w:bidi w:val="0"/>
        <w:snapToGrid w:val="0"/>
        <w:spacing w:before="0" w:after="0" w:line="360" w:lineRule="auto"/>
        <w:ind w:firstLine="422"/>
        <w:rPr>
          <w:rFonts w:ascii="Times New Roman" w:hAnsi="Times New Roman" w:eastAsia="宋体" w:cs="Times New Roman"/>
          <w:b/>
          <w:bCs/>
          <w:color w:val="auto"/>
        </w:rPr>
      </w:pPr>
    </w:p>
    <w:p w14:paraId="5802BB16">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r>
        <w:rPr>
          <w:b/>
          <w:bCs/>
          <w:color w:val="auto"/>
        </w:rPr>
        <w:t>：</w:t>
      </w:r>
    </w:p>
    <w:p w14:paraId="418DEB31">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w:t>
      </w:r>
      <w:r>
        <w:rPr>
          <w:rFonts w:hint="default"/>
          <w:b/>
          <w:bCs/>
          <w:color w:val="auto"/>
        </w:rPr>
        <w:t>B11资金到位率指标：</w:t>
      </w:r>
    </w:p>
    <w:p w14:paraId="54EEEAB4">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rPr>
        <w:t>根据《关于下达以工代赈示范工程专项2024年中央基建投资预算的通知》（昌州财建</w:t>
      </w:r>
      <w:r>
        <w:rPr>
          <w:rFonts w:hint="default" w:ascii="Times New Roman" w:hAnsi="Times New Roman" w:eastAsia="宋体" w:cs="Times New Roman"/>
          <w:color w:val="auto"/>
        </w:rPr>
        <w:t>〔</w:t>
      </w:r>
      <w:r>
        <w:rPr>
          <w:rFonts w:hint="default"/>
          <w:color w:val="auto"/>
        </w:rPr>
        <w:t>2024〕22号）及相关财务凭证可知，该项目批复</w:t>
      </w:r>
      <w:r>
        <w:rPr>
          <w:rFonts w:hint="default"/>
          <w:color w:val="auto"/>
          <w:lang w:val="en-US" w:eastAsia="zh-CN"/>
        </w:rPr>
        <w:t>投资</w:t>
      </w:r>
      <w:r>
        <w:rPr>
          <w:rFonts w:hint="default"/>
          <w:color w:val="auto"/>
        </w:rPr>
        <w:t>预算金额为760.00万元，截至2024年12月31日，</w:t>
      </w:r>
      <w:r>
        <w:rPr>
          <w:rFonts w:hint="default"/>
          <w:color w:val="auto"/>
          <w:lang w:val="en-US" w:eastAsia="zh-CN"/>
        </w:rPr>
        <w:t>项目</w:t>
      </w:r>
      <w:r>
        <w:rPr>
          <w:rFonts w:hint="default"/>
          <w:color w:val="auto"/>
        </w:rPr>
        <w:t>到位资金100.00万元</w:t>
      </w:r>
      <w:r>
        <w:rPr>
          <w:rFonts w:hint="default"/>
          <w:color w:val="auto"/>
          <w:lang w:eastAsia="zh-CN"/>
        </w:rPr>
        <w:t>，</w:t>
      </w:r>
      <w:r>
        <w:rPr>
          <w:rFonts w:hint="default"/>
          <w:color w:val="auto"/>
          <w:lang w:val="en-US" w:eastAsia="zh-CN"/>
        </w:rPr>
        <w:t>资金到位率为100.00%</w:t>
      </w:r>
      <w:r>
        <w:rPr>
          <w:rFonts w:hint="default"/>
          <w:color w:val="auto"/>
        </w:rPr>
        <w:t>。</w:t>
      </w:r>
    </w:p>
    <w:p w14:paraId="61F9B6C5">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该指标满分为3.00分，根据评分标准得</w:t>
      </w:r>
      <w:r>
        <w:rPr>
          <w:rFonts w:hint="default" w:ascii="Times New Roman" w:hAnsi="Times New Roman" w:cs="Times New Roman"/>
          <w:color w:val="auto"/>
          <w:sz w:val="21"/>
          <w:szCs w:val="21"/>
          <w:lang w:eastAsia="zh-CN"/>
        </w:rPr>
        <w:t>3.00</w:t>
      </w:r>
      <w:r>
        <w:rPr>
          <w:color w:val="auto"/>
        </w:rPr>
        <w:t>分。</w:t>
      </w:r>
    </w:p>
    <w:p w14:paraId="0E666DB7">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（2）</w:t>
      </w:r>
      <w:r>
        <w:rPr>
          <w:rFonts w:hint="default"/>
          <w:b/>
          <w:bCs/>
          <w:color w:val="auto"/>
        </w:rPr>
        <w:t>B12预算执行率指标：</w:t>
      </w:r>
    </w:p>
    <w:p w14:paraId="0AE699B5">
      <w:pPr>
        <w:pageBreakBefore w:val="0"/>
        <w:kinsoku/>
        <w:wordWrap/>
        <w:overflowPunct/>
        <w:topLinePunct w:val="0"/>
        <w:autoSpaceDE/>
        <w:autoSpaceDN/>
        <w:bidi w:val="0"/>
        <w:snapToGrid w:val="0"/>
        <w:spacing w:before="0" w:after="0" w:line="360" w:lineRule="auto"/>
        <w:ind w:firstLine="420"/>
        <w:rPr>
          <w:rFonts w:hint="default" w:eastAsiaTheme="minorEastAsia"/>
          <w:color w:val="auto"/>
          <w:lang w:eastAsia="zh-CN"/>
        </w:rPr>
      </w:pPr>
      <w:r>
        <w:rPr>
          <w:rFonts w:hint="default"/>
          <w:color w:val="auto"/>
        </w:rPr>
        <w:t>经查验相关文件和项目资金支出凭证，该项目已完成，截至2025年6月30日，实际支出资金为724.</w:t>
      </w:r>
      <w:r>
        <w:rPr>
          <w:rFonts w:hint="default"/>
          <w:color w:val="auto"/>
          <w:lang w:val="en-US" w:eastAsia="zh-CN"/>
        </w:rPr>
        <w:t>25</w:t>
      </w:r>
      <w:r>
        <w:rPr>
          <w:rFonts w:hint="default"/>
          <w:color w:val="auto"/>
        </w:rPr>
        <w:t>万元</w:t>
      </w:r>
      <w:r>
        <w:rPr>
          <w:rFonts w:hint="default"/>
          <w:color w:val="auto"/>
          <w:lang w:val="en-US" w:eastAsia="zh-CN"/>
        </w:rPr>
        <w:t>，</w:t>
      </w:r>
      <w:r>
        <w:rPr>
          <w:rFonts w:hint="default"/>
          <w:color w:val="auto"/>
        </w:rPr>
        <w:t>预算执行率=（实际支出资金/实际到位资金）×100.00%=（724.</w:t>
      </w:r>
      <w:r>
        <w:rPr>
          <w:rFonts w:hint="default"/>
          <w:color w:val="auto"/>
          <w:lang w:val="en-US" w:eastAsia="zh-CN"/>
        </w:rPr>
        <w:t>25</w:t>
      </w:r>
      <w:r>
        <w:rPr>
          <w:rFonts w:hint="default"/>
          <w:color w:val="auto"/>
        </w:rPr>
        <w:t>/760.00）×100.00%=</w:t>
      </w:r>
      <w:r>
        <w:rPr>
          <w:rFonts w:hint="default"/>
          <w:color w:val="auto"/>
          <w:lang w:val="en-US" w:eastAsia="zh-CN"/>
        </w:rPr>
        <w:t>95.30</w:t>
      </w:r>
      <w:r>
        <w:rPr>
          <w:rFonts w:hint="default"/>
          <w:color w:val="auto"/>
        </w:rPr>
        <w:t>%。根据评分标准，项目完成</w:t>
      </w:r>
      <w:r>
        <w:rPr>
          <w:rFonts w:hint="default"/>
          <w:color w:val="auto"/>
          <w:lang w:val="en-US" w:eastAsia="zh-CN"/>
        </w:rPr>
        <w:t>但存在项目资金尚未支付完的情况</w:t>
      </w:r>
      <w:r>
        <w:rPr>
          <w:rFonts w:hint="default"/>
          <w:color w:val="auto"/>
        </w:rPr>
        <w:t>，得</w:t>
      </w:r>
      <w:r>
        <w:rPr>
          <w:rFonts w:hint="default"/>
          <w:color w:val="auto"/>
          <w:lang w:val="en-US" w:eastAsia="zh-CN"/>
        </w:rPr>
        <w:t>4</w:t>
      </w:r>
      <w:r>
        <w:rPr>
          <w:rFonts w:hint="default"/>
          <w:color w:val="auto"/>
        </w:rPr>
        <w:t>分</w:t>
      </w:r>
      <w:r>
        <w:rPr>
          <w:rFonts w:hint="default"/>
          <w:color w:val="auto"/>
          <w:lang w:eastAsia="zh-CN"/>
        </w:rPr>
        <w:t>。</w:t>
      </w:r>
    </w:p>
    <w:p w14:paraId="36C88170">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该指标满分为5.00分，根据评分标准得</w:t>
      </w:r>
      <w:r>
        <w:rPr>
          <w:rFonts w:hint="default" w:cs="Times New Roman"/>
          <w:color w:val="auto"/>
          <w:sz w:val="21"/>
          <w:szCs w:val="21"/>
          <w:lang w:val="en-US" w:eastAsia="zh-CN"/>
        </w:rPr>
        <w:t>4</w:t>
      </w:r>
      <w:r>
        <w:rPr>
          <w:rFonts w:hint="default" w:ascii="Times New Roman" w:hAnsi="Times New Roman" w:cs="Times New Roman"/>
          <w:color w:val="auto"/>
          <w:sz w:val="21"/>
          <w:szCs w:val="21"/>
          <w:lang w:eastAsia="zh-CN"/>
        </w:rPr>
        <w:t>.00</w:t>
      </w:r>
      <w:r>
        <w:rPr>
          <w:color w:val="auto"/>
        </w:rPr>
        <w:t>分。</w:t>
      </w:r>
    </w:p>
    <w:p w14:paraId="17737076">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（3）</w:t>
      </w:r>
      <w:r>
        <w:rPr>
          <w:rFonts w:hint="default"/>
          <w:b/>
          <w:bCs/>
          <w:color w:val="auto"/>
        </w:rPr>
        <w:t>B13资金使用合规性指标：</w:t>
      </w:r>
    </w:p>
    <w:p w14:paraId="6387F13B">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rPr>
        <w:t>经检查该项目支出凭证，项目资金均用于吉木萨尔县二工镇大泉湖村2024年以工代赈基础设施建设项目工程款、工程农民工工资、设计费、勘察费、可研费、监理费、测绘费、招标控制价费等</w:t>
      </w:r>
      <w:r>
        <w:rPr>
          <w:rFonts w:hint="default"/>
          <w:color w:val="auto"/>
          <w:lang w:val="en-US" w:eastAsia="zh-CN"/>
        </w:rPr>
        <w:t>项目建设相关支出</w:t>
      </w:r>
      <w:r>
        <w:rPr>
          <w:rFonts w:hint="default"/>
          <w:color w:val="auto"/>
        </w:rPr>
        <w:t>，符合财务管理制度以及</w:t>
      </w:r>
      <w:r>
        <w:rPr>
          <w:rFonts w:hint="default"/>
          <w:color w:val="auto"/>
          <w:lang w:eastAsia="zh-CN"/>
        </w:rPr>
        <w:t>《</w:t>
      </w:r>
      <w:r>
        <w:rPr>
          <w:rFonts w:hint="default"/>
          <w:color w:val="auto"/>
          <w:lang w:val="en-US" w:eastAsia="zh-CN"/>
        </w:rPr>
        <w:t>国家以工代赈管理办法</w:t>
      </w:r>
      <w:r>
        <w:rPr>
          <w:rFonts w:hint="default"/>
          <w:color w:val="auto"/>
          <w:lang w:eastAsia="zh-CN"/>
        </w:rPr>
        <w:t>》</w:t>
      </w:r>
      <w:r>
        <w:rPr>
          <w:rFonts w:hint="default"/>
          <w:color w:val="auto"/>
        </w:rPr>
        <w:t>的相关规定。</w:t>
      </w:r>
    </w:p>
    <w:p w14:paraId="083B4B25">
      <w:pPr>
        <w:spacing w:line="360" w:lineRule="auto"/>
        <w:ind w:firstLine="420"/>
        <w:rPr>
          <w:rFonts w:hint="default"/>
          <w:color w:val="auto"/>
        </w:rPr>
      </w:pPr>
      <w:r>
        <w:rPr>
          <w:rFonts w:hint="default"/>
          <w:color w:val="auto"/>
        </w:rPr>
        <w:t>该项目施工合同采用固定单价合同，</w:t>
      </w:r>
      <w:r>
        <w:rPr>
          <w:rFonts w:hint="default"/>
          <w:color w:val="auto"/>
          <w:lang w:val="en-US" w:eastAsia="zh-CN"/>
        </w:rPr>
        <w:t>根据</w:t>
      </w:r>
      <w:r>
        <w:rPr>
          <w:rFonts w:hint="default"/>
          <w:color w:val="auto"/>
        </w:rPr>
        <w:t>施工合同约定“每月25日向监理人报送上月20日至当月19日已完成的工程量报告，并附具进度付款申请单、已完成工程量报表和有关资料”，</w:t>
      </w:r>
      <w:r>
        <w:rPr>
          <w:rFonts w:hint="default"/>
          <w:color w:val="auto"/>
          <w:lang w:val="en-US" w:eastAsia="zh-CN"/>
        </w:rPr>
        <w:t>经查阅资金支付凭证，</w:t>
      </w:r>
      <w:r>
        <w:rPr>
          <w:rFonts w:hint="default"/>
          <w:color w:val="auto"/>
        </w:rPr>
        <w:t>每次支付</w:t>
      </w:r>
      <w:r>
        <w:rPr>
          <w:rFonts w:hint="default"/>
          <w:color w:val="auto"/>
          <w:lang w:val="en-US" w:eastAsia="zh-CN"/>
        </w:rPr>
        <w:t>工程款时</w:t>
      </w:r>
      <w:r>
        <w:rPr>
          <w:rFonts w:hint="default"/>
          <w:color w:val="auto"/>
        </w:rPr>
        <w:t>均有每期支付计量报告，经施工单位，监理单位、建设单位盖章</w:t>
      </w:r>
      <w:r>
        <w:rPr>
          <w:rFonts w:hint="default"/>
          <w:color w:val="auto"/>
          <w:lang w:eastAsia="zh-CN"/>
        </w:rPr>
        <w:t>；</w:t>
      </w:r>
      <w:r>
        <w:rPr>
          <w:rFonts w:hint="default" w:cs="Times New Roman"/>
          <w:color w:val="auto"/>
          <w:lang w:val="en-US" w:eastAsia="zh-CN"/>
        </w:rPr>
        <w:t>吉木萨尔县二工镇人民政府</w:t>
      </w:r>
      <w:r>
        <w:rPr>
          <w:rFonts w:hint="default" w:ascii="Times New Roman" w:hAnsi="Times New Roman" w:cs="Times New Roman"/>
          <w:color w:val="auto"/>
          <w:lang w:val="en-US" w:eastAsia="zh-CN"/>
        </w:rPr>
        <w:t>根据项目监理单位签发的工程款支付证书</w:t>
      </w:r>
      <w:r>
        <w:rPr>
          <w:rFonts w:hint="default" w:cs="Times New Roman"/>
          <w:color w:val="auto"/>
          <w:lang w:val="en-US" w:eastAsia="zh-CN"/>
        </w:rPr>
        <w:t>、每期支付计量报告</w:t>
      </w:r>
      <w:r>
        <w:rPr>
          <w:rFonts w:hint="default" w:ascii="Times New Roman" w:hAnsi="Times New Roman" w:cs="Times New Roman"/>
          <w:color w:val="auto"/>
          <w:lang w:val="en-US" w:eastAsia="zh-CN"/>
        </w:rPr>
        <w:t>，经单位</w:t>
      </w:r>
      <w:r>
        <w:rPr>
          <w:rFonts w:hint="default" w:ascii="Times New Roman" w:hAnsi="Times New Roman" w:cs="Times New Roman"/>
          <w:color w:val="auto"/>
        </w:rPr>
        <w:t>党组会议</w:t>
      </w:r>
      <w:r>
        <w:rPr>
          <w:rFonts w:hint="default" w:ascii="Times New Roman" w:hAnsi="Times New Roman" w:cs="Times New Roman"/>
          <w:color w:val="auto"/>
          <w:lang w:val="en-US" w:eastAsia="zh-CN"/>
        </w:rPr>
        <w:t>审议后</w:t>
      </w:r>
      <w:r>
        <w:rPr>
          <w:rFonts w:hint="default" w:ascii="Times New Roman" w:hAnsi="Times New Roman" w:cs="Times New Roman"/>
          <w:color w:val="auto"/>
        </w:rPr>
        <w:t>向</w:t>
      </w:r>
      <w:r>
        <w:rPr>
          <w:rFonts w:hint="default" w:cs="Times New Roman"/>
          <w:color w:val="auto"/>
          <w:lang w:val="en-US" w:eastAsia="zh-CN"/>
        </w:rPr>
        <w:t>吉木萨尔</w:t>
      </w:r>
      <w:r>
        <w:rPr>
          <w:rFonts w:hint="default" w:ascii="Times New Roman" w:hAnsi="Times New Roman" w:cs="Times New Roman"/>
          <w:color w:val="auto"/>
          <w:lang w:val="en-US" w:eastAsia="zh-CN"/>
        </w:rPr>
        <w:t>县</w:t>
      </w:r>
      <w:r>
        <w:rPr>
          <w:rFonts w:hint="default" w:ascii="Times New Roman" w:hAnsi="Times New Roman" w:cs="Times New Roman"/>
          <w:color w:val="auto"/>
        </w:rPr>
        <w:t>财政局提交资金支付申请，经审批后采用国库集中支付方式将付款金额直接拨付到</w:t>
      </w:r>
      <w:r>
        <w:rPr>
          <w:rFonts w:hint="default" w:ascii="Times New Roman" w:hAnsi="Times New Roman" w:cs="Times New Roman"/>
          <w:color w:val="auto"/>
          <w:lang w:val="en-US" w:eastAsia="zh-CN"/>
        </w:rPr>
        <w:t>施工</w:t>
      </w:r>
      <w:r>
        <w:rPr>
          <w:rFonts w:hint="default" w:cs="Times New Roman"/>
          <w:color w:val="auto"/>
          <w:lang w:val="en-US" w:eastAsia="zh-CN"/>
        </w:rPr>
        <w:t>、监理、设计等收款</w:t>
      </w:r>
      <w:r>
        <w:rPr>
          <w:rFonts w:hint="default" w:ascii="Times New Roman" w:hAnsi="Times New Roman" w:cs="Times New Roman"/>
          <w:color w:val="auto"/>
          <w:lang w:val="en-US" w:eastAsia="zh-CN"/>
        </w:rPr>
        <w:t>单位</w:t>
      </w:r>
      <w:r>
        <w:rPr>
          <w:rFonts w:hint="default"/>
          <w:color w:val="auto"/>
        </w:rPr>
        <w:t>，项目资金的拨付有完整的审批程序和手续；</w:t>
      </w:r>
      <w:r>
        <w:rPr>
          <w:rFonts w:hint="default"/>
          <w:color w:val="auto"/>
          <w:lang w:val="en-US" w:eastAsia="zh-CN"/>
        </w:rPr>
        <w:t>未发现</w:t>
      </w:r>
      <w:r>
        <w:rPr>
          <w:rFonts w:hint="default"/>
          <w:color w:val="auto"/>
        </w:rPr>
        <w:t>存在截留、挤占、挪用、虚列支出等情况。</w:t>
      </w:r>
    </w:p>
    <w:p w14:paraId="6388A015">
      <w:pPr>
        <w:spacing w:line="360" w:lineRule="auto"/>
        <w:ind w:firstLine="420"/>
        <w:rPr>
          <w:color w:val="auto"/>
        </w:rPr>
      </w:pPr>
      <w:r>
        <w:rPr>
          <w:rFonts w:hint="eastAsia"/>
          <w:color w:val="auto"/>
          <w:lang w:val="en-US" w:eastAsia="zh-CN"/>
        </w:rPr>
        <w:t>劳务报酬支出主要由施工单位新疆三友工程建设有限公司根据2024年7月、8月、9月劳务工人出勤天数，工种等，确定每个工人每月的工资，通过银行打卡方式发放劳务工资，工资打款到账后再由每个劳务工人通过签字按手印方式，核对发放劳务报酬金额。</w:t>
      </w:r>
    </w:p>
    <w:p w14:paraId="28A68026">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该指标满分为5.00分，根据评分标准得</w:t>
      </w:r>
      <w:r>
        <w:rPr>
          <w:rFonts w:hint="default" w:ascii="Times New Roman" w:hAnsi="Times New Roman" w:cs="Times New Roman"/>
          <w:color w:val="auto"/>
          <w:sz w:val="21"/>
          <w:szCs w:val="21"/>
          <w:lang w:eastAsia="zh-CN"/>
        </w:rPr>
        <w:t>5.00</w:t>
      </w:r>
      <w:r>
        <w:rPr>
          <w:color w:val="auto"/>
        </w:rPr>
        <w:t>分。</w:t>
      </w:r>
    </w:p>
    <w:p w14:paraId="37A02CEB">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（4）</w:t>
      </w:r>
      <w:r>
        <w:rPr>
          <w:rFonts w:hint="default"/>
          <w:b/>
          <w:bCs/>
          <w:color w:val="auto"/>
        </w:rPr>
        <w:t>B21管理制度健全性指标：</w:t>
      </w:r>
    </w:p>
    <w:p w14:paraId="0F3FB309">
      <w:pPr>
        <w:pageBreakBefore w:val="0"/>
        <w:widowControl w:val="0"/>
        <w:kinsoku/>
        <w:wordWrap/>
        <w:overflowPunct/>
        <w:topLinePunct w:val="0"/>
        <w:autoSpaceDE/>
        <w:autoSpaceDN/>
        <w:bidi w:val="0"/>
        <w:adjustRightInd w:val="0"/>
        <w:snapToGrid w:val="0"/>
        <w:spacing w:line="360" w:lineRule="auto"/>
        <w:ind w:firstLine="420"/>
        <w:textAlignment w:val="auto"/>
        <w:rPr>
          <w:color w:val="auto"/>
        </w:rPr>
      </w:pPr>
      <w:r>
        <w:rPr>
          <w:rFonts w:hint="default"/>
          <w:color w:val="auto"/>
        </w:rPr>
        <w:t>吉木萨尔县二工镇人民政府已制定《二工镇“三重一大”事项集体决策制度实施细则》《预算管理制度》《二工镇财务管理制度》《二工镇固定资产管理制度》《吉木萨尔县二工镇工程建设项目管理制度》</w:t>
      </w:r>
      <w:r>
        <w:rPr>
          <w:rFonts w:hint="default"/>
          <w:color w:val="auto"/>
          <w:lang w:eastAsia="zh-CN"/>
        </w:rPr>
        <w:t>《二工镇政府采购制度》</w:t>
      </w:r>
      <w:r>
        <w:rPr>
          <w:rFonts w:hint="default"/>
          <w:color w:val="auto"/>
        </w:rPr>
        <w:t>等</w:t>
      </w:r>
      <w:r>
        <w:rPr>
          <w:rFonts w:hint="default"/>
          <w:color w:val="auto"/>
          <w:lang w:val="en-US" w:eastAsia="zh-CN"/>
        </w:rPr>
        <w:t>单位自有的财务管理、采购管理、资产管理、采购管理、项目管理等内部控制制度</w:t>
      </w:r>
      <w:r>
        <w:rPr>
          <w:rFonts w:hint="default"/>
          <w:color w:val="auto"/>
        </w:rPr>
        <w:t>；此外，项目管理和资金管理遵循《中央预算内投资项目监督管理办法》（国家发展改革委2023年第10号令）、《中央预算内投资补助和贴息项目管理办法》（国家发展改革委2016年第45号令）</w:t>
      </w:r>
      <w:r>
        <w:rPr>
          <w:rFonts w:hint="default"/>
          <w:color w:val="auto"/>
          <w:lang w:eastAsia="zh-CN"/>
        </w:rPr>
        <w:t>《</w:t>
      </w:r>
      <w:r>
        <w:rPr>
          <w:rFonts w:hint="default"/>
          <w:color w:val="auto"/>
          <w:lang w:val="en-US" w:eastAsia="zh-CN"/>
        </w:rPr>
        <w:t>国家以工代赈管理办法</w:t>
      </w:r>
      <w:r>
        <w:rPr>
          <w:rFonts w:hint="default"/>
          <w:color w:val="auto"/>
          <w:lang w:eastAsia="zh-CN"/>
        </w:rPr>
        <w:t>》</w:t>
      </w:r>
      <w:r>
        <w:rPr>
          <w:rFonts w:hint="default"/>
          <w:color w:val="auto"/>
        </w:rPr>
        <w:t>等文件要求执行。</w:t>
      </w:r>
      <w:r>
        <w:rPr>
          <w:rFonts w:hint="default"/>
          <w:color w:val="auto"/>
          <w:lang w:val="en-US" w:eastAsia="zh-CN"/>
        </w:rPr>
        <w:t>经调研了解，该项目资产计划由吉木萨尔县二工镇人民政府移交至大泉湖村村集体养护，运营。</w:t>
      </w:r>
      <w:r>
        <w:rPr>
          <w:rFonts w:hint="default"/>
          <w:color w:val="auto"/>
        </w:rPr>
        <w:t>项目实施单位未提供相关后期管护制度</w:t>
      </w:r>
      <w:r>
        <w:rPr>
          <w:rFonts w:hint="default"/>
          <w:color w:val="auto"/>
          <w:lang w:val="en-US" w:eastAsia="zh-CN"/>
        </w:rPr>
        <w:t>以及移交方案，</w:t>
      </w:r>
      <w:r>
        <w:rPr>
          <w:rFonts w:hint="default"/>
          <w:color w:val="auto"/>
        </w:rPr>
        <w:t>扣1.00分。</w:t>
      </w:r>
    </w:p>
    <w:p w14:paraId="1937DF23">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该指标满分为4.00分，根据评分标准得</w:t>
      </w:r>
      <w:r>
        <w:rPr>
          <w:rFonts w:hint="default" w:ascii="Times New Roman" w:hAnsi="Times New Roman" w:cs="Times New Roman"/>
          <w:color w:val="auto"/>
          <w:sz w:val="21"/>
          <w:szCs w:val="21"/>
          <w:lang w:eastAsia="zh-CN"/>
        </w:rPr>
        <w:t>3.00</w:t>
      </w:r>
      <w:r>
        <w:rPr>
          <w:color w:val="auto"/>
        </w:rPr>
        <w:t>分。</w:t>
      </w:r>
    </w:p>
    <w:p w14:paraId="6912C087">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（5）</w:t>
      </w:r>
      <w:r>
        <w:rPr>
          <w:rFonts w:hint="default"/>
          <w:b/>
          <w:bCs/>
          <w:color w:val="auto"/>
        </w:rPr>
        <w:t>B22制度执行有效性指标：</w:t>
      </w:r>
    </w:p>
    <w:p w14:paraId="5119637A">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rPr>
        <w:t>吉木萨尔县二工镇人民政府作为项目建设单位，在项目实施过程中，按照</w:t>
      </w:r>
      <w:r>
        <w:rPr>
          <w:rFonts w:hint="default"/>
          <w:color w:val="auto"/>
          <w:lang w:val="en-US" w:eastAsia="zh-CN"/>
        </w:rPr>
        <w:t>《国家以工代赈管理办法》</w:t>
      </w:r>
      <w:r>
        <w:rPr>
          <w:rFonts w:hint="default"/>
          <w:color w:val="auto"/>
        </w:rPr>
        <w:t>规定程序完成项目立项发改审批，本项目实施的建设公路等级是四级公路，根据不涉及建设用地、工程规划许可证和施工许可证等前期批复手续；按照</w:t>
      </w:r>
      <w:r>
        <w:rPr>
          <w:rFonts w:hint="default"/>
          <w:color w:val="auto"/>
          <w:lang w:val="en-US" w:eastAsia="zh-CN"/>
        </w:rPr>
        <w:t>《国家以工代赈管理办法》</w:t>
      </w:r>
      <w:r>
        <w:rPr>
          <w:rFonts w:hint="default"/>
          <w:color w:val="auto"/>
        </w:rPr>
        <w:t>《必须招标的工程项目规定》（国家发改委第16号令）等要求采用</w:t>
      </w:r>
      <w:r>
        <w:rPr>
          <w:rFonts w:hint="default"/>
          <w:color w:val="auto"/>
          <w:lang w:val="en-US" w:eastAsia="zh-CN"/>
        </w:rPr>
        <w:t>竞争性磋商</w:t>
      </w:r>
      <w:r>
        <w:rPr>
          <w:rFonts w:hint="default"/>
          <w:color w:val="auto"/>
        </w:rPr>
        <w:t>的方式完成项目施工单位招标工作；项目工程采购与第三方咨询单位采购需求与项目立项批复内容基本一致，项目实施监理机制，开展项目实施期间项目的质量及工程安全管理；</w:t>
      </w:r>
      <w:r>
        <w:rPr>
          <w:rFonts w:hint="default"/>
          <w:color w:val="auto"/>
          <w:lang w:val="en-US" w:eastAsia="zh-CN"/>
        </w:rPr>
        <w:t>2024年5月22日，由</w:t>
      </w:r>
      <w:r>
        <w:rPr>
          <w:rFonts w:hint="default"/>
          <w:color w:val="auto"/>
        </w:rPr>
        <w:t>吉木萨尔县发展和改革委员会</w:t>
      </w:r>
      <w:r>
        <w:rPr>
          <w:rFonts w:hint="default"/>
          <w:color w:val="auto"/>
          <w:lang w:val="en-US" w:eastAsia="zh-CN"/>
        </w:rPr>
        <w:t>在吉木萨尔县人民政府网站重大项目建设栏，对该项目进行了公示公告。</w:t>
      </w:r>
      <w:r>
        <w:rPr>
          <w:rFonts w:hint="default"/>
          <w:color w:val="auto"/>
        </w:rPr>
        <w:t>同时，我们注意到项目也存在如下制度执行不到位问题：</w:t>
      </w:r>
    </w:p>
    <w:p w14:paraId="3FBE322F">
      <w:pPr>
        <w:spacing w:line="360" w:lineRule="auto"/>
        <w:ind w:firstLine="420"/>
        <w:rPr>
          <w:color w:val="auto"/>
        </w:rPr>
      </w:pPr>
      <w:r>
        <w:rPr>
          <w:rFonts w:hint="default"/>
          <w:color w:val="auto"/>
        </w:rPr>
        <w:t>①项目实施单位提供可研</w:t>
      </w:r>
      <w:r>
        <w:rPr>
          <w:rFonts w:hint="default"/>
          <w:color w:val="auto"/>
          <w:lang w:val="en-US" w:eastAsia="zh-CN"/>
        </w:rPr>
        <w:t>报告编制的</w:t>
      </w:r>
      <w:r>
        <w:rPr>
          <w:rFonts w:hint="default"/>
          <w:color w:val="auto"/>
        </w:rPr>
        <w:t>《技术咨询合同》</w:t>
      </w:r>
      <w:r>
        <w:rPr>
          <w:rFonts w:hint="default"/>
          <w:color w:val="auto"/>
          <w:lang w:val="en-US" w:eastAsia="zh-CN"/>
        </w:rPr>
        <w:t>缺失</w:t>
      </w:r>
      <w:r>
        <w:rPr>
          <w:rFonts w:hint="default"/>
          <w:color w:val="auto"/>
        </w:rPr>
        <w:t>合同签订日期，根据评分标准，扣0.50分。</w:t>
      </w:r>
    </w:p>
    <w:p w14:paraId="4F40B8FE">
      <w:pPr>
        <w:spacing w:line="360" w:lineRule="auto"/>
        <w:ind w:firstLine="420"/>
        <w:rPr>
          <w:rFonts w:hint="default"/>
          <w:color w:val="auto"/>
        </w:rPr>
      </w:pPr>
      <w:r>
        <w:rPr>
          <w:rFonts w:hint="default"/>
          <w:color w:val="auto"/>
        </w:rPr>
        <w:t>②根据实施单位提供的造价</w:t>
      </w:r>
      <w:r>
        <w:rPr>
          <w:rFonts w:hint="default"/>
          <w:color w:val="auto"/>
          <w:lang w:val="en-US" w:eastAsia="zh-CN"/>
        </w:rPr>
        <w:t>咨询服务的</w:t>
      </w:r>
      <w:r>
        <w:rPr>
          <w:rFonts w:hint="default"/>
          <w:color w:val="auto"/>
        </w:rPr>
        <w:t>《建设工程造价咨询合同》未约定付款条款，根据评分标准，扣0.50分。</w:t>
      </w:r>
    </w:p>
    <w:p w14:paraId="63319253">
      <w:pPr>
        <w:spacing w:line="360" w:lineRule="auto"/>
        <w:ind w:firstLine="420"/>
        <w:rPr>
          <w:rFonts w:hint="default"/>
          <w:color w:val="auto"/>
          <w:lang w:val="en-US" w:eastAsia="zh-CN"/>
        </w:rPr>
      </w:pPr>
      <w:r>
        <w:rPr>
          <w:rFonts w:hint="default"/>
          <w:color w:val="auto"/>
          <w:lang w:val="en-US" w:eastAsia="zh-CN"/>
        </w:rPr>
        <w:t>③</w:t>
      </w:r>
      <w:r>
        <w:rPr>
          <w:rFonts w:hint="default"/>
          <w:color w:val="auto"/>
          <w:highlight w:val="none"/>
          <w:lang w:val="en-US" w:eastAsia="zh-CN"/>
        </w:rPr>
        <w:t>根据项目实施单位提供《关于吉木萨尔县二工镇大泉湖村2024年以工代赈基础设施建设项目资产移交及运营养护的情况说明》：“根据《国家以工代赈管理办法》要求，待州发改委、县发改委组织验收组通过后，该项目将移交至大泉湖村村集体养护，运营。截至2025年6月30日，尚未办理资产移交手续”</w:t>
      </w:r>
      <w:r>
        <w:rPr>
          <w:rFonts w:hint="default"/>
          <w:color w:val="auto"/>
          <w:lang w:val="en-US" w:eastAsia="zh-CN"/>
        </w:rPr>
        <w:t>，该项目实际已于2024年内建设完工，相关部门尚未按照《国家以工代赈管理办法》中第三十二条规定“以工代赈项目建成后，县级发展改革部门应会同有关部门组成验收工作组，重点对项目建设质量、群众务工组织、劳务报酬发放、就业技能培训等落实情况开展验收，并对项目发挥“赈”的作用效果进行评价”的要求及时履行验收工作。</w:t>
      </w:r>
      <w:r>
        <w:rPr>
          <w:rFonts w:hint="default"/>
          <w:color w:val="auto"/>
        </w:rPr>
        <w:t>扣0.50分。</w:t>
      </w:r>
    </w:p>
    <w:p w14:paraId="53272E31">
      <w:pPr>
        <w:spacing w:line="360" w:lineRule="auto"/>
        <w:ind w:firstLine="420"/>
        <w:rPr>
          <w:rFonts w:hint="default" w:eastAsiaTheme="minorEastAsia"/>
          <w:color w:val="auto"/>
          <w:lang w:val="en-US" w:eastAsia="zh-CN"/>
        </w:rPr>
      </w:pPr>
      <w:r>
        <w:rPr>
          <w:rFonts w:hint="default"/>
          <w:color w:val="auto"/>
          <w:lang w:val="en-US" w:eastAsia="zh-CN"/>
        </w:rPr>
        <w:t>④根据项目实施单位提供的《关于吉木萨尔县二工镇大泉湖村2024年以工代赈基础设施建设项目劳务工人数量的情况说明》：“劳务工人均为吉木萨尔县二工镇大泉湖村人员，主要从事了吉木萨尔县二工镇大泉湖村2024年以工代赈基础设施建设项目工作，如钢筋工、司泵工、模板工、机械等工作，统计数据来源于新疆大诚众昌建筑劳务有限公司吉木萨尔县分公司登记及企业报备信息”。</w:t>
      </w:r>
      <w:r>
        <w:rPr>
          <w:rFonts w:hint="default"/>
          <w:color w:val="auto"/>
          <w:highlight w:val="none"/>
          <w:lang w:val="en-US" w:eastAsia="zh-CN"/>
        </w:rPr>
        <w:t>截至2025年6月30日，项目实施单位未能提供</w:t>
      </w:r>
      <w:r>
        <w:rPr>
          <w:rFonts w:hint="default"/>
          <w:color w:val="auto"/>
          <w:lang w:val="en-US" w:eastAsia="zh-CN"/>
        </w:rPr>
        <w:t>《国家以工代赈管理办法》中第二十九条规</w:t>
      </w:r>
      <w:r>
        <w:rPr>
          <w:rFonts w:hint="eastAsia"/>
          <w:color w:val="auto"/>
          <w:lang w:val="en-US" w:eastAsia="zh-CN"/>
        </w:rPr>
        <w:t>定的</w:t>
      </w:r>
      <w:r>
        <w:rPr>
          <w:rFonts w:hint="default"/>
          <w:color w:val="auto"/>
          <w:lang w:val="en-US" w:eastAsia="zh-CN"/>
        </w:rPr>
        <w:t>“业主单位应与项目所在乡镇人民政府、村民委员会和施工单位建立劳务沟通协调机制，督促施工单位与务工群众签订劳务合同（协议）”等相关工作资料。</w:t>
      </w:r>
      <w:r>
        <w:rPr>
          <w:rFonts w:hint="default"/>
          <w:color w:val="auto"/>
        </w:rPr>
        <w:t>扣0.50分。</w:t>
      </w:r>
    </w:p>
    <w:p w14:paraId="5A6D9276">
      <w:pPr>
        <w:pageBreakBefore w:val="0"/>
        <w:kinsoku/>
        <w:wordWrap/>
        <w:overflowPunct/>
        <w:topLinePunct w:val="0"/>
        <w:autoSpaceDE/>
        <w:autoSpaceDN/>
        <w:bidi w:val="0"/>
        <w:snapToGrid w:val="0"/>
        <w:spacing w:before="0" w:after="0" w:line="360" w:lineRule="auto"/>
        <w:ind w:firstLine="420"/>
        <w:rPr>
          <w:rFonts w:hint="default"/>
          <w:color w:val="auto"/>
          <w:lang w:val="en-US" w:eastAsia="zh-CN"/>
        </w:rPr>
      </w:pPr>
      <w:r>
        <w:rPr>
          <w:rFonts w:hint="default"/>
          <w:color w:val="auto"/>
          <w:lang w:val="en-US" w:eastAsia="zh-CN"/>
        </w:rPr>
        <w:t>⑤该项目实际签订了其他服务合同共7份，主要包括《技术咨询合同》《监理合同》《测绘合同》《建设工程勘察合同》《建设工程造价咨询合同》《建设工程设计合同》《基本建设项目委托审计业务竣工财务决算审计合同书》。截至本次绩效评价期间，项目实施单位未提供以上七项服务合同的政府采购过程资料。根据评分标准，扣0.50分。</w:t>
      </w:r>
    </w:p>
    <w:p w14:paraId="631DD058">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该指标满分为6.00分，根据评分标准得</w:t>
      </w:r>
      <w:r>
        <w:rPr>
          <w:rFonts w:hint="default" w:cs="Times New Roman"/>
          <w:color w:val="auto"/>
          <w:sz w:val="21"/>
          <w:szCs w:val="21"/>
          <w:lang w:val="en-US" w:eastAsia="zh-CN"/>
        </w:rPr>
        <w:t>3.50</w:t>
      </w:r>
      <w:r>
        <w:rPr>
          <w:color w:val="auto"/>
        </w:rPr>
        <w:t>分。</w:t>
      </w:r>
    </w:p>
    <w:p w14:paraId="1D2A0482">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（6）</w:t>
      </w:r>
      <w:r>
        <w:rPr>
          <w:rFonts w:hint="default"/>
          <w:b/>
          <w:bCs/>
          <w:color w:val="auto"/>
        </w:rPr>
        <w:t>B23项目资产管理规范性指标：</w:t>
      </w:r>
    </w:p>
    <w:p w14:paraId="4B5CD4D7">
      <w:pPr>
        <w:pageBreakBefore w:val="0"/>
        <w:widowControl w:val="0"/>
        <w:kinsoku/>
        <w:wordWrap/>
        <w:overflowPunct/>
        <w:topLinePunct w:val="0"/>
        <w:autoSpaceDE/>
        <w:autoSpaceDN/>
        <w:bidi w:val="0"/>
        <w:adjustRightInd w:val="0"/>
        <w:snapToGrid w:val="0"/>
        <w:spacing w:line="360" w:lineRule="auto"/>
        <w:ind w:firstLine="420"/>
        <w:textAlignment w:val="auto"/>
        <w:rPr>
          <w:rFonts w:hint="default"/>
          <w:color w:val="auto"/>
        </w:rPr>
      </w:pPr>
      <w:r>
        <w:rPr>
          <w:rFonts w:hint="default"/>
          <w:color w:val="auto"/>
          <w:lang w:val="en-US" w:eastAsia="zh-CN"/>
        </w:rPr>
        <w:t>根据项目实施单位提供</w:t>
      </w:r>
      <w:r>
        <w:rPr>
          <w:rFonts w:hint="default"/>
          <w:color w:val="auto"/>
        </w:rPr>
        <w:t>财务印证</w:t>
      </w:r>
      <w:r>
        <w:rPr>
          <w:rFonts w:hint="default"/>
          <w:color w:val="auto"/>
          <w:lang w:val="en-US" w:eastAsia="zh-CN"/>
        </w:rPr>
        <w:t>凭证资料</w:t>
      </w:r>
      <w:r>
        <w:rPr>
          <w:rFonts w:hint="default"/>
          <w:color w:val="auto"/>
        </w:rPr>
        <w:t>，该项目</w:t>
      </w:r>
      <w:r>
        <w:rPr>
          <w:rFonts w:hint="default"/>
          <w:color w:val="auto"/>
          <w:lang w:val="en-US" w:eastAsia="zh-CN"/>
        </w:rPr>
        <w:t>财务会计核算时将</w:t>
      </w:r>
      <w:r>
        <w:rPr>
          <w:rFonts w:hint="default"/>
          <w:color w:val="auto"/>
        </w:rPr>
        <w:t>工程款费用</w:t>
      </w:r>
      <w:r>
        <w:rPr>
          <w:rFonts w:hint="default"/>
          <w:color w:val="auto"/>
          <w:lang w:val="en-US" w:eastAsia="zh-CN"/>
        </w:rPr>
        <w:t>687.24万元</w:t>
      </w:r>
      <w:r>
        <w:rPr>
          <w:rFonts w:hint="default"/>
          <w:color w:val="auto"/>
        </w:rPr>
        <w:t>计入商品和服务费用科目，未按照《政府会计准则》计入在建工程</w:t>
      </w:r>
      <w:r>
        <w:rPr>
          <w:rFonts w:hint="default"/>
          <w:color w:val="auto"/>
          <w:lang w:val="en-US" w:eastAsia="zh-CN"/>
        </w:rPr>
        <w:t>或固定资产科目</w:t>
      </w:r>
      <w:r>
        <w:rPr>
          <w:rFonts w:hint="default"/>
          <w:color w:val="auto"/>
          <w:lang w:eastAsia="zh-CN"/>
        </w:rPr>
        <w:t>。</w:t>
      </w:r>
    </w:p>
    <w:p w14:paraId="477318CB">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highlight w:val="none"/>
          <w:lang w:val="en-US" w:eastAsia="zh-CN"/>
        </w:rPr>
        <w:t>根据项目实施单位提供的《关于吉木萨尔县二工镇大泉湖村2024年以工代赈基础设施建设项目资产移交及运营养护的情况说明》显示，该项目建成后将移交至大泉湖村村集体养护，运营。</w:t>
      </w:r>
      <w:r>
        <w:rPr>
          <w:rFonts w:hint="default"/>
          <w:color w:val="auto"/>
          <w:highlight w:val="none"/>
          <w:lang w:eastAsia="zh-CN"/>
        </w:rPr>
        <w:t>截至</w:t>
      </w:r>
      <w:r>
        <w:rPr>
          <w:rFonts w:hint="default"/>
          <w:color w:val="auto"/>
          <w:highlight w:val="none"/>
        </w:rPr>
        <w:t>2025年6月30日，</w:t>
      </w:r>
      <w:r>
        <w:rPr>
          <w:rFonts w:hint="default"/>
          <w:color w:val="auto"/>
          <w:highlight w:val="none"/>
          <w:lang w:val="en-US" w:eastAsia="zh-CN"/>
        </w:rPr>
        <w:t>尚未办理</w:t>
      </w:r>
      <w:r>
        <w:rPr>
          <w:rFonts w:hint="default"/>
          <w:color w:val="auto"/>
          <w:highlight w:val="none"/>
        </w:rPr>
        <w:t>资产移交</w:t>
      </w:r>
      <w:r>
        <w:rPr>
          <w:rFonts w:hint="default"/>
          <w:color w:val="auto"/>
          <w:highlight w:val="none"/>
          <w:lang w:val="en-US" w:eastAsia="zh-CN"/>
        </w:rPr>
        <w:t>手续</w:t>
      </w:r>
      <w:r>
        <w:rPr>
          <w:rFonts w:hint="default" w:ascii="Times New Roman" w:hAnsi="Times New Roman" w:cs="Times New Roman"/>
          <w:color w:val="auto"/>
          <w:highlight w:val="none"/>
          <w:lang w:val="en-US" w:eastAsia="zh-CN"/>
        </w:rPr>
        <w:t>。</w:t>
      </w:r>
      <w:r>
        <w:rPr>
          <w:rFonts w:hint="default"/>
          <w:color w:val="auto"/>
          <w:highlight w:val="none"/>
        </w:rPr>
        <w:t>根</w:t>
      </w:r>
      <w:r>
        <w:rPr>
          <w:rFonts w:hint="default"/>
          <w:color w:val="auto"/>
        </w:rPr>
        <w:t>据评分标准，扣2.00分。</w:t>
      </w:r>
    </w:p>
    <w:p w14:paraId="7424307D">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该指标满分为2.00分，根据评分标准得</w:t>
      </w:r>
      <w:r>
        <w:rPr>
          <w:rFonts w:hint="default" w:ascii="Times New Roman" w:hAnsi="Times New Roman" w:cs="Times New Roman"/>
          <w:color w:val="auto"/>
          <w:sz w:val="21"/>
          <w:szCs w:val="21"/>
          <w:lang w:eastAsia="zh-CN"/>
        </w:rPr>
        <w:t>0.00</w:t>
      </w:r>
      <w:r>
        <w:rPr>
          <w:color w:val="auto"/>
        </w:rPr>
        <w:t>分。</w:t>
      </w:r>
    </w:p>
    <w:p w14:paraId="6D714145">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79" w:name="_Toc7370"/>
      <w:r>
        <w:rPr>
          <w:rFonts w:ascii="Times New Roman" w:hAnsi="Times New Roman"/>
          <w:color w:val="auto"/>
        </w:rPr>
        <w:t>（三）项目产出情况</w:t>
      </w:r>
      <w:bookmarkEnd w:id="79"/>
    </w:p>
    <w:p w14:paraId="362984FB">
      <w:pPr>
        <w:spacing w:line="360" w:lineRule="auto"/>
        <w:rPr>
          <w:rFonts w:hint="default" w:ascii="Times New Roman" w:hAnsi="Times New Roman" w:eastAsia="黑体" w:cs="Times New Roman"/>
          <w:b w:val="0"/>
          <w:bCs w:val="0"/>
          <w:color w:val="auto"/>
          <w:szCs w:val="16"/>
        </w:rPr>
      </w:pPr>
      <w:r>
        <w:rPr>
          <w:color w:val="auto"/>
        </w:rPr>
        <w:t>项目产</w:t>
      </w:r>
      <w:r>
        <w:rPr>
          <w:rFonts w:hint="default" w:ascii="Times New Roman" w:hAnsi="Times New Roman" w:cs="Times New Roman"/>
          <w:color w:val="auto"/>
        </w:rPr>
        <w:t>出指标由4个</w:t>
      </w:r>
      <w:r>
        <w:rPr>
          <w:rFonts w:hint="default" w:ascii="Times New Roman" w:hAnsi="Times New Roman" w:cs="Times New Roman"/>
          <w:color w:val="auto"/>
          <w:lang w:val="en-US" w:eastAsia="zh-CN"/>
        </w:rPr>
        <w:t>二级</w:t>
      </w:r>
      <w:r>
        <w:rPr>
          <w:rFonts w:hint="default" w:ascii="Times New Roman" w:hAnsi="Times New Roman" w:cs="Times New Roman"/>
          <w:color w:val="auto"/>
        </w:rPr>
        <w:t>和</w:t>
      </w:r>
      <w:r>
        <w:rPr>
          <w:rFonts w:hint="eastAsia" w:cs="Times New Roman"/>
          <w:color w:val="auto"/>
          <w:lang w:eastAsia="zh-CN"/>
        </w:rPr>
        <w:t>6</w:t>
      </w:r>
      <w:r>
        <w:rPr>
          <w:rFonts w:hint="default" w:ascii="Times New Roman" w:hAnsi="Times New Roman" w:cs="Times New Roman"/>
          <w:color w:val="auto"/>
        </w:rPr>
        <w:t>个</w:t>
      </w:r>
      <w:r>
        <w:rPr>
          <w:color w:val="auto"/>
        </w:rPr>
        <w:t>三级指标构成，权重分</w:t>
      </w:r>
      <w:r>
        <w:rPr>
          <w:rFonts w:hint="default"/>
          <w:color w:val="auto"/>
        </w:rPr>
        <w:t>35.00</w:t>
      </w:r>
      <w:r>
        <w:rPr>
          <w:color w:val="auto"/>
        </w:rPr>
        <w:t>分，实际得分</w:t>
      </w:r>
      <w:r>
        <w:rPr>
          <w:rFonts w:hint="default"/>
          <w:color w:val="auto"/>
          <w:lang w:val="en-US" w:eastAsia="zh-CN"/>
        </w:rPr>
        <w:t>27.68</w:t>
      </w:r>
      <w:r>
        <w:rPr>
          <w:color w:val="auto"/>
        </w:rPr>
        <w:t>分</w:t>
      </w:r>
      <w:r>
        <w:rPr>
          <w:rFonts w:hint="default"/>
          <w:color w:val="auto"/>
        </w:rPr>
        <w:t>，得分率为</w:t>
      </w:r>
      <w:r>
        <w:rPr>
          <w:rFonts w:hint="default"/>
          <w:color w:val="auto"/>
          <w:lang w:val="en-US" w:eastAsia="zh-CN"/>
        </w:rPr>
        <w:t>79.10</w:t>
      </w:r>
      <w:r>
        <w:rPr>
          <w:rFonts w:hint="default"/>
          <w:color w:val="auto"/>
        </w:rPr>
        <w:t>%</w:t>
      </w:r>
      <w:r>
        <w:rPr>
          <w:color w:val="auto"/>
        </w:rPr>
        <w:t>。各指标业绩值和绩效分值如下表所示：</w:t>
      </w:r>
    </w:p>
    <w:p w14:paraId="49BCE1EF">
      <w:pPr>
        <w:pageBreakBefore w:val="0"/>
        <w:kinsoku/>
        <w:wordWrap/>
        <w:overflowPunct/>
        <w:topLinePunct w:val="0"/>
        <w:autoSpaceDE/>
        <w:autoSpaceDN/>
        <w:bidi w:val="0"/>
        <w:snapToGrid w:val="0"/>
        <w:spacing w:before="0" w:after="0" w:line="360" w:lineRule="auto"/>
        <w:ind w:firstLine="0" w:firstLineChars="0"/>
        <w:jc w:val="center"/>
        <w:rPr>
          <w:rFonts w:hint="default" w:ascii="Times New Roman" w:hAnsi="Times New Roman" w:eastAsia="黑体" w:cs="Times New Roman"/>
          <w:b w:val="0"/>
          <w:bCs w:val="0"/>
          <w:color w:val="auto"/>
          <w:szCs w:val="16"/>
        </w:rPr>
      </w:pPr>
      <w:r>
        <w:rPr>
          <w:rFonts w:hint="default" w:ascii="Times New Roman" w:hAnsi="Times New Roman" w:eastAsia="黑体" w:cs="Times New Roman"/>
          <w:b w:val="0"/>
          <w:bCs w:val="0"/>
          <w:color w:val="auto"/>
          <w:szCs w:val="16"/>
        </w:rPr>
        <w:t>表</w:t>
      </w:r>
      <w:r>
        <w:rPr>
          <w:rFonts w:hint="default" w:ascii="Times New Roman" w:hAnsi="Times New Roman" w:eastAsia="黑体" w:cs="Times New Roman"/>
          <w:b w:val="0"/>
          <w:bCs w:val="0"/>
          <w:color w:val="auto"/>
          <w:szCs w:val="16"/>
          <w:lang w:val="en-US" w:eastAsia="zh-CN"/>
        </w:rPr>
        <w:t>5</w:t>
      </w:r>
      <w:r>
        <w:rPr>
          <w:rFonts w:hint="default" w:ascii="Times New Roman" w:hAnsi="Times New Roman" w:eastAsia="黑体" w:cs="Times New Roman"/>
          <w:b w:val="0"/>
          <w:bCs w:val="0"/>
          <w:color w:val="auto"/>
          <w:szCs w:val="16"/>
        </w:rPr>
        <w:t>-3：项目产出指标及分值</w:t>
      </w:r>
    </w:p>
    <w:tbl>
      <w:tblPr>
        <w:tblStyle w:val="1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1" w:type="dxa"/>
          <w:bottom w:w="0" w:type="dxa"/>
          <w:right w:w="51" w:type="dxa"/>
        </w:tblCellMar>
      </w:tblPr>
      <w:tblGrid>
        <w:gridCol w:w="1132"/>
        <w:gridCol w:w="1187"/>
        <w:gridCol w:w="1775"/>
        <w:gridCol w:w="1148"/>
        <w:gridCol w:w="1152"/>
        <w:gridCol w:w="597"/>
        <w:gridCol w:w="597"/>
        <w:gridCol w:w="820"/>
      </w:tblGrid>
      <w:tr w14:paraId="141EFD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673" w:type="pct"/>
            <w:vAlign w:val="center"/>
          </w:tcPr>
          <w:p w14:paraId="71C78B3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705" w:type="pct"/>
            <w:vAlign w:val="center"/>
          </w:tcPr>
          <w:p w14:paraId="7231A9D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1055" w:type="pct"/>
            <w:vAlign w:val="center"/>
          </w:tcPr>
          <w:p w14:paraId="7E66BDF4">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682" w:type="pct"/>
            <w:vAlign w:val="center"/>
          </w:tcPr>
          <w:p w14:paraId="2E821177">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685" w:type="pct"/>
            <w:vAlign w:val="center"/>
          </w:tcPr>
          <w:p w14:paraId="290D57B5">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355" w:type="pct"/>
            <w:vAlign w:val="center"/>
          </w:tcPr>
          <w:p w14:paraId="075E067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355" w:type="pct"/>
            <w:vAlign w:val="center"/>
          </w:tcPr>
          <w:p w14:paraId="09B0DE08">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487" w:type="pct"/>
            <w:vAlign w:val="center"/>
          </w:tcPr>
          <w:p w14:paraId="4D05B392">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14:paraId="1B33E4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73" w:type="pct"/>
            <w:vMerge w:val="restart"/>
            <w:vAlign w:val="center"/>
          </w:tcPr>
          <w:p w14:paraId="3DC32F6A">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r>
              <w:rPr>
                <w:rFonts w:hint="default"/>
                <w:color w:val="auto"/>
                <w:sz w:val="20"/>
                <w:szCs w:val="20"/>
              </w:rPr>
              <w:t>C产出（3</w:t>
            </w:r>
            <w:r>
              <w:rPr>
                <w:rFonts w:hint="default"/>
                <w:color w:val="auto"/>
                <w:sz w:val="20"/>
                <w:szCs w:val="20"/>
                <w:lang w:val="en-US" w:eastAsia="zh-CN"/>
              </w:rPr>
              <w:t>5</w:t>
            </w:r>
            <w:r>
              <w:rPr>
                <w:rFonts w:hint="default"/>
                <w:color w:val="auto"/>
                <w:sz w:val="20"/>
                <w:szCs w:val="20"/>
              </w:rPr>
              <w:t>.00分）</w:t>
            </w:r>
          </w:p>
        </w:tc>
        <w:tc>
          <w:tcPr>
            <w:tcW w:w="705" w:type="pct"/>
            <w:vAlign w:val="center"/>
          </w:tcPr>
          <w:p w14:paraId="3CD1AAC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C1产出数量（8.00分）</w:t>
            </w:r>
          </w:p>
        </w:tc>
        <w:tc>
          <w:tcPr>
            <w:tcW w:w="1055" w:type="pct"/>
            <w:vAlign w:val="center"/>
          </w:tcPr>
          <w:p w14:paraId="0732F898">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cs="Times New Roman" w:eastAsiaTheme="minorEastAsia"/>
                <w:color w:val="auto"/>
                <w:sz w:val="20"/>
                <w:szCs w:val="20"/>
                <w:lang w:eastAsia="zh-CN"/>
              </w:rPr>
            </w:pPr>
            <w:r>
              <w:rPr>
                <w:rFonts w:hint="default" w:ascii="Times New Roman" w:hAnsi="Times New Roman" w:eastAsia="宋体" w:cs="Times New Roman"/>
                <w:i w:val="0"/>
                <w:iCs w:val="0"/>
                <w:color w:val="auto"/>
                <w:kern w:val="0"/>
                <w:sz w:val="20"/>
                <w:szCs w:val="20"/>
                <w:u w:val="none"/>
                <w:lang w:val="en-US" w:eastAsia="zh-CN" w:bidi="ar"/>
              </w:rPr>
              <w:t>C11新建农村道路公里数</w:t>
            </w:r>
          </w:p>
        </w:tc>
        <w:tc>
          <w:tcPr>
            <w:tcW w:w="682" w:type="pct"/>
            <w:vAlign w:val="center"/>
          </w:tcPr>
          <w:p w14:paraId="1CE82C8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≥8公里</w:t>
            </w:r>
          </w:p>
        </w:tc>
        <w:tc>
          <w:tcPr>
            <w:tcW w:w="685" w:type="pct"/>
            <w:vAlign w:val="center"/>
          </w:tcPr>
          <w:p w14:paraId="0B0E5FB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8公里</w:t>
            </w:r>
          </w:p>
        </w:tc>
        <w:tc>
          <w:tcPr>
            <w:tcW w:w="355" w:type="pct"/>
            <w:vAlign w:val="center"/>
          </w:tcPr>
          <w:p w14:paraId="020BC72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8.00</w:t>
            </w:r>
          </w:p>
        </w:tc>
        <w:tc>
          <w:tcPr>
            <w:tcW w:w="355" w:type="pct"/>
            <w:vAlign w:val="center"/>
          </w:tcPr>
          <w:p w14:paraId="59E0A9B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8.00</w:t>
            </w:r>
          </w:p>
        </w:tc>
        <w:tc>
          <w:tcPr>
            <w:tcW w:w="487" w:type="pct"/>
            <w:vAlign w:val="center"/>
          </w:tcPr>
          <w:p w14:paraId="06AA944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48107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73" w:type="pct"/>
            <w:vMerge w:val="continue"/>
            <w:vAlign w:val="center"/>
          </w:tcPr>
          <w:p w14:paraId="58CAFFF9">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705" w:type="pct"/>
            <w:vAlign w:val="center"/>
          </w:tcPr>
          <w:p w14:paraId="53D3965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C2产出质量（6.00分）</w:t>
            </w:r>
          </w:p>
        </w:tc>
        <w:tc>
          <w:tcPr>
            <w:tcW w:w="1055" w:type="pct"/>
            <w:vAlign w:val="center"/>
          </w:tcPr>
          <w:p w14:paraId="1EC228A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C21竣工验收合格率</w:t>
            </w:r>
          </w:p>
        </w:tc>
        <w:tc>
          <w:tcPr>
            <w:tcW w:w="682" w:type="pct"/>
            <w:vAlign w:val="center"/>
          </w:tcPr>
          <w:p w14:paraId="1805EE0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100.00%</w:t>
            </w:r>
          </w:p>
        </w:tc>
        <w:tc>
          <w:tcPr>
            <w:tcW w:w="685" w:type="pct"/>
            <w:vAlign w:val="center"/>
          </w:tcPr>
          <w:p w14:paraId="0C2E341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sz w:val="20"/>
                <w:szCs w:val="20"/>
                <w:lang w:val="en-US" w:eastAsia="zh-CN"/>
              </w:rPr>
            </w:pPr>
            <w:r>
              <w:rPr>
                <w:rFonts w:hint="default" w:ascii="Times New Roman" w:hAnsi="Times New Roman" w:eastAsia="宋体" w:cs="Times New Roman"/>
                <w:i w:val="0"/>
                <w:iCs w:val="0"/>
                <w:color w:val="auto"/>
                <w:kern w:val="0"/>
                <w:sz w:val="20"/>
                <w:szCs w:val="20"/>
                <w:u w:val="none"/>
                <w:lang w:val="en-US" w:eastAsia="zh-CN" w:bidi="ar"/>
              </w:rPr>
              <w:t>100.00%</w:t>
            </w:r>
          </w:p>
        </w:tc>
        <w:tc>
          <w:tcPr>
            <w:tcW w:w="355" w:type="pct"/>
            <w:vAlign w:val="center"/>
          </w:tcPr>
          <w:p w14:paraId="423DD37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6.00</w:t>
            </w:r>
          </w:p>
        </w:tc>
        <w:tc>
          <w:tcPr>
            <w:tcW w:w="355" w:type="pct"/>
            <w:vAlign w:val="center"/>
          </w:tcPr>
          <w:p w14:paraId="6C3C7C4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6.00</w:t>
            </w:r>
          </w:p>
        </w:tc>
        <w:tc>
          <w:tcPr>
            <w:tcW w:w="487" w:type="pct"/>
            <w:vAlign w:val="center"/>
          </w:tcPr>
          <w:p w14:paraId="38DE6E9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751D2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73" w:type="pct"/>
            <w:vMerge w:val="continue"/>
            <w:vAlign w:val="center"/>
          </w:tcPr>
          <w:p w14:paraId="70F8AC86">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705" w:type="pct"/>
            <w:vMerge w:val="restart"/>
            <w:vAlign w:val="center"/>
          </w:tcPr>
          <w:p w14:paraId="5EE35DC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C3产出时效（6.00分）</w:t>
            </w:r>
          </w:p>
        </w:tc>
        <w:tc>
          <w:tcPr>
            <w:tcW w:w="1055" w:type="pct"/>
            <w:vAlign w:val="center"/>
          </w:tcPr>
          <w:p w14:paraId="5BAD0EE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ascii="Times New Roman" w:hAnsi="Times New Roman" w:eastAsia="宋体" w:cs="Times New Roman"/>
                <w:color w:val="auto"/>
                <w:kern w:val="0"/>
                <w:sz w:val="20"/>
                <w:szCs w:val="20"/>
                <w:u w:val="none"/>
                <w:lang w:bidi="ar"/>
              </w:rPr>
            </w:pPr>
            <w:r>
              <w:rPr>
                <w:rFonts w:hint="default" w:ascii="Times New Roman" w:hAnsi="Times New Roman" w:eastAsia="宋体" w:cs="Times New Roman"/>
                <w:i w:val="0"/>
                <w:iCs w:val="0"/>
                <w:color w:val="auto"/>
                <w:kern w:val="0"/>
                <w:sz w:val="20"/>
                <w:szCs w:val="20"/>
                <w:u w:val="none"/>
                <w:lang w:val="en-US" w:eastAsia="zh-CN" w:bidi="ar"/>
              </w:rPr>
              <w:t>C31项目计划开工日期</w:t>
            </w:r>
          </w:p>
        </w:tc>
        <w:tc>
          <w:tcPr>
            <w:tcW w:w="682" w:type="pct"/>
            <w:vAlign w:val="center"/>
          </w:tcPr>
          <w:p w14:paraId="21E4AD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u w:val="none"/>
                <w:lang w:bidi="ar"/>
              </w:rPr>
            </w:pPr>
            <w:r>
              <w:rPr>
                <w:rFonts w:hint="default" w:ascii="Times New Roman" w:hAnsi="Times New Roman" w:eastAsia="宋体" w:cs="Times New Roman"/>
                <w:i w:val="0"/>
                <w:iCs w:val="0"/>
                <w:color w:val="auto"/>
                <w:kern w:val="0"/>
                <w:sz w:val="20"/>
                <w:szCs w:val="20"/>
                <w:u w:val="none"/>
                <w:lang w:val="en-US" w:eastAsia="zh-CN" w:bidi="ar"/>
              </w:rPr>
              <w:t>2024年6月前</w:t>
            </w:r>
          </w:p>
        </w:tc>
        <w:tc>
          <w:tcPr>
            <w:tcW w:w="685" w:type="pct"/>
            <w:vAlign w:val="center"/>
          </w:tcPr>
          <w:p w14:paraId="63C69DF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u w:val="none"/>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2024年7月11日</w:t>
            </w:r>
          </w:p>
        </w:tc>
        <w:tc>
          <w:tcPr>
            <w:tcW w:w="355" w:type="pct"/>
            <w:vAlign w:val="center"/>
          </w:tcPr>
          <w:p w14:paraId="149FA9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3.00</w:t>
            </w:r>
          </w:p>
        </w:tc>
        <w:tc>
          <w:tcPr>
            <w:tcW w:w="355" w:type="pct"/>
            <w:vAlign w:val="center"/>
          </w:tcPr>
          <w:p w14:paraId="633B7D0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0.00</w:t>
            </w:r>
          </w:p>
        </w:tc>
        <w:tc>
          <w:tcPr>
            <w:tcW w:w="487" w:type="pct"/>
            <w:vAlign w:val="center"/>
          </w:tcPr>
          <w:p w14:paraId="1BA892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0.00%</w:t>
            </w:r>
          </w:p>
        </w:tc>
      </w:tr>
      <w:tr w14:paraId="316EA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73" w:type="pct"/>
            <w:vMerge w:val="continue"/>
            <w:vAlign w:val="center"/>
          </w:tcPr>
          <w:p w14:paraId="0276E763">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705" w:type="pct"/>
            <w:vMerge w:val="continue"/>
            <w:vAlign w:val="center"/>
          </w:tcPr>
          <w:p w14:paraId="11096C11">
            <w:pPr>
              <w:keepNext w:val="0"/>
              <w:keepLines w:val="0"/>
              <w:pageBreakBefore w:val="0"/>
              <w:widowControl/>
              <w:kinsoku/>
              <w:wordWrap/>
              <w:overflowPunct/>
              <w:topLinePunct w:val="0"/>
              <w:autoSpaceDE/>
              <w:autoSpaceDN/>
              <w:bidi w:val="0"/>
              <w:spacing w:line="240" w:lineRule="auto"/>
              <w:ind w:firstLine="0" w:firstLineChars="0"/>
              <w:jc w:val="center"/>
              <w:rPr>
                <w:rFonts w:ascii="Times New Roman" w:hAnsi="Times New Roman" w:eastAsia="宋体" w:cs="Times New Roman"/>
                <w:color w:val="auto"/>
                <w:sz w:val="20"/>
                <w:szCs w:val="20"/>
              </w:rPr>
            </w:pPr>
          </w:p>
        </w:tc>
        <w:tc>
          <w:tcPr>
            <w:tcW w:w="1055" w:type="pct"/>
            <w:vAlign w:val="center"/>
          </w:tcPr>
          <w:p w14:paraId="776E7F3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ascii="Times New Roman" w:hAnsi="Times New Roman" w:eastAsia="宋体" w:cs="Times New Roman"/>
                <w:color w:val="auto"/>
                <w:kern w:val="0"/>
                <w:sz w:val="20"/>
                <w:szCs w:val="20"/>
                <w:u w:val="none"/>
                <w:lang w:bidi="ar"/>
              </w:rPr>
            </w:pPr>
            <w:r>
              <w:rPr>
                <w:rFonts w:hint="default" w:ascii="Times New Roman" w:hAnsi="Times New Roman" w:eastAsia="宋体" w:cs="Times New Roman"/>
                <w:i w:val="0"/>
                <w:iCs w:val="0"/>
                <w:color w:val="auto"/>
                <w:kern w:val="0"/>
                <w:sz w:val="20"/>
                <w:szCs w:val="20"/>
                <w:u w:val="none"/>
                <w:lang w:val="en-US" w:eastAsia="zh-CN" w:bidi="ar"/>
              </w:rPr>
              <w:t>C32项目计划完工日期</w:t>
            </w:r>
          </w:p>
        </w:tc>
        <w:tc>
          <w:tcPr>
            <w:tcW w:w="682" w:type="pct"/>
            <w:vAlign w:val="center"/>
          </w:tcPr>
          <w:p w14:paraId="5608909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u w:val="none"/>
                <w:lang w:bidi="ar"/>
              </w:rPr>
            </w:pPr>
            <w:r>
              <w:rPr>
                <w:rFonts w:hint="default" w:ascii="Times New Roman" w:hAnsi="Times New Roman" w:eastAsia="宋体" w:cs="Times New Roman"/>
                <w:i w:val="0"/>
                <w:iCs w:val="0"/>
                <w:color w:val="auto"/>
                <w:kern w:val="0"/>
                <w:sz w:val="20"/>
                <w:szCs w:val="20"/>
                <w:u w:val="none"/>
                <w:lang w:val="en-US" w:eastAsia="zh-CN" w:bidi="ar"/>
              </w:rPr>
              <w:t>2024年10月前</w:t>
            </w:r>
          </w:p>
        </w:tc>
        <w:tc>
          <w:tcPr>
            <w:tcW w:w="685" w:type="pct"/>
            <w:vAlign w:val="center"/>
          </w:tcPr>
          <w:p w14:paraId="61D1FA3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u w:val="none"/>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2024年12月11日</w:t>
            </w:r>
          </w:p>
        </w:tc>
        <w:tc>
          <w:tcPr>
            <w:tcW w:w="355" w:type="pct"/>
            <w:vAlign w:val="center"/>
          </w:tcPr>
          <w:p w14:paraId="41ECC79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3.00</w:t>
            </w:r>
          </w:p>
        </w:tc>
        <w:tc>
          <w:tcPr>
            <w:tcW w:w="355" w:type="pct"/>
            <w:vAlign w:val="center"/>
          </w:tcPr>
          <w:p w14:paraId="4C5C021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0.00</w:t>
            </w:r>
          </w:p>
        </w:tc>
        <w:tc>
          <w:tcPr>
            <w:tcW w:w="487" w:type="pct"/>
            <w:vAlign w:val="center"/>
          </w:tcPr>
          <w:p w14:paraId="3B32476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0.00%</w:t>
            </w:r>
          </w:p>
        </w:tc>
      </w:tr>
      <w:tr w14:paraId="11D0B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73" w:type="pct"/>
            <w:vMerge w:val="continue"/>
            <w:vAlign w:val="center"/>
          </w:tcPr>
          <w:p w14:paraId="5A5378A6">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705" w:type="pct"/>
            <w:vMerge w:val="restart"/>
            <w:vAlign w:val="center"/>
          </w:tcPr>
          <w:p w14:paraId="720378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C4产出成本（15.00分）</w:t>
            </w:r>
          </w:p>
        </w:tc>
        <w:tc>
          <w:tcPr>
            <w:tcW w:w="1055" w:type="pct"/>
            <w:vAlign w:val="center"/>
          </w:tcPr>
          <w:p w14:paraId="39C601D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eastAsia="宋体"/>
                <w:color w:val="auto"/>
                <w:kern w:val="0"/>
                <w:sz w:val="20"/>
                <w:szCs w:val="20"/>
                <w:u w:val="none"/>
                <w:lang w:bidi="ar"/>
              </w:rPr>
            </w:pPr>
            <w:r>
              <w:rPr>
                <w:rFonts w:hint="default" w:ascii="Times New Roman" w:hAnsi="Times New Roman" w:eastAsia="宋体" w:cs="Times New Roman"/>
                <w:i w:val="0"/>
                <w:iCs w:val="0"/>
                <w:color w:val="auto"/>
                <w:kern w:val="0"/>
                <w:sz w:val="20"/>
                <w:szCs w:val="20"/>
                <w:u w:val="none"/>
                <w:lang w:val="en-US" w:eastAsia="zh-CN" w:bidi="ar"/>
              </w:rPr>
              <w:t>C41劳务报酬支出</w:t>
            </w:r>
          </w:p>
        </w:tc>
        <w:tc>
          <w:tcPr>
            <w:tcW w:w="682" w:type="pct"/>
            <w:vAlign w:val="center"/>
          </w:tcPr>
          <w:p w14:paraId="60CDD1A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eastAsia="宋体"/>
                <w:color w:val="auto"/>
                <w:kern w:val="0"/>
                <w:sz w:val="20"/>
                <w:szCs w:val="20"/>
                <w:u w:val="none"/>
                <w:lang w:bidi="ar"/>
              </w:rPr>
            </w:pPr>
            <w:r>
              <w:rPr>
                <w:rFonts w:hint="default" w:ascii="Times New Roman" w:hAnsi="Times New Roman" w:eastAsia="宋体" w:cs="Times New Roman"/>
                <w:i w:val="0"/>
                <w:iCs w:val="0"/>
                <w:color w:val="auto"/>
                <w:kern w:val="0"/>
                <w:sz w:val="20"/>
                <w:szCs w:val="20"/>
                <w:u w:val="none"/>
                <w:lang w:val="en-US" w:eastAsia="zh-CN" w:bidi="ar"/>
              </w:rPr>
              <w:t>≥235万元</w:t>
            </w:r>
          </w:p>
        </w:tc>
        <w:tc>
          <w:tcPr>
            <w:tcW w:w="685" w:type="pct"/>
            <w:vAlign w:val="center"/>
          </w:tcPr>
          <w:p w14:paraId="20304C1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eastAsia="宋体"/>
                <w:color w:val="auto"/>
                <w:kern w:val="0"/>
                <w:sz w:val="20"/>
                <w:szCs w:val="20"/>
                <w:u w:val="none"/>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196.35万元</w:t>
            </w:r>
          </w:p>
        </w:tc>
        <w:tc>
          <w:tcPr>
            <w:tcW w:w="355" w:type="pct"/>
            <w:vAlign w:val="center"/>
          </w:tcPr>
          <w:p w14:paraId="5E0910E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8.00</w:t>
            </w:r>
          </w:p>
        </w:tc>
        <w:tc>
          <w:tcPr>
            <w:tcW w:w="355" w:type="pct"/>
            <w:vAlign w:val="center"/>
          </w:tcPr>
          <w:p w14:paraId="0E2EF6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6.68</w:t>
            </w:r>
          </w:p>
        </w:tc>
        <w:tc>
          <w:tcPr>
            <w:tcW w:w="487" w:type="pct"/>
            <w:vAlign w:val="center"/>
          </w:tcPr>
          <w:p w14:paraId="194046C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color w:val="auto"/>
                <w:kern w:val="0"/>
                <w:sz w:val="20"/>
                <w:szCs w:val="20"/>
                <w:lang w:bidi="ar"/>
              </w:rPr>
            </w:pPr>
            <w:r>
              <w:rPr>
                <w:rFonts w:hint="default" w:ascii="Times New Roman" w:hAnsi="Times New Roman" w:eastAsia="宋体" w:cs="Times New Roman"/>
                <w:i w:val="0"/>
                <w:iCs w:val="0"/>
                <w:color w:val="auto"/>
                <w:kern w:val="0"/>
                <w:sz w:val="20"/>
                <w:szCs w:val="20"/>
                <w:u w:val="none"/>
                <w:lang w:val="en-US" w:eastAsia="zh-CN" w:bidi="ar"/>
              </w:rPr>
              <w:t>83.55%</w:t>
            </w:r>
          </w:p>
        </w:tc>
      </w:tr>
      <w:tr w14:paraId="6CE76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673" w:type="pct"/>
            <w:vMerge w:val="continue"/>
            <w:vAlign w:val="center"/>
          </w:tcPr>
          <w:p w14:paraId="2BC15F07">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705" w:type="pct"/>
            <w:vMerge w:val="continue"/>
            <w:vAlign w:val="center"/>
          </w:tcPr>
          <w:p w14:paraId="70EAC6BE">
            <w:pPr>
              <w:keepNext w:val="0"/>
              <w:keepLines w:val="0"/>
              <w:pageBreakBefore w:val="0"/>
              <w:widowControl/>
              <w:kinsoku/>
              <w:wordWrap/>
              <w:overflowPunct/>
              <w:topLinePunct w:val="0"/>
              <w:autoSpaceDE/>
              <w:autoSpaceDN/>
              <w:bidi w:val="0"/>
              <w:spacing w:line="240" w:lineRule="auto"/>
              <w:ind w:firstLine="0" w:firstLineChars="0"/>
              <w:jc w:val="center"/>
              <w:rPr>
                <w:rFonts w:ascii="Times New Roman" w:hAnsi="Times New Roman" w:eastAsia="宋体" w:cs="Times New Roman"/>
                <w:color w:val="auto"/>
                <w:sz w:val="20"/>
                <w:szCs w:val="20"/>
              </w:rPr>
            </w:pPr>
          </w:p>
        </w:tc>
        <w:tc>
          <w:tcPr>
            <w:tcW w:w="1055" w:type="pct"/>
            <w:vAlign w:val="center"/>
          </w:tcPr>
          <w:p w14:paraId="27E7DB4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color w:val="auto"/>
                <w:kern w:val="0"/>
                <w:sz w:val="20"/>
                <w:szCs w:val="20"/>
                <w:u w:val="none"/>
                <w:lang w:eastAsia="zh-CN" w:bidi="ar"/>
              </w:rPr>
            </w:pPr>
            <w:r>
              <w:rPr>
                <w:rFonts w:hint="default" w:ascii="Times New Roman" w:hAnsi="Times New Roman" w:eastAsia="宋体" w:cs="Times New Roman"/>
                <w:i w:val="0"/>
                <w:iCs w:val="0"/>
                <w:color w:val="auto"/>
                <w:kern w:val="0"/>
                <w:sz w:val="20"/>
                <w:szCs w:val="20"/>
                <w:u w:val="none"/>
                <w:lang w:val="en-US" w:eastAsia="zh-CN" w:bidi="ar"/>
              </w:rPr>
              <w:t>C42道路单位建设成本</w:t>
            </w:r>
          </w:p>
        </w:tc>
        <w:tc>
          <w:tcPr>
            <w:tcW w:w="682" w:type="pct"/>
            <w:vAlign w:val="center"/>
          </w:tcPr>
          <w:p w14:paraId="6020E2C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kern w:val="0"/>
                <w:sz w:val="20"/>
                <w:szCs w:val="20"/>
                <w:u w:val="none"/>
                <w:lang w:bidi="ar"/>
              </w:rPr>
            </w:pPr>
            <w:r>
              <w:rPr>
                <w:rFonts w:hint="default" w:ascii="Times New Roman" w:hAnsi="Times New Roman" w:eastAsia="宋体" w:cs="Times New Roman"/>
                <w:i w:val="0"/>
                <w:iCs w:val="0"/>
                <w:color w:val="auto"/>
                <w:kern w:val="0"/>
                <w:sz w:val="20"/>
                <w:szCs w:val="20"/>
                <w:u w:val="none"/>
                <w:lang w:val="en-US" w:eastAsia="zh-CN" w:bidi="ar"/>
              </w:rPr>
              <w:t>80.00%—100.00%</w:t>
            </w:r>
          </w:p>
        </w:tc>
        <w:tc>
          <w:tcPr>
            <w:tcW w:w="685" w:type="pct"/>
            <w:vAlign w:val="center"/>
          </w:tcPr>
          <w:p w14:paraId="6ADDC60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color w:val="auto"/>
                <w:kern w:val="0"/>
                <w:sz w:val="20"/>
                <w:szCs w:val="20"/>
                <w:u w:val="none"/>
                <w:lang w:val="en-US" w:eastAsia="zh-CN" w:bidi="ar"/>
              </w:rPr>
            </w:pPr>
            <w:r>
              <w:rPr>
                <w:rFonts w:hint="default" w:ascii="Times New Roman" w:hAnsi="Times New Roman" w:eastAsia="宋体" w:cs="Times New Roman"/>
                <w:i w:val="0"/>
                <w:iCs w:val="0"/>
                <w:color w:val="auto"/>
                <w:kern w:val="0"/>
                <w:sz w:val="20"/>
                <w:szCs w:val="20"/>
                <w:u w:val="none"/>
                <w:lang w:val="en-US" w:eastAsia="zh-CN" w:bidi="ar"/>
              </w:rPr>
              <w:t>95.76%</w:t>
            </w:r>
          </w:p>
        </w:tc>
        <w:tc>
          <w:tcPr>
            <w:tcW w:w="355" w:type="pct"/>
            <w:vAlign w:val="center"/>
          </w:tcPr>
          <w:p w14:paraId="6E40301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7.00</w:t>
            </w:r>
          </w:p>
        </w:tc>
        <w:tc>
          <w:tcPr>
            <w:tcW w:w="355" w:type="pct"/>
            <w:vAlign w:val="center"/>
          </w:tcPr>
          <w:p w14:paraId="70C23FA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7.00</w:t>
            </w:r>
          </w:p>
        </w:tc>
        <w:tc>
          <w:tcPr>
            <w:tcW w:w="487" w:type="pct"/>
            <w:vAlign w:val="center"/>
          </w:tcPr>
          <w:p w14:paraId="36CC9E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color w:val="auto"/>
                <w:sz w:val="20"/>
                <w:szCs w:val="20"/>
              </w:rPr>
            </w:pPr>
            <w:r>
              <w:rPr>
                <w:rFonts w:hint="default" w:ascii="Times New Roman" w:hAnsi="Times New Roman" w:eastAsia="宋体" w:cs="Times New Roman"/>
                <w:i w:val="0"/>
                <w:iCs w:val="0"/>
                <w:color w:val="auto"/>
                <w:kern w:val="0"/>
                <w:sz w:val="20"/>
                <w:szCs w:val="20"/>
                <w:u w:val="none"/>
                <w:lang w:val="en-US" w:eastAsia="zh-CN" w:bidi="ar"/>
              </w:rPr>
              <w:t>100.00%</w:t>
            </w:r>
          </w:p>
        </w:tc>
      </w:tr>
      <w:tr w14:paraId="456EC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2434" w:type="pct"/>
            <w:gridSpan w:val="3"/>
            <w:vAlign w:val="center"/>
          </w:tcPr>
          <w:p w14:paraId="0CB8349D">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b/>
                <w:bCs/>
                <w:color w:val="auto"/>
                <w:sz w:val="20"/>
                <w:szCs w:val="20"/>
              </w:rPr>
            </w:pPr>
            <w:r>
              <w:rPr>
                <w:rFonts w:hint="default"/>
                <w:b/>
                <w:bCs/>
                <w:color w:val="auto"/>
                <w:sz w:val="20"/>
                <w:szCs w:val="20"/>
              </w:rPr>
              <w:t>合计</w:t>
            </w:r>
          </w:p>
        </w:tc>
        <w:tc>
          <w:tcPr>
            <w:tcW w:w="682" w:type="pct"/>
            <w:vAlign w:val="center"/>
          </w:tcPr>
          <w:p w14:paraId="5A0DB354">
            <w:pPr>
              <w:keepNext w:val="0"/>
              <w:keepLines w:val="0"/>
              <w:pageBreakBefore w:val="0"/>
              <w:widowControl/>
              <w:kinsoku/>
              <w:wordWrap/>
              <w:overflowPunct/>
              <w:topLinePunct w:val="0"/>
              <w:autoSpaceDE/>
              <w:autoSpaceDN/>
              <w:bidi w:val="0"/>
              <w:spacing w:line="240" w:lineRule="auto"/>
              <w:ind w:firstLine="0" w:firstLineChars="0"/>
              <w:jc w:val="center"/>
              <w:rPr>
                <w:rFonts w:ascii="Times New Roman" w:hAnsi="Times New Roman" w:eastAsia="宋体" w:cs="Times New Roman"/>
                <w:b/>
                <w:bCs/>
                <w:color w:val="auto"/>
                <w:sz w:val="20"/>
                <w:szCs w:val="20"/>
              </w:rPr>
            </w:pPr>
          </w:p>
        </w:tc>
        <w:tc>
          <w:tcPr>
            <w:tcW w:w="685" w:type="pct"/>
            <w:vAlign w:val="center"/>
          </w:tcPr>
          <w:p w14:paraId="054F0505">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color w:val="auto"/>
                <w:sz w:val="20"/>
                <w:szCs w:val="20"/>
                <w:lang w:val="en-US" w:eastAsia="zh-CN"/>
              </w:rPr>
            </w:pPr>
          </w:p>
        </w:tc>
        <w:tc>
          <w:tcPr>
            <w:tcW w:w="355" w:type="pct"/>
            <w:vAlign w:val="center"/>
          </w:tcPr>
          <w:p w14:paraId="4F60A63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i w:val="0"/>
                <w:iCs w:val="0"/>
                <w:color w:val="auto"/>
                <w:kern w:val="0"/>
                <w:sz w:val="20"/>
                <w:szCs w:val="20"/>
                <w:u w:val="none"/>
                <w:lang w:val="en-US" w:eastAsia="zh-CN" w:bidi="ar"/>
              </w:rPr>
              <w:t>35.00</w:t>
            </w:r>
          </w:p>
        </w:tc>
        <w:tc>
          <w:tcPr>
            <w:tcW w:w="355" w:type="pct"/>
            <w:vAlign w:val="center"/>
          </w:tcPr>
          <w:p w14:paraId="31951F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i w:val="0"/>
                <w:iCs w:val="0"/>
                <w:color w:val="auto"/>
                <w:kern w:val="0"/>
                <w:sz w:val="20"/>
                <w:szCs w:val="20"/>
                <w:u w:val="none"/>
                <w:lang w:val="en-US" w:eastAsia="zh-CN" w:bidi="ar"/>
              </w:rPr>
              <w:t>27.68</w:t>
            </w:r>
          </w:p>
        </w:tc>
        <w:tc>
          <w:tcPr>
            <w:tcW w:w="487" w:type="pct"/>
            <w:vAlign w:val="center"/>
          </w:tcPr>
          <w:p w14:paraId="78C18C4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ascii="Times New Roman" w:hAnsi="Times New Roman" w:eastAsia="宋体" w:cs="Times New Roman"/>
                <w:b/>
                <w:bCs/>
                <w:color w:val="auto"/>
                <w:sz w:val="20"/>
                <w:szCs w:val="20"/>
              </w:rPr>
            </w:pPr>
            <w:r>
              <w:rPr>
                <w:rFonts w:hint="default" w:ascii="Times New Roman" w:hAnsi="Times New Roman" w:eastAsia="宋体" w:cs="Times New Roman"/>
                <w:b/>
                <w:bCs/>
                <w:i w:val="0"/>
                <w:iCs w:val="0"/>
                <w:color w:val="auto"/>
                <w:kern w:val="0"/>
                <w:sz w:val="20"/>
                <w:szCs w:val="20"/>
                <w:u w:val="none"/>
                <w:lang w:val="en-US" w:eastAsia="zh-CN" w:bidi="ar"/>
              </w:rPr>
              <w:t>79.10%</w:t>
            </w:r>
          </w:p>
        </w:tc>
      </w:tr>
    </w:tbl>
    <w:p w14:paraId="05C8186D">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r>
        <w:rPr>
          <w:b/>
          <w:bCs/>
          <w:color w:val="auto"/>
        </w:rPr>
        <w:t>：</w:t>
      </w:r>
    </w:p>
    <w:p w14:paraId="43F4619A">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（1）</w:t>
      </w:r>
      <w:r>
        <w:rPr>
          <w:rFonts w:hint="default"/>
          <w:b/>
          <w:bCs/>
          <w:color w:val="auto"/>
        </w:rPr>
        <w:t>C11</w:t>
      </w:r>
      <w:r>
        <w:rPr>
          <w:rFonts w:hint="default"/>
          <w:b/>
          <w:bCs/>
          <w:color w:val="auto"/>
          <w:lang w:eastAsia="zh-CN"/>
        </w:rPr>
        <w:t>新建农村道路公里数</w:t>
      </w:r>
      <w:r>
        <w:rPr>
          <w:rFonts w:hint="default"/>
          <w:b/>
          <w:bCs/>
          <w:color w:val="auto"/>
        </w:rPr>
        <w:t>指标：</w:t>
      </w:r>
    </w:p>
    <w:p w14:paraId="356D3144">
      <w:pPr>
        <w:pageBreakBefore w:val="0"/>
        <w:kinsoku/>
        <w:wordWrap/>
        <w:overflowPunct/>
        <w:topLinePunct w:val="0"/>
        <w:autoSpaceDE/>
        <w:autoSpaceDN/>
        <w:bidi w:val="0"/>
        <w:snapToGrid w:val="0"/>
        <w:spacing w:before="0" w:after="0" w:line="360" w:lineRule="auto"/>
        <w:ind w:firstLine="420"/>
        <w:rPr>
          <w:color w:val="auto"/>
        </w:rPr>
      </w:pPr>
      <w:r>
        <w:rPr>
          <w:color w:val="auto"/>
        </w:rPr>
        <w:t>根据项目实施单位提供《公路交工验收证书》《竣工验收单》《竣工验收报告》记录内容分析，项目</w:t>
      </w:r>
      <w:r>
        <w:rPr>
          <w:rFonts w:hint="default"/>
          <w:color w:val="auto"/>
          <w:lang w:val="en-US" w:eastAsia="zh-CN"/>
        </w:rPr>
        <w:t>交</w:t>
      </w:r>
      <w:r>
        <w:rPr>
          <w:color w:val="auto"/>
        </w:rPr>
        <w:t>工验收内容为“本项目由36条路线组成，路线全长8Km及附属配套设施，公路等级为四级，公路设计速度20km/h，路基宽度4.5/5.5m，行车道宽度4.0/5.0m，土路肩宽度2x25m。路面类型为沥青路面</w:t>
      </w:r>
      <w:r>
        <w:rPr>
          <w:rFonts w:hint="default"/>
          <w:color w:val="auto"/>
          <w:lang w:eastAsia="zh-CN"/>
        </w:rPr>
        <w:t>；</w:t>
      </w:r>
      <w:r>
        <w:rPr>
          <w:color w:val="auto"/>
        </w:rPr>
        <w:t>共设置涵洞35道，均为新建1-0.5m钢筋混凝土圆涵</w:t>
      </w:r>
      <w:r>
        <w:rPr>
          <w:rFonts w:hint="default"/>
          <w:color w:val="auto"/>
          <w:lang w:eastAsia="zh-CN"/>
        </w:rPr>
        <w:t>；</w:t>
      </w:r>
      <w:r>
        <w:rPr>
          <w:color w:val="auto"/>
        </w:rPr>
        <w:t>交通标志</w:t>
      </w:r>
      <w:r>
        <w:rPr>
          <w:rFonts w:hint="default"/>
          <w:color w:val="auto"/>
          <w:lang w:eastAsia="zh-CN"/>
        </w:rPr>
        <w:t>；</w:t>
      </w:r>
      <w:r>
        <w:rPr>
          <w:color w:val="auto"/>
        </w:rPr>
        <w:t>全线共设置21个”，</w:t>
      </w:r>
      <w:r>
        <w:rPr>
          <w:rFonts w:hint="default"/>
          <w:color w:val="auto"/>
          <w:kern w:val="0"/>
          <w:sz w:val="20"/>
          <w:szCs w:val="20"/>
          <w:lang w:bidi="ar"/>
        </w:rPr>
        <w:t>新建</w:t>
      </w:r>
      <w:r>
        <w:rPr>
          <w:rFonts w:hint="default"/>
          <w:color w:val="auto"/>
          <w:kern w:val="0"/>
          <w:sz w:val="20"/>
          <w:szCs w:val="20"/>
          <w:lang w:val="en-US" w:eastAsia="zh-CN" w:bidi="ar"/>
        </w:rPr>
        <w:t>农村</w:t>
      </w:r>
      <w:r>
        <w:rPr>
          <w:rFonts w:hint="default"/>
          <w:color w:val="auto"/>
          <w:kern w:val="0"/>
          <w:sz w:val="20"/>
          <w:szCs w:val="20"/>
          <w:lang w:bidi="ar"/>
        </w:rPr>
        <w:t>道路公里数</w:t>
      </w:r>
      <w:r>
        <w:rPr>
          <w:rFonts w:hint="default"/>
          <w:color w:val="auto"/>
          <w:kern w:val="0"/>
          <w:sz w:val="20"/>
          <w:szCs w:val="20"/>
          <w:lang w:val="en-US" w:eastAsia="zh-CN" w:bidi="ar"/>
        </w:rPr>
        <w:t>达到8</w:t>
      </w:r>
      <w:r>
        <w:rPr>
          <w:rFonts w:hint="default"/>
          <w:color w:val="auto"/>
          <w:lang w:val="en-US" w:eastAsia="zh-CN"/>
        </w:rPr>
        <w:t>公里</w:t>
      </w:r>
      <w:r>
        <w:rPr>
          <w:rFonts w:hint="default"/>
          <w:color w:val="auto"/>
          <w:lang w:eastAsia="zh-CN"/>
        </w:rPr>
        <w:t>。</w:t>
      </w:r>
      <w:r>
        <w:rPr>
          <w:color w:val="auto"/>
        </w:rPr>
        <w:t>根据评分标准，得满分。</w:t>
      </w:r>
    </w:p>
    <w:p w14:paraId="394D250F">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w:t>
      </w:r>
      <w:r>
        <w:rPr>
          <w:rFonts w:hint="default"/>
          <w:color w:val="auto"/>
          <w:lang w:val="en-US" w:eastAsia="zh-CN"/>
        </w:rPr>
        <w:t>8</w:t>
      </w:r>
      <w:r>
        <w:rPr>
          <w:color w:val="auto"/>
        </w:rPr>
        <w:t>.00分，根据评分标准得</w:t>
      </w:r>
      <w:r>
        <w:rPr>
          <w:rFonts w:hint="default"/>
          <w:color w:val="auto"/>
          <w:lang w:val="en-US" w:eastAsia="zh-CN"/>
        </w:rPr>
        <w:t>8</w:t>
      </w:r>
      <w:r>
        <w:rPr>
          <w:color w:val="auto"/>
        </w:rPr>
        <w:t>.00分。</w:t>
      </w:r>
    </w:p>
    <w:p w14:paraId="6DB3B6DE">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（2）</w:t>
      </w:r>
      <w:r>
        <w:rPr>
          <w:rFonts w:hint="default"/>
          <w:b/>
          <w:bCs/>
          <w:color w:val="auto"/>
        </w:rPr>
        <w:t>C21竣工验收合格率指标：</w:t>
      </w:r>
    </w:p>
    <w:p w14:paraId="4E430C2E">
      <w:pPr>
        <w:pageBreakBefore w:val="0"/>
        <w:kinsoku/>
        <w:wordWrap/>
        <w:overflowPunct/>
        <w:topLinePunct w:val="0"/>
        <w:autoSpaceDE/>
        <w:autoSpaceDN/>
        <w:bidi w:val="0"/>
        <w:snapToGrid w:val="0"/>
        <w:spacing w:before="0" w:after="0" w:line="360" w:lineRule="auto"/>
        <w:ind w:firstLine="420"/>
        <w:rPr>
          <w:color w:val="auto"/>
        </w:rPr>
      </w:pPr>
      <w:r>
        <w:rPr>
          <w:color w:val="auto"/>
        </w:rPr>
        <w:t>根据项目实施单位提供《公路交工验收证书》《竣工验收单》《竣工验收报告》记录内容分析，项目完工后，建设、设计、监理、施工、勘察单位共同对项目进行验收，验收结论为：“经验收组检查验收，已对吉木萨尔县二工镇大泉湖村2024年以工代赈基础设施建设项目施工完毕，道路及附属设施齐全，保障了公路畅通”。根据评分标准，得满分。</w:t>
      </w:r>
    </w:p>
    <w:p w14:paraId="1F7745C1">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w:t>
      </w:r>
      <w:r>
        <w:rPr>
          <w:rFonts w:hint="default"/>
          <w:color w:val="auto"/>
          <w:lang w:val="en-US" w:eastAsia="zh-CN"/>
        </w:rPr>
        <w:t>6</w:t>
      </w:r>
      <w:r>
        <w:rPr>
          <w:color w:val="auto"/>
        </w:rPr>
        <w:t>.00分，根据评分标准得</w:t>
      </w:r>
      <w:r>
        <w:rPr>
          <w:rFonts w:hint="default"/>
          <w:color w:val="auto"/>
          <w:lang w:val="en-US" w:eastAsia="zh-CN"/>
        </w:rPr>
        <w:t>6</w:t>
      </w:r>
      <w:r>
        <w:rPr>
          <w:color w:val="auto"/>
        </w:rPr>
        <w:t>.00分。</w:t>
      </w:r>
    </w:p>
    <w:p w14:paraId="51D5E923">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（3）</w:t>
      </w:r>
      <w:r>
        <w:rPr>
          <w:rFonts w:hint="default"/>
          <w:b/>
          <w:bCs/>
          <w:color w:val="auto"/>
        </w:rPr>
        <w:t>C31项目计划开工日期指标：</w:t>
      </w:r>
    </w:p>
    <w:p w14:paraId="3C5D9C12">
      <w:pPr>
        <w:pageBreakBefore w:val="0"/>
        <w:kinsoku/>
        <w:wordWrap/>
        <w:overflowPunct/>
        <w:topLinePunct w:val="0"/>
        <w:autoSpaceDE/>
        <w:autoSpaceDN/>
        <w:bidi w:val="0"/>
        <w:snapToGrid w:val="0"/>
        <w:spacing w:before="0" w:after="0" w:line="360" w:lineRule="auto"/>
        <w:ind w:firstLine="420"/>
        <w:rPr>
          <w:color w:val="auto"/>
        </w:rPr>
      </w:pPr>
      <w:r>
        <w:rPr>
          <w:color w:val="auto"/>
        </w:rPr>
        <w:t>根据项目实施单位提供《关于</w:t>
      </w:r>
      <w:r>
        <w:rPr>
          <w:rFonts w:hint="default"/>
          <w:color w:val="auto"/>
          <w:lang w:val="en-US" w:eastAsia="zh-CN"/>
        </w:rPr>
        <w:t>&lt;</w:t>
      </w:r>
      <w:r>
        <w:rPr>
          <w:color w:val="auto"/>
        </w:rPr>
        <w:t>吉木萨尔县</w:t>
      </w:r>
      <w:r>
        <w:rPr>
          <w:rFonts w:hint="default"/>
          <w:color w:val="auto"/>
          <w:lang w:eastAsia="zh-CN"/>
        </w:rPr>
        <w:t>二工镇</w:t>
      </w:r>
      <w:r>
        <w:rPr>
          <w:color w:val="auto"/>
        </w:rPr>
        <w:t>大泉湖村2024年以工代赈基础设施建设项目</w:t>
      </w:r>
      <w:r>
        <w:rPr>
          <w:rFonts w:hint="default"/>
          <w:color w:val="auto"/>
          <w:lang w:val="en-US" w:eastAsia="zh-CN"/>
        </w:rPr>
        <w:t>&gt;</w:t>
      </w:r>
      <w:r>
        <w:rPr>
          <w:color w:val="auto"/>
        </w:rPr>
        <w:t>总体开工申请的批复》记录内容分析，项目</w:t>
      </w:r>
      <w:r>
        <w:rPr>
          <w:rFonts w:hint="default"/>
          <w:color w:val="auto"/>
          <w:lang w:val="en-US" w:eastAsia="zh-CN"/>
        </w:rPr>
        <w:t>实际</w:t>
      </w:r>
      <w:r>
        <w:rPr>
          <w:color w:val="auto"/>
        </w:rPr>
        <w:t>于2024年7月1</w:t>
      </w:r>
      <w:r>
        <w:rPr>
          <w:rFonts w:hint="default"/>
          <w:color w:val="auto"/>
          <w:lang w:val="en-US" w:eastAsia="zh-CN"/>
        </w:rPr>
        <w:t>1</w:t>
      </w:r>
      <w:r>
        <w:rPr>
          <w:color w:val="auto"/>
        </w:rPr>
        <w:t>日开工，晚于</w:t>
      </w:r>
      <w:r>
        <w:rPr>
          <w:rFonts w:hint="default"/>
          <w:color w:val="auto"/>
          <w:lang w:val="en-US" w:eastAsia="zh-CN"/>
        </w:rPr>
        <w:t>在</w:t>
      </w:r>
      <w:r>
        <w:rPr>
          <w:rFonts w:hint="default"/>
          <w:color w:val="auto"/>
        </w:rPr>
        <w:t>2024年6月前</w:t>
      </w:r>
      <w:r>
        <w:rPr>
          <w:color w:val="auto"/>
        </w:rPr>
        <w:t>开工</w:t>
      </w:r>
      <w:r>
        <w:rPr>
          <w:rFonts w:hint="default"/>
          <w:color w:val="auto"/>
          <w:lang w:eastAsia="zh-CN"/>
        </w:rPr>
        <w:t>的</w:t>
      </w:r>
      <w:r>
        <w:rPr>
          <w:rFonts w:hint="default"/>
          <w:color w:val="auto"/>
          <w:lang w:val="en-US" w:eastAsia="zh-CN"/>
        </w:rPr>
        <w:t>计划</w:t>
      </w:r>
      <w:r>
        <w:rPr>
          <w:color w:val="auto"/>
        </w:rPr>
        <w:t>工期，根据评分标准，扣</w:t>
      </w:r>
      <w:r>
        <w:rPr>
          <w:rFonts w:hint="default"/>
          <w:color w:val="auto"/>
          <w:lang w:val="en-US" w:eastAsia="zh-CN"/>
        </w:rPr>
        <w:t>3</w:t>
      </w:r>
      <w:r>
        <w:rPr>
          <w:color w:val="auto"/>
        </w:rPr>
        <w:t>.00分。</w:t>
      </w:r>
    </w:p>
    <w:p w14:paraId="74A2F7A2">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w:t>
      </w:r>
      <w:r>
        <w:rPr>
          <w:rFonts w:hint="default"/>
          <w:color w:val="auto"/>
          <w:lang w:val="en-US" w:eastAsia="zh-CN"/>
        </w:rPr>
        <w:t>3</w:t>
      </w:r>
      <w:r>
        <w:rPr>
          <w:color w:val="auto"/>
        </w:rPr>
        <w:t>.00分，根据评分标准得0.00分。</w:t>
      </w:r>
    </w:p>
    <w:p w14:paraId="69C92E8C">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（4）</w:t>
      </w:r>
      <w:r>
        <w:rPr>
          <w:rFonts w:hint="default"/>
          <w:b/>
          <w:bCs/>
          <w:color w:val="auto"/>
        </w:rPr>
        <w:t>C32项目计划完工日期指标：</w:t>
      </w:r>
    </w:p>
    <w:p w14:paraId="6A5114A6">
      <w:pPr>
        <w:pageBreakBefore w:val="0"/>
        <w:kinsoku/>
        <w:wordWrap/>
        <w:overflowPunct/>
        <w:topLinePunct w:val="0"/>
        <w:autoSpaceDE/>
        <w:autoSpaceDN/>
        <w:bidi w:val="0"/>
        <w:snapToGrid w:val="0"/>
        <w:spacing w:before="0" w:after="0" w:line="360" w:lineRule="auto"/>
        <w:ind w:firstLine="420"/>
        <w:rPr>
          <w:color w:val="auto"/>
        </w:rPr>
      </w:pPr>
      <w:r>
        <w:rPr>
          <w:color w:val="auto"/>
        </w:rPr>
        <w:t>根据项目实施单位提供《公路交工验收证书》《竣工验收单》记录内容分析，项目</w:t>
      </w:r>
      <w:r>
        <w:rPr>
          <w:rFonts w:hint="default"/>
          <w:color w:val="auto"/>
          <w:lang w:val="en-US" w:eastAsia="zh-CN"/>
        </w:rPr>
        <w:t>实际</w:t>
      </w:r>
      <w:r>
        <w:rPr>
          <w:rFonts w:ascii="Times New Roman" w:hAnsi="Times New Roman" w:cs="Times New Roman"/>
          <w:color w:val="auto"/>
        </w:rPr>
        <w:t>于2024年12月1</w:t>
      </w:r>
      <w:r>
        <w:rPr>
          <w:rFonts w:hint="default" w:ascii="Times New Roman" w:hAnsi="Times New Roman" w:cs="Times New Roman"/>
          <w:color w:val="auto"/>
          <w:lang w:val="en-US" w:eastAsia="zh-CN"/>
        </w:rPr>
        <w:t>1</w:t>
      </w:r>
      <w:r>
        <w:rPr>
          <w:rFonts w:ascii="Times New Roman" w:hAnsi="Times New Roman" w:cs="Times New Roman"/>
          <w:color w:val="auto"/>
        </w:rPr>
        <w:t>日完工。晚于</w:t>
      </w:r>
      <w:r>
        <w:rPr>
          <w:rFonts w:hint="default" w:ascii="Times New Roman" w:hAnsi="Times New Roman" w:cs="Times New Roman"/>
          <w:color w:val="auto"/>
        </w:rPr>
        <w:t>2024年10月前</w:t>
      </w:r>
      <w:r>
        <w:rPr>
          <w:rFonts w:ascii="Times New Roman" w:hAnsi="Times New Roman" w:cs="Times New Roman"/>
          <w:color w:val="auto"/>
        </w:rPr>
        <w:t>完工</w:t>
      </w:r>
      <w:r>
        <w:rPr>
          <w:rFonts w:hint="default" w:ascii="Times New Roman" w:hAnsi="Times New Roman" w:cs="Times New Roman"/>
          <w:color w:val="auto"/>
          <w:lang w:eastAsia="zh-CN"/>
        </w:rPr>
        <w:t>的</w:t>
      </w:r>
      <w:r>
        <w:rPr>
          <w:rFonts w:ascii="Times New Roman" w:hAnsi="Times New Roman" w:cs="Times New Roman"/>
          <w:color w:val="auto"/>
        </w:rPr>
        <w:t>计划工期，根据评分标准，扣</w:t>
      </w:r>
      <w:r>
        <w:rPr>
          <w:rFonts w:hint="default" w:ascii="Times New Roman" w:hAnsi="Times New Roman" w:cs="Times New Roman"/>
          <w:color w:val="auto"/>
          <w:lang w:val="en-US" w:eastAsia="zh-CN"/>
        </w:rPr>
        <w:t>3</w:t>
      </w:r>
      <w:r>
        <w:rPr>
          <w:rFonts w:ascii="Times New Roman" w:hAnsi="Times New Roman" w:cs="Times New Roman"/>
          <w:color w:val="auto"/>
        </w:rPr>
        <w:t>.00分。</w:t>
      </w:r>
    </w:p>
    <w:p w14:paraId="66A975E6">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w:t>
      </w:r>
      <w:r>
        <w:rPr>
          <w:rFonts w:hint="default"/>
          <w:color w:val="auto"/>
          <w:lang w:val="en-US" w:eastAsia="zh-CN"/>
        </w:rPr>
        <w:t>3</w:t>
      </w:r>
      <w:r>
        <w:rPr>
          <w:color w:val="auto"/>
        </w:rPr>
        <w:t>.00分，根据评分标准得0.00分。</w:t>
      </w:r>
    </w:p>
    <w:p w14:paraId="0844C5AC">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w:t>
      </w:r>
      <w:r>
        <w:rPr>
          <w:rFonts w:hint="default"/>
          <w:b/>
          <w:bCs/>
          <w:color w:val="auto"/>
          <w:lang w:val="en-US" w:eastAsia="zh-CN"/>
        </w:rPr>
        <w:t>5</w:t>
      </w:r>
      <w:r>
        <w:rPr>
          <w:b/>
          <w:bCs/>
          <w:color w:val="auto"/>
        </w:rPr>
        <w:t>）</w:t>
      </w:r>
      <w:r>
        <w:rPr>
          <w:rFonts w:hint="default"/>
          <w:b/>
          <w:bCs/>
          <w:color w:val="auto"/>
        </w:rPr>
        <w:t>C41劳务报酬支出指标：</w:t>
      </w:r>
    </w:p>
    <w:p w14:paraId="2309AEEE">
      <w:pPr>
        <w:pageBreakBefore w:val="0"/>
        <w:kinsoku/>
        <w:wordWrap/>
        <w:overflowPunct/>
        <w:topLinePunct w:val="0"/>
        <w:autoSpaceDE/>
        <w:autoSpaceDN/>
        <w:bidi w:val="0"/>
        <w:snapToGrid w:val="0"/>
        <w:spacing w:before="0" w:after="0" w:line="360" w:lineRule="auto"/>
        <w:ind w:firstLine="420"/>
        <w:rPr>
          <w:rFonts w:hint="default" w:ascii="Times New Roman" w:hAnsi="Times New Roman" w:cs="Times New Roman"/>
          <w:color w:val="auto"/>
          <w:lang w:val="en-US" w:eastAsia="zh-CN"/>
        </w:rPr>
      </w:pPr>
      <w:r>
        <w:rPr>
          <w:rFonts w:hint="default"/>
          <w:color w:val="auto"/>
        </w:rPr>
        <w:t>根据《关于下达以工代赈示范工程专项2024年中央基建投资预算的通知》（昌州财建〔2024〕22号）要求，该项目劳务报酬支出不低于235</w:t>
      </w:r>
      <w:r>
        <w:rPr>
          <w:rFonts w:hint="default"/>
          <w:color w:val="auto"/>
          <w:lang w:val="en-US" w:eastAsia="zh-CN"/>
        </w:rPr>
        <w:t>.00</w:t>
      </w:r>
      <w:r>
        <w:rPr>
          <w:rFonts w:hint="default"/>
          <w:color w:val="auto"/>
        </w:rPr>
        <w:t>万元</w:t>
      </w:r>
      <w:r>
        <w:rPr>
          <w:rFonts w:hint="default"/>
          <w:color w:val="auto"/>
          <w:highlight w:val="none"/>
        </w:rPr>
        <w:t>，</w:t>
      </w:r>
      <w:r>
        <w:rPr>
          <w:rFonts w:hint="eastAsia"/>
          <w:color w:val="auto"/>
          <w:lang w:val="en-US" w:eastAsia="zh-CN"/>
        </w:rPr>
        <w:t>通过查看项目单位提供的</w:t>
      </w:r>
      <w:r>
        <w:rPr>
          <w:rFonts w:hint="default"/>
          <w:color w:val="auto"/>
          <w:lang w:val="en-US" w:eastAsia="zh-CN"/>
        </w:rPr>
        <w:t>《关于吉木萨尔县二工镇大泉湖村2024年以工代赈基础设施建设项目劳务工人数量的情况说明》</w:t>
      </w:r>
      <w:r>
        <w:rPr>
          <w:rFonts w:hint="eastAsia"/>
          <w:color w:val="auto"/>
          <w:lang w:val="en-US" w:eastAsia="zh-CN"/>
        </w:rPr>
        <w:t>显示</w:t>
      </w:r>
      <w:r>
        <w:rPr>
          <w:rFonts w:hint="default"/>
          <w:color w:val="auto"/>
          <w:lang w:val="en-US" w:eastAsia="zh-CN"/>
        </w:rPr>
        <w:t>：“劳务工人均为吉木萨尔县二工镇大泉湖村人员，主要从事了吉木萨尔县二工镇大泉湖村2024年以工代赈基础设施建设项目工作，如钢筋工、司泵工、模板工、机械等工作，统计数据来源于新疆大诚众昌建筑劳务有限公司吉木萨尔县分公司登记及企业报备信息”。</w:t>
      </w:r>
      <w:r>
        <w:rPr>
          <w:rFonts w:hint="eastAsia"/>
          <w:color w:val="auto"/>
          <w:lang w:val="en-US" w:eastAsia="zh-CN"/>
        </w:rPr>
        <w:t>同时根据</w:t>
      </w:r>
      <w:r>
        <w:rPr>
          <w:rFonts w:hint="default"/>
          <w:color w:val="auto"/>
          <w:highlight w:val="none"/>
        </w:rPr>
        <w:t>《202407务工人员工资发放表》《202408务工人员工资发放表》《202409务工人员工资发放表》等资料</w:t>
      </w:r>
      <w:r>
        <w:rPr>
          <w:rFonts w:hint="default"/>
          <w:color w:val="auto"/>
          <w:highlight w:val="none"/>
          <w:lang w:val="en-US" w:eastAsia="zh-CN"/>
        </w:rPr>
        <w:t>统计</w:t>
      </w:r>
      <w:r>
        <w:rPr>
          <w:rFonts w:hint="default"/>
          <w:color w:val="auto"/>
          <w:highlight w:val="none"/>
        </w:rPr>
        <w:t>，该项目共计发放</w:t>
      </w:r>
      <w:r>
        <w:rPr>
          <w:rFonts w:hint="default" w:ascii="Times New Roman" w:hAnsi="Times New Roman" w:cs="Times New Roman"/>
          <w:color w:val="auto"/>
          <w:highlight w:val="none"/>
          <w:lang w:val="en-US" w:eastAsia="zh-CN"/>
        </w:rPr>
        <w:t>劳务费</w:t>
      </w:r>
      <w:r>
        <w:rPr>
          <w:rFonts w:hint="default"/>
          <w:color w:val="auto"/>
          <w:highlight w:val="none"/>
        </w:rPr>
        <w:t>196.35万元</w:t>
      </w:r>
      <w:r>
        <w:rPr>
          <w:rFonts w:hint="default"/>
          <w:color w:val="auto"/>
          <w:highlight w:val="none"/>
          <w:lang w:eastAsia="zh-CN"/>
        </w:rPr>
        <w:t>，</w:t>
      </w:r>
      <w:r>
        <w:rPr>
          <w:rFonts w:hint="default"/>
          <w:color w:val="auto"/>
          <w:highlight w:val="none"/>
        </w:rPr>
        <w:t>其中：2024年7月发放劳务费37.00万元，涉及劳务工人177人；2024年8月发放劳务费90.34万元，涉及劳务工人204人；2024年9月发放劳务费69.01万元，涉及劳务工人189人。</w:t>
      </w:r>
      <w:r>
        <w:rPr>
          <w:rFonts w:hint="default" w:ascii="Times New Roman" w:hAnsi="Times New Roman" w:cs="Times New Roman"/>
          <w:color w:val="auto"/>
          <w:lang w:val="en-US" w:eastAsia="zh-CN"/>
        </w:rPr>
        <w:t>根据评分标准，得分=实际完成值/目标值×标杆分值=196.35/235.00×8=6.68分。</w:t>
      </w:r>
    </w:p>
    <w:p w14:paraId="228B3347">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该指标满分为8.00分，根据评分标准得</w:t>
      </w:r>
      <w:r>
        <w:rPr>
          <w:rFonts w:hint="default"/>
          <w:color w:val="auto"/>
          <w:lang w:val="en-US" w:eastAsia="zh-CN"/>
        </w:rPr>
        <w:t>6.68</w:t>
      </w:r>
      <w:r>
        <w:rPr>
          <w:color w:val="auto"/>
        </w:rPr>
        <w:t>分。</w:t>
      </w:r>
    </w:p>
    <w:p w14:paraId="1568F254">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w:t>
      </w:r>
      <w:r>
        <w:rPr>
          <w:rFonts w:hint="default"/>
          <w:b/>
          <w:bCs/>
          <w:color w:val="auto"/>
          <w:lang w:val="en-US" w:eastAsia="zh-CN"/>
        </w:rPr>
        <w:t>6</w:t>
      </w:r>
      <w:r>
        <w:rPr>
          <w:b/>
          <w:bCs/>
          <w:color w:val="auto"/>
        </w:rPr>
        <w:t>）</w:t>
      </w:r>
      <w:r>
        <w:rPr>
          <w:rFonts w:hint="default"/>
          <w:b/>
          <w:bCs/>
          <w:color w:val="auto"/>
        </w:rPr>
        <w:t>C4</w:t>
      </w:r>
      <w:r>
        <w:rPr>
          <w:rFonts w:hint="default"/>
          <w:b/>
          <w:bCs/>
          <w:color w:val="auto"/>
          <w:lang w:val="en-US" w:eastAsia="zh-CN"/>
        </w:rPr>
        <w:t>2</w:t>
      </w:r>
      <w:r>
        <w:rPr>
          <w:rFonts w:hint="default"/>
          <w:b/>
          <w:bCs/>
          <w:color w:val="auto"/>
          <w:lang w:eastAsia="zh-CN"/>
        </w:rPr>
        <w:t>项目投资预算控制率</w:t>
      </w:r>
      <w:r>
        <w:rPr>
          <w:rFonts w:hint="default"/>
          <w:b/>
          <w:bCs/>
          <w:color w:val="auto"/>
        </w:rPr>
        <w:t>指标：</w:t>
      </w:r>
    </w:p>
    <w:p w14:paraId="711B8A9C">
      <w:pPr>
        <w:pageBreakBefore w:val="0"/>
        <w:kinsoku/>
        <w:wordWrap/>
        <w:overflowPunct/>
        <w:topLinePunct w:val="0"/>
        <w:autoSpaceDE/>
        <w:autoSpaceDN/>
        <w:bidi w:val="0"/>
        <w:snapToGrid w:val="0"/>
        <w:spacing w:before="0" w:after="0" w:line="360" w:lineRule="auto"/>
        <w:ind w:firstLine="420"/>
        <w:rPr>
          <w:color w:val="auto"/>
        </w:rPr>
      </w:pPr>
      <w:r>
        <w:rPr>
          <w:color w:val="auto"/>
        </w:rPr>
        <w:t>根据项目实施单位提供</w:t>
      </w:r>
      <w:r>
        <w:rPr>
          <w:rFonts w:hint="default"/>
          <w:color w:val="auto"/>
          <w:lang w:val="en-US" w:eastAsia="zh-CN"/>
        </w:rPr>
        <w:t>由</w:t>
      </w:r>
      <w:r>
        <w:rPr>
          <w:rFonts w:hint="default" w:ascii="Times New Roman" w:hAnsi="Times New Roman" w:cs="Times New Roman"/>
          <w:color w:val="auto"/>
          <w:lang w:val="en-US" w:eastAsia="zh-CN"/>
        </w:rPr>
        <w:t>新疆鸿联会计师事务所</w:t>
      </w:r>
      <w:r>
        <w:rPr>
          <w:rFonts w:hint="default" w:cs="Times New Roman"/>
          <w:color w:val="auto"/>
          <w:lang w:val="en-US" w:eastAsia="zh-CN"/>
        </w:rPr>
        <w:t>（</w:t>
      </w:r>
      <w:r>
        <w:rPr>
          <w:rFonts w:hint="default" w:ascii="Times New Roman" w:hAnsi="Times New Roman" w:cs="Times New Roman"/>
          <w:color w:val="auto"/>
          <w:lang w:val="en-US" w:eastAsia="zh-CN"/>
        </w:rPr>
        <w:t>普通合伙</w:t>
      </w:r>
      <w:r>
        <w:rPr>
          <w:rFonts w:hint="default" w:cs="Times New Roman"/>
          <w:color w:val="auto"/>
          <w:lang w:val="en-US" w:eastAsia="zh-CN"/>
        </w:rPr>
        <w:t>）</w:t>
      </w:r>
      <w:r>
        <w:rPr>
          <w:rFonts w:hint="default"/>
          <w:color w:val="auto"/>
          <w:lang w:val="en-US" w:eastAsia="zh-CN"/>
        </w:rPr>
        <w:t>出具的</w:t>
      </w:r>
      <w:r>
        <w:rPr>
          <w:color w:val="auto"/>
        </w:rPr>
        <w:t>《吉木萨尔县二工镇大泉湖村2024年以工代赈基础设施建设项目竣工财务决算审计报告》（</w:t>
      </w:r>
      <w:r>
        <w:rPr>
          <w:rFonts w:hint="default"/>
          <w:color w:val="auto"/>
        </w:rPr>
        <w:t>报告文号</w:t>
      </w:r>
      <w:r>
        <w:rPr>
          <w:rFonts w:hint="default"/>
          <w:color w:val="auto"/>
          <w:lang w:eastAsia="zh-CN"/>
        </w:rPr>
        <w:t>：</w:t>
      </w:r>
      <w:r>
        <w:rPr>
          <w:rFonts w:hint="default"/>
          <w:color w:val="auto"/>
        </w:rPr>
        <w:t>新鸿联专审字[2025]第112号）</w:t>
      </w:r>
      <w:r>
        <w:rPr>
          <w:rFonts w:hint="default"/>
          <w:color w:val="auto"/>
          <w:lang w:val="en-US" w:eastAsia="zh-CN"/>
        </w:rPr>
        <w:t>结果显示</w:t>
      </w:r>
      <w:r>
        <w:rPr>
          <w:rFonts w:hint="default"/>
          <w:color w:val="auto"/>
        </w:rPr>
        <w:t>，项目实际完成总投资727.77万元，</w:t>
      </w:r>
      <w:r>
        <w:rPr>
          <w:rFonts w:hint="default"/>
          <w:color w:val="auto"/>
          <w:lang w:eastAsia="zh-CN"/>
        </w:rPr>
        <w:t>项目投资预算控制率</w:t>
      </w:r>
      <w:r>
        <w:rPr>
          <w:color w:val="auto"/>
        </w:rPr>
        <w:t>=（实际投资金额/计划投资金额）×100.00%=</w:t>
      </w:r>
      <w:r>
        <w:rPr>
          <w:rFonts w:hint="default"/>
          <w:color w:val="auto"/>
          <w:lang w:val="en-US" w:eastAsia="zh-CN"/>
        </w:rPr>
        <w:t>727.77/760=95.76</w:t>
      </w:r>
      <w:r>
        <w:rPr>
          <w:color w:val="auto"/>
        </w:rPr>
        <w:t>%</w:t>
      </w:r>
      <w:r>
        <w:rPr>
          <w:rFonts w:hint="default"/>
          <w:color w:val="auto"/>
          <w:lang w:eastAsia="zh-CN"/>
        </w:rPr>
        <w:t>，</w:t>
      </w:r>
      <w:r>
        <w:rPr>
          <w:color w:val="auto"/>
        </w:rPr>
        <w:t>根据评分标准，</w:t>
      </w:r>
      <w:r>
        <w:rPr>
          <w:rFonts w:hint="default"/>
          <w:color w:val="auto"/>
        </w:rPr>
        <w:t>项目投资预算控制率≥80.00%且≤100.00%时，得满分。</w:t>
      </w:r>
    </w:p>
    <w:p w14:paraId="3676A647">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w:t>
      </w:r>
      <w:r>
        <w:rPr>
          <w:rFonts w:hint="default"/>
          <w:color w:val="auto"/>
          <w:lang w:val="en-US" w:eastAsia="zh-CN"/>
        </w:rPr>
        <w:t>7</w:t>
      </w:r>
      <w:r>
        <w:rPr>
          <w:color w:val="auto"/>
        </w:rPr>
        <w:t>.00分，根据评分标准得</w:t>
      </w:r>
      <w:r>
        <w:rPr>
          <w:rFonts w:hint="default"/>
          <w:color w:val="auto"/>
          <w:lang w:val="en-US" w:eastAsia="zh-CN"/>
        </w:rPr>
        <w:t>7</w:t>
      </w:r>
      <w:r>
        <w:rPr>
          <w:color w:val="auto"/>
        </w:rPr>
        <w:t>.00分。</w:t>
      </w:r>
    </w:p>
    <w:p w14:paraId="64A8D045">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80" w:name="_Toc26134"/>
      <w:r>
        <w:rPr>
          <w:rFonts w:ascii="Times New Roman" w:hAnsi="Times New Roman"/>
          <w:color w:val="auto"/>
        </w:rPr>
        <w:t>（四）项目效益情况</w:t>
      </w:r>
      <w:bookmarkEnd w:id="80"/>
    </w:p>
    <w:p w14:paraId="6509B778">
      <w:pPr>
        <w:spacing w:line="360" w:lineRule="auto"/>
        <w:rPr>
          <w:b/>
          <w:bCs/>
          <w:color w:val="auto"/>
        </w:rPr>
      </w:pPr>
      <w:r>
        <w:rPr>
          <w:color w:val="auto"/>
        </w:rPr>
        <w:t>项目效益指标由</w:t>
      </w:r>
      <w:r>
        <w:rPr>
          <w:rFonts w:hint="eastAsia"/>
          <w:color w:val="auto"/>
          <w:lang w:val="en-US" w:eastAsia="zh-CN"/>
        </w:rPr>
        <w:t>2</w:t>
      </w:r>
      <w:r>
        <w:rPr>
          <w:color w:val="auto"/>
        </w:rPr>
        <w:t>个二级和</w:t>
      </w:r>
      <w:r>
        <w:rPr>
          <w:rFonts w:hint="eastAsia"/>
          <w:color w:val="auto"/>
          <w:lang w:eastAsia="zh-CN"/>
        </w:rPr>
        <w:t>4</w:t>
      </w:r>
      <w:r>
        <w:rPr>
          <w:color w:val="auto"/>
        </w:rPr>
        <w:t>个三级指标构成，权重分</w:t>
      </w:r>
      <w:r>
        <w:rPr>
          <w:rFonts w:hint="default"/>
          <w:color w:val="auto"/>
        </w:rPr>
        <w:t>30.00</w:t>
      </w:r>
      <w:r>
        <w:rPr>
          <w:color w:val="auto"/>
        </w:rPr>
        <w:t>分，实际得分</w:t>
      </w:r>
      <w:r>
        <w:rPr>
          <w:rFonts w:hint="default"/>
          <w:color w:val="auto"/>
          <w:lang w:val="en-US" w:eastAsia="zh-CN"/>
        </w:rPr>
        <w:t>30.00</w:t>
      </w:r>
      <w:r>
        <w:rPr>
          <w:color w:val="auto"/>
        </w:rPr>
        <w:t>分</w:t>
      </w:r>
      <w:r>
        <w:rPr>
          <w:rFonts w:hint="default"/>
          <w:color w:val="auto"/>
        </w:rPr>
        <w:t>，得分率为</w:t>
      </w:r>
      <w:r>
        <w:rPr>
          <w:rFonts w:hint="default"/>
          <w:color w:val="auto"/>
          <w:lang w:val="en-US" w:eastAsia="zh-CN"/>
        </w:rPr>
        <w:t>100.00</w:t>
      </w:r>
      <w:r>
        <w:rPr>
          <w:rFonts w:hint="default"/>
          <w:color w:val="auto"/>
        </w:rPr>
        <w:t>%</w:t>
      </w:r>
      <w:r>
        <w:rPr>
          <w:color w:val="auto"/>
        </w:rPr>
        <w:t>。各指标业绩值和绩效分值如下表所示：</w:t>
      </w:r>
    </w:p>
    <w:p w14:paraId="1C5AC2D9">
      <w:pPr>
        <w:pageBreakBefore w:val="0"/>
        <w:kinsoku/>
        <w:wordWrap/>
        <w:overflowPunct/>
        <w:topLinePunct w:val="0"/>
        <w:autoSpaceDE/>
        <w:autoSpaceDN/>
        <w:bidi w:val="0"/>
        <w:snapToGrid w:val="0"/>
        <w:spacing w:before="0" w:after="0" w:line="360" w:lineRule="auto"/>
        <w:ind w:firstLine="0" w:firstLineChars="0"/>
        <w:jc w:val="center"/>
        <w:rPr>
          <w:color w:val="auto"/>
        </w:rPr>
      </w:pPr>
      <w:r>
        <w:rPr>
          <w:b/>
          <w:bCs/>
          <w:color w:val="auto"/>
        </w:rPr>
        <w:t>表</w:t>
      </w:r>
      <w:r>
        <w:rPr>
          <w:rFonts w:hint="default"/>
          <w:b/>
          <w:bCs/>
          <w:color w:val="auto"/>
          <w:lang w:val="en-US" w:eastAsia="zh-CN"/>
        </w:rPr>
        <w:t>5</w:t>
      </w:r>
      <w:r>
        <w:rPr>
          <w:b/>
          <w:bCs/>
          <w:color w:val="auto"/>
        </w:rPr>
        <w:t>-4：项目效益指标及分值</w:t>
      </w:r>
    </w:p>
    <w:tbl>
      <w:tblPr>
        <w:tblStyle w:val="1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51" w:type="dxa"/>
          <w:bottom w:w="0" w:type="dxa"/>
          <w:right w:w="51" w:type="dxa"/>
        </w:tblCellMar>
      </w:tblPr>
      <w:tblGrid>
        <w:gridCol w:w="941"/>
        <w:gridCol w:w="1278"/>
        <w:gridCol w:w="2471"/>
        <w:gridCol w:w="898"/>
        <w:gridCol w:w="897"/>
        <w:gridCol w:w="552"/>
        <w:gridCol w:w="552"/>
        <w:gridCol w:w="819"/>
      </w:tblGrid>
      <w:tr w14:paraId="7755A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tblHeader/>
          <w:jc w:val="center"/>
        </w:trPr>
        <w:tc>
          <w:tcPr>
            <w:tcW w:w="0" w:type="auto"/>
            <w:vAlign w:val="center"/>
          </w:tcPr>
          <w:p w14:paraId="6D04EB69">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一级指标</w:t>
            </w:r>
          </w:p>
        </w:tc>
        <w:tc>
          <w:tcPr>
            <w:tcW w:w="1278" w:type="dxa"/>
            <w:vAlign w:val="center"/>
          </w:tcPr>
          <w:p w14:paraId="0F6B6711">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二级指标</w:t>
            </w:r>
          </w:p>
        </w:tc>
        <w:tc>
          <w:tcPr>
            <w:tcW w:w="2471" w:type="dxa"/>
            <w:vAlign w:val="center"/>
          </w:tcPr>
          <w:p w14:paraId="2CBEEF5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三级指标</w:t>
            </w:r>
          </w:p>
        </w:tc>
        <w:tc>
          <w:tcPr>
            <w:tcW w:w="0" w:type="auto"/>
            <w:vAlign w:val="center"/>
          </w:tcPr>
          <w:p w14:paraId="1BA02335">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目标值</w:t>
            </w:r>
          </w:p>
        </w:tc>
        <w:tc>
          <w:tcPr>
            <w:tcW w:w="897" w:type="dxa"/>
            <w:vAlign w:val="center"/>
          </w:tcPr>
          <w:p w14:paraId="485EF58B">
            <w:pPr>
              <w:pageBreakBefore w:val="0"/>
              <w:widowControl/>
              <w:kinsoku/>
              <w:wordWrap/>
              <w:overflowPunct/>
              <w:topLinePunct w:val="0"/>
              <w:autoSpaceDE/>
              <w:autoSpaceDN/>
              <w:bidi w:val="0"/>
              <w:snapToGrid w:val="0"/>
              <w:spacing w:before="0" w:after="0" w:line="240" w:lineRule="auto"/>
              <w:ind w:firstLine="0" w:firstLineChars="0"/>
              <w:textAlignment w:val="center"/>
              <w:rPr>
                <w:rFonts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实际完成值</w:t>
            </w:r>
          </w:p>
        </w:tc>
        <w:tc>
          <w:tcPr>
            <w:tcW w:w="552" w:type="dxa"/>
            <w:vAlign w:val="center"/>
          </w:tcPr>
          <w:p w14:paraId="4E2E695F">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权重</w:t>
            </w:r>
          </w:p>
        </w:tc>
        <w:tc>
          <w:tcPr>
            <w:tcW w:w="0" w:type="auto"/>
            <w:vAlign w:val="center"/>
          </w:tcPr>
          <w:p w14:paraId="62856CDD">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sz w:val="20"/>
                <w:szCs w:val="20"/>
              </w:rPr>
            </w:pPr>
            <w:r>
              <w:rPr>
                <w:rFonts w:hint="default" w:ascii="Times New Roman" w:hAnsi="Times New Roman" w:eastAsia="宋体" w:cs="Times New Roman"/>
                <w:b/>
                <w:color w:val="auto"/>
                <w:kern w:val="0"/>
                <w:sz w:val="20"/>
                <w:szCs w:val="20"/>
                <w:lang w:bidi="ar"/>
              </w:rPr>
              <w:t>得分</w:t>
            </w:r>
          </w:p>
        </w:tc>
        <w:tc>
          <w:tcPr>
            <w:tcW w:w="0" w:type="auto"/>
            <w:vAlign w:val="center"/>
          </w:tcPr>
          <w:p w14:paraId="3F27DDBA">
            <w:pPr>
              <w:pageBreakBefore w:val="0"/>
              <w:widowControl/>
              <w:kinsoku/>
              <w:wordWrap/>
              <w:overflowPunct/>
              <w:topLinePunct w:val="0"/>
              <w:autoSpaceDE/>
              <w:autoSpaceDN/>
              <w:bidi w:val="0"/>
              <w:snapToGrid w:val="0"/>
              <w:spacing w:before="0" w:after="0" w:line="240" w:lineRule="auto"/>
              <w:ind w:firstLine="0" w:firstLineChars="0"/>
              <w:jc w:val="center"/>
              <w:textAlignment w:val="center"/>
              <w:rPr>
                <w:rFonts w:ascii="Times New Roman" w:hAnsi="Times New Roman" w:eastAsia="宋体" w:cs="Times New Roman"/>
                <w:b/>
                <w:color w:val="auto"/>
                <w:kern w:val="0"/>
                <w:sz w:val="20"/>
                <w:szCs w:val="20"/>
                <w:lang w:bidi="ar"/>
              </w:rPr>
            </w:pPr>
            <w:r>
              <w:rPr>
                <w:rFonts w:hint="default" w:ascii="Times New Roman" w:hAnsi="Times New Roman" w:eastAsia="宋体" w:cs="Times New Roman"/>
                <w:b/>
                <w:color w:val="auto"/>
                <w:kern w:val="0"/>
                <w:sz w:val="20"/>
                <w:szCs w:val="20"/>
                <w:lang w:bidi="ar"/>
              </w:rPr>
              <w:t>得分率</w:t>
            </w:r>
          </w:p>
        </w:tc>
      </w:tr>
      <w:tr w14:paraId="4B561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restart"/>
            <w:vAlign w:val="center"/>
          </w:tcPr>
          <w:p w14:paraId="5B379BEE">
            <w:pPr>
              <w:pageBreakBefore w:val="0"/>
              <w:widowControl/>
              <w:kinsoku/>
              <w:wordWrap/>
              <w:overflowPunct/>
              <w:topLinePunct w:val="0"/>
              <w:autoSpaceDE/>
              <w:autoSpaceDN/>
              <w:bidi w:val="0"/>
              <w:snapToGrid w:val="0"/>
              <w:spacing w:before="0" w:after="0" w:line="240" w:lineRule="auto"/>
              <w:ind w:firstLine="0" w:firstLineChars="0"/>
              <w:jc w:val="left"/>
              <w:rPr>
                <w:rFonts w:hint="default"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D效益</w:t>
            </w:r>
          </w:p>
          <w:p w14:paraId="78FF674C">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r>
              <w:rPr>
                <w:rFonts w:hint="default" w:ascii="Times New Roman" w:hAnsi="Times New Roman" w:eastAsia="宋体" w:cs="Times New Roman"/>
                <w:color w:val="auto"/>
                <w:sz w:val="20"/>
                <w:szCs w:val="20"/>
              </w:rPr>
              <w:t>（30.00分）</w:t>
            </w:r>
          </w:p>
        </w:tc>
        <w:tc>
          <w:tcPr>
            <w:tcW w:w="1278" w:type="dxa"/>
            <w:vMerge w:val="restart"/>
            <w:vAlign w:val="center"/>
          </w:tcPr>
          <w:p w14:paraId="68AF426F">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r>
              <w:rPr>
                <w:rFonts w:hint="default"/>
                <w:color w:val="auto"/>
                <w:kern w:val="0"/>
                <w:sz w:val="20"/>
                <w:szCs w:val="20"/>
                <w:lang w:bidi="ar"/>
              </w:rPr>
              <w:t>D</w:t>
            </w:r>
            <w:r>
              <w:rPr>
                <w:rFonts w:hint="default"/>
                <w:color w:val="auto"/>
                <w:kern w:val="0"/>
                <w:sz w:val="20"/>
                <w:szCs w:val="20"/>
                <w:lang w:val="en-US" w:eastAsia="zh-CN" w:bidi="ar"/>
              </w:rPr>
              <w:t>1</w:t>
            </w:r>
            <w:r>
              <w:rPr>
                <w:rFonts w:hint="default"/>
                <w:color w:val="auto"/>
                <w:kern w:val="0"/>
                <w:sz w:val="20"/>
                <w:szCs w:val="20"/>
                <w:lang w:bidi="ar"/>
              </w:rPr>
              <w:t>社会效益（</w:t>
            </w:r>
            <w:r>
              <w:rPr>
                <w:rFonts w:hint="default"/>
                <w:color w:val="auto"/>
                <w:kern w:val="0"/>
                <w:sz w:val="20"/>
                <w:szCs w:val="20"/>
                <w:lang w:val="en-US" w:eastAsia="zh-CN" w:bidi="ar"/>
              </w:rPr>
              <w:t>20</w:t>
            </w:r>
            <w:r>
              <w:rPr>
                <w:rFonts w:hint="default"/>
                <w:color w:val="auto"/>
                <w:kern w:val="0"/>
                <w:sz w:val="20"/>
                <w:szCs w:val="20"/>
                <w:lang w:bidi="ar"/>
              </w:rPr>
              <w:t>.00分）</w:t>
            </w:r>
          </w:p>
        </w:tc>
        <w:tc>
          <w:tcPr>
            <w:tcW w:w="2471" w:type="dxa"/>
            <w:vAlign w:val="center"/>
          </w:tcPr>
          <w:p w14:paraId="08F49491">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D</w:t>
            </w:r>
            <w:r>
              <w:rPr>
                <w:rFonts w:hint="default"/>
                <w:color w:val="auto"/>
                <w:kern w:val="0"/>
                <w:sz w:val="20"/>
                <w:szCs w:val="20"/>
                <w:lang w:val="en-US" w:eastAsia="zh-CN" w:bidi="ar"/>
              </w:rPr>
              <w:t>1</w:t>
            </w:r>
            <w:r>
              <w:rPr>
                <w:rFonts w:hint="default"/>
                <w:color w:val="auto"/>
                <w:kern w:val="0"/>
                <w:sz w:val="20"/>
                <w:szCs w:val="20"/>
                <w:lang w:bidi="ar"/>
              </w:rPr>
              <w:t>1施工期间预计带动当地群众务工人数</w:t>
            </w:r>
            <w:r>
              <w:rPr>
                <w:rFonts w:hint="default"/>
                <w:color w:val="auto"/>
                <w:kern w:val="0"/>
                <w:sz w:val="20"/>
                <w:szCs w:val="20"/>
                <w:lang w:eastAsia="zh-CN" w:bidi="ar"/>
              </w:rPr>
              <w:t>（</w:t>
            </w:r>
            <w:r>
              <w:rPr>
                <w:rFonts w:hint="default"/>
                <w:color w:val="auto"/>
                <w:kern w:val="0"/>
                <w:sz w:val="20"/>
                <w:szCs w:val="20"/>
                <w:lang w:bidi="ar"/>
              </w:rPr>
              <w:t>非人次</w:t>
            </w:r>
            <w:r>
              <w:rPr>
                <w:rFonts w:hint="default"/>
                <w:color w:val="auto"/>
                <w:kern w:val="0"/>
                <w:sz w:val="20"/>
                <w:szCs w:val="20"/>
                <w:lang w:eastAsia="zh-CN" w:bidi="ar"/>
              </w:rPr>
              <w:t>）</w:t>
            </w:r>
          </w:p>
        </w:tc>
        <w:tc>
          <w:tcPr>
            <w:tcW w:w="898" w:type="dxa"/>
            <w:vAlign w:val="center"/>
          </w:tcPr>
          <w:p w14:paraId="1A610DC3">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≥121人</w:t>
            </w:r>
          </w:p>
        </w:tc>
        <w:tc>
          <w:tcPr>
            <w:tcW w:w="897" w:type="dxa"/>
            <w:vAlign w:val="center"/>
          </w:tcPr>
          <w:p w14:paraId="7F9DF731">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190人</w:t>
            </w:r>
          </w:p>
        </w:tc>
        <w:tc>
          <w:tcPr>
            <w:tcW w:w="552" w:type="dxa"/>
            <w:vAlign w:val="center"/>
          </w:tcPr>
          <w:p w14:paraId="161BD378">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7.00</w:t>
            </w:r>
          </w:p>
        </w:tc>
        <w:tc>
          <w:tcPr>
            <w:tcW w:w="552" w:type="dxa"/>
            <w:vAlign w:val="center"/>
          </w:tcPr>
          <w:p w14:paraId="6C76D538">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7.00</w:t>
            </w:r>
          </w:p>
        </w:tc>
        <w:tc>
          <w:tcPr>
            <w:tcW w:w="819" w:type="dxa"/>
            <w:vAlign w:val="center"/>
          </w:tcPr>
          <w:p w14:paraId="5D88D373">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100.00%</w:t>
            </w:r>
          </w:p>
        </w:tc>
      </w:tr>
      <w:tr w14:paraId="63B1B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2A97372C">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1278" w:type="dxa"/>
            <w:vMerge w:val="continue"/>
            <w:vAlign w:val="center"/>
          </w:tcPr>
          <w:p w14:paraId="645D22D4">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2471" w:type="dxa"/>
            <w:vAlign w:val="center"/>
          </w:tcPr>
          <w:p w14:paraId="2767AEE9">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D</w:t>
            </w:r>
            <w:r>
              <w:rPr>
                <w:rFonts w:hint="default"/>
                <w:color w:val="auto"/>
                <w:kern w:val="0"/>
                <w:sz w:val="20"/>
                <w:szCs w:val="20"/>
                <w:lang w:val="en-US" w:eastAsia="zh-CN" w:bidi="ar"/>
              </w:rPr>
              <w:t>1</w:t>
            </w:r>
            <w:r>
              <w:rPr>
                <w:rFonts w:hint="default"/>
                <w:color w:val="auto"/>
                <w:kern w:val="0"/>
                <w:sz w:val="20"/>
                <w:szCs w:val="20"/>
                <w:lang w:bidi="ar"/>
              </w:rPr>
              <w:t>2改善出行困难问题</w:t>
            </w:r>
          </w:p>
        </w:tc>
        <w:tc>
          <w:tcPr>
            <w:tcW w:w="898" w:type="dxa"/>
            <w:vAlign w:val="center"/>
          </w:tcPr>
          <w:p w14:paraId="293DD121">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有效改善</w:t>
            </w:r>
          </w:p>
        </w:tc>
        <w:tc>
          <w:tcPr>
            <w:tcW w:w="897" w:type="dxa"/>
            <w:vAlign w:val="center"/>
          </w:tcPr>
          <w:p w14:paraId="6D07BDFE">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基本达成目标</w:t>
            </w:r>
          </w:p>
        </w:tc>
        <w:tc>
          <w:tcPr>
            <w:tcW w:w="552" w:type="dxa"/>
            <w:vAlign w:val="center"/>
          </w:tcPr>
          <w:p w14:paraId="48482997">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7.00</w:t>
            </w:r>
          </w:p>
        </w:tc>
        <w:tc>
          <w:tcPr>
            <w:tcW w:w="552" w:type="dxa"/>
            <w:vAlign w:val="center"/>
          </w:tcPr>
          <w:p w14:paraId="25BFED63">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7.00</w:t>
            </w:r>
          </w:p>
        </w:tc>
        <w:tc>
          <w:tcPr>
            <w:tcW w:w="819" w:type="dxa"/>
            <w:vAlign w:val="center"/>
          </w:tcPr>
          <w:p w14:paraId="40D33D77">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100.00%</w:t>
            </w:r>
          </w:p>
        </w:tc>
      </w:tr>
      <w:tr w14:paraId="126D3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4CE9A483">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1278" w:type="dxa"/>
            <w:vMerge w:val="continue"/>
            <w:vAlign w:val="center"/>
          </w:tcPr>
          <w:p w14:paraId="40D88EEA">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2471" w:type="dxa"/>
            <w:vAlign w:val="center"/>
          </w:tcPr>
          <w:p w14:paraId="68AEC1BE">
            <w:pPr>
              <w:pageBreakBefore w:val="0"/>
              <w:widowControl/>
              <w:kinsoku/>
              <w:wordWrap/>
              <w:overflowPunct/>
              <w:topLinePunct w:val="0"/>
              <w:autoSpaceDE/>
              <w:autoSpaceDN/>
              <w:bidi w:val="0"/>
              <w:snapToGrid w:val="0"/>
              <w:spacing w:before="0" w:after="0" w:line="240" w:lineRule="auto"/>
              <w:ind w:firstLine="0" w:firstLineChars="0"/>
              <w:rPr>
                <w:rFonts w:ascii="Times New Roman" w:hAnsi="Times New Roman" w:eastAsia="宋体" w:cs="Times New Roman"/>
                <w:color w:val="auto"/>
                <w:sz w:val="20"/>
                <w:szCs w:val="20"/>
              </w:rPr>
            </w:pPr>
            <w:r>
              <w:rPr>
                <w:rFonts w:hint="default"/>
                <w:color w:val="auto"/>
                <w:kern w:val="0"/>
                <w:sz w:val="20"/>
                <w:szCs w:val="20"/>
                <w:lang w:bidi="ar"/>
              </w:rPr>
              <w:t>D</w:t>
            </w:r>
            <w:r>
              <w:rPr>
                <w:rFonts w:hint="default"/>
                <w:color w:val="auto"/>
                <w:kern w:val="0"/>
                <w:sz w:val="20"/>
                <w:szCs w:val="20"/>
                <w:lang w:val="en-US" w:eastAsia="zh-CN" w:bidi="ar"/>
              </w:rPr>
              <w:t>13</w:t>
            </w:r>
            <w:r>
              <w:rPr>
                <w:rFonts w:hint="default"/>
                <w:color w:val="auto"/>
                <w:kern w:val="0"/>
                <w:sz w:val="20"/>
                <w:szCs w:val="20"/>
                <w:lang w:bidi="ar"/>
              </w:rPr>
              <w:t>改善生产生活条件</w:t>
            </w:r>
          </w:p>
        </w:tc>
        <w:tc>
          <w:tcPr>
            <w:tcW w:w="898" w:type="dxa"/>
            <w:vAlign w:val="center"/>
          </w:tcPr>
          <w:p w14:paraId="40C3F7E2">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有效改善</w:t>
            </w:r>
          </w:p>
        </w:tc>
        <w:tc>
          <w:tcPr>
            <w:tcW w:w="897" w:type="dxa"/>
            <w:vAlign w:val="center"/>
          </w:tcPr>
          <w:p w14:paraId="6D26E0D9">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基本达成目标</w:t>
            </w:r>
          </w:p>
        </w:tc>
        <w:tc>
          <w:tcPr>
            <w:tcW w:w="552" w:type="dxa"/>
            <w:vAlign w:val="center"/>
          </w:tcPr>
          <w:p w14:paraId="4D3D26AA">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6.00</w:t>
            </w:r>
          </w:p>
        </w:tc>
        <w:tc>
          <w:tcPr>
            <w:tcW w:w="552" w:type="dxa"/>
            <w:vAlign w:val="center"/>
          </w:tcPr>
          <w:p w14:paraId="0ACB9548">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6.00</w:t>
            </w:r>
          </w:p>
        </w:tc>
        <w:tc>
          <w:tcPr>
            <w:tcW w:w="819" w:type="dxa"/>
            <w:vAlign w:val="center"/>
          </w:tcPr>
          <w:p w14:paraId="061D28E9">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100.00%</w:t>
            </w:r>
          </w:p>
        </w:tc>
      </w:tr>
      <w:tr w14:paraId="6C222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vMerge w:val="continue"/>
            <w:vAlign w:val="center"/>
          </w:tcPr>
          <w:p w14:paraId="646430FC">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p>
        </w:tc>
        <w:tc>
          <w:tcPr>
            <w:tcW w:w="1278" w:type="dxa"/>
            <w:vAlign w:val="center"/>
          </w:tcPr>
          <w:p w14:paraId="47D8BCF5">
            <w:pPr>
              <w:pageBreakBefore w:val="0"/>
              <w:widowControl/>
              <w:kinsoku/>
              <w:wordWrap/>
              <w:overflowPunct/>
              <w:topLinePunct w:val="0"/>
              <w:autoSpaceDE/>
              <w:autoSpaceDN/>
              <w:bidi w:val="0"/>
              <w:snapToGrid w:val="0"/>
              <w:spacing w:before="0" w:after="0" w:line="240" w:lineRule="auto"/>
              <w:ind w:firstLine="0" w:firstLineChars="0"/>
              <w:jc w:val="left"/>
              <w:rPr>
                <w:rFonts w:ascii="Times New Roman" w:hAnsi="Times New Roman" w:eastAsia="宋体" w:cs="Times New Roman"/>
                <w:color w:val="auto"/>
                <w:sz w:val="20"/>
                <w:szCs w:val="20"/>
              </w:rPr>
            </w:pPr>
            <w:r>
              <w:rPr>
                <w:rFonts w:hint="default"/>
                <w:color w:val="auto"/>
                <w:kern w:val="0"/>
                <w:sz w:val="20"/>
                <w:szCs w:val="20"/>
                <w:lang w:bidi="ar"/>
              </w:rPr>
              <w:t>D</w:t>
            </w:r>
            <w:r>
              <w:rPr>
                <w:rFonts w:hint="default"/>
                <w:color w:val="auto"/>
                <w:kern w:val="0"/>
                <w:sz w:val="20"/>
                <w:szCs w:val="20"/>
                <w:lang w:val="en-US" w:eastAsia="zh-CN" w:bidi="ar"/>
              </w:rPr>
              <w:t>2</w:t>
            </w:r>
            <w:r>
              <w:rPr>
                <w:rFonts w:hint="default"/>
                <w:color w:val="auto"/>
                <w:kern w:val="0"/>
                <w:sz w:val="20"/>
                <w:szCs w:val="20"/>
                <w:lang w:bidi="ar"/>
              </w:rPr>
              <w:t>满意度指标（10.00分）</w:t>
            </w:r>
          </w:p>
        </w:tc>
        <w:tc>
          <w:tcPr>
            <w:tcW w:w="2471" w:type="dxa"/>
            <w:vAlign w:val="center"/>
          </w:tcPr>
          <w:p w14:paraId="2B43DFCC">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eastAsiaTheme="minorEastAsia"/>
                <w:color w:val="auto"/>
                <w:sz w:val="20"/>
                <w:szCs w:val="20"/>
                <w:lang w:eastAsia="zh-CN"/>
              </w:rPr>
            </w:pPr>
            <w:r>
              <w:rPr>
                <w:rFonts w:hint="default"/>
                <w:color w:val="auto"/>
                <w:kern w:val="0"/>
                <w:sz w:val="20"/>
                <w:szCs w:val="20"/>
                <w:lang w:bidi="ar"/>
              </w:rPr>
              <w:t>D</w:t>
            </w:r>
            <w:r>
              <w:rPr>
                <w:rFonts w:hint="default"/>
                <w:color w:val="auto"/>
                <w:kern w:val="0"/>
                <w:sz w:val="20"/>
                <w:szCs w:val="20"/>
                <w:lang w:val="en-US" w:eastAsia="zh-CN" w:bidi="ar"/>
              </w:rPr>
              <w:t>2</w:t>
            </w:r>
            <w:r>
              <w:rPr>
                <w:rFonts w:hint="default"/>
                <w:color w:val="auto"/>
                <w:kern w:val="0"/>
                <w:sz w:val="20"/>
                <w:szCs w:val="20"/>
                <w:lang w:bidi="ar"/>
              </w:rPr>
              <w:t>1</w:t>
            </w:r>
            <w:r>
              <w:rPr>
                <w:rFonts w:hint="default"/>
                <w:color w:val="auto"/>
                <w:kern w:val="0"/>
                <w:sz w:val="20"/>
                <w:szCs w:val="20"/>
                <w:lang w:eastAsia="zh-CN" w:bidi="ar"/>
              </w:rPr>
              <w:t>参与工程建设的务工群众满意度</w:t>
            </w:r>
          </w:p>
        </w:tc>
        <w:tc>
          <w:tcPr>
            <w:tcW w:w="898" w:type="dxa"/>
            <w:vAlign w:val="center"/>
          </w:tcPr>
          <w:p w14:paraId="4C353133">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≥90%</w:t>
            </w:r>
          </w:p>
        </w:tc>
        <w:tc>
          <w:tcPr>
            <w:tcW w:w="897" w:type="dxa"/>
            <w:vAlign w:val="center"/>
          </w:tcPr>
          <w:p w14:paraId="5946CC41">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val="en-US" w:eastAsia="zh-CN" w:bidi="ar"/>
              </w:rPr>
            </w:pPr>
            <w:r>
              <w:rPr>
                <w:rFonts w:hint="default" w:ascii="Times New Roman" w:hAnsi="Times New Roman" w:cs="Times New Roman"/>
                <w:color w:val="auto"/>
                <w:kern w:val="0"/>
                <w:sz w:val="20"/>
                <w:szCs w:val="20"/>
                <w:lang w:val="en-US" w:eastAsia="zh-CN" w:bidi="ar"/>
              </w:rPr>
              <w:t>97%</w:t>
            </w:r>
          </w:p>
        </w:tc>
        <w:tc>
          <w:tcPr>
            <w:tcW w:w="552" w:type="dxa"/>
            <w:vAlign w:val="center"/>
          </w:tcPr>
          <w:p w14:paraId="622CCB31">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10.00</w:t>
            </w:r>
          </w:p>
        </w:tc>
        <w:tc>
          <w:tcPr>
            <w:tcW w:w="552" w:type="dxa"/>
            <w:vAlign w:val="center"/>
          </w:tcPr>
          <w:p w14:paraId="15D9BB92">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10.00</w:t>
            </w:r>
          </w:p>
        </w:tc>
        <w:tc>
          <w:tcPr>
            <w:tcW w:w="819" w:type="dxa"/>
            <w:vAlign w:val="center"/>
          </w:tcPr>
          <w:p w14:paraId="488987C7">
            <w:pPr>
              <w:pageBreakBefore w:val="0"/>
              <w:widowControl/>
              <w:kinsoku/>
              <w:wordWrap/>
              <w:overflowPunct/>
              <w:topLinePunct w:val="0"/>
              <w:autoSpaceDE/>
              <w:autoSpaceDN/>
              <w:bidi w:val="0"/>
              <w:snapToGrid w:val="0"/>
              <w:spacing w:before="0" w:after="0" w:line="240" w:lineRule="auto"/>
              <w:ind w:firstLine="0" w:firstLineChars="0"/>
              <w:jc w:val="center"/>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100.00%</w:t>
            </w:r>
          </w:p>
        </w:tc>
      </w:tr>
      <w:tr w14:paraId="773A2C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1" w:type="dxa"/>
            <w:bottom w:w="0" w:type="dxa"/>
            <w:right w:w="51" w:type="dxa"/>
          </w:tblCellMar>
        </w:tblPrEx>
        <w:trPr>
          <w:trHeight w:val="397" w:hRule="atLeast"/>
          <w:jc w:val="center"/>
        </w:trPr>
        <w:tc>
          <w:tcPr>
            <w:tcW w:w="0" w:type="auto"/>
            <w:gridSpan w:val="3"/>
            <w:vAlign w:val="center"/>
          </w:tcPr>
          <w:p w14:paraId="74E6EDD7">
            <w:pPr>
              <w:pageBreakBefore w:val="0"/>
              <w:widowControl/>
              <w:kinsoku/>
              <w:wordWrap/>
              <w:overflowPunct/>
              <w:topLinePunct w:val="0"/>
              <w:autoSpaceDE/>
              <w:autoSpaceDN/>
              <w:bidi w:val="0"/>
              <w:snapToGrid w:val="0"/>
              <w:spacing w:before="0" w:after="0" w:line="240" w:lineRule="auto"/>
              <w:ind w:firstLine="0" w:firstLineChars="0"/>
              <w:jc w:val="center"/>
              <w:rPr>
                <w:rFonts w:ascii="Times New Roman" w:hAnsi="Times New Roman" w:eastAsia="宋体" w:cs="Times New Roman"/>
                <w:b/>
                <w:bCs/>
                <w:color w:val="auto"/>
                <w:sz w:val="20"/>
                <w:szCs w:val="20"/>
              </w:rPr>
            </w:pPr>
            <w:r>
              <w:rPr>
                <w:rFonts w:hint="default"/>
                <w:b/>
                <w:bCs/>
                <w:color w:val="auto"/>
                <w:sz w:val="20"/>
                <w:szCs w:val="20"/>
              </w:rPr>
              <w:t>合计</w:t>
            </w:r>
          </w:p>
        </w:tc>
        <w:tc>
          <w:tcPr>
            <w:tcW w:w="898" w:type="dxa"/>
            <w:vAlign w:val="center"/>
          </w:tcPr>
          <w:p w14:paraId="6AC5826F">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kern w:val="0"/>
                <w:sz w:val="20"/>
                <w:szCs w:val="20"/>
                <w:lang w:bidi="ar"/>
              </w:rPr>
            </w:pPr>
          </w:p>
        </w:tc>
        <w:tc>
          <w:tcPr>
            <w:tcW w:w="897" w:type="dxa"/>
            <w:vAlign w:val="center"/>
          </w:tcPr>
          <w:p w14:paraId="40DFA41A">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kern w:val="0"/>
                <w:sz w:val="20"/>
                <w:szCs w:val="20"/>
                <w:lang w:val="en-US" w:eastAsia="zh-CN" w:bidi="ar"/>
              </w:rPr>
            </w:pPr>
          </w:p>
        </w:tc>
        <w:tc>
          <w:tcPr>
            <w:tcW w:w="552" w:type="dxa"/>
            <w:vAlign w:val="center"/>
          </w:tcPr>
          <w:p w14:paraId="2CAB75B2">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30.00</w:t>
            </w:r>
          </w:p>
        </w:tc>
        <w:tc>
          <w:tcPr>
            <w:tcW w:w="552" w:type="dxa"/>
            <w:vAlign w:val="center"/>
          </w:tcPr>
          <w:p w14:paraId="64FF485B">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30.00</w:t>
            </w:r>
          </w:p>
        </w:tc>
        <w:tc>
          <w:tcPr>
            <w:tcW w:w="819" w:type="dxa"/>
            <w:vAlign w:val="center"/>
          </w:tcPr>
          <w:p w14:paraId="7CBC14EC">
            <w:pPr>
              <w:pageBreakBefore w:val="0"/>
              <w:widowControl/>
              <w:kinsoku/>
              <w:wordWrap/>
              <w:overflowPunct/>
              <w:topLinePunct w:val="0"/>
              <w:autoSpaceDE/>
              <w:autoSpaceDN/>
              <w:bidi w:val="0"/>
              <w:snapToGrid w:val="0"/>
              <w:spacing w:before="0" w:after="0" w:line="240" w:lineRule="auto"/>
              <w:ind w:firstLine="0" w:firstLineChars="0"/>
              <w:rPr>
                <w:rFonts w:hint="default" w:ascii="Times New Roman" w:hAnsi="Times New Roman" w:cs="Times New Roman"/>
                <w:color w:val="auto"/>
                <w:kern w:val="0"/>
                <w:sz w:val="20"/>
                <w:szCs w:val="20"/>
                <w:lang w:bidi="ar"/>
              </w:rPr>
            </w:pPr>
            <w:r>
              <w:rPr>
                <w:rFonts w:hint="default" w:ascii="Times New Roman" w:hAnsi="Times New Roman" w:cs="Times New Roman"/>
                <w:color w:val="auto"/>
                <w:kern w:val="0"/>
                <w:sz w:val="20"/>
                <w:szCs w:val="20"/>
                <w:lang w:val="en-US" w:eastAsia="zh-CN" w:bidi="ar"/>
              </w:rPr>
              <w:t>100.00%</w:t>
            </w:r>
          </w:p>
        </w:tc>
      </w:tr>
    </w:tbl>
    <w:p w14:paraId="41EAA238">
      <w:pPr>
        <w:pageBreakBefore w:val="0"/>
        <w:kinsoku/>
        <w:wordWrap/>
        <w:overflowPunct/>
        <w:topLinePunct w:val="0"/>
        <w:autoSpaceDE/>
        <w:autoSpaceDN/>
        <w:bidi w:val="0"/>
        <w:snapToGrid w:val="0"/>
        <w:spacing w:before="0" w:after="0" w:line="360" w:lineRule="auto"/>
        <w:ind w:firstLine="422"/>
        <w:rPr>
          <w:rFonts w:eastAsia="宋体"/>
          <w:b/>
          <w:bCs/>
          <w:color w:val="auto"/>
        </w:rPr>
      </w:pPr>
    </w:p>
    <w:p w14:paraId="065E506F">
      <w:pPr>
        <w:pageBreakBefore w:val="0"/>
        <w:kinsoku/>
        <w:wordWrap/>
        <w:overflowPunct/>
        <w:topLinePunct w:val="0"/>
        <w:autoSpaceDE/>
        <w:autoSpaceDN/>
        <w:bidi w:val="0"/>
        <w:snapToGrid w:val="0"/>
        <w:spacing w:before="0" w:after="0" w:line="360" w:lineRule="auto"/>
        <w:ind w:firstLine="422"/>
        <w:rPr>
          <w:color w:val="auto"/>
        </w:rPr>
      </w:pPr>
      <w:r>
        <w:rPr>
          <w:rFonts w:eastAsia="宋体"/>
          <w:b/>
          <w:bCs/>
          <w:color w:val="auto"/>
        </w:rPr>
        <w:t>指标得分分析</w:t>
      </w:r>
      <w:r>
        <w:rPr>
          <w:b/>
          <w:bCs/>
          <w:color w:val="auto"/>
        </w:rPr>
        <w:t>：</w:t>
      </w:r>
    </w:p>
    <w:p w14:paraId="668375D4">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w:t>
      </w:r>
      <w:r>
        <w:rPr>
          <w:rFonts w:hint="default"/>
          <w:b/>
          <w:bCs/>
          <w:color w:val="auto"/>
          <w:lang w:val="en-US" w:eastAsia="zh-CN"/>
        </w:rPr>
        <w:t>1</w:t>
      </w:r>
      <w:r>
        <w:rPr>
          <w:b/>
          <w:bCs/>
          <w:color w:val="auto"/>
        </w:rPr>
        <w:t>）</w:t>
      </w:r>
      <w:r>
        <w:rPr>
          <w:rFonts w:hint="default"/>
          <w:b/>
          <w:bCs/>
          <w:color w:val="auto"/>
        </w:rPr>
        <w:t>D</w:t>
      </w:r>
      <w:r>
        <w:rPr>
          <w:rFonts w:hint="default"/>
          <w:b/>
          <w:bCs/>
          <w:color w:val="auto"/>
          <w:lang w:val="en-US" w:eastAsia="zh-CN"/>
        </w:rPr>
        <w:t>1</w:t>
      </w:r>
      <w:r>
        <w:rPr>
          <w:rFonts w:hint="default"/>
          <w:b/>
          <w:bCs/>
          <w:color w:val="auto"/>
        </w:rPr>
        <w:t>1施工期间预计带动当地群众务工人数</w:t>
      </w:r>
      <w:r>
        <w:rPr>
          <w:rFonts w:hint="default"/>
          <w:b/>
          <w:bCs/>
          <w:color w:val="auto"/>
          <w:lang w:eastAsia="zh-CN"/>
        </w:rPr>
        <w:t>（</w:t>
      </w:r>
      <w:r>
        <w:rPr>
          <w:rFonts w:hint="default"/>
          <w:b/>
          <w:bCs/>
          <w:color w:val="auto"/>
        </w:rPr>
        <w:t>非人次</w:t>
      </w:r>
      <w:r>
        <w:rPr>
          <w:rFonts w:hint="default"/>
          <w:b/>
          <w:bCs/>
          <w:color w:val="auto"/>
          <w:lang w:eastAsia="zh-CN"/>
        </w:rPr>
        <w:t>）</w:t>
      </w:r>
      <w:r>
        <w:rPr>
          <w:rFonts w:hint="default"/>
          <w:b/>
          <w:bCs/>
          <w:color w:val="auto"/>
        </w:rPr>
        <w:t>指标：</w:t>
      </w:r>
    </w:p>
    <w:p w14:paraId="4CE6F7FC">
      <w:pPr>
        <w:pageBreakBefore w:val="0"/>
        <w:kinsoku/>
        <w:wordWrap/>
        <w:overflowPunct/>
        <w:topLinePunct w:val="0"/>
        <w:autoSpaceDE/>
        <w:autoSpaceDN/>
        <w:bidi w:val="0"/>
        <w:snapToGrid w:val="0"/>
        <w:spacing w:before="0" w:after="0" w:line="360" w:lineRule="auto"/>
        <w:ind w:firstLine="420"/>
        <w:rPr>
          <w:color w:val="auto"/>
        </w:rPr>
      </w:pPr>
      <w:r>
        <w:rPr>
          <w:color w:val="auto"/>
        </w:rPr>
        <w:t>根据项目实施单位提供《202407务工人员工资发放表》《202408务工人员工资发放表》《202409务工人员工资发放表》</w:t>
      </w:r>
      <w:r>
        <w:rPr>
          <w:rFonts w:hint="default" w:cs="Times New Roman"/>
          <w:color w:val="auto"/>
          <w:lang w:val="en-US" w:eastAsia="zh-CN"/>
        </w:rPr>
        <w:t>《关于吉木萨尔县二工镇大泉湖村2024年以工代赈基础设施建设项目劳务工人数量的情况说明》</w:t>
      </w:r>
      <w:r>
        <w:rPr>
          <w:color w:val="auto"/>
        </w:rPr>
        <w:t>记录内容分析，经计算，在施工期</w:t>
      </w:r>
      <w:r>
        <w:rPr>
          <w:rFonts w:hint="default"/>
          <w:color w:val="auto"/>
          <w:lang w:val="en-US" w:eastAsia="zh-CN"/>
        </w:rPr>
        <w:t>项目</w:t>
      </w:r>
      <w:r>
        <w:rPr>
          <w:color w:val="auto"/>
        </w:rPr>
        <w:t>平均带动当地群众务工人数190人</w:t>
      </w:r>
      <w:r>
        <w:rPr>
          <w:rFonts w:hint="default"/>
          <w:color w:val="auto"/>
          <w:lang w:eastAsia="zh-CN"/>
        </w:rPr>
        <w:t>，</w:t>
      </w:r>
      <w:r>
        <w:rPr>
          <w:color w:val="auto"/>
        </w:rPr>
        <w:t>其中：2024年7月涉及劳务工人177人；2024年8月劳务工人204人；2024年9月涉及劳务工人189人。根据评分标准，得满分。</w:t>
      </w:r>
    </w:p>
    <w:p w14:paraId="3597AC66">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w:t>
      </w:r>
      <w:r>
        <w:rPr>
          <w:rFonts w:hint="eastAsia"/>
          <w:color w:val="auto"/>
          <w:lang w:val="en-US" w:eastAsia="zh-CN"/>
        </w:rPr>
        <w:t>7</w:t>
      </w:r>
      <w:r>
        <w:rPr>
          <w:color w:val="auto"/>
        </w:rPr>
        <w:t>00分，根据评分标准得</w:t>
      </w:r>
      <w:r>
        <w:rPr>
          <w:rFonts w:hint="eastAsia"/>
          <w:color w:val="auto"/>
          <w:lang w:val="en-US" w:eastAsia="zh-CN"/>
        </w:rPr>
        <w:t>7.</w:t>
      </w:r>
      <w:r>
        <w:rPr>
          <w:color w:val="auto"/>
        </w:rPr>
        <w:t>00分。</w:t>
      </w:r>
    </w:p>
    <w:p w14:paraId="174FCDE4">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w:t>
      </w:r>
      <w:r>
        <w:rPr>
          <w:rFonts w:hint="default"/>
          <w:b/>
          <w:bCs/>
          <w:color w:val="auto"/>
          <w:lang w:val="en-US" w:eastAsia="zh-CN"/>
        </w:rPr>
        <w:t>2</w:t>
      </w:r>
      <w:r>
        <w:rPr>
          <w:b/>
          <w:bCs/>
          <w:color w:val="auto"/>
        </w:rPr>
        <w:t>）</w:t>
      </w:r>
      <w:r>
        <w:rPr>
          <w:rFonts w:hint="default"/>
          <w:b/>
          <w:bCs/>
          <w:color w:val="auto"/>
        </w:rPr>
        <w:t>D</w:t>
      </w:r>
      <w:r>
        <w:rPr>
          <w:rFonts w:hint="default"/>
          <w:b/>
          <w:bCs/>
          <w:color w:val="auto"/>
          <w:lang w:val="en-US" w:eastAsia="zh-CN"/>
        </w:rPr>
        <w:t>1</w:t>
      </w:r>
      <w:r>
        <w:rPr>
          <w:rFonts w:hint="default"/>
          <w:b/>
          <w:bCs/>
          <w:color w:val="auto"/>
        </w:rPr>
        <w:t>2改善出行困难问题指标：</w:t>
      </w:r>
    </w:p>
    <w:p w14:paraId="40596DA4">
      <w:pPr>
        <w:pageBreakBefore w:val="0"/>
        <w:kinsoku/>
        <w:wordWrap/>
        <w:overflowPunct/>
        <w:topLinePunct w:val="0"/>
        <w:autoSpaceDE/>
        <w:autoSpaceDN/>
        <w:bidi w:val="0"/>
        <w:snapToGrid w:val="0"/>
        <w:spacing w:before="0" w:after="0" w:line="360" w:lineRule="auto"/>
        <w:ind w:firstLine="420"/>
        <w:rPr>
          <w:color w:val="auto"/>
        </w:rPr>
      </w:pPr>
      <w:r>
        <w:rPr>
          <w:color w:val="auto"/>
        </w:rPr>
        <w:t>该效益指标主要采用公众评判法，通过问卷及抽样调查等方式评价改善群众出行及交通安全的效益实现程度。依据问卷调查结果统计，本问卷调查对象为</w:t>
      </w:r>
      <w:r>
        <w:rPr>
          <w:rFonts w:hint="default"/>
          <w:color w:val="auto"/>
        </w:rPr>
        <w:t>参与工程建设的务工群众</w:t>
      </w:r>
      <w:r>
        <w:rPr>
          <w:color w:val="auto"/>
        </w:rPr>
        <w:t>，共计60份问卷调查统计分析，针对本指标问卷问题为“您认为通过该项目实施，对于您的出行方面提升改善如何？”，统计结果显示，46人选择“显著”，14人选择“较大”，0人选择“一般”，0人选择“较差”，0人选择“无”。指标完成率=∑样本数（“显著”×1.0+“较大”×0.8+“一般”×0.6+“较差”×0.3+“无”×0）/总样本数×100.00%=∑样本数（46×1+14×0.8+0×0.6+0×0.3+0×0）/60×100.00%=95.33%。根据评分标准，指标完成率在100.00%-80.00%之间，得满分。</w:t>
      </w:r>
    </w:p>
    <w:p w14:paraId="07D4537F">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w:t>
      </w:r>
      <w:r>
        <w:rPr>
          <w:rFonts w:hint="eastAsia"/>
          <w:color w:val="auto"/>
          <w:lang w:val="en-US" w:eastAsia="zh-CN"/>
        </w:rPr>
        <w:t>7</w:t>
      </w:r>
      <w:r>
        <w:rPr>
          <w:color w:val="auto"/>
        </w:rPr>
        <w:t>.00分，根据评分标准得</w:t>
      </w:r>
      <w:r>
        <w:rPr>
          <w:rFonts w:hint="eastAsia"/>
          <w:color w:val="auto"/>
          <w:lang w:val="en-US" w:eastAsia="zh-CN"/>
        </w:rPr>
        <w:t>7</w:t>
      </w:r>
      <w:r>
        <w:rPr>
          <w:color w:val="auto"/>
        </w:rPr>
        <w:t>.00分。</w:t>
      </w:r>
    </w:p>
    <w:p w14:paraId="32C4D43E">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w:t>
      </w:r>
      <w:r>
        <w:rPr>
          <w:rFonts w:hint="default"/>
          <w:b/>
          <w:bCs/>
          <w:color w:val="auto"/>
          <w:lang w:val="en-US" w:eastAsia="zh-CN"/>
        </w:rPr>
        <w:t>3</w:t>
      </w:r>
      <w:r>
        <w:rPr>
          <w:b/>
          <w:bCs/>
          <w:color w:val="auto"/>
        </w:rPr>
        <w:t>）</w:t>
      </w:r>
      <w:r>
        <w:rPr>
          <w:rFonts w:hint="default"/>
          <w:b/>
          <w:bCs/>
          <w:color w:val="auto"/>
        </w:rPr>
        <w:t>D</w:t>
      </w:r>
      <w:r>
        <w:rPr>
          <w:rFonts w:hint="default"/>
          <w:b/>
          <w:bCs/>
          <w:color w:val="auto"/>
          <w:lang w:val="en-US" w:eastAsia="zh-CN"/>
        </w:rPr>
        <w:t>13</w:t>
      </w:r>
      <w:r>
        <w:rPr>
          <w:rFonts w:hint="default"/>
          <w:b/>
          <w:bCs/>
          <w:color w:val="auto"/>
        </w:rPr>
        <w:t>改善生产生活条件指标：</w:t>
      </w:r>
    </w:p>
    <w:p w14:paraId="1C6933A0">
      <w:pPr>
        <w:pageBreakBefore w:val="0"/>
        <w:kinsoku/>
        <w:wordWrap/>
        <w:overflowPunct/>
        <w:topLinePunct w:val="0"/>
        <w:autoSpaceDE/>
        <w:autoSpaceDN/>
        <w:bidi w:val="0"/>
        <w:snapToGrid w:val="0"/>
        <w:spacing w:before="0" w:after="0" w:line="360" w:lineRule="auto"/>
        <w:ind w:firstLine="420"/>
        <w:rPr>
          <w:color w:val="auto"/>
        </w:rPr>
      </w:pPr>
      <w:r>
        <w:rPr>
          <w:color w:val="auto"/>
        </w:rPr>
        <w:t>该效益指标主要采用公众评判法，通过问卷及抽样调查等方式评价改善生产生活条件的效益实现程度。依据问卷调查结果统计，本问卷调查对象为</w:t>
      </w:r>
      <w:r>
        <w:rPr>
          <w:rFonts w:hint="default"/>
          <w:color w:val="auto"/>
        </w:rPr>
        <w:t>参与工程建设的务工群众</w:t>
      </w:r>
      <w:r>
        <w:rPr>
          <w:color w:val="auto"/>
        </w:rPr>
        <w:t>，共计60份问卷调查统计分析，针对本指标问卷问题为“您认为通过该项目实施，对于您的当年收入提升如何，生活程度</w:t>
      </w:r>
      <w:r>
        <w:rPr>
          <w:rFonts w:hint="default"/>
          <w:color w:val="auto"/>
          <w:lang w:eastAsia="zh-CN"/>
        </w:rPr>
        <w:t>改善</w:t>
      </w:r>
      <w:r>
        <w:rPr>
          <w:color w:val="auto"/>
        </w:rPr>
        <w:t>如何？”，统计结果显示，45人选择“显著”，15人选择“较大”，0人选择“一般”，0人选择“较差”，0人选择“无”。指标完成率=∑样本数（“显著”×1.0+“较大”×0.8+“一般”×0.6+“较差”×0.3+“无”×0）/总样本数×100.00%=∑样本数（45×1+15×0.8+0×0.6+0×0.3+0×0）/60×100.00%=95.00%。根据评分标准，指标完成率在100.00%-80.00%之间，得满分。</w:t>
      </w:r>
    </w:p>
    <w:p w14:paraId="1C237E49">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w:t>
      </w:r>
      <w:r>
        <w:rPr>
          <w:rFonts w:hint="eastAsia"/>
          <w:color w:val="auto"/>
          <w:lang w:val="en-US" w:eastAsia="zh-CN"/>
        </w:rPr>
        <w:t>6</w:t>
      </w:r>
      <w:r>
        <w:rPr>
          <w:color w:val="auto"/>
        </w:rPr>
        <w:t>.00分，根据评分标准得</w:t>
      </w:r>
      <w:r>
        <w:rPr>
          <w:rFonts w:hint="eastAsia"/>
          <w:color w:val="auto"/>
          <w:lang w:val="en-US" w:eastAsia="zh-CN"/>
        </w:rPr>
        <w:t>6</w:t>
      </w:r>
      <w:r>
        <w:rPr>
          <w:color w:val="auto"/>
        </w:rPr>
        <w:t>.00分。</w:t>
      </w:r>
    </w:p>
    <w:p w14:paraId="6AE958C7">
      <w:pPr>
        <w:pageBreakBefore w:val="0"/>
        <w:kinsoku/>
        <w:wordWrap/>
        <w:overflowPunct/>
        <w:topLinePunct w:val="0"/>
        <w:autoSpaceDE/>
        <w:autoSpaceDN/>
        <w:bidi w:val="0"/>
        <w:snapToGrid w:val="0"/>
        <w:spacing w:before="0" w:after="0" w:line="360" w:lineRule="auto"/>
        <w:ind w:firstLine="422"/>
        <w:rPr>
          <w:b/>
          <w:bCs/>
          <w:color w:val="auto"/>
        </w:rPr>
      </w:pPr>
      <w:r>
        <w:rPr>
          <w:b/>
          <w:bCs/>
          <w:color w:val="auto"/>
        </w:rPr>
        <w:t>（</w:t>
      </w:r>
      <w:r>
        <w:rPr>
          <w:rFonts w:hint="default"/>
          <w:b/>
          <w:bCs/>
          <w:color w:val="auto"/>
          <w:lang w:val="en-US" w:eastAsia="zh-CN"/>
        </w:rPr>
        <w:t>4</w:t>
      </w:r>
      <w:r>
        <w:rPr>
          <w:b/>
          <w:bCs/>
          <w:color w:val="auto"/>
        </w:rPr>
        <w:t>）</w:t>
      </w:r>
      <w:r>
        <w:rPr>
          <w:rFonts w:hint="default"/>
          <w:b/>
          <w:bCs/>
          <w:color w:val="auto"/>
        </w:rPr>
        <w:t>D</w:t>
      </w:r>
      <w:r>
        <w:rPr>
          <w:rFonts w:hint="default"/>
          <w:b/>
          <w:bCs/>
          <w:color w:val="auto"/>
          <w:lang w:val="en-US" w:eastAsia="zh-CN"/>
        </w:rPr>
        <w:t>21</w:t>
      </w:r>
      <w:r>
        <w:rPr>
          <w:rFonts w:hint="default"/>
          <w:b/>
          <w:bCs/>
          <w:color w:val="auto"/>
        </w:rPr>
        <w:t>1</w:t>
      </w:r>
      <w:r>
        <w:rPr>
          <w:rFonts w:hint="default"/>
          <w:b/>
          <w:bCs/>
          <w:color w:val="auto"/>
          <w:lang w:eastAsia="zh-CN"/>
        </w:rPr>
        <w:t>参与工程建设的务工群众满意度</w:t>
      </w:r>
      <w:r>
        <w:rPr>
          <w:rFonts w:hint="default"/>
          <w:b/>
          <w:bCs/>
          <w:color w:val="auto"/>
        </w:rPr>
        <w:t>指标：</w:t>
      </w:r>
    </w:p>
    <w:p w14:paraId="5929F90A">
      <w:pPr>
        <w:pageBreakBefore w:val="0"/>
        <w:kinsoku/>
        <w:wordWrap/>
        <w:overflowPunct/>
        <w:topLinePunct w:val="0"/>
        <w:autoSpaceDE/>
        <w:autoSpaceDN/>
        <w:bidi w:val="0"/>
        <w:snapToGrid w:val="0"/>
        <w:spacing w:before="0" w:after="0" w:line="360" w:lineRule="auto"/>
        <w:ind w:firstLine="420"/>
        <w:rPr>
          <w:color w:val="auto"/>
        </w:rPr>
      </w:pPr>
      <w:r>
        <w:rPr>
          <w:color w:val="auto"/>
        </w:rPr>
        <w:t>依据问卷调查结果统计，本问卷调查对象为</w:t>
      </w:r>
      <w:r>
        <w:rPr>
          <w:rFonts w:hint="default"/>
          <w:color w:val="auto"/>
        </w:rPr>
        <w:t>参与工程建设的务工群众</w:t>
      </w:r>
      <w:r>
        <w:rPr>
          <w:color w:val="auto"/>
        </w:rPr>
        <w:t>，共计60份问卷调查统计分析，针对本指标问卷问题为“您对二工镇大泉湖村2024年以工代赈基础设施建设项目的实施过程及效果是否满意？”，统计结果显示，51人选择“非常满意”，9人选择“比较满意”，0人选择“一般”，0人选择“不太满意”，0人选择“不满意”。指标完成率=∑样本数（“很满意”×1.0+“满意”×0.8+“一般”×0.6+“不满意”×0.3+“很不满意”×0）/总样本数×100.00%=∑样本数（51×1+9×0.8+0×0.6+0×0.3+0×0）/60×100.00%=97.00%。若95.00%≤完成率≤100.00%，得满分。</w:t>
      </w:r>
    </w:p>
    <w:p w14:paraId="1B28F555">
      <w:pPr>
        <w:pageBreakBefore w:val="0"/>
        <w:kinsoku/>
        <w:wordWrap/>
        <w:overflowPunct/>
        <w:topLinePunct w:val="0"/>
        <w:autoSpaceDE/>
        <w:autoSpaceDN/>
        <w:bidi w:val="0"/>
        <w:snapToGrid w:val="0"/>
        <w:spacing w:before="0" w:after="0" w:line="360" w:lineRule="auto"/>
        <w:ind w:firstLine="420"/>
        <w:rPr>
          <w:color w:val="auto"/>
        </w:rPr>
      </w:pPr>
      <w:r>
        <w:rPr>
          <w:color w:val="auto"/>
        </w:rPr>
        <w:t>该指标满分为10.00分，根据评分标准得10.00分。</w:t>
      </w:r>
    </w:p>
    <w:p w14:paraId="1018A7D5">
      <w:pPr>
        <w:pStyle w:val="2"/>
        <w:pageBreakBefore w:val="0"/>
        <w:kinsoku/>
        <w:wordWrap/>
        <w:overflowPunct/>
        <w:topLinePunct w:val="0"/>
        <w:autoSpaceDE/>
        <w:autoSpaceDN/>
        <w:bidi w:val="0"/>
        <w:snapToGrid w:val="0"/>
        <w:spacing w:before="0" w:after="0" w:line="360" w:lineRule="auto"/>
        <w:ind w:firstLine="482"/>
        <w:rPr>
          <w:color w:val="auto"/>
        </w:rPr>
      </w:pPr>
      <w:bookmarkStart w:id="81" w:name="_Toc29198"/>
      <w:bookmarkStart w:id="82" w:name="_Toc30458"/>
      <w:r>
        <w:rPr>
          <w:rFonts w:hint="default"/>
          <w:color w:val="auto"/>
        </w:rPr>
        <w:t>六</w:t>
      </w:r>
      <w:r>
        <w:rPr>
          <w:color w:val="auto"/>
        </w:rPr>
        <w:t>、主要经验及做法、存在的问题及原因分析</w:t>
      </w:r>
      <w:bookmarkEnd w:id="81"/>
      <w:bookmarkEnd w:id="82"/>
    </w:p>
    <w:p w14:paraId="1C35CF84">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83" w:name="_Toc15518"/>
      <w:bookmarkStart w:id="84" w:name="_Toc16974"/>
      <w:bookmarkStart w:id="85" w:name="_Toc14662"/>
      <w:bookmarkStart w:id="86" w:name="_Toc5697"/>
      <w:r>
        <w:rPr>
          <w:rFonts w:ascii="Times New Roman" w:hAnsi="Times New Roman"/>
          <w:color w:val="auto"/>
        </w:rPr>
        <w:t>（一）主要经验及做法</w:t>
      </w:r>
      <w:bookmarkEnd w:id="83"/>
      <w:bookmarkEnd w:id="84"/>
      <w:bookmarkEnd w:id="85"/>
      <w:bookmarkEnd w:id="86"/>
    </w:p>
    <w:p w14:paraId="689194B5">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kern w:val="2"/>
          <w:sz w:val="21"/>
          <w:szCs w:val="21"/>
          <w:lang w:val="en-US" w:eastAsia="zh-CN" w:bidi="ar-SA"/>
        </w:rPr>
        <w:t>该项目实施单位在项目实施过程</w:t>
      </w:r>
      <w:r>
        <w:rPr>
          <w:rFonts w:hint="default" w:eastAsia="宋体" w:cs="Times New Roman"/>
          <w:b w:val="0"/>
          <w:bCs w:val="0"/>
          <w:color w:val="auto"/>
          <w:kern w:val="2"/>
          <w:sz w:val="21"/>
          <w:szCs w:val="21"/>
          <w:lang w:val="en-US" w:eastAsia="zh-CN" w:bidi="ar-SA"/>
        </w:rPr>
        <w:t>中的</w:t>
      </w:r>
      <w:r>
        <w:rPr>
          <w:rFonts w:hint="default" w:ascii="Times New Roman" w:hAnsi="Times New Roman" w:eastAsia="宋体" w:cs="Times New Roman"/>
          <w:b w:val="0"/>
          <w:bCs w:val="0"/>
          <w:color w:val="auto"/>
          <w:kern w:val="2"/>
          <w:sz w:val="21"/>
          <w:szCs w:val="21"/>
          <w:lang w:val="en-US" w:eastAsia="zh-CN" w:bidi="ar-SA"/>
        </w:rPr>
        <w:t>主要经验及做法如下：一是</w:t>
      </w:r>
      <w:r>
        <w:rPr>
          <w:rFonts w:hint="default" w:eastAsia="宋体" w:cs="Times New Roman"/>
          <w:b w:val="0"/>
          <w:bCs w:val="0"/>
          <w:color w:val="auto"/>
          <w:kern w:val="2"/>
          <w:sz w:val="21"/>
          <w:szCs w:val="21"/>
          <w:lang w:val="en-US" w:eastAsia="zh-CN" w:bidi="ar-SA"/>
        </w:rPr>
        <w:t>项目实施单位根据</w:t>
      </w:r>
      <w:r>
        <w:rPr>
          <w:rFonts w:hint="default" w:ascii="Times New Roman" w:hAnsi="Times New Roman" w:eastAsia="宋体" w:cs="Times New Roman"/>
          <w:b w:val="0"/>
          <w:bCs w:val="0"/>
          <w:color w:val="auto"/>
          <w:kern w:val="2"/>
          <w:sz w:val="21"/>
          <w:szCs w:val="21"/>
          <w:lang w:val="en-US" w:eastAsia="zh-CN" w:bidi="ar-SA"/>
        </w:rPr>
        <w:t>《国家发展改革委印发实施关于进一步坚守“赈”的初心充分发挥以工代赈政策功能的意见》</w:t>
      </w:r>
      <w:r>
        <w:rPr>
          <w:rFonts w:hint="default" w:eastAsia="宋体" w:cs="Times New Roman"/>
          <w:b w:val="0"/>
          <w:bCs w:val="0"/>
          <w:color w:val="auto"/>
          <w:kern w:val="2"/>
          <w:sz w:val="21"/>
          <w:szCs w:val="21"/>
          <w:lang w:val="en-US" w:eastAsia="zh-CN" w:bidi="ar-SA"/>
        </w:rPr>
        <w:t>落实</w:t>
      </w:r>
      <w:r>
        <w:rPr>
          <w:rFonts w:hint="default" w:ascii="Times New Roman" w:hAnsi="Times New Roman" w:eastAsia="宋体" w:cs="Times New Roman"/>
          <w:b w:val="0"/>
          <w:bCs w:val="0"/>
          <w:color w:val="auto"/>
          <w:kern w:val="2"/>
          <w:sz w:val="21"/>
          <w:szCs w:val="21"/>
          <w:lang w:val="en-US" w:eastAsia="zh-CN" w:bidi="ar-SA"/>
        </w:rPr>
        <w:t>以工代赈是促进农民增加收入、提高技能的一项重要政策举措，</w:t>
      </w:r>
      <w:r>
        <w:rPr>
          <w:rFonts w:hint="default" w:eastAsia="宋体" w:cs="Times New Roman"/>
          <w:b w:val="0"/>
          <w:bCs w:val="0"/>
          <w:color w:val="auto"/>
          <w:kern w:val="2"/>
          <w:sz w:val="21"/>
          <w:szCs w:val="21"/>
          <w:lang w:val="en-US" w:eastAsia="zh-CN" w:bidi="ar-SA"/>
        </w:rPr>
        <w:t>积极申请</w:t>
      </w:r>
      <w:r>
        <w:rPr>
          <w:rFonts w:hint="default" w:ascii="Times New Roman" w:hAnsi="Times New Roman" w:cs="Times New Roman" w:eastAsiaTheme="minorEastAsia"/>
          <w:b w:val="0"/>
          <w:bCs w:val="0"/>
          <w:color w:val="auto"/>
          <w:kern w:val="2"/>
          <w:sz w:val="21"/>
          <w:szCs w:val="21"/>
          <w:highlight w:val="none"/>
          <w:lang w:val="en-US" w:eastAsia="zh-CN" w:bidi="ar-SA"/>
        </w:rPr>
        <w:t>以工代赈示范工程专项2024年中央基建投资预算</w:t>
      </w:r>
      <w:r>
        <w:rPr>
          <w:rFonts w:hint="default" w:ascii="Times New Roman" w:hAnsi="Times New Roman" w:cs="Times New Roman"/>
          <w:b w:val="0"/>
          <w:bCs w:val="0"/>
          <w:color w:val="auto"/>
          <w:kern w:val="2"/>
          <w:sz w:val="21"/>
          <w:szCs w:val="21"/>
          <w:highlight w:val="none"/>
          <w:lang w:val="en-US" w:eastAsia="zh-CN" w:bidi="ar-SA"/>
        </w:rPr>
        <w:t>资金，带动当地务工人员</w:t>
      </w:r>
      <w:r>
        <w:rPr>
          <w:rFonts w:hint="default" w:ascii="Times New Roman" w:hAnsi="Times New Roman" w:eastAsia="宋体" w:cs="Times New Roman"/>
          <w:b w:val="0"/>
          <w:bCs w:val="0"/>
          <w:color w:val="auto"/>
          <w:kern w:val="2"/>
          <w:sz w:val="21"/>
          <w:szCs w:val="21"/>
          <w:lang w:val="en-US" w:eastAsia="zh-CN" w:bidi="ar-SA"/>
        </w:rPr>
        <w:t>参与</w:t>
      </w:r>
      <w:r>
        <w:rPr>
          <w:rFonts w:hint="default" w:eastAsia="宋体" w:cs="Times New Roman"/>
          <w:b w:val="0"/>
          <w:bCs w:val="0"/>
          <w:color w:val="auto"/>
          <w:kern w:val="2"/>
          <w:sz w:val="21"/>
          <w:szCs w:val="21"/>
          <w:lang w:val="en-US" w:eastAsia="zh-CN" w:bidi="ar-SA"/>
        </w:rPr>
        <w:t>工程建设</w:t>
      </w:r>
      <w:r>
        <w:rPr>
          <w:rFonts w:hint="default" w:ascii="Times New Roman" w:hAnsi="Times New Roman" w:eastAsia="宋体" w:cs="Times New Roman"/>
          <w:b w:val="0"/>
          <w:bCs w:val="0"/>
          <w:color w:val="auto"/>
          <w:kern w:val="2"/>
          <w:sz w:val="21"/>
          <w:szCs w:val="21"/>
          <w:lang w:val="en-US" w:eastAsia="zh-CN" w:bidi="ar-SA"/>
        </w:rPr>
        <w:t>，实现就地就近就业增收；二是认真贯彻执行项目的法人责任制、招投标制、工程合同制、竣工验收制，使得项目建设管理工作</w:t>
      </w:r>
      <w:r>
        <w:rPr>
          <w:rFonts w:hint="default" w:eastAsia="宋体" w:cs="Times New Roman"/>
          <w:b w:val="0"/>
          <w:bCs w:val="0"/>
          <w:color w:val="auto"/>
          <w:kern w:val="2"/>
          <w:sz w:val="21"/>
          <w:szCs w:val="21"/>
          <w:lang w:val="en-US" w:eastAsia="zh-CN" w:bidi="ar-SA"/>
        </w:rPr>
        <w:t>制度化、规范化、程序化</w:t>
      </w:r>
      <w:r>
        <w:rPr>
          <w:rFonts w:hint="default" w:ascii="Times New Roman" w:hAnsi="Times New Roman" w:eastAsia="宋体" w:cs="Times New Roman"/>
          <w:b w:val="0"/>
          <w:bCs w:val="0"/>
          <w:color w:val="auto"/>
          <w:kern w:val="2"/>
          <w:sz w:val="21"/>
          <w:szCs w:val="21"/>
          <w:lang w:val="en-US" w:eastAsia="zh-CN" w:bidi="ar-SA"/>
        </w:rPr>
        <w:t>，</w:t>
      </w:r>
      <w:r>
        <w:rPr>
          <w:rFonts w:hint="default" w:eastAsia="宋体" w:cs="Times New Roman"/>
          <w:b w:val="0"/>
          <w:bCs w:val="0"/>
          <w:color w:val="auto"/>
          <w:kern w:val="2"/>
          <w:sz w:val="21"/>
          <w:szCs w:val="21"/>
          <w:lang w:val="en-US" w:eastAsia="zh-CN" w:bidi="ar-SA"/>
        </w:rPr>
        <w:t>加强了对项目工程质量的监督管理，确保项目建设目标如期实现</w:t>
      </w:r>
      <w:r>
        <w:rPr>
          <w:rFonts w:hint="default" w:ascii="Times New Roman" w:hAnsi="Times New Roman" w:eastAsia="宋体" w:cs="Times New Roman"/>
          <w:b w:val="0"/>
          <w:bCs w:val="0"/>
          <w:color w:val="auto"/>
          <w:kern w:val="2"/>
          <w:sz w:val="21"/>
          <w:szCs w:val="21"/>
          <w:lang w:val="en-US" w:eastAsia="zh-CN" w:bidi="ar-SA"/>
        </w:rPr>
        <w:t>。</w:t>
      </w:r>
    </w:p>
    <w:p w14:paraId="19290585">
      <w:pPr>
        <w:pStyle w:val="3"/>
        <w:pageBreakBefore w:val="0"/>
        <w:kinsoku/>
        <w:wordWrap/>
        <w:overflowPunct/>
        <w:topLinePunct w:val="0"/>
        <w:autoSpaceDE/>
        <w:autoSpaceDN/>
        <w:bidi w:val="0"/>
        <w:snapToGrid w:val="0"/>
        <w:spacing w:before="0" w:after="0" w:line="360" w:lineRule="auto"/>
        <w:ind w:firstLine="482"/>
        <w:rPr>
          <w:rFonts w:ascii="Times New Roman" w:hAnsi="Times New Roman"/>
          <w:color w:val="auto"/>
        </w:rPr>
      </w:pPr>
      <w:bookmarkStart w:id="87" w:name="_Toc370"/>
      <w:bookmarkStart w:id="88" w:name="_Toc4015"/>
      <w:bookmarkStart w:id="89" w:name="_Toc13318"/>
      <w:bookmarkStart w:id="90" w:name="_Toc4676"/>
      <w:r>
        <w:rPr>
          <w:rFonts w:ascii="Times New Roman" w:hAnsi="Times New Roman"/>
          <w:color w:val="auto"/>
        </w:rPr>
        <w:t>（二）存在的问题</w:t>
      </w:r>
      <w:bookmarkEnd w:id="87"/>
      <w:bookmarkEnd w:id="88"/>
      <w:bookmarkEnd w:id="89"/>
      <w:bookmarkEnd w:id="90"/>
    </w:p>
    <w:p w14:paraId="203ED5D8">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default"/>
          <w:b/>
          <w:bCs/>
          <w:color w:val="auto"/>
          <w:lang w:val="en-US" w:eastAsia="zh-CN"/>
        </w:rPr>
      </w:pPr>
      <w:r>
        <w:rPr>
          <w:rFonts w:hint="default"/>
          <w:b/>
          <w:bCs/>
          <w:color w:val="auto"/>
          <w:lang w:val="en-US" w:eastAsia="zh-CN"/>
        </w:rPr>
        <w:t>1.会计核算不够规范</w:t>
      </w:r>
    </w:p>
    <w:p w14:paraId="695CC1FF">
      <w:pPr>
        <w:keepNext w:val="0"/>
        <w:keepLines w:val="0"/>
        <w:pageBreakBefore w:val="0"/>
        <w:widowControl w:val="0"/>
        <w:kinsoku/>
        <w:wordWrap/>
        <w:overflowPunct/>
        <w:topLinePunct w:val="0"/>
        <w:autoSpaceDE/>
        <w:autoSpaceDN/>
        <w:bidi w:val="0"/>
        <w:adjustRightInd w:val="0"/>
        <w:snapToGrid w:val="0"/>
        <w:spacing w:before="0" w:after="0" w:line="360" w:lineRule="auto"/>
        <w:ind w:firstLine="420"/>
        <w:textAlignment w:val="auto"/>
        <w:rPr>
          <w:rFonts w:hint="default"/>
          <w:color w:val="auto"/>
          <w:lang w:val="en-US" w:eastAsia="zh-CN"/>
        </w:rPr>
      </w:pPr>
      <w:r>
        <w:rPr>
          <w:rFonts w:hint="default" w:ascii="Times New Roman" w:hAnsi="Times New Roman" w:eastAsia="宋体" w:cs="Times New Roman"/>
          <w:color w:val="auto"/>
          <w:sz w:val="21"/>
          <w:szCs w:val="21"/>
          <w:highlight w:val="none"/>
        </w:rPr>
        <w:t>经查阅项目</w:t>
      </w:r>
      <w:r>
        <w:rPr>
          <w:rFonts w:hint="default" w:ascii="Times New Roman" w:hAnsi="Times New Roman" w:eastAsia="宋体" w:cs="Times New Roman"/>
          <w:color w:val="auto"/>
          <w:sz w:val="21"/>
          <w:szCs w:val="21"/>
          <w:highlight w:val="none"/>
          <w:lang w:val="en-US" w:eastAsia="zh-CN"/>
        </w:rPr>
        <w:t>记账凭证</w:t>
      </w:r>
      <w:r>
        <w:rPr>
          <w:rFonts w:hint="default" w:ascii="Times New Roman" w:hAnsi="Times New Roman" w:eastAsia="宋体" w:cs="Times New Roman"/>
          <w:color w:val="auto"/>
          <w:sz w:val="21"/>
          <w:szCs w:val="21"/>
          <w:highlight w:val="none"/>
        </w:rPr>
        <w:t>，该项目</w:t>
      </w:r>
      <w:r>
        <w:rPr>
          <w:rFonts w:hint="default" w:ascii="Times New Roman" w:hAnsi="Times New Roman" w:eastAsia="宋体" w:cs="Times New Roman"/>
          <w:color w:val="auto"/>
          <w:sz w:val="21"/>
          <w:szCs w:val="21"/>
          <w:highlight w:val="none"/>
          <w:lang w:val="en-US" w:eastAsia="zh-CN"/>
        </w:rPr>
        <w:t>将</w:t>
      </w:r>
      <w:r>
        <w:rPr>
          <w:rFonts w:hint="default" w:ascii="Times New Roman" w:hAnsi="Times New Roman" w:eastAsia="宋体" w:cs="Times New Roman"/>
          <w:color w:val="auto"/>
          <w:sz w:val="21"/>
          <w:szCs w:val="21"/>
          <w:highlight w:val="none"/>
        </w:rPr>
        <w:t>发生的工程款费用计入商品和服务费用</w:t>
      </w:r>
      <w:r>
        <w:rPr>
          <w:rFonts w:hint="eastAsia" w:eastAsia="宋体" w:cs="Times New Roman"/>
          <w:color w:val="auto"/>
          <w:sz w:val="21"/>
          <w:szCs w:val="21"/>
          <w:highlight w:val="none"/>
          <w:lang w:val="en-US" w:eastAsia="zh-CN"/>
        </w:rPr>
        <w:t>支出</w:t>
      </w:r>
      <w:r>
        <w:rPr>
          <w:rFonts w:hint="default" w:ascii="Times New Roman" w:hAnsi="Times New Roman" w:eastAsia="宋体" w:cs="Times New Roman"/>
          <w:color w:val="auto"/>
          <w:sz w:val="21"/>
          <w:szCs w:val="21"/>
          <w:highlight w:val="none"/>
        </w:rPr>
        <w:t>，未按</w:t>
      </w:r>
      <w:r>
        <w:rPr>
          <w:rFonts w:hint="eastAsia" w:eastAsia="宋体" w:cs="Times New Roman"/>
          <w:color w:val="auto"/>
          <w:sz w:val="21"/>
          <w:szCs w:val="21"/>
          <w:highlight w:val="none"/>
          <w:lang w:val="en-US" w:eastAsia="zh-CN"/>
        </w:rPr>
        <w:t>照</w:t>
      </w:r>
      <w:r>
        <w:rPr>
          <w:rFonts w:hint="default" w:ascii="Times New Roman" w:hAnsi="Times New Roman" w:eastAsia="宋体" w:cs="Times New Roman"/>
          <w:color w:val="auto"/>
          <w:sz w:val="21"/>
          <w:szCs w:val="21"/>
          <w:highlight w:val="none"/>
        </w:rPr>
        <w:t>《政府会计</w:t>
      </w:r>
      <w:r>
        <w:rPr>
          <w:rFonts w:hint="eastAsia" w:eastAsia="宋体" w:cs="Times New Roman"/>
          <w:color w:val="auto"/>
          <w:sz w:val="21"/>
          <w:szCs w:val="21"/>
          <w:highlight w:val="none"/>
          <w:lang w:val="en-US" w:eastAsia="zh-CN"/>
        </w:rPr>
        <w:t>制度</w:t>
      </w:r>
      <w:r>
        <w:rPr>
          <w:rFonts w:hint="default" w:ascii="Times New Roman" w:hAnsi="Times New Roman" w:eastAsia="宋体" w:cs="Times New Roman"/>
          <w:color w:val="auto"/>
          <w:sz w:val="21"/>
          <w:szCs w:val="21"/>
          <w:highlight w:val="none"/>
        </w:rPr>
        <w:t>》规定</w:t>
      </w:r>
      <w:r>
        <w:rPr>
          <w:rFonts w:hint="eastAsia" w:eastAsia="宋体" w:cs="Times New Roman"/>
          <w:color w:val="auto"/>
          <w:sz w:val="21"/>
          <w:szCs w:val="21"/>
          <w:highlight w:val="none"/>
          <w:lang w:eastAsia="zh-CN"/>
        </w:rPr>
        <w:t>，</w:t>
      </w:r>
      <w:r>
        <w:rPr>
          <w:rFonts w:hint="eastAsia" w:eastAsia="宋体" w:cs="Times New Roman"/>
          <w:color w:val="auto"/>
          <w:sz w:val="21"/>
          <w:szCs w:val="21"/>
          <w:highlight w:val="none"/>
          <w:lang w:val="en-US" w:eastAsia="zh-CN"/>
        </w:rPr>
        <w:t>通过</w:t>
      </w:r>
      <w:r>
        <w:rPr>
          <w:rFonts w:hint="eastAsia" w:eastAsia="宋体" w:cs="Times New Roman"/>
          <w:color w:val="auto"/>
          <w:sz w:val="21"/>
          <w:szCs w:val="21"/>
          <w:highlight w:val="none"/>
          <w:lang w:eastAsia="zh-CN"/>
        </w:rPr>
        <w:t>“</w:t>
      </w:r>
      <w:r>
        <w:rPr>
          <w:rFonts w:hint="default" w:ascii="Times New Roman" w:hAnsi="Times New Roman" w:eastAsia="宋体" w:cs="Times New Roman"/>
          <w:color w:val="auto"/>
          <w:sz w:val="21"/>
          <w:szCs w:val="21"/>
          <w:highlight w:val="none"/>
        </w:rPr>
        <w:t>在建工程</w:t>
      </w:r>
      <w:r>
        <w:rPr>
          <w:rFonts w:hint="eastAsia" w:eastAsia="宋体" w:cs="Times New Roman"/>
          <w:color w:val="auto"/>
          <w:sz w:val="21"/>
          <w:szCs w:val="21"/>
          <w:highlight w:val="none"/>
          <w:lang w:eastAsia="zh-CN"/>
        </w:rPr>
        <w:t>”</w:t>
      </w:r>
      <w:r>
        <w:rPr>
          <w:rFonts w:hint="eastAsia" w:eastAsia="宋体" w:cs="Times New Roman"/>
          <w:color w:val="auto"/>
          <w:sz w:val="21"/>
          <w:szCs w:val="21"/>
          <w:highlight w:val="none"/>
          <w:lang w:val="en-US" w:eastAsia="zh-CN"/>
        </w:rPr>
        <w:t>科目归集项目建设支出并于资产完工后转入“</w:t>
      </w:r>
      <w:r>
        <w:rPr>
          <w:rFonts w:hint="default" w:ascii="Times New Roman" w:hAnsi="Times New Roman" w:eastAsia="宋体" w:cs="Times New Roman"/>
          <w:color w:val="auto"/>
          <w:sz w:val="21"/>
          <w:szCs w:val="21"/>
          <w:highlight w:val="none"/>
          <w:lang w:val="en-US" w:eastAsia="zh-CN"/>
        </w:rPr>
        <w:t>固定资产</w:t>
      </w:r>
      <w:r>
        <w:rPr>
          <w:rFonts w:hint="eastAsia" w:eastAsia="宋体" w:cs="Times New Roman"/>
          <w:color w:val="auto"/>
          <w:sz w:val="21"/>
          <w:szCs w:val="21"/>
          <w:highlight w:val="none"/>
          <w:lang w:val="en-US" w:eastAsia="zh-CN"/>
        </w:rPr>
        <w:t>”</w:t>
      </w:r>
      <w:r>
        <w:rPr>
          <w:rFonts w:hint="default" w:ascii="Times New Roman" w:hAnsi="Times New Roman" w:eastAsia="宋体" w:cs="Times New Roman"/>
          <w:color w:val="auto"/>
          <w:sz w:val="21"/>
          <w:szCs w:val="21"/>
          <w:highlight w:val="none"/>
          <w:lang w:val="en-US" w:eastAsia="zh-CN"/>
        </w:rPr>
        <w:t>科目</w:t>
      </w:r>
      <w:r>
        <w:rPr>
          <w:rFonts w:hint="default"/>
          <w:color w:val="auto"/>
        </w:rPr>
        <w:t>。</w:t>
      </w:r>
    </w:p>
    <w:p w14:paraId="3E18034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highlight w:val="none"/>
          <w:lang w:val="en-US" w:eastAsia="zh-CN"/>
        </w:rPr>
      </w:pPr>
      <w:r>
        <w:rPr>
          <w:rFonts w:hint="default" w:ascii="Times New Roman" w:hAnsi="Times New Roman" w:cs="Times New Roman"/>
          <w:b/>
          <w:bCs/>
          <w:color w:val="auto"/>
          <w:highlight w:val="none"/>
          <w:lang w:val="en-US" w:eastAsia="zh-CN"/>
        </w:rPr>
        <w:t>2.项目实施过程管理不够到位</w:t>
      </w:r>
    </w:p>
    <w:p w14:paraId="0A43015F">
      <w:pPr>
        <w:spacing w:line="360" w:lineRule="auto"/>
        <w:ind w:firstLine="420"/>
        <w:rPr>
          <w:rFonts w:hint="default"/>
          <w:color w:val="auto"/>
        </w:rPr>
      </w:pPr>
      <w:r>
        <w:rPr>
          <w:rFonts w:hint="default"/>
          <w:color w:val="auto"/>
        </w:rPr>
        <w:t>①项目实施单位提供可研</w:t>
      </w:r>
      <w:r>
        <w:rPr>
          <w:rFonts w:hint="default"/>
          <w:color w:val="auto"/>
          <w:lang w:val="en-US" w:eastAsia="zh-CN"/>
        </w:rPr>
        <w:t>报告编制的</w:t>
      </w:r>
      <w:r>
        <w:rPr>
          <w:rFonts w:hint="default"/>
          <w:color w:val="auto"/>
        </w:rPr>
        <w:t>《技术咨询合同》</w:t>
      </w:r>
      <w:r>
        <w:rPr>
          <w:rFonts w:hint="default"/>
          <w:color w:val="auto"/>
          <w:lang w:val="en-US" w:eastAsia="zh-CN"/>
        </w:rPr>
        <w:t>缺失</w:t>
      </w:r>
      <w:r>
        <w:rPr>
          <w:rFonts w:hint="default"/>
          <w:color w:val="auto"/>
        </w:rPr>
        <w:t>合同签订日期，根据实施单位提供的造价</w:t>
      </w:r>
      <w:r>
        <w:rPr>
          <w:rFonts w:hint="default"/>
          <w:color w:val="auto"/>
          <w:lang w:val="en-US" w:eastAsia="zh-CN"/>
        </w:rPr>
        <w:t>咨询服务的</w:t>
      </w:r>
      <w:r>
        <w:rPr>
          <w:rFonts w:hint="default"/>
          <w:color w:val="auto"/>
        </w:rPr>
        <w:t>《建设工程造价咨询合同》未约定付款条款。</w:t>
      </w:r>
    </w:p>
    <w:p w14:paraId="2F94CB46">
      <w:pPr>
        <w:spacing w:line="360" w:lineRule="auto"/>
        <w:ind w:firstLine="420"/>
        <w:rPr>
          <w:rFonts w:hint="default"/>
          <w:color w:val="auto"/>
          <w:lang w:val="en-US" w:eastAsia="zh-CN"/>
        </w:rPr>
      </w:pPr>
      <w:r>
        <w:rPr>
          <w:rFonts w:hint="default"/>
          <w:color w:val="auto"/>
          <w:lang w:val="en-US" w:eastAsia="zh-CN"/>
        </w:rPr>
        <w:t>②该项目实际签订了其他服务合同共7份，主要包括《技术咨询合同》《</w:t>
      </w:r>
      <w:r>
        <w:rPr>
          <w:rFonts w:hint="default" w:ascii="Times New Roman" w:hAnsi="Times New Roman" w:cs="Times New Roman"/>
          <w:color w:val="auto"/>
          <w:lang w:val="en-US" w:eastAsia="zh-CN"/>
        </w:rPr>
        <w:t>监理</w:t>
      </w:r>
      <w:r>
        <w:rPr>
          <w:rFonts w:hint="default"/>
          <w:color w:val="auto"/>
          <w:lang w:val="en-US" w:eastAsia="zh-CN"/>
        </w:rPr>
        <w:t>合同》《测绘合同》《建设工程勘察合同》《建设工程造价咨询合同》《建设工程设计合同》《基本建设项目委托审计业务竣工财务决算审计合同书》。截至本次绩效评价期间，项目实施单位未提供以上七项服务合同的政府采购过程资料。</w:t>
      </w:r>
    </w:p>
    <w:p w14:paraId="28082303">
      <w:pPr>
        <w:spacing w:line="360" w:lineRule="auto"/>
        <w:ind w:firstLine="420"/>
        <w:rPr>
          <w:rFonts w:hint="default"/>
          <w:color w:val="auto"/>
          <w:lang w:val="en-US" w:eastAsia="zh-CN"/>
        </w:rPr>
      </w:pPr>
      <w:r>
        <w:rPr>
          <w:rFonts w:hint="default"/>
          <w:color w:val="auto"/>
          <w:lang w:val="en-US" w:eastAsia="zh-CN"/>
        </w:rPr>
        <w:t>③根据项目实施单位提供的《关于吉木萨尔县二工镇大泉湖村2024年以工代赈基础设施建设项目劳务工人数量的情况说明》：“劳务工人均为吉木萨尔县二工镇大泉湖村人员，主要从事了吉木萨尔县二工镇大泉湖村2024年以工代赈基础设施建设项目工作，如钢筋工、司泵工、模板工、机械等工作，统计数据来源于新疆大诚众昌建筑劳务有限公司吉木萨尔县分公司登记及企业报备信息”。</w:t>
      </w:r>
      <w:r>
        <w:rPr>
          <w:rFonts w:hint="default"/>
          <w:color w:val="auto"/>
          <w:highlight w:val="none"/>
          <w:lang w:val="en-US" w:eastAsia="zh-CN"/>
        </w:rPr>
        <w:t>截至2025年6月30日，项目实施单位未能提供</w:t>
      </w:r>
      <w:r>
        <w:rPr>
          <w:rFonts w:hint="default"/>
          <w:color w:val="auto"/>
          <w:lang w:val="en-US" w:eastAsia="zh-CN"/>
        </w:rPr>
        <w:t>《国家以工代赈管理办法》中第二十九条规</w:t>
      </w:r>
      <w:r>
        <w:rPr>
          <w:rFonts w:hint="eastAsia"/>
          <w:color w:val="auto"/>
          <w:lang w:val="en-US" w:eastAsia="zh-CN"/>
        </w:rPr>
        <w:t>定的</w:t>
      </w:r>
      <w:r>
        <w:rPr>
          <w:rFonts w:hint="default"/>
          <w:color w:val="auto"/>
          <w:lang w:val="en-US" w:eastAsia="zh-CN"/>
        </w:rPr>
        <w:t>“业主单位应与项目所在乡镇人民政府、村民委员会和施工单位建立劳务沟通协调机制，督促施工单位与务工群众签订劳务合同（协议）”等相关工作资料。</w:t>
      </w:r>
    </w:p>
    <w:p w14:paraId="0F24EFB6">
      <w:pPr>
        <w:spacing w:line="360" w:lineRule="auto"/>
        <w:ind w:firstLine="420"/>
        <w:rPr>
          <w:rFonts w:hint="default"/>
          <w:color w:val="auto"/>
          <w:lang w:val="en-US" w:eastAsia="zh-CN"/>
        </w:rPr>
      </w:pPr>
      <w:r>
        <w:rPr>
          <w:rFonts w:hint="default"/>
          <w:color w:val="auto"/>
          <w:lang w:val="en-US" w:eastAsia="zh-CN"/>
        </w:rPr>
        <w:t>④截至本次绩效评价期间，项目尚未按照《国家以工代赈管理办法》规定通过县级发展改革部门的验收。</w:t>
      </w:r>
    </w:p>
    <w:p w14:paraId="5ED0748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ascii="Times New Roman" w:hAnsi="Times New Roman" w:cs="Times New Roman"/>
          <w:b/>
          <w:bCs/>
          <w:color w:val="auto"/>
          <w:highlight w:val="none"/>
          <w:lang w:val="en-US" w:eastAsia="zh-CN"/>
        </w:rPr>
      </w:pPr>
      <w:r>
        <w:rPr>
          <w:rFonts w:hint="default" w:cs="Times New Roman"/>
          <w:b/>
          <w:bCs/>
          <w:color w:val="auto"/>
          <w:highlight w:val="none"/>
          <w:lang w:val="en-US" w:eastAsia="zh-CN"/>
        </w:rPr>
        <w:t>3</w:t>
      </w:r>
      <w:r>
        <w:rPr>
          <w:rFonts w:hint="default" w:ascii="Times New Roman" w:hAnsi="Times New Roman" w:cs="Times New Roman"/>
          <w:b/>
          <w:bCs/>
          <w:color w:val="auto"/>
          <w:highlight w:val="none"/>
          <w:lang w:val="en-US" w:eastAsia="zh-CN"/>
        </w:rPr>
        <w:t>.</w:t>
      </w:r>
      <w:r>
        <w:rPr>
          <w:rFonts w:hint="default" w:cs="Times New Roman"/>
          <w:b/>
          <w:bCs/>
          <w:color w:val="auto"/>
          <w:highlight w:val="none"/>
          <w:lang w:val="en-US" w:eastAsia="zh-CN"/>
        </w:rPr>
        <w:t>项目尚</w:t>
      </w:r>
      <w:r>
        <w:rPr>
          <w:rFonts w:hint="default" w:ascii="Times New Roman" w:hAnsi="Times New Roman" w:cs="Times New Roman"/>
          <w:b/>
          <w:bCs/>
          <w:color w:val="auto"/>
          <w:highlight w:val="none"/>
          <w:lang w:val="en-US" w:eastAsia="zh-CN"/>
        </w:rPr>
        <w:t>未</w:t>
      </w:r>
      <w:r>
        <w:rPr>
          <w:rFonts w:hint="default" w:cs="Times New Roman"/>
          <w:b/>
          <w:bCs/>
          <w:color w:val="auto"/>
          <w:highlight w:val="none"/>
          <w:lang w:val="en-US" w:eastAsia="zh-CN"/>
        </w:rPr>
        <w:t>及时履行资产移交手续，并</w:t>
      </w:r>
      <w:r>
        <w:rPr>
          <w:rFonts w:hint="default" w:ascii="Times New Roman" w:hAnsi="Times New Roman" w:cs="Times New Roman"/>
          <w:b/>
          <w:bCs/>
          <w:color w:val="auto"/>
          <w:highlight w:val="none"/>
          <w:lang w:val="en-US" w:eastAsia="zh-CN"/>
        </w:rPr>
        <w:t>建立相关后期管护制度</w:t>
      </w:r>
    </w:p>
    <w:p w14:paraId="6B80567B">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color w:val="auto"/>
          <w:lang w:eastAsia="zh-CN"/>
        </w:rPr>
      </w:pPr>
      <w:r>
        <w:rPr>
          <w:rFonts w:hint="default"/>
          <w:color w:val="auto"/>
          <w:highlight w:val="none"/>
          <w:lang w:val="en-US" w:eastAsia="zh-CN"/>
        </w:rPr>
        <w:t>根据项目实施单位提供的《关于吉木萨尔县二工镇大泉湖村2024年以工代赈基础设施建设项目资产移交及运营养护的情况说明》显示，该项目建成后将移交至大泉湖村村集体养护，运营。</w:t>
      </w:r>
      <w:r>
        <w:rPr>
          <w:rFonts w:hint="default"/>
          <w:color w:val="auto"/>
          <w:highlight w:val="none"/>
          <w:lang w:eastAsia="zh-CN"/>
        </w:rPr>
        <w:t>截至</w:t>
      </w:r>
      <w:r>
        <w:rPr>
          <w:rFonts w:hint="default"/>
          <w:color w:val="auto"/>
          <w:highlight w:val="none"/>
        </w:rPr>
        <w:t>2025年6月30日，</w:t>
      </w:r>
      <w:r>
        <w:rPr>
          <w:rFonts w:hint="default"/>
          <w:color w:val="auto"/>
          <w:highlight w:val="none"/>
          <w:lang w:val="en-US" w:eastAsia="zh-CN"/>
        </w:rPr>
        <w:t>尚未按照</w:t>
      </w:r>
      <w:r>
        <w:rPr>
          <w:rFonts w:hint="default"/>
          <w:color w:val="auto"/>
        </w:rPr>
        <w:t>《国家乡村振兴局</w:t>
      </w:r>
      <w:r>
        <w:rPr>
          <w:rFonts w:hint="default"/>
          <w:color w:val="auto"/>
          <w:lang w:eastAsia="zh-CN"/>
        </w:rPr>
        <w:t>、</w:t>
      </w:r>
      <w:r>
        <w:rPr>
          <w:rFonts w:hint="default"/>
          <w:color w:val="auto"/>
        </w:rPr>
        <w:t>中央农办</w:t>
      </w:r>
      <w:r>
        <w:rPr>
          <w:rFonts w:hint="default"/>
          <w:color w:val="auto"/>
          <w:lang w:eastAsia="zh-CN"/>
        </w:rPr>
        <w:t>、</w:t>
      </w:r>
      <w:r>
        <w:rPr>
          <w:rFonts w:hint="default"/>
          <w:color w:val="auto"/>
        </w:rPr>
        <w:t>财政部</w:t>
      </w:r>
      <w:r>
        <w:rPr>
          <w:rFonts w:hint="default"/>
          <w:color w:val="auto"/>
          <w:lang w:val="en-US" w:eastAsia="zh-CN"/>
        </w:rPr>
        <w:t>&lt;</w:t>
      </w:r>
      <w:r>
        <w:rPr>
          <w:rFonts w:hint="default"/>
          <w:color w:val="auto"/>
        </w:rPr>
        <w:t>关于加强扶贫项目资产后续管理指导意见</w:t>
      </w:r>
      <w:r>
        <w:rPr>
          <w:rFonts w:hint="default"/>
          <w:color w:val="auto"/>
          <w:lang w:val="en-US" w:eastAsia="zh-CN"/>
        </w:rPr>
        <w:t>&gt;</w:t>
      </w:r>
      <w:r>
        <w:rPr>
          <w:rFonts w:hint="default"/>
          <w:color w:val="auto"/>
        </w:rPr>
        <w:t>的通知》（国办函〔2021〕51号）工作要求对已完工的项目按照行业相关要求进行确权和管理，</w:t>
      </w:r>
      <w:r>
        <w:rPr>
          <w:rFonts w:hint="default"/>
          <w:color w:val="auto"/>
          <w:lang w:val="en-US" w:eastAsia="zh-CN"/>
        </w:rPr>
        <w:t>并</w:t>
      </w:r>
      <w:r>
        <w:rPr>
          <w:rFonts w:hint="default"/>
          <w:color w:val="auto"/>
        </w:rPr>
        <w:t>建立相关后期管护制度</w:t>
      </w:r>
      <w:r>
        <w:rPr>
          <w:rFonts w:hint="default"/>
          <w:color w:val="auto"/>
          <w:lang w:eastAsia="zh-CN"/>
        </w:rPr>
        <w:t>。</w:t>
      </w:r>
    </w:p>
    <w:p w14:paraId="361FE086">
      <w:pPr>
        <w:pStyle w:val="2"/>
        <w:pageBreakBefore w:val="0"/>
        <w:kinsoku/>
        <w:wordWrap/>
        <w:overflowPunct/>
        <w:topLinePunct w:val="0"/>
        <w:autoSpaceDE/>
        <w:autoSpaceDN/>
        <w:bidi w:val="0"/>
        <w:snapToGrid w:val="0"/>
        <w:spacing w:before="0" w:after="0" w:line="360" w:lineRule="auto"/>
        <w:ind w:firstLine="482"/>
        <w:rPr>
          <w:color w:val="auto"/>
        </w:rPr>
      </w:pPr>
      <w:bookmarkStart w:id="91" w:name="_Toc24979"/>
      <w:bookmarkStart w:id="92" w:name="_Toc8112"/>
      <w:bookmarkStart w:id="93" w:name="_Toc15177"/>
      <w:bookmarkStart w:id="94" w:name="_Toc13947"/>
      <w:r>
        <w:rPr>
          <w:rFonts w:hint="default"/>
          <w:color w:val="auto"/>
        </w:rPr>
        <w:t>七</w:t>
      </w:r>
      <w:r>
        <w:rPr>
          <w:color w:val="auto"/>
        </w:rPr>
        <w:t>、有关建议</w:t>
      </w:r>
      <w:bookmarkEnd w:id="91"/>
      <w:bookmarkEnd w:id="92"/>
      <w:bookmarkEnd w:id="93"/>
      <w:bookmarkEnd w:id="94"/>
    </w:p>
    <w:p w14:paraId="55306DDD">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eastAsiaTheme="minorEastAsia"/>
          <w:b/>
          <w:bCs/>
          <w:color w:val="auto"/>
          <w:lang w:val="en-US" w:eastAsia="zh-CN"/>
        </w:rPr>
      </w:pPr>
      <w:r>
        <w:rPr>
          <w:rFonts w:hint="default" w:ascii="Times New Roman" w:hAnsi="Times New Roman" w:cs="Times New Roman"/>
          <w:b/>
          <w:bCs/>
          <w:color w:val="auto"/>
          <w:lang w:val="en-US" w:eastAsia="zh-CN"/>
        </w:rPr>
        <w:t>1.</w:t>
      </w:r>
      <w:r>
        <w:rPr>
          <w:rFonts w:hint="default" w:ascii="Times New Roman" w:hAnsi="Times New Roman" w:eastAsia="宋体" w:cs="Times New Roman"/>
          <w:b/>
          <w:bCs/>
          <w:color w:val="auto"/>
          <w:kern w:val="2"/>
          <w:sz w:val="21"/>
          <w:szCs w:val="21"/>
          <w:highlight w:val="none"/>
          <w:lang w:val="en-US" w:eastAsia="zh-CN" w:bidi="ar-SA"/>
        </w:rPr>
        <w:t>加强资金使用管理，强化</w:t>
      </w:r>
      <w:r>
        <w:rPr>
          <w:rFonts w:hint="default" w:eastAsia="宋体" w:cs="Times New Roman"/>
          <w:b/>
          <w:bCs/>
          <w:color w:val="auto"/>
          <w:kern w:val="2"/>
          <w:sz w:val="21"/>
          <w:szCs w:val="21"/>
          <w:highlight w:val="none"/>
          <w:lang w:val="en-US" w:eastAsia="zh-CN" w:bidi="ar-SA"/>
        </w:rPr>
        <w:t>会计核算规范性</w:t>
      </w:r>
    </w:p>
    <w:p w14:paraId="3F7BFCB7">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color w:val="auto"/>
        </w:rPr>
      </w:pPr>
      <w:r>
        <w:rPr>
          <w:rFonts w:hint="default" w:ascii="Times New Roman" w:hAnsi="Times New Roman" w:eastAsia="宋体" w:cs="Times New Roman"/>
          <w:color w:val="auto"/>
          <w:highlight w:val="none"/>
        </w:rPr>
        <w:t>建议</w:t>
      </w:r>
      <w:r>
        <w:rPr>
          <w:rFonts w:hint="default" w:ascii="Times New Roman" w:hAnsi="Times New Roman" w:eastAsia="宋体" w:cs="Times New Roman"/>
          <w:color w:val="auto"/>
          <w:highlight w:val="none"/>
          <w:lang w:val="en-US" w:eastAsia="zh-CN"/>
        </w:rPr>
        <w:t>实施</w:t>
      </w:r>
      <w:r>
        <w:rPr>
          <w:rFonts w:hint="default" w:ascii="Times New Roman" w:hAnsi="Times New Roman" w:eastAsia="宋体" w:cs="Times New Roman"/>
          <w:color w:val="auto"/>
          <w:highlight w:val="none"/>
        </w:rPr>
        <w:t>项目单位严格按照国家财经法规和财务管理制度相关规定</w:t>
      </w:r>
      <w:r>
        <w:rPr>
          <w:rFonts w:hint="default" w:ascii="Times New Roman" w:hAnsi="Times New Roman" w:eastAsia="宋体" w:cs="Times New Roman"/>
          <w:color w:val="auto"/>
          <w:highlight w:val="none"/>
          <w:lang w:val="en-US" w:eastAsia="zh-CN"/>
        </w:rPr>
        <w:t>管理使用</w:t>
      </w:r>
      <w:r>
        <w:rPr>
          <w:rFonts w:hint="default" w:eastAsia="宋体" w:cs="Times New Roman"/>
          <w:color w:val="auto"/>
          <w:highlight w:val="none"/>
          <w:lang w:val="en-US" w:eastAsia="zh-CN"/>
        </w:rPr>
        <w:t>专项</w:t>
      </w:r>
      <w:r>
        <w:rPr>
          <w:rFonts w:hint="default" w:ascii="Times New Roman" w:hAnsi="Times New Roman" w:eastAsia="宋体" w:cs="Times New Roman"/>
          <w:color w:val="auto"/>
          <w:highlight w:val="none"/>
          <w:lang w:val="en-US" w:eastAsia="zh-CN"/>
        </w:rPr>
        <w:t>资金</w:t>
      </w:r>
      <w:r>
        <w:rPr>
          <w:rFonts w:hint="default" w:ascii="Times New Roman" w:hAnsi="Times New Roman" w:eastAsia="宋体" w:cs="Times New Roman"/>
          <w:color w:val="auto"/>
          <w:highlight w:val="none"/>
        </w:rPr>
        <w:t>，确保各岗位审批职责落实到位，规范开展财务支出审批程序</w:t>
      </w:r>
      <w:r>
        <w:rPr>
          <w:rFonts w:hint="default" w:ascii="Times New Roman" w:hAnsi="Times New Roman" w:eastAsia="宋体" w:cs="Times New Roman"/>
          <w:color w:val="auto"/>
          <w:highlight w:val="none"/>
          <w:lang w:eastAsia="zh-CN"/>
        </w:rPr>
        <w:t>，</w:t>
      </w:r>
      <w:r>
        <w:rPr>
          <w:rFonts w:hint="default" w:eastAsia="宋体" w:cs="Times New Roman"/>
          <w:color w:val="auto"/>
          <w:highlight w:val="none"/>
          <w:lang w:val="en-US" w:eastAsia="zh-CN"/>
        </w:rPr>
        <w:t>并按照</w:t>
      </w:r>
      <w:r>
        <w:rPr>
          <w:rFonts w:hint="default" w:eastAsia="宋体" w:cs="Times New Roman"/>
          <w:color w:val="auto"/>
          <w:sz w:val="21"/>
          <w:szCs w:val="21"/>
          <w:highlight w:val="none"/>
          <w:lang w:val="en-US" w:eastAsia="zh-CN"/>
        </w:rPr>
        <w:t>《政府会计准则》《会计基础工作规范》等财务法规要求规范开展基建项目支出的财务会计核算。</w:t>
      </w:r>
      <w:r>
        <w:rPr>
          <w:rFonts w:hint="default" w:ascii="Times New Roman" w:hAnsi="Times New Roman" w:eastAsia="宋体" w:cs="Times New Roman"/>
          <w:color w:val="auto"/>
          <w:highlight w:val="none"/>
        </w:rPr>
        <w:t>加强单位内部监督检查力度，对经济业务活动进行全面检查和评估，及时发现</w:t>
      </w:r>
      <w:r>
        <w:rPr>
          <w:rFonts w:hint="default" w:ascii="Times New Roman" w:hAnsi="Times New Roman" w:eastAsia="宋体" w:cs="Times New Roman"/>
          <w:color w:val="auto"/>
          <w:highlight w:val="none"/>
          <w:lang w:val="en-US" w:eastAsia="zh-CN"/>
        </w:rPr>
        <w:t>并整改存在的问题</w:t>
      </w:r>
      <w:r>
        <w:rPr>
          <w:rFonts w:hint="default" w:ascii="Times New Roman" w:hAnsi="Times New Roman" w:eastAsia="宋体" w:cs="Times New Roman"/>
          <w:color w:val="auto"/>
          <w:highlight w:val="none"/>
        </w:rPr>
        <w:t>，严肃财经纪律</w:t>
      </w:r>
      <w:r>
        <w:rPr>
          <w:rFonts w:hint="default" w:ascii="Times New Roman" w:hAnsi="Times New Roman" w:eastAsia="宋体" w:cs="Times New Roman"/>
          <w:color w:val="auto"/>
          <w:highlight w:val="none"/>
          <w:lang w:eastAsia="zh-CN"/>
        </w:rPr>
        <w:t>，</w:t>
      </w:r>
      <w:r>
        <w:rPr>
          <w:rFonts w:hint="default" w:ascii="Times New Roman" w:hAnsi="Times New Roman" w:eastAsia="宋体" w:cs="Times New Roman"/>
          <w:b w:val="0"/>
          <w:bCs w:val="0"/>
          <w:color w:val="auto"/>
          <w:kern w:val="2"/>
          <w:sz w:val="21"/>
          <w:szCs w:val="21"/>
          <w:highlight w:val="none"/>
          <w:lang w:val="en-US" w:eastAsia="zh-CN" w:bidi="ar-SA"/>
        </w:rPr>
        <w:t>确保专项资金使用合规、安全</w:t>
      </w:r>
      <w:r>
        <w:rPr>
          <w:rFonts w:hint="default" w:ascii="Times New Roman" w:hAnsi="Times New Roman" w:cs="Times New Roman"/>
          <w:color w:val="auto"/>
        </w:rPr>
        <w:t>。</w:t>
      </w:r>
    </w:p>
    <w:p w14:paraId="60EF03E5">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cs="Times New Roman"/>
          <w:b/>
          <w:bCs/>
          <w:color w:val="auto"/>
          <w:lang w:val="en-US" w:eastAsia="zh-CN"/>
        </w:rPr>
      </w:pPr>
      <w:r>
        <w:rPr>
          <w:rFonts w:hint="default" w:cs="Times New Roman"/>
          <w:b/>
          <w:bCs/>
          <w:color w:val="auto"/>
          <w:lang w:val="en-US" w:eastAsia="zh-CN"/>
        </w:rPr>
        <w:t>2.加强项目合同管理及采购管理规范性</w:t>
      </w:r>
    </w:p>
    <w:p w14:paraId="2CCE8EBD">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color w:val="auto"/>
          <w:highlight w:val="none"/>
          <w:lang w:eastAsia="zh-Hans"/>
        </w:rPr>
      </w:pPr>
      <w:r>
        <w:rPr>
          <w:rFonts w:hint="default" w:ascii="Times New Roman" w:hAnsi="Times New Roman" w:cs="Times New Roman" w:eastAsiaTheme="minorEastAsia"/>
          <w:color w:val="auto"/>
          <w:sz w:val="21"/>
          <w:szCs w:val="21"/>
          <w:highlight w:val="none"/>
        </w:rPr>
        <w:t>建议项目实施单位</w:t>
      </w:r>
      <w:r>
        <w:rPr>
          <w:rFonts w:hint="default" w:ascii="Times New Roman" w:hAnsi="Times New Roman" w:cs="Times New Roman"/>
          <w:color w:val="auto"/>
          <w:sz w:val="21"/>
          <w:szCs w:val="21"/>
          <w:highlight w:val="none"/>
          <w:lang w:eastAsia="zh-CN"/>
        </w:rPr>
        <w:t>：</w:t>
      </w:r>
      <w:r>
        <w:rPr>
          <w:rFonts w:hint="default" w:ascii="Times New Roman" w:hAnsi="Times New Roman" w:cs="Times New Roman"/>
          <w:color w:val="auto"/>
          <w:sz w:val="21"/>
          <w:szCs w:val="21"/>
          <w:highlight w:val="none"/>
          <w:lang w:val="en-US" w:eastAsia="zh-CN"/>
        </w:rPr>
        <w:t>一是</w:t>
      </w:r>
      <w:r>
        <w:rPr>
          <w:rFonts w:hint="default" w:ascii="Times New Roman" w:hAnsi="Times New Roman" w:cs="Times New Roman"/>
          <w:color w:val="auto"/>
          <w:highlight w:val="none"/>
          <w:lang w:eastAsia="zh-Hans"/>
        </w:rPr>
        <w:t>加强采购管理，按照政府采购</w:t>
      </w:r>
      <w:r>
        <w:rPr>
          <w:rFonts w:hint="default" w:ascii="Times New Roman" w:hAnsi="Times New Roman" w:cs="Times New Roman"/>
          <w:color w:val="auto"/>
          <w:highlight w:val="none"/>
          <w:lang w:val="en-US" w:eastAsia="zh-CN"/>
        </w:rPr>
        <w:t>管理</w:t>
      </w:r>
      <w:r>
        <w:rPr>
          <w:rFonts w:hint="default" w:ascii="Times New Roman" w:hAnsi="Times New Roman" w:cs="Times New Roman"/>
          <w:color w:val="auto"/>
          <w:highlight w:val="none"/>
          <w:lang w:eastAsia="zh-Hans"/>
        </w:rPr>
        <w:t>相关规定选定合适的采购方式，按规定履行采购流程，确保政府采购活动完整规范。</w:t>
      </w:r>
      <w:r>
        <w:rPr>
          <w:rFonts w:hint="default" w:ascii="Times New Roman" w:hAnsi="Times New Roman" w:cs="Times New Roman"/>
          <w:color w:val="auto"/>
          <w:highlight w:val="none"/>
          <w:lang w:val="en-US" w:eastAsia="zh-CN"/>
        </w:rPr>
        <w:t>二是</w:t>
      </w:r>
      <w:r>
        <w:rPr>
          <w:rFonts w:hint="default" w:ascii="Times New Roman" w:hAnsi="Times New Roman" w:cs="Times New Roman"/>
          <w:color w:val="auto"/>
          <w:highlight w:val="none"/>
          <w:lang w:eastAsia="zh-Hans"/>
        </w:rPr>
        <w:t>强化合同管理意识，规范合同决策程序。指定专人负责合同管理，明确合同订立范围和条件，在合同签订前履行集体决策程序。加大合同审查力度，防范合同风险。对合同的内容、重要事项、期限等进行审核把关，确保合同要素齐全、条款</w:t>
      </w:r>
      <w:r>
        <w:rPr>
          <w:rFonts w:hint="default" w:ascii="Times New Roman" w:hAnsi="Times New Roman" w:cs="Times New Roman" w:eastAsiaTheme="minorEastAsia"/>
          <w:color w:val="auto"/>
          <w:sz w:val="21"/>
          <w:szCs w:val="21"/>
          <w:highlight w:val="none"/>
        </w:rPr>
        <w:t>合规。加强合同过程管理，健全合同履行监控机制。财务与业务部门应定期沟通协调，严格按照合同约定进度支付资金，对合同履行情况进行全过程跟踪，发现违约或延期行为应及时采取措施，提高财政资金使用效益。</w:t>
      </w:r>
    </w:p>
    <w:p w14:paraId="08CB3B37">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default"/>
          <w:b/>
          <w:bCs/>
          <w:color w:val="auto"/>
          <w:lang w:val="en-US" w:eastAsia="zh-CN"/>
        </w:rPr>
      </w:pPr>
      <w:r>
        <w:rPr>
          <w:rFonts w:hint="default"/>
          <w:b/>
          <w:bCs/>
          <w:color w:val="auto"/>
          <w:lang w:val="en-US" w:eastAsia="zh-CN"/>
        </w:rPr>
        <w:t>3.进一步规范和加强以工代赈项目管理，确保“赈”出实效</w:t>
      </w:r>
    </w:p>
    <w:p w14:paraId="29A4CB07">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rPr>
          <w:rFonts w:hint="default"/>
          <w:color w:val="auto"/>
          <w:lang w:val="en-US" w:eastAsia="zh-CN"/>
        </w:rPr>
      </w:pPr>
      <w:r>
        <w:rPr>
          <w:rFonts w:hint="default"/>
          <w:color w:val="auto"/>
          <w:lang w:val="en-US" w:eastAsia="zh-CN"/>
        </w:rPr>
        <w:t>建议相关主管部门严格按照《国家以工代赈管理办法》等政策要求落实好以工代赈的管理职责，建立健全以工代赈计划执行监测机制，实行定期调度、动态监测，督促指导项目管理使用好以工代赈专项资金投入，确保严格按照专项计划文件明确的劳务报酬占中央资金比例要求做好劳务报酬发放工作，尽最大可能提高以工代赈项目劳务报酬占财政资金的比例；项目实施完成后，项目各方应积极主动沟通协调部门组成验收工作组，重点对项目建设质量、群众务工组织、劳务报酬发放、就业技能培训等落实情况开展验收，并对项目发挥“赈”的作用效果进行评价，确保“赈”出实效。</w:t>
      </w:r>
    </w:p>
    <w:p w14:paraId="3A7E4BAD">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b/>
          <w:bCs/>
          <w:color w:val="auto"/>
          <w:highlight w:val="none"/>
          <w:lang w:val="en-US" w:eastAsia="zh-Hans"/>
        </w:rPr>
      </w:pPr>
      <w:r>
        <w:rPr>
          <w:rFonts w:hint="default" w:cs="Times New Roman"/>
          <w:b/>
          <w:bCs/>
          <w:color w:val="auto"/>
          <w:highlight w:val="none"/>
          <w:lang w:val="en-US" w:eastAsia="zh-CN"/>
        </w:rPr>
        <w:t>4</w:t>
      </w:r>
      <w:r>
        <w:rPr>
          <w:rFonts w:hint="default" w:ascii="Times New Roman" w:hAnsi="Times New Roman" w:cs="Times New Roman"/>
          <w:b/>
          <w:bCs/>
          <w:color w:val="auto"/>
          <w:highlight w:val="none"/>
          <w:lang w:val="en-US" w:eastAsia="zh-Hans"/>
        </w:rPr>
        <w:t>.</w:t>
      </w:r>
      <w:r>
        <w:rPr>
          <w:rFonts w:hint="default" w:cs="Times New Roman"/>
          <w:b/>
          <w:bCs/>
          <w:color w:val="auto"/>
          <w:highlight w:val="none"/>
          <w:lang w:val="en-US" w:eastAsia="zh-CN"/>
        </w:rPr>
        <w:t>做好项目资产的登记入账和移交工作，</w:t>
      </w:r>
      <w:r>
        <w:rPr>
          <w:rFonts w:hint="default" w:ascii="Times New Roman" w:hAnsi="Times New Roman" w:cs="Times New Roman"/>
          <w:b/>
          <w:bCs/>
          <w:color w:val="auto"/>
          <w:highlight w:val="none"/>
          <w:lang w:val="en-US" w:eastAsia="zh-Hans"/>
        </w:rPr>
        <w:t>落实</w:t>
      </w:r>
      <w:r>
        <w:rPr>
          <w:rFonts w:hint="default" w:ascii="Times New Roman" w:hAnsi="Times New Roman" w:cs="Times New Roman"/>
          <w:b/>
          <w:bCs/>
          <w:color w:val="auto"/>
          <w:highlight w:val="none"/>
          <w:lang w:val="en-US" w:eastAsia="zh-CN"/>
        </w:rPr>
        <w:t>项目</w:t>
      </w:r>
      <w:r>
        <w:rPr>
          <w:rFonts w:hint="default" w:ascii="Times New Roman" w:hAnsi="Times New Roman" w:cs="Times New Roman"/>
          <w:b/>
          <w:bCs/>
          <w:color w:val="auto"/>
          <w:highlight w:val="none"/>
          <w:lang w:val="en-US" w:eastAsia="zh-Hans"/>
        </w:rPr>
        <w:t>后</w:t>
      </w:r>
      <w:r>
        <w:rPr>
          <w:rFonts w:hint="default" w:cs="Times New Roman"/>
          <w:b/>
          <w:bCs/>
          <w:color w:val="auto"/>
          <w:highlight w:val="none"/>
          <w:lang w:val="en-US" w:eastAsia="zh-CN"/>
        </w:rPr>
        <w:t>期的管护机制</w:t>
      </w:r>
    </w:p>
    <w:p w14:paraId="2DC04E7A">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s="Times New Roman"/>
          <w:color w:val="auto"/>
          <w:highlight w:val="none"/>
          <w:lang w:eastAsia="zh-Hans"/>
        </w:rPr>
      </w:pPr>
      <w:r>
        <w:rPr>
          <w:rFonts w:hint="default" w:ascii="Times New Roman" w:hAnsi="Times New Roman" w:eastAsia="宋体" w:cs="Times New Roman"/>
          <w:color w:val="auto"/>
          <w:sz w:val="21"/>
          <w:szCs w:val="21"/>
          <w:highlight w:val="none"/>
          <w:lang w:val="en-US" w:eastAsia="zh-CN"/>
        </w:rPr>
        <w:t>建议</w:t>
      </w:r>
      <w:r>
        <w:rPr>
          <w:rFonts w:hint="default" w:ascii="Times New Roman" w:hAnsi="Times New Roman" w:eastAsia="宋体" w:cs="Times New Roman"/>
          <w:color w:val="auto"/>
          <w:sz w:val="21"/>
          <w:szCs w:val="21"/>
          <w:highlight w:val="none"/>
        </w:rPr>
        <w:t>项目实施单位依据《政府会计准则第3号——固定资产》《行政事业性国有资产管理条例》《新疆维吾尔自治区行政事业单位国有资产管理办法</w:t>
      </w:r>
      <w:r>
        <w:rPr>
          <w:rFonts w:hint="default" w:eastAsia="宋体" w:cs="Times New Roman"/>
          <w:color w:val="auto"/>
          <w:sz w:val="21"/>
          <w:szCs w:val="21"/>
          <w:highlight w:val="none"/>
          <w:lang w:eastAsia="zh-CN"/>
        </w:rPr>
        <w:t>》等</w:t>
      </w:r>
      <w:r>
        <w:rPr>
          <w:rFonts w:hint="default" w:ascii="Times New Roman" w:hAnsi="Times New Roman" w:eastAsia="宋体" w:cs="Times New Roman"/>
          <w:color w:val="auto"/>
          <w:sz w:val="21"/>
          <w:szCs w:val="21"/>
          <w:highlight w:val="none"/>
        </w:rPr>
        <w:t>相关规定，尽快完成项目会计核算并将其计入固定资产。</w:t>
      </w:r>
      <w:r>
        <w:rPr>
          <w:rFonts w:hint="default" w:ascii="Times New Roman" w:hAnsi="Times New Roman" w:eastAsia="宋体" w:cs="Times New Roman"/>
          <w:color w:val="auto"/>
          <w:sz w:val="21"/>
          <w:szCs w:val="21"/>
          <w:highlight w:val="none"/>
          <w:lang w:val="en-US" w:eastAsia="zh-CN"/>
        </w:rPr>
        <w:t>并</w:t>
      </w:r>
      <w:r>
        <w:rPr>
          <w:rFonts w:hint="default" w:eastAsia="宋体" w:cs="Times New Roman"/>
          <w:color w:val="auto"/>
          <w:sz w:val="21"/>
          <w:szCs w:val="21"/>
          <w:highlight w:val="none"/>
          <w:lang w:val="en-US" w:eastAsia="zh-CN"/>
        </w:rPr>
        <w:t>按照</w:t>
      </w:r>
      <w:r>
        <w:rPr>
          <w:rFonts w:hint="default" w:ascii="Times New Roman" w:hAnsi="Times New Roman" w:cs="Times New Roman"/>
          <w:color w:val="auto"/>
          <w:highlight w:val="none"/>
          <w:lang w:eastAsia="zh-Hans"/>
        </w:rPr>
        <w:t>《关于加强扶贫项目资产后续管理指导意见的通知》（国办函〔2021〕51号）政策要求及时办理</w:t>
      </w:r>
      <w:r>
        <w:rPr>
          <w:rFonts w:hint="default" w:cs="Times New Roman"/>
          <w:color w:val="auto"/>
          <w:highlight w:val="none"/>
          <w:lang w:val="en-US" w:eastAsia="zh-CN"/>
        </w:rPr>
        <w:t>资产</w:t>
      </w:r>
      <w:r>
        <w:rPr>
          <w:rFonts w:hint="default" w:ascii="Times New Roman" w:hAnsi="Times New Roman" w:cs="Times New Roman"/>
          <w:color w:val="auto"/>
          <w:highlight w:val="none"/>
          <w:lang w:eastAsia="zh-Hans"/>
        </w:rPr>
        <w:t>移交手续，</w:t>
      </w:r>
      <w:r>
        <w:rPr>
          <w:rFonts w:hint="default" w:cs="Times New Roman"/>
          <w:color w:val="auto"/>
          <w:highlight w:val="none"/>
          <w:lang w:val="en-US" w:eastAsia="zh-CN"/>
        </w:rPr>
        <w:t>督促项目运营维护单位</w:t>
      </w:r>
      <w:r>
        <w:rPr>
          <w:rFonts w:hint="default" w:ascii="Times New Roman" w:hAnsi="Times New Roman" w:cs="Times New Roman"/>
          <w:color w:val="auto"/>
          <w:highlight w:val="none"/>
          <w:lang w:eastAsia="zh-Hans"/>
        </w:rPr>
        <w:t>根据实际情况制定项目相关后期管护机制，提高管理效能，定期对所建成村组道路进行维修维护</w:t>
      </w:r>
      <w:r>
        <w:rPr>
          <w:rFonts w:hint="default" w:ascii="Times New Roman" w:hAnsi="Times New Roman" w:cs="Times New Roman"/>
          <w:color w:val="auto"/>
          <w:highlight w:val="none"/>
          <w:lang w:eastAsia="zh-CN"/>
        </w:rPr>
        <w:t>，</w:t>
      </w:r>
      <w:r>
        <w:rPr>
          <w:rFonts w:hint="default" w:ascii="Times New Roman" w:hAnsi="Times New Roman" w:cs="Times New Roman"/>
          <w:color w:val="auto"/>
          <w:highlight w:val="none"/>
          <w:lang w:eastAsia="zh-Hans"/>
        </w:rPr>
        <w:t>确保</w:t>
      </w:r>
      <w:r>
        <w:rPr>
          <w:rFonts w:hint="default" w:ascii="Times New Roman" w:hAnsi="Times New Roman" w:cs="Times New Roman"/>
          <w:color w:val="auto"/>
          <w:highlight w:val="none"/>
          <w:lang w:val="en-US" w:eastAsia="zh-CN"/>
        </w:rPr>
        <w:t>道</w:t>
      </w:r>
      <w:r>
        <w:rPr>
          <w:rFonts w:hint="default" w:ascii="Times New Roman" w:hAnsi="Times New Roman" w:cs="Times New Roman"/>
          <w:color w:val="auto"/>
          <w:highlight w:val="none"/>
          <w:lang w:eastAsia="zh-Hans"/>
        </w:rPr>
        <w:t>路完好畅通。</w:t>
      </w:r>
    </w:p>
    <w:p w14:paraId="507EDA24">
      <w:pPr>
        <w:keepNext/>
        <w:keepLines/>
        <w:pageBreakBefore w:val="0"/>
        <w:widowControl w:val="0"/>
        <w:numPr>
          <w:ilvl w:val="0"/>
          <w:numId w:val="3"/>
        </w:numPr>
        <w:kinsoku/>
        <w:wordWrap/>
        <w:overflowPunct/>
        <w:topLinePunct w:val="0"/>
        <w:autoSpaceDE/>
        <w:autoSpaceDN/>
        <w:bidi w:val="0"/>
        <w:adjustRightInd w:val="0"/>
        <w:snapToGrid w:val="0"/>
        <w:spacing w:before="0" w:after="0" w:line="360" w:lineRule="auto"/>
        <w:ind w:firstLine="482"/>
        <w:textAlignment w:val="auto"/>
        <w:outlineLvl w:val="0"/>
        <w:rPr>
          <w:rFonts w:hint="default" w:ascii="Times New Roman" w:hAnsi="Times New Roman" w:eastAsia="宋体" w:cs="Times New Roman"/>
          <w:b/>
          <w:bCs/>
          <w:color w:val="auto"/>
          <w:kern w:val="44"/>
          <w:sz w:val="24"/>
          <w:szCs w:val="44"/>
          <w:lang w:val="en-US" w:eastAsia="zh-CN" w:bidi="ar-SA"/>
        </w:rPr>
      </w:pPr>
      <w:bookmarkStart w:id="95" w:name="_Toc29200"/>
      <w:bookmarkStart w:id="96" w:name="_Toc12773"/>
      <w:bookmarkStart w:id="97" w:name="_Toc13243"/>
      <w:bookmarkStart w:id="98" w:name="_Toc32445"/>
      <w:r>
        <w:rPr>
          <w:rFonts w:hint="default" w:ascii="Times New Roman" w:hAnsi="Times New Roman" w:eastAsia="宋体" w:cs="Times New Roman"/>
          <w:b/>
          <w:bCs/>
          <w:color w:val="auto"/>
          <w:kern w:val="44"/>
          <w:sz w:val="24"/>
          <w:szCs w:val="44"/>
          <w:lang w:val="en-US" w:eastAsia="zh-CN" w:bidi="ar-SA"/>
        </w:rPr>
        <w:t>绩效评价结果应用建议</w:t>
      </w:r>
      <w:bookmarkEnd w:id="95"/>
      <w:bookmarkEnd w:id="96"/>
      <w:bookmarkEnd w:id="97"/>
    </w:p>
    <w:p w14:paraId="0C2B0C14">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1"/>
        <w:rPr>
          <w:rFonts w:hint="default" w:ascii="Times New Roman" w:hAnsi="Times New Roman" w:eastAsia="宋体" w:cs="Times New Roman"/>
          <w:b/>
          <w:bCs/>
          <w:color w:val="auto"/>
          <w:kern w:val="2"/>
          <w:sz w:val="21"/>
          <w:szCs w:val="21"/>
          <w:lang w:val="en-US" w:eastAsia="zh-CN" w:bidi="ar-SA"/>
        </w:rPr>
      </w:pPr>
      <w:bookmarkStart w:id="99" w:name="_Toc10431"/>
      <w:bookmarkStart w:id="100" w:name="_Toc11274"/>
      <w:bookmarkStart w:id="101" w:name="_Toc32318"/>
      <w:r>
        <w:rPr>
          <w:rFonts w:hint="default" w:ascii="Times New Roman" w:hAnsi="Times New Roman"/>
          <w:b/>
          <w:bCs/>
          <w:color w:val="auto"/>
          <w:lang w:val="en-US" w:eastAsia="zh-CN"/>
        </w:rPr>
        <w:t>（一）绩效结果挂钩次年预算资金安排</w:t>
      </w:r>
      <w:bookmarkEnd w:id="99"/>
      <w:bookmarkEnd w:id="100"/>
      <w:bookmarkEnd w:id="101"/>
    </w:p>
    <w:p w14:paraId="2F03D338">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eastAsia="宋体" w:cs="Times New Roman"/>
          <w:b w:val="0"/>
          <w:bCs w:val="0"/>
          <w:color w:val="auto"/>
          <w:kern w:val="2"/>
          <w:sz w:val="21"/>
          <w:szCs w:val="21"/>
          <w:lang w:val="en-US" w:eastAsia="zh-CN" w:bidi="ar-SA"/>
        </w:rPr>
        <w:t>为有效提高财政预算资金的经济性、效率性、效益性和公平性，建议将本次绩效评价结果作为预算单位次年预算编制的重要依据，并优化支出结构、完善相关办法、改进预算管理。</w:t>
      </w:r>
    </w:p>
    <w:p w14:paraId="61FF002B">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1"/>
        <w:rPr>
          <w:rFonts w:hint="default" w:ascii="Times New Roman" w:hAnsi="Times New Roman"/>
          <w:b/>
          <w:bCs/>
          <w:color w:val="auto"/>
          <w:lang w:val="en-US" w:eastAsia="zh-CN"/>
        </w:rPr>
      </w:pPr>
      <w:bookmarkStart w:id="102" w:name="_Toc18316"/>
      <w:bookmarkStart w:id="103" w:name="_Toc12255"/>
      <w:bookmarkStart w:id="104" w:name="_Toc18357"/>
      <w:r>
        <w:rPr>
          <w:rFonts w:hint="default" w:ascii="Times New Roman" w:hAnsi="Times New Roman"/>
          <w:b/>
          <w:bCs/>
          <w:color w:val="auto"/>
          <w:lang w:val="en-US" w:eastAsia="zh-CN"/>
        </w:rPr>
        <w:t>（二）绩效结果挂钩整改措施</w:t>
      </w:r>
      <w:bookmarkEnd w:id="102"/>
      <w:bookmarkEnd w:id="103"/>
      <w:bookmarkEnd w:id="104"/>
    </w:p>
    <w:p w14:paraId="6B9E2159">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color w:val="auto"/>
          <w:lang w:val="en-US" w:eastAsia="zh-CN"/>
        </w:rPr>
      </w:pPr>
      <w:r>
        <w:rPr>
          <w:rFonts w:hint="default" w:ascii="Times New Roman" w:hAnsi="Times New Roman"/>
          <w:color w:val="auto"/>
          <w:lang w:val="en-US" w:eastAsia="zh-CN"/>
        </w:rPr>
        <w:t>根据本次绩效评价报告中所反馈的问题和建议，由项目实施单位及时研究制定整改措施，积极落实整改要求，切实改进资金管理和项目管理，并在规定的时间内，将整改情况向吉木萨尔县财政局行文报告，并附《绩效评价结果整改报告》。</w:t>
      </w:r>
    </w:p>
    <w:p w14:paraId="4912AD68">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1"/>
        <w:rPr>
          <w:rFonts w:hint="default" w:ascii="Times New Roman" w:hAnsi="Times New Roman"/>
          <w:b/>
          <w:bCs/>
          <w:color w:val="auto"/>
          <w:lang w:val="en-US" w:eastAsia="zh-CN"/>
        </w:rPr>
      </w:pPr>
      <w:bookmarkStart w:id="105" w:name="_Toc24965"/>
      <w:bookmarkStart w:id="106" w:name="_Toc13337"/>
      <w:bookmarkStart w:id="107" w:name="_Toc9131"/>
      <w:r>
        <w:rPr>
          <w:rFonts w:hint="default" w:ascii="Times New Roman" w:hAnsi="Times New Roman"/>
          <w:b/>
          <w:bCs/>
          <w:color w:val="auto"/>
          <w:lang w:val="en-US" w:eastAsia="zh-CN"/>
        </w:rPr>
        <w:t>（三）绩效结果挂钩报告公开</w:t>
      </w:r>
      <w:bookmarkEnd w:id="105"/>
      <w:bookmarkEnd w:id="106"/>
      <w:bookmarkEnd w:id="107"/>
    </w:p>
    <w:p w14:paraId="7F252A9B">
      <w:pPr>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default" w:ascii="Times New Roman" w:hAnsi="Times New Roman" w:eastAsia="宋体" w:cs="Times New Roman"/>
          <w:b w:val="0"/>
          <w:bCs w:val="0"/>
          <w:color w:val="auto"/>
          <w:kern w:val="2"/>
          <w:sz w:val="21"/>
          <w:szCs w:val="21"/>
          <w:lang w:val="en-US" w:eastAsia="zh-CN" w:bidi="ar-SA"/>
        </w:rPr>
      </w:pPr>
      <w:r>
        <w:rPr>
          <w:rFonts w:hint="default" w:ascii="Times New Roman" w:hAnsi="Times New Roman"/>
          <w:color w:val="auto"/>
          <w:lang w:val="en-US" w:eastAsia="zh-CN"/>
        </w:rPr>
        <w:t>积极推进评价结果和评价报告</w:t>
      </w:r>
      <w:r>
        <w:rPr>
          <w:rFonts w:hint="default" w:ascii="Times New Roman" w:hAnsi="Times New Roman" w:eastAsia="宋体" w:cs="Times New Roman"/>
          <w:b w:val="0"/>
          <w:bCs w:val="0"/>
          <w:color w:val="auto"/>
          <w:kern w:val="2"/>
          <w:sz w:val="21"/>
          <w:szCs w:val="21"/>
          <w:lang w:val="en-US" w:eastAsia="zh-CN" w:bidi="ar-SA"/>
        </w:rPr>
        <w:t>等绩效信息的公开。按照政府信息公开有关规定，由吉木萨尔县财政局将本次绩效评价的结果信息进行公开，加强社会和舆论监督，提高财政资金使用透明度。</w:t>
      </w:r>
    </w:p>
    <w:p w14:paraId="5103BBA4">
      <w:pPr>
        <w:pStyle w:val="2"/>
        <w:pageBreakBefore w:val="0"/>
        <w:kinsoku/>
        <w:wordWrap/>
        <w:overflowPunct/>
        <w:topLinePunct w:val="0"/>
        <w:autoSpaceDE/>
        <w:autoSpaceDN/>
        <w:bidi w:val="0"/>
        <w:snapToGrid w:val="0"/>
        <w:spacing w:before="0" w:after="0" w:line="360" w:lineRule="auto"/>
        <w:ind w:firstLine="482"/>
        <w:rPr>
          <w:color w:val="auto"/>
        </w:rPr>
      </w:pPr>
      <w:bookmarkStart w:id="108" w:name="_Toc7219"/>
      <w:r>
        <w:rPr>
          <w:rFonts w:hint="default"/>
          <w:color w:val="auto"/>
          <w:lang w:val="en-US" w:eastAsia="zh-CN"/>
        </w:rPr>
        <w:t>九</w:t>
      </w:r>
      <w:r>
        <w:rPr>
          <w:color w:val="auto"/>
        </w:rPr>
        <w:t>、其他需要说明的问题</w:t>
      </w:r>
      <w:bookmarkEnd w:id="98"/>
      <w:bookmarkEnd w:id="108"/>
    </w:p>
    <w:p w14:paraId="15CE7F71">
      <w:pPr>
        <w:pageBreakBefore w:val="0"/>
        <w:kinsoku/>
        <w:wordWrap/>
        <w:overflowPunct/>
        <w:topLinePunct w:val="0"/>
        <w:autoSpaceDE/>
        <w:autoSpaceDN/>
        <w:bidi w:val="0"/>
        <w:snapToGrid w:val="0"/>
        <w:spacing w:before="0" w:after="0" w:line="360" w:lineRule="auto"/>
        <w:ind w:firstLine="420"/>
        <w:rPr>
          <w:color w:val="auto"/>
        </w:rPr>
      </w:pPr>
      <w:r>
        <w:rPr>
          <w:rFonts w:hint="default"/>
          <w:color w:val="auto"/>
        </w:rPr>
        <w:t>该项目的绩效评价结论可靠性基于相关部门和项目单位提供的项目资料的全面性、真实性和准确性，绩效评价组尽可能地收集更为全面、有效、准确的文件和数据，但由于受客观因素的限制，只能在相关部门和单位提供的现有资料的基础上核实、分析，作出绩效评价结论。绩效评价人员在评价过程中遵循独立、客观、公正原则，恪守职业道德规范，尽可能地确保数据与结论的真实性与可靠性。</w:t>
      </w:r>
    </w:p>
    <w:p w14:paraId="56F66297">
      <w:pPr>
        <w:pageBreakBefore w:val="0"/>
        <w:kinsoku/>
        <w:wordWrap/>
        <w:overflowPunct/>
        <w:topLinePunct w:val="0"/>
        <w:autoSpaceDE/>
        <w:autoSpaceDN/>
        <w:bidi w:val="0"/>
        <w:snapToGrid w:val="0"/>
        <w:spacing w:before="0" w:after="0" w:line="240" w:lineRule="auto"/>
        <w:ind w:firstLine="420"/>
        <w:rPr>
          <w:color w:val="auto"/>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724"/>
        <w:gridCol w:w="4798"/>
      </w:tblGrid>
      <w:tr w14:paraId="1A675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3137C337">
            <w:pPr>
              <w:pageBreakBefore w:val="0"/>
              <w:kinsoku/>
              <w:wordWrap/>
              <w:overflowPunct/>
              <w:topLinePunct w:val="0"/>
              <w:autoSpaceDE/>
              <w:autoSpaceDN/>
              <w:bidi w:val="0"/>
              <w:snapToGrid w:val="0"/>
              <w:spacing w:before="0" w:after="0" w:line="240" w:lineRule="auto"/>
              <w:ind w:firstLine="420"/>
              <w:rPr>
                <w:color w:val="auto"/>
              </w:rPr>
            </w:pPr>
          </w:p>
        </w:tc>
        <w:tc>
          <w:tcPr>
            <w:tcW w:w="4798" w:type="dxa"/>
            <w:tcBorders>
              <w:top w:val="nil"/>
              <w:left w:val="nil"/>
              <w:bottom w:val="nil"/>
              <w:right w:val="nil"/>
            </w:tcBorders>
            <w:vAlign w:val="center"/>
          </w:tcPr>
          <w:p w14:paraId="3B214D1E">
            <w:pPr>
              <w:pageBreakBefore w:val="0"/>
              <w:kinsoku/>
              <w:wordWrap/>
              <w:overflowPunct/>
              <w:topLinePunct w:val="0"/>
              <w:autoSpaceDE/>
              <w:autoSpaceDN/>
              <w:bidi w:val="0"/>
              <w:snapToGrid w:val="0"/>
              <w:spacing w:before="0" w:after="0" w:line="240" w:lineRule="auto"/>
              <w:ind w:firstLine="0" w:firstLineChars="0"/>
              <w:rPr>
                <w:color w:val="auto"/>
              </w:rPr>
            </w:pPr>
            <w:r>
              <w:rPr>
                <w:rFonts w:eastAsia="黑体"/>
                <w:color w:val="auto"/>
              </w:rPr>
              <w:t>评价机构：新疆驰远天合有限责任会计师事务所</w:t>
            </w:r>
          </w:p>
        </w:tc>
      </w:tr>
      <w:tr w14:paraId="63638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3724" w:type="dxa"/>
            <w:tcBorders>
              <w:top w:val="nil"/>
              <w:left w:val="nil"/>
              <w:bottom w:val="nil"/>
              <w:right w:val="nil"/>
            </w:tcBorders>
          </w:tcPr>
          <w:p w14:paraId="07FFA5AA">
            <w:pPr>
              <w:pageBreakBefore w:val="0"/>
              <w:kinsoku/>
              <w:wordWrap/>
              <w:overflowPunct/>
              <w:topLinePunct w:val="0"/>
              <w:autoSpaceDE/>
              <w:autoSpaceDN/>
              <w:bidi w:val="0"/>
              <w:snapToGrid w:val="0"/>
              <w:spacing w:before="0" w:after="0" w:line="240" w:lineRule="auto"/>
              <w:ind w:firstLine="420"/>
              <w:rPr>
                <w:color w:val="auto"/>
              </w:rPr>
            </w:pPr>
          </w:p>
        </w:tc>
        <w:tc>
          <w:tcPr>
            <w:tcW w:w="4798" w:type="dxa"/>
            <w:tcBorders>
              <w:top w:val="nil"/>
              <w:left w:val="nil"/>
              <w:bottom w:val="nil"/>
              <w:right w:val="nil"/>
            </w:tcBorders>
            <w:vAlign w:val="center"/>
          </w:tcPr>
          <w:p w14:paraId="42DD4208">
            <w:pPr>
              <w:pageBreakBefore w:val="0"/>
              <w:kinsoku/>
              <w:wordWrap/>
              <w:overflowPunct/>
              <w:topLinePunct w:val="0"/>
              <w:autoSpaceDE/>
              <w:autoSpaceDN/>
              <w:bidi w:val="0"/>
              <w:snapToGrid w:val="0"/>
              <w:spacing w:before="0" w:after="0" w:line="240" w:lineRule="auto"/>
              <w:ind w:firstLine="0" w:firstLineChars="0"/>
              <w:rPr>
                <w:color w:val="auto"/>
              </w:rPr>
            </w:pPr>
            <w:r>
              <w:rPr>
                <w:rFonts w:eastAsia="黑体"/>
                <w:color w:val="auto"/>
              </w:rPr>
              <w:t>评价时间：202</w:t>
            </w:r>
            <w:r>
              <w:rPr>
                <w:rFonts w:hint="default" w:eastAsia="黑体"/>
                <w:color w:val="auto"/>
                <w:lang w:val="en-US" w:eastAsia="zh-CN"/>
              </w:rPr>
              <w:t>5</w:t>
            </w:r>
            <w:r>
              <w:rPr>
                <w:rFonts w:eastAsia="黑体"/>
                <w:color w:val="auto"/>
              </w:rPr>
              <w:t>年</w:t>
            </w:r>
            <w:r>
              <w:rPr>
                <w:rFonts w:hint="default" w:eastAsia="黑体"/>
                <w:color w:val="auto"/>
                <w:lang w:val="en-US" w:eastAsia="zh-CN"/>
              </w:rPr>
              <w:t>8</w:t>
            </w:r>
            <w:r>
              <w:rPr>
                <w:rFonts w:hint="default" w:eastAsia="黑体"/>
                <w:color w:val="auto"/>
              </w:rPr>
              <w:t>月</w:t>
            </w:r>
          </w:p>
        </w:tc>
      </w:tr>
    </w:tbl>
    <w:p w14:paraId="06D6F033">
      <w:pPr>
        <w:pageBreakBefore w:val="0"/>
        <w:kinsoku/>
        <w:wordWrap/>
        <w:overflowPunct/>
        <w:topLinePunct w:val="0"/>
        <w:autoSpaceDE/>
        <w:autoSpaceDN/>
        <w:bidi w:val="0"/>
        <w:snapToGrid w:val="0"/>
        <w:spacing w:before="0" w:after="0" w:line="360" w:lineRule="auto"/>
        <w:ind w:firstLine="3150" w:firstLineChars="1500"/>
        <w:rPr>
          <w:rFonts w:ascii="Times New Roman" w:hAnsi="Times New Roman" w:eastAsia="黑体" w:cs="Times New Roman"/>
          <w:color w:val="auto"/>
        </w:rPr>
        <w:sectPr>
          <w:footerReference r:id="rId14" w:type="default"/>
          <w:pgSz w:w="11906" w:h="16838"/>
          <w:pgMar w:top="1440" w:right="1800" w:bottom="1440" w:left="1800" w:header="850" w:footer="907" w:gutter="0"/>
          <w:pgNumType w:start="1"/>
          <w:cols w:space="425" w:num="1"/>
          <w:docGrid w:type="lines" w:linePitch="312" w:charSpace="0"/>
        </w:sectPr>
      </w:pPr>
    </w:p>
    <w:p w14:paraId="6FE162B1">
      <w:pPr>
        <w:pStyle w:val="2"/>
        <w:pageBreakBefore w:val="0"/>
        <w:kinsoku/>
        <w:wordWrap/>
        <w:overflowPunct/>
        <w:topLinePunct w:val="0"/>
        <w:autoSpaceDE/>
        <w:autoSpaceDN/>
        <w:bidi w:val="0"/>
        <w:snapToGrid w:val="0"/>
        <w:spacing w:before="0" w:after="0" w:line="360" w:lineRule="auto"/>
        <w:ind w:firstLine="0" w:firstLineChars="0"/>
        <w:rPr>
          <w:color w:val="auto"/>
        </w:rPr>
      </w:pPr>
      <w:bookmarkStart w:id="109" w:name="_Toc22986"/>
      <w:r>
        <w:rPr>
          <w:color w:val="auto"/>
        </w:rPr>
        <w:t>附件1：绩效评价指标体系及综合评价表</w:t>
      </w:r>
      <w:bookmarkEnd w:id="109"/>
    </w:p>
    <w:p w14:paraId="23AA572F">
      <w:pPr>
        <w:pageBreakBefore w:val="0"/>
        <w:kinsoku/>
        <w:wordWrap/>
        <w:overflowPunct/>
        <w:topLinePunct w:val="0"/>
        <w:autoSpaceDE/>
        <w:autoSpaceDN/>
        <w:bidi w:val="0"/>
        <w:snapToGrid w:val="0"/>
        <w:spacing w:before="0" w:after="0" w:line="360" w:lineRule="auto"/>
        <w:ind w:firstLine="422"/>
        <w:jc w:val="center"/>
        <w:rPr>
          <w:rFonts w:eastAsia="宋体"/>
          <w:b/>
          <w:bCs/>
          <w:color w:val="auto"/>
        </w:rPr>
      </w:pPr>
      <w:r>
        <w:rPr>
          <w:rFonts w:eastAsia="宋体"/>
          <w:b/>
          <w:bCs/>
          <w:color w:val="auto"/>
          <w:lang w:val="en-US"/>
        </w:rPr>
        <w:t>吉木萨尔县二工镇大泉湖村2024年以工代赈基础设施建设项目</w:t>
      </w:r>
      <w:r>
        <w:rPr>
          <w:rFonts w:eastAsia="宋体"/>
          <w:b/>
          <w:bCs/>
          <w:color w:val="auto"/>
        </w:rPr>
        <w:t>绩效评价指标体系及综合评分表</w:t>
      </w:r>
    </w:p>
    <w:tbl>
      <w:tblPr>
        <w:tblStyle w:val="18"/>
        <w:tblW w:w="1425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51" w:type="dxa"/>
          <w:bottom w:w="0" w:type="dxa"/>
          <w:right w:w="51" w:type="dxa"/>
        </w:tblCellMar>
      </w:tblPr>
      <w:tblGrid>
        <w:gridCol w:w="790"/>
        <w:gridCol w:w="775"/>
        <w:gridCol w:w="1325"/>
        <w:gridCol w:w="2275"/>
        <w:gridCol w:w="5213"/>
        <w:gridCol w:w="862"/>
        <w:gridCol w:w="738"/>
        <w:gridCol w:w="775"/>
        <w:gridCol w:w="662"/>
        <w:gridCol w:w="838"/>
      </w:tblGrid>
      <w:tr w14:paraId="61789D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blHeader/>
        </w:trPr>
        <w:tc>
          <w:tcPr>
            <w:tcW w:w="79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E6ED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一级指标</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4F73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二级指标</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1DD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三级指标</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8928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指标解释</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73E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评价标准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3D73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目标值</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0266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实际完成值</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37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标杆分值</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4DC2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指标得分</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0A4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得分率</w:t>
            </w:r>
          </w:p>
        </w:tc>
      </w:tr>
      <w:tr w14:paraId="12C3D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C9CFF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A决策</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（10.00分）</w:t>
            </w: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F88F3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A1项目立项（3.00分）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B3FA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A11立项依据充分性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005A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项目立项是否符合法律法规、相关政策、发展规划以及部门职责，用以反映和考核项目立项依据情况。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D496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①项目立项是否符合国家法律法规、国民经济发展规划和相关政策；</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②项目立项是否与部门职责范围相符，属于部门履职所需；</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③项目是否符合财政资金支持领域和方向；</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④项目提供的产品和服务符合针对当前国家、行业的现实需求；</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⑤项目提供的产品和服务针对所在区域经济发展的实际问题和需求。</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以上五项中，若存在任意不符合情况，每发现一处不符扣0.5分，扣完为止。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D2F0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充分</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9816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充分</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C8BE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AABD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0776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17FDF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361C99">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C66110">
            <w:pPr>
              <w:keepNext w:val="0"/>
              <w:keepLines w:val="0"/>
              <w:pageBreakBefore w:val="0"/>
              <w:widowControl/>
              <w:kinsoku/>
              <w:wordWrap/>
              <w:overflowPunct/>
              <w:topLinePunct w:val="0"/>
              <w:autoSpaceDE/>
              <w:autoSpaceDN/>
              <w:bidi w:val="0"/>
              <w:spacing w:line="240" w:lineRule="auto"/>
              <w:ind w:firstLine="0" w:firstLineChars="0"/>
              <w:jc w:val="left"/>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6C92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A12立项程序规范性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6B46D">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项目申请、设立过程是否符合相关要求，用以反映和考核项目立项的规范情况。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0D62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①按要求完成可研及立项批复（包括项目建议书、可研、资金申请报告）；</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②按要求取得勘察、设计、用地、环评、开工许可等行业主管部门审批文件的，取得四证一书；</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③事前是否已经过必要的可行性研究、专家论证、风险评估、绩效评估、集体决策；</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④审批文件、材料符合相关要求，项目申报和审批流程规范。</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以上四项中，每发现一处不符扣0.5分，扣完为止。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7F4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合规</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58D6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合规</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5AB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D581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AE2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1262A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DC970">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FD402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A2绩效目标（4.00分）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7567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A21绩效目标合理性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88E6F">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项目所设定的绩效目标是否依据充分，是否符合客观实际，用以反映和考核项目绩效目标与项目实施的相符情况。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8424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①项目是否有绩效目标；</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②项目绩效目标与实际工作内容是否具有相关性；</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③项目预期产出效益和效果是否符合正常的业绩水平；</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④是否与预算确定的项目投资额或资金量相匹配。</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若①不符合，则此指标不得分；若①符合，则每发现一处不符扣0.2分，扣完为止。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4BB0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kern w:val="0"/>
                <w:sz w:val="20"/>
                <w:szCs w:val="20"/>
                <w:u w:val="none"/>
                <w:lang w:bidi="ar"/>
              </w:rPr>
            </w:pPr>
            <w:r>
              <w:rPr>
                <w:rFonts w:hint="default" w:ascii="Times New Roman" w:hAnsi="Times New Roman" w:eastAsia="宋体" w:cs="Times New Roman"/>
                <w:i w:val="0"/>
                <w:iCs w:val="0"/>
                <w:color w:val="000000"/>
                <w:kern w:val="0"/>
                <w:sz w:val="20"/>
                <w:szCs w:val="20"/>
                <w:u w:val="none"/>
                <w:lang w:val="en-US" w:eastAsia="zh-CN" w:bidi="ar"/>
              </w:rPr>
              <w:t>合理</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18A9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kern w:val="0"/>
                <w:sz w:val="20"/>
                <w:szCs w:val="20"/>
                <w:u w:val="none"/>
                <w:lang w:bidi="ar"/>
              </w:rPr>
            </w:pPr>
            <w:r>
              <w:rPr>
                <w:rFonts w:hint="default" w:ascii="Times New Roman" w:hAnsi="Times New Roman" w:eastAsia="宋体" w:cs="Times New Roman"/>
                <w:i w:val="0"/>
                <w:iCs w:val="0"/>
                <w:color w:val="000000"/>
                <w:kern w:val="0"/>
                <w:sz w:val="20"/>
                <w:szCs w:val="20"/>
                <w:u w:val="none"/>
                <w:lang w:val="en-US" w:eastAsia="zh-CN" w:bidi="ar"/>
              </w:rPr>
              <w:t>较合理</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1C1C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CF42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w:t>
            </w:r>
            <w:r>
              <w:rPr>
                <w:rFonts w:hint="eastAsia" w:eastAsia="宋体" w:cs="Times New Roman"/>
                <w:i w:val="0"/>
                <w:iCs w:val="0"/>
                <w:color w:val="000000"/>
                <w:kern w:val="0"/>
                <w:sz w:val="20"/>
                <w:szCs w:val="20"/>
                <w:u w:val="none"/>
                <w:lang w:val="en-US" w:eastAsia="zh-CN" w:bidi="ar"/>
              </w:rPr>
              <w:t>6</w:t>
            </w:r>
            <w:r>
              <w:rPr>
                <w:rFonts w:hint="default" w:ascii="Times New Roman" w:hAnsi="Times New Roman" w:eastAsia="宋体" w:cs="Times New Roman"/>
                <w:i w:val="0"/>
                <w:iCs w:val="0"/>
                <w:color w:val="000000"/>
                <w:kern w:val="0"/>
                <w:sz w:val="20"/>
                <w:szCs w:val="20"/>
                <w:u w:val="none"/>
                <w:lang w:val="en-US" w:eastAsia="zh-CN" w:bidi="ar"/>
              </w:rPr>
              <w:t>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8EE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eastAsia" w:eastAsia="宋体" w:cs="Times New Roman"/>
                <w:i w:val="0"/>
                <w:iCs w:val="0"/>
                <w:color w:val="000000"/>
                <w:kern w:val="0"/>
                <w:sz w:val="20"/>
                <w:szCs w:val="20"/>
                <w:u w:val="none"/>
                <w:lang w:val="en-US" w:eastAsia="zh-CN" w:bidi="ar"/>
              </w:rPr>
              <w:t>8</w:t>
            </w:r>
            <w:r>
              <w:rPr>
                <w:rFonts w:hint="default" w:ascii="Times New Roman" w:hAnsi="Times New Roman" w:eastAsia="宋体" w:cs="Times New Roman"/>
                <w:i w:val="0"/>
                <w:iCs w:val="0"/>
                <w:color w:val="000000"/>
                <w:kern w:val="0"/>
                <w:sz w:val="20"/>
                <w:szCs w:val="20"/>
                <w:u w:val="none"/>
                <w:lang w:val="en-US" w:eastAsia="zh-CN" w:bidi="ar"/>
              </w:rPr>
              <w:t>0.00%</w:t>
            </w:r>
          </w:p>
        </w:tc>
      </w:tr>
      <w:tr w14:paraId="0E07F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31CBC3">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12A95">
            <w:pPr>
              <w:keepNext w:val="0"/>
              <w:keepLines w:val="0"/>
              <w:pageBreakBefore w:val="0"/>
              <w:widowControl/>
              <w:kinsoku/>
              <w:wordWrap/>
              <w:overflowPunct/>
              <w:topLinePunct w:val="0"/>
              <w:autoSpaceDE/>
              <w:autoSpaceDN/>
              <w:bidi w:val="0"/>
              <w:spacing w:line="240" w:lineRule="auto"/>
              <w:ind w:firstLine="0" w:firstLineChars="0"/>
              <w:jc w:val="left"/>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80B0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A22绩效指标明确性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8D2E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依据绩效目标设定的绩效指标是否清晰、细化、可衡量等，用以反映和考核项目绩效目标的明细化情况。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AEC4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是否将项目绩效目标细化分解为具体的绩效指标，且绩效指标与项目目标任务数或计划数相对应；绩效指标指向明确，可通过清晰、可衡量的指标予以体现，指标设置清晰准确，且量化易评。每发现一处不符扣0.2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CA2B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kern w:val="0"/>
                <w:sz w:val="20"/>
                <w:szCs w:val="20"/>
                <w:u w:val="none"/>
                <w:lang w:bidi="ar"/>
              </w:rPr>
            </w:pPr>
            <w:r>
              <w:rPr>
                <w:rFonts w:hint="default" w:ascii="Times New Roman" w:hAnsi="Times New Roman" w:eastAsia="宋体" w:cs="Times New Roman"/>
                <w:i w:val="0"/>
                <w:iCs w:val="0"/>
                <w:color w:val="000000"/>
                <w:kern w:val="0"/>
                <w:sz w:val="20"/>
                <w:szCs w:val="20"/>
                <w:u w:val="none"/>
                <w:lang w:val="en-US" w:eastAsia="zh-CN" w:bidi="ar"/>
              </w:rPr>
              <w:t>明确</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14EF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kern w:val="0"/>
                <w:sz w:val="20"/>
                <w:szCs w:val="20"/>
                <w:u w:val="none"/>
                <w:lang w:bidi="ar"/>
              </w:rPr>
            </w:pPr>
            <w:r>
              <w:rPr>
                <w:rFonts w:hint="default" w:ascii="Times New Roman" w:hAnsi="Times New Roman" w:eastAsia="宋体" w:cs="Times New Roman"/>
                <w:i w:val="0"/>
                <w:iCs w:val="0"/>
                <w:color w:val="000000"/>
                <w:kern w:val="0"/>
                <w:sz w:val="20"/>
                <w:szCs w:val="20"/>
                <w:u w:val="none"/>
                <w:lang w:val="en-US" w:eastAsia="zh-CN" w:bidi="ar"/>
              </w:rPr>
              <w:t>明确</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E474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B333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8027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58629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38E300">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379EAB">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A3资金投入（3.00分）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211FA">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A31预算编制科学性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8246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项目预算编制是否经过科学论证、有明确标准，资金额度与年度目标是否相适应，用以反映和考核项目预算编制的科学性、合理性情况。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F1ADE">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①预算编制是否经过科学论证，预算额度测算依据是否充分，是否按照标准编制；</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②预算确定的项目投资额与项目建设规模是否匹配；资金投资计划是否与工作任务相匹配。</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③实际投资额是否控制在投资预算内，且最多不超过投资预算的10%。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①和②每发现一处不符扣0.5分，若存在③的问题则扣1分，扣完为止；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818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kern w:val="0"/>
                <w:sz w:val="20"/>
                <w:szCs w:val="20"/>
                <w:u w:val="none"/>
                <w:lang w:bidi="ar"/>
              </w:rPr>
            </w:pPr>
            <w:r>
              <w:rPr>
                <w:rFonts w:hint="default" w:ascii="Times New Roman" w:hAnsi="Times New Roman" w:eastAsia="宋体" w:cs="Times New Roman"/>
                <w:i w:val="0"/>
                <w:iCs w:val="0"/>
                <w:color w:val="000000"/>
                <w:kern w:val="0"/>
                <w:sz w:val="20"/>
                <w:szCs w:val="20"/>
                <w:u w:val="none"/>
                <w:lang w:val="en-US" w:eastAsia="zh-CN" w:bidi="ar"/>
              </w:rPr>
              <w:t>科学</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D26C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kern w:val="0"/>
                <w:sz w:val="20"/>
                <w:szCs w:val="20"/>
                <w:u w:val="none"/>
                <w:lang w:bidi="ar"/>
              </w:rPr>
            </w:pPr>
            <w:r>
              <w:rPr>
                <w:rFonts w:hint="default" w:ascii="Times New Roman" w:hAnsi="Times New Roman" w:eastAsia="宋体" w:cs="Times New Roman"/>
                <w:i w:val="0"/>
                <w:iCs w:val="0"/>
                <w:color w:val="000000"/>
                <w:kern w:val="0"/>
                <w:sz w:val="20"/>
                <w:szCs w:val="20"/>
                <w:u w:val="none"/>
                <w:lang w:val="en-US" w:eastAsia="zh-CN" w:bidi="ar"/>
              </w:rPr>
              <w:t>科学</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5259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320A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42AA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13FD5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E0698">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3A2F82">
            <w:pPr>
              <w:keepNext w:val="0"/>
              <w:keepLines w:val="0"/>
              <w:pageBreakBefore w:val="0"/>
              <w:widowControl/>
              <w:kinsoku/>
              <w:wordWrap/>
              <w:overflowPunct/>
              <w:topLinePunct w:val="0"/>
              <w:autoSpaceDE/>
              <w:autoSpaceDN/>
              <w:bidi w:val="0"/>
              <w:spacing w:line="240" w:lineRule="auto"/>
              <w:ind w:firstLine="0" w:firstLineChars="0"/>
              <w:jc w:val="left"/>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F8566">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A32资金分配合理性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C8E05">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项目预算资金分配是否有测算依据，与补助单位或地方实际是否相适应，用以反映和考核项目预算资金分配的科学性、合理性情况。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DE59B">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①预算资金分配依据是否充分；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②资金分配额度是否合理，与项目单位或地方实际是否相适应，与分年投资计划是否匹配。</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以上每发现一处不符扣0.5分，扣完为止。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1117E">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kern w:val="0"/>
                <w:sz w:val="20"/>
                <w:szCs w:val="20"/>
                <w:u w:val="none"/>
                <w:lang w:bidi="ar"/>
              </w:rPr>
            </w:pPr>
            <w:r>
              <w:rPr>
                <w:rFonts w:hint="default" w:ascii="Times New Roman" w:hAnsi="Times New Roman" w:eastAsia="宋体" w:cs="Times New Roman"/>
                <w:i w:val="0"/>
                <w:iCs w:val="0"/>
                <w:color w:val="000000"/>
                <w:kern w:val="0"/>
                <w:sz w:val="20"/>
                <w:szCs w:val="20"/>
                <w:u w:val="none"/>
                <w:lang w:val="en-US" w:eastAsia="zh-CN" w:bidi="ar"/>
              </w:rPr>
              <w:t>合理</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E943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kern w:val="0"/>
                <w:sz w:val="20"/>
                <w:szCs w:val="20"/>
                <w:u w:val="none"/>
                <w:lang w:bidi="ar"/>
              </w:rPr>
            </w:pPr>
            <w:r>
              <w:rPr>
                <w:rFonts w:hint="default" w:ascii="Times New Roman" w:hAnsi="Times New Roman" w:eastAsia="宋体" w:cs="Times New Roman"/>
                <w:i w:val="0"/>
                <w:iCs w:val="0"/>
                <w:color w:val="000000"/>
                <w:kern w:val="0"/>
                <w:sz w:val="20"/>
                <w:szCs w:val="20"/>
                <w:u w:val="none"/>
                <w:lang w:val="en-US" w:eastAsia="zh-CN" w:bidi="ar"/>
              </w:rPr>
              <w:t>合理</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6F1B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41F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1.50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A5C96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20E37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103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21A712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小计</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FBC9F">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000000"/>
                <w:sz w:val="20"/>
                <w:szCs w:val="20"/>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4F2AD">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000000"/>
                <w:sz w:val="20"/>
                <w:szCs w:val="20"/>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2346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10.00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6E1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9.</w:t>
            </w:r>
            <w:r>
              <w:rPr>
                <w:rFonts w:hint="eastAsia" w:eastAsia="宋体" w:cs="Times New Roman"/>
                <w:b/>
                <w:bCs/>
                <w:i w:val="0"/>
                <w:iCs w:val="0"/>
                <w:color w:val="000000"/>
                <w:kern w:val="0"/>
                <w:sz w:val="20"/>
                <w:szCs w:val="20"/>
                <w:u w:val="none"/>
                <w:lang w:val="en-US" w:eastAsia="zh-CN" w:bidi="ar"/>
              </w:rPr>
              <w:t>6</w:t>
            </w:r>
            <w:r>
              <w:rPr>
                <w:rFonts w:hint="default" w:ascii="Times New Roman" w:hAnsi="Times New Roman" w:eastAsia="宋体" w:cs="Times New Roman"/>
                <w:b/>
                <w:bCs/>
                <w:i w:val="0"/>
                <w:iCs w:val="0"/>
                <w:color w:val="000000"/>
                <w:kern w:val="0"/>
                <w:sz w:val="20"/>
                <w:szCs w:val="20"/>
                <w:u w:val="none"/>
                <w:lang w:val="en-US" w:eastAsia="zh-CN" w:bidi="ar"/>
              </w:rPr>
              <w:t>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4D8B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9</w:t>
            </w:r>
            <w:r>
              <w:rPr>
                <w:rFonts w:hint="eastAsia" w:eastAsia="宋体" w:cs="Times New Roman"/>
                <w:b/>
                <w:bCs/>
                <w:i w:val="0"/>
                <w:iCs w:val="0"/>
                <w:color w:val="000000"/>
                <w:kern w:val="0"/>
                <w:sz w:val="20"/>
                <w:szCs w:val="20"/>
                <w:u w:val="none"/>
                <w:lang w:val="en-US" w:eastAsia="zh-CN" w:bidi="ar"/>
              </w:rPr>
              <w:t>6</w:t>
            </w:r>
            <w:r>
              <w:rPr>
                <w:rFonts w:hint="default" w:ascii="Times New Roman" w:hAnsi="Times New Roman" w:eastAsia="宋体" w:cs="Times New Roman"/>
                <w:b/>
                <w:bCs/>
                <w:i w:val="0"/>
                <w:iCs w:val="0"/>
                <w:color w:val="000000"/>
                <w:kern w:val="0"/>
                <w:sz w:val="20"/>
                <w:szCs w:val="20"/>
                <w:u w:val="none"/>
                <w:lang w:val="en-US" w:eastAsia="zh-CN" w:bidi="ar"/>
              </w:rPr>
              <w:t>.00%</w:t>
            </w:r>
          </w:p>
        </w:tc>
      </w:tr>
      <w:tr w14:paraId="4C353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223E5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B过程</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（25.00分）</w:t>
            </w: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D4E5E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B1资金管理（13.00分）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42B0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B11资金到位率</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813CE">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实际到位资金与预算资金的比率，用以反映和考核资金落实情况对项目实施的总体保障程度。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7CDA1">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资金到位率=（实际到位资金/预算资金）×100%。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项目完成且资金到位数满足年度预算规模需求，得5分；项目尚未完成，资金到位率小于100%且大于等于80%的得3分，资金到位率小于80%且大于等于60%的得2分，资金到位率小于60%的不得分。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B10B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51C8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2003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ED03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FEC1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4BF36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89386">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5E5760">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108B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B12预算执行率</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5509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项目预算资金是否按照计划执行，用以反映或考核项目预算执行情况。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9B7AB">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预算执行率=（实际支出资金/实际到位资金）×100%。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项目完成且按合同约定全部支付完毕得5分；项目完成预算执行率小于100%且大于等于90%的得4分；项目尚未完成，预算执行率小于90%且大于等于80%的得3分，预算执行率小于80%且大于等于60%的得2分，预算执行率小于60%的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5071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A1E9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95.30%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4DF8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6004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4D25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80.00%</w:t>
            </w:r>
          </w:p>
        </w:tc>
      </w:tr>
      <w:tr w14:paraId="6E643A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892AA9">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22D53">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A44B2">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B13资金使用合规性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30DE5">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考察项目单位资金的使用规范程度。项目资金使用是否符合相关法律法规、制度和规定，用以反映和考核项目资金使用的规范性和安全性。</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953A8">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①是否符合国家财经法规和财务管理制度以及有关专项资金管理办法的规定；</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②是否符合项目预算批复或合同规定的用途；</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③是否存在截留、挤占、挪用、虚列支出等情况；</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④资金的拨付是否有完整的审批程序和手续。</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以上四项不满足①或②或③时属于严重违规事项，本项指标不得分，在符合①、②和③的条件下，其他各项符合则得分，否则，每发现一处不符扣0.5分，扣完为止。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8FA05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合规</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9BC5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合规</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BA79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9E52C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6763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608AD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282129">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C9310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B2组织实施（12.00分）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FE5E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B21管理制度健全性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5CAB7">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项目实施单位的财务和业务管理制度是否健全，用以反映和考核财务和业务管理制度对项目顺利实施的保障情况。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538BF">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①是否已制定或具有相应的财务和业务管理制度；</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②财务和业务管理制度是否合法、合规、完整。</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以上两项分别占50%的权重分，符合则得分；存在部分制度缺失、内容不完整或不满足管理要求的，每发现一处不符扣0.5分，各权重分扣完为止。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7DBA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健全</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453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较健全</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E1ED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4.00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F04D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1E49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75.00%</w:t>
            </w:r>
          </w:p>
        </w:tc>
      </w:tr>
      <w:tr w14:paraId="12231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EF026">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34B094">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77EE5">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B22制度执行有效性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B85D7">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项目实施是否符合相关管理规定，用以反映和考核相关管理制度的有效执行情况。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EF00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所有项目组织机构健全，职责分工明确，监督机制有效，政府采购管理、合同管理、安全管理、质量管理等制度完备且有效执行的，得满分。发现项目存在以下问题的，按相应标准扣减分数，扣完为止。</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①项目组织实施机制不健全、责任分工不够明确；勘察设计、咨询、监理等建设参与方的引入方式及程序不规范；</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②工程、设备、原材料等的采购需求与项目实际需求不一致，存在重复采购或过量采购等浪费情形，未按照政府采购规定</w:t>
            </w:r>
            <w:r>
              <w:rPr>
                <w:rFonts w:hint="eastAsia" w:eastAsia="宋体" w:cs="Times New Roman"/>
                <w:i w:val="0"/>
                <w:iCs w:val="0"/>
                <w:color w:val="000000"/>
                <w:kern w:val="0"/>
                <w:sz w:val="20"/>
                <w:szCs w:val="20"/>
                <w:u w:val="none"/>
                <w:lang w:val="en-US" w:eastAsia="zh-CN" w:bidi="ar"/>
              </w:rPr>
              <w:t>采购</w:t>
            </w:r>
            <w:r>
              <w:rPr>
                <w:rFonts w:hint="default" w:ascii="Times New Roman" w:hAnsi="Times New Roman" w:eastAsia="宋体" w:cs="Times New Roman"/>
                <w:i w:val="0"/>
                <w:iCs w:val="0"/>
                <w:color w:val="000000"/>
                <w:kern w:val="0"/>
                <w:sz w:val="20"/>
                <w:szCs w:val="20"/>
                <w:u w:val="none"/>
                <w:lang w:val="en-US" w:eastAsia="zh-CN" w:bidi="ar"/>
              </w:rPr>
              <w:t>程序执行等；</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③项目合同签订、变更、审批等管理不规范，合同要素不完整，合同履约不到位等；</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④项目管理与过程监督制度落实不到位；</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⑤项目建设程序不规范，缺少相应建设审批程序；以上问题发现一处扣0.5分。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825E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有效</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83FE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eastAsia" w:eastAsia="宋体" w:cs="Times New Roman"/>
                <w:i w:val="0"/>
                <w:iCs w:val="0"/>
                <w:color w:val="000000"/>
                <w:kern w:val="0"/>
                <w:sz w:val="20"/>
                <w:szCs w:val="20"/>
                <w:u w:val="none"/>
                <w:lang w:val="en-US" w:eastAsia="zh-CN" w:bidi="ar"/>
              </w:rPr>
              <w:t>不够</w:t>
            </w:r>
            <w:r>
              <w:rPr>
                <w:rFonts w:hint="default" w:ascii="Times New Roman" w:hAnsi="Times New Roman" w:eastAsia="宋体" w:cs="Times New Roman"/>
                <w:i w:val="0"/>
                <w:iCs w:val="0"/>
                <w:color w:val="000000"/>
                <w:kern w:val="0"/>
                <w:sz w:val="20"/>
                <w:szCs w:val="20"/>
                <w:u w:val="none"/>
                <w:lang w:val="en-US" w:eastAsia="zh-CN" w:bidi="ar"/>
              </w:rPr>
              <w:t>有效</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F68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48F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3.50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1CC3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58.33%</w:t>
            </w:r>
          </w:p>
        </w:tc>
      </w:tr>
      <w:tr w14:paraId="71E455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027A9F">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3067FD">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CD9C7">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B23项目资产管理规范性</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21D7B">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项目竣工后是否按照国有资产管理规定履行资产备案和产权登记</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1025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评价要点：</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①是否履行资产备案和产权登记；②是否按照国有资产管理要求，明确项目中涉及的政府资产和企业资产的产权归属、管理与移交方案等。</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以上问题发现一处扣1.00分，扣完为止。</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FB59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有效</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683F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eastAsia" w:eastAsia="宋体" w:cs="Times New Roman"/>
                <w:i w:val="0"/>
                <w:iCs w:val="0"/>
                <w:color w:val="000000"/>
                <w:kern w:val="0"/>
                <w:sz w:val="20"/>
                <w:szCs w:val="20"/>
                <w:u w:val="none"/>
                <w:lang w:val="en-US" w:eastAsia="zh-CN" w:bidi="ar"/>
              </w:rPr>
              <w:t>无</w:t>
            </w:r>
            <w:r>
              <w:rPr>
                <w:rFonts w:hint="default" w:ascii="Times New Roman" w:hAnsi="Times New Roman" w:eastAsia="宋体" w:cs="Times New Roman"/>
                <w:i w:val="0"/>
                <w:iCs w:val="0"/>
                <w:color w:val="000000"/>
                <w:kern w:val="0"/>
                <w:sz w:val="20"/>
                <w:szCs w:val="20"/>
                <w:u w:val="none"/>
                <w:lang w:val="en-US" w:eastAsia="zh-CN" w:bidi="ar"/>
              </w:rPr>
              <w:t>效</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B0F2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11E2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60C1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r>
      <w:tr w14:paraId="0B2984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103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C4E032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小计</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791F8D">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000000"/>
                <w:sz w:val="20"/>
                <w:szCs w:val="20"/>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1986C">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94F9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25.00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A37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18.50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EDBC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74.00%</w:t>
            </w:r>
          </w:p>
        </w:tc>
      </w:tr>
      <w:tr w14:paraId="7107F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760BF7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C产出</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（30.00分）</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052A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C1产出数量（8.00分）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AA8B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C11新建农村道路公里数</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E08A2A">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项目实施的实际产出数与计划产出数的比率，用以反映和考核项目产出数量目标的实现程度。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19832">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实际完成率=（实际新建道路公里数/计划新建道路公里数）×100.0%。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①实际完成值大于等于目标值，得满分；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②实际完成值小于目标值，得分=实际完成值/目标值×标杆分值。</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86DE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≥8公里</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F66B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8公里</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C477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C907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E366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56F897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F646D">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DD91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C2产出质量（6.00分）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6CE94">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C21竣工验收合格率</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FC05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项目完成的质量达标产出数与实际产出数的比率，用以反映和考核项目产出质量目标的实现程度。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1D981">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实际完成率=实际验收合格数/计划验收合格数×100%。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实际完成率符合预期指标值得满分；预期指标未完成，且实际完成率大于60%的，按超过的比重赋分，计算公式为：得分=（实际完成率-60%）/（1-60%）×指标分值；完成率小于60%为不及格，不得分。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0723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1003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F68D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493683">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4756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637A78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AB656">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96DD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C3产出时效（6.00分）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E6BD0">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C31项目计划开工日期</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302C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项目实际工期与计划工期的比较，用以反映和考核项目按时开工及完工目标的实现程度。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CA5F9">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考核项目在2024年6月开工，得满分，否则不得分。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7A7B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2024年6月前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86AF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2024年7月11日</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F0E8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D164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BA43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r>
      <w:tr w14:paraId="73BF0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38993F">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E47C86">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7C24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C32项目计划完工日期</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C02D3">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项目实际工期与计划工期的比较，用以反映和考核项目按时开工及完工目标的实现程度。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1C2BA">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考核项目在2024年10月前完工，得满分，否则不得分。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3FEE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2024年10月前</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67F0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2024年12月11日</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428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3.00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AB19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7B14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0.00%</w:t>
            </w:r>
          </w:p>
        </w:tc>
      </w:tr>
      <w:tr w14:paraId="5F12B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7580D3">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D68A3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C4产出成本（15.00分）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2C7F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C41劳务报酬支出</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B4D25">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考核以工代赈项目建设过程中，用工情况，按照要求该项目发放劳务报酬应不低于项目总投资的30%，即235万元。</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80CD6">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实际完成率=实际项目发放劳务报酬金额/计划发放劳务报酬金额×100.00%。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①实际完成值大于等于目标值，得满分；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②实际完成值小于目标值，得分=实际完成值/目标值×标杆分值。</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44C4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≥235万元</w:t>
            </w: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8B5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196.35万元</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FEEF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FE63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6.68</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A7CF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83.55%</w:t>
            </w:r>
          </w:p>
        </w:tc>
      </w:tr>
      <w:tr w14:paraId="450A07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4E113">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3BDDA4">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0F07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C42道路单位建设成本</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7A99">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完成项目计划工作目标的实际节约成本与计划成本的比率，用以反映和考核项目的成本节约程度。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74AD7">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项目投资预算控制率=[实际投资金额/计划投资金额]×100.00%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①项目投资预算控制率≥80.00%且≤100.00%时，得满分；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②项目投资预算控制率≥60.00%且＜80.00%，得分=项目投资预算控制率×指标分值；</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③项目投资预算控制率≥100.00%或＜60.00%时，不得分。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F705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80.00%—100.00%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8F38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95.76%</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EEAC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A4B8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4BCA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1143B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103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5CCD2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小计</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2E195">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b/>
                <w:bCs/>
                <w:i w:val="0"/>
                <w:iCs w:val="0"/>
                <w:color w:val="000000"/>
                <w:sz w:val="20"/>
                <w:szCs w:val="20"/>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AEBAE">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E0F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35.00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5DCC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27.68</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981BA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79.10%</w:t>
            </w:r>
          </w:p>
        </w:tc>
      </w:tr>
      <w:tr w14:paraId="3BD15B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74B39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D效益</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（30.00分）</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D1C5E">
            <w:pPr>
              <w:keepNext w:val="0"/>
              <w:keepLines w:val="0"/>
              <w:pageBreakBefore w:val="0"/>
              <w:widowControl/>
              <w:kinsoku/>
              <w:wordWrap/>
              <w:overflowPunct/>
              <w:topLinePunct w:val="0"/>
              <w:autoSpaceDE/>
              <w:autoSpaceDN/>
              <w:bidi w:val="0"/>
              <w:spacing w:line="240" w:lineRule="auto"/>
              <w:ind w:firstLine="0" w:firstLineChars="0"/>
              <w:jc w:val="both"/>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7DD67">
            <w:pPr>
              <w:keepNext w:val="0"/>
              <w:keepLines w:val="0"/>
              <w:pageBreakBefore w:val="0"/>
              <w:widowControl/>
              <w:kinsoku/>
              <w:wordWrap/>
              <w:overflowPunct/>
              <w:topLinePunct w:val="0"/>
              <w:autoSpaceDE/>
              <w:autoSpaceDN/>
              <w:bidi w:val="0"/>
              <w:spacing w:line="240" w:lineRule="auto"/>
              <w:ind w:firstLine="0" w:firstLineChars="0"/>
              <w:jc w:val="both"/>
              <w:rPr>
                <w:rFonts w:hint="default" w:ascii="Times New Roman" w:hAnsi="Times New Roman" w:eastAsia="宋体" w:cs="Times New Roman"/>
                <w:i w:val="0"/>
                <w:iCs w:val="0"/>
                <w:color w:val="000000"/>
                <w:sz w:val="20"/>
                <w:szCs w:val="20"/>
                <w:u w:val="none"/>
              </w:rPr>
            </w:pP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1DAC6">
            <w:pPr>
              <w:keepNext w:val="0"/>
              <w:keepLines w:val="0"/>
              <w:pageBreakBefore w:val="0"/>
              <w:widowControl/>
              <w:kinsoku/>
              <w:wordWrap/>
              <w:overflowPunct/>
              <w:topLinePunct w:val="0"/>
              <w:autoSpaceDE/>
              <w:autoSpaceDN/>
              <w:bidi w:val="0"/>
              <w:spacing w:line="240" w:lineRule="auto"/>
              <w:ind w:firstLine="0" w:firstLineChars="0"/>
              <w:jc w:val="both"/>
              <w:rPr>
                <w:rFonts w:hint="default" w:ascii="Times New Roman" w:hAnsi="Times New Roman" w:eastAsia="宋体" w:cs="Times New Roman"/>
                <w:i w:val="0"/>
                <w:iCs w:val="0"/>
                <w:color w:val="000000"/>
                <w:sz w:val="20"/>
                <w:szCs w:val="20"/>
                <w:u w:val="none"/>
              </w:rPr>
            </w:pP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97052">
            <w:pPr>
              <w:keepNext w:val="0"/>
              <w:keepLines w:val="0"/>
              <w:pageBreakBefore w:val="0"/>
              <w:widowControl/>
              <w:kinsoku/>
              <w:wordWrap/>
              <w:overflowPunct/>
              <w:topLinePunct w:val="0"/>
              <w:autoSpaceDE/>
              <w:autoSpaceDN/>
              <w:bidi w:val="0"/>
              <w:spacing w:line="240" w:lineRule="auto"/>
              <w:ind w:firstLine="0" w:firstLineChars="0"/>
              <w:jc w:val="both"/>
              <w:rPr>
                <w:rFonts w:hint="default" w:ascii="Times New Roman" w:hAnsi="Times New Roman" w:eastAsia="宋体" w:cs="Times New Roman"/>
                <w:i w:val="0"/>
                <w:iCs w:val="0"/>
                <w:color w:val="000000"/>
                <w:sz w:val="20"/>
                <w:szCs w:val="20"/>
                <w:u w:val="none"/>
              </w:rPr>
            </w:pPr>
          </w:p>
        </w:tc>
        <w:tc>
          <w:tcPr>
            <w:tcW w:w="862" w:type="dxa"/>
            <w:tcBorders>
              <w:top w:val="nil"/>
              <w:left w:val="nil"/>
              <w:bottom w:val="nil"/>
              <w:right w:val="nil"/>
            </w:tcBorders>
            <w:shd w:val="clear" w:color="auto" w:fill="auto"/>
            <w:noWrap/>
            <w:vAlign w:val="center"/>
          </w:tcPr>
          <w:p w14:paraId="250254D8">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38" w:type="dxa"/>
            <w:tcBorders>
              <w:top w:val="nil"/>
              <w:left w:val="nil"/>
              <w:bottom w:val="nil"/>
              <w:right w:val="nil"/>
            </w:tcBorders>
            <w:shd w:val="clear" w:color="auto" w:fill="auto"/>
            <w:noWrap/>
            <w:vAlign w:val="center"/>
          </w:tcPr>
          <w:p w14:paraId="7AFB312E">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tcBorders>
              <w:top w:val="nil"/>
              <w:left w:val="nil"/>
              <w:bottom w:val="nil"/>
              <w:right w:val="nil"/>
            </w:tcBorders>
            <w:shd w:val="clear" w:color="auto" w:fill="auto"/>
            <w:noWrap/>
            <w:vAlign w:val="center"/>
          </w:tcPr>
          <w:p w14:paraId="2B6CDC1F">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662" w:type="dxa"/>
            <w:tcBorders>
              <w:top w:val="nil"/>
              <w:left w:val="nil"/>
              <w:bottom w:val="nil"/>
              <w:right w:val="nil"/>
            </w:tcBorders>
            <w:shd w:val="clear" w:color="auto" w:fill="auto"/>
            <w:noWrap/>
            <w:vAlign w:val="center"/>
          </w:tcPr>
          <w:p w14:paraId="69B6F946">
            <w:pPr>
              <w:keepNext w:val="0"/>
              <w:keepLines w:val="0"/>
              <w:pageBreakBefore w:val="0"/>
              <w:widowControl/>
              <w:kinsoku/>
              <w:wordWrap/>
              <w:overflowPunct/>
              <w:topLinePunct w:val="0"/>
              <w:autoSpaceDE/>
              <w:autoSpaceDN/>
              <w:bidi w:val="0"/>
              <w:spacing w:line="240" w:lineRule="auto"/>
              <w:ind w:firstLine="0" w:firstLineChars="0"/>
              <w:rPr>
                <w:rFonts w:hint="default" w:ascii="Times New Roman" w:hAnsi="Times New Roman" w:eastAsia="宋体" w:cs="Times New Roman"/>
                <w:i w:val="0"/>
                <w:iCs w:val="0"/>
                <w:color w:val="000000"/>
                <w:sz w:val="20"/>
                <w:szCs w:val="20"/>
                <w:u w:val="none"/>
              </w:rPr>
            </w:pPr>
          </w:p>
        </w:tc>
        <w:tc>
          <w:tcPr>
            <w:tcW w:w="838" w:type="dxa"/>
            <w:tcBorders>
              <w:top w:val="nil"/>
              <w:left w:val="nil"/>
              <w:bottom w:val="nil"/>
              <w:right w:val="nil"/>
            </w:tcBorders>
            <w:shd w:val="clear" w:color="auto" w:fill="auto"/>
            <w:noWrap/>
            <w:vAlign w:val="center"/>
          </w:tcPr>
          <w:p w14:paraId="3D285B7D">
            <w:pPr>
              <w:keepNext w:val="0"/>
              <w:keepLines w:val="0"/>
              <w:pageBreakBefore w:val="0"/>
              <w:widowControl/>
              <w:kinsoku/>
              <w:wordWrap/>
              <w:overflowPunct/>
              <w:topLinePunct w:val="0"/>
              <w:autoSpaceDE/>
              <w:autoSpaceDN/>
              <w:bidi w:val="0"/>
              <w:spacing w:line="240" w:lineRule="auto"/>
              <w:ind w:firstLine="0" w:firstLineChars="0"/>
              <w:rPr>
                <w:rFonts w:hint="default" w:ascii="Times New Roman" w:hAnsi="Times New Roman" w:eastAsia="宋体" w:cs="Times New Roman"/>
                <w:i w:val="0"/>
                <w:iCs w:val="0"/>
                <w:color w:val="000000"/>
                <w:sz w:val="20"/>
                <w:szCs w:val="20"/>
                <w:u w:val="none"/>
              </w:rPr>
            </w:pPr>
          </w:p>
        </w:tc>
      </w:tr>
      <w:tr w14:paraId="466C7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211903">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CB23EF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D1社会效益（20.00分）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5AF97">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D11施工期间预计带动当地群众务工人数</w:t>
            </w:r>
            <w:r>
              <w:rPr>
                <w:rFonts w:hint="eastAsia" w:eastAsia="宋体" w:cs="Times New Roman"/>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非人次</w:t>
            </w:r>
            <w:r>
              <w:rPr>
                <w:rFonts w:hint="eastAsia" w:eastAsia="宋体" w:cs="Times New Roman"/>
                <w:i w:val="0"/>
                <w:iCs w:val="0"/>
                <w:color w:val="000000"/>
                <w:kern w:val="0"/>
                <w:sz w:val="20"/>
                <w:szCs w:val="20"/>
                <w:u w:val="none"/>
                <w:lang w:val="en-US" w:eastAsia="zh-CN" w:bidi="ar"/>
              </w:rPr>
              <w:t>）</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E79BA">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考察项目施工期间预计带动当地群众务工人数情况</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B360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实际完成值=（实际带动当地群众务工人数/计划应带动当地群众务工人数）×100%。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①实际完成值大于等于目标值，得满分；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②实际完成值小于目标值，得分=实际完成值/目标值×标杆分值。</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7041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≥121人</w:t>
            </w: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CA10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190人</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0820">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7.00</w:t>
            </w:r>
          </w:p>
        </w:tc>
        <w:tc>
          <w:tcPr>
            <w:tcW w:w="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8A14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8127A">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75FF0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2F8760">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0EDE7F">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58CFC">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D12改善出行困难问题</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18321">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考核项目实施后对于出行困难问题的改善程度。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5AA28">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根据问卷调查情况进行评分，指标完成率=∑样本数（“显著”×1.0+“较大”×0.8+“一般”×0.6+“较差”×0.3+“无”×0）/总样本数×100.00%。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实际完成值分为基本达成目标、部分实现目标、实现目标程度较低三个档次</w:t>
            </w:r>
            <w:r>
              <w:rPr>
                <w:rFonts w:hint="eastAsia" w:eastAsia="宋体" w:cs="Times New Roman"/>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并分别按照该指标对应分值区间100.00%-80.00%（含）、80.00%-60.00%（含）、60.00%-0.00%合理确定分值。</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①指标完成率在100.00%-80.00%之间，得满分；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②指标完成率在80.00%-60.00%之间，得分=指标完成率×标杆分值；</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③指标完成率小于60.00%为不及格，不得分。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0844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有效改善</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8EEB">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基本达成目标</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D82E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7.00</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7210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7.00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E7E4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3C559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E2F92">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57D9F6">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60AA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D13善生产生活条件</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B0BC3">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考核项目实施后</w:t>
            </w:r>
            <w:r>
              <w:rPr>
                <w:rFonts w:hint="eastAsia" w:eastAsia="宋体" w:cs="Times New Roman"/>
                <w:i w:val="0"/>
                <w:iCs w:val="0"/>
                <w:color w:val="000000"/>
                <w:kern w:val="0"/>
                <w:sz w:val="20"/>
                <w:szCs w:val="20"/>
                <w:u w:val="none"/>
                <w:lang w:val="en-US" w:eastAsia="zh-CN" w:bidi="ar"/>
              </w:rPr>
              <w:t>对</w:t>
            </w:r>
            <w:r>
              <w:rPr>
                <w:rFonts w:hint="default" w:ascii="Times New Roman" w:hAnsi="Times New Roman" w:eastAsia="宋体" w:cs="Times New Roman"/>
                <w:i w:val="0"/>
                <w:iCs w:val="0"/>
                <w:color w:val="000000"/>
                <w:kern w:val="0"/>
                <w:sz w:val="20"/>
                <w:szCs w:val="20"/>
                <w:u w:val="none"/>
                <w:lang w:val="en-US" w:eastAsia="zh-CN" w:bidi="ar"/>
              </w:rPr>
              <w:t>乡村生产生活条件的改善程度。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B3AF1">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根据问卷调查情况进行评分，指标完成率=∑样本数（“显著”×1.0+“较大”×0.8+“一般”×0.6+“较差”×0.3+“无”×0）/总样本数×100.00%。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实际完成值分为基本达成目标、部分实现目标、实现目标程度较低三个档次</w:t>
            </w:r>
            <w:r>
              <w:rPr>
                <w:rFonts w:hint="eastAsia" w:eastAsia="宋体" w:cs="Times New Roman"/>
                <w:i w:val="0"/>
                <w:iCs w:val="0"/>
                <w:color w:val="000000"/>
                <w:kern w:val="0"/>
                <w:sz w:val="20"/>
                <w:szCs w:val="20"/>
                <w:u w:val="none"/>
                <w:lang w:val="en-US" w:eastAsia="zh-CN" w:bidi="ar"/>
              </w:rPr>
              <w:t>，</w:t>
            </w:r>
            <w:r>
              <w:rPr>
                <w:rFonts w:hint="default" w:ascii="Times New Roman" w:hAnsi="Times New Roman" w:eastAsia="宋体" w:cs="Times New Roman"/>
                <w:i w:val="0"/>
                <w:iCs w:val="0"/>
                <w:color w:val="000000"/>
                <w:kern w:val="0"/>
                <w:sz w:val="20"/>
                <w:szCs w:val="20"/>
                <w:u w:val="none"/>
                <w:lang w:val="en-US" w:eastAsia="zh-CN" w:bidi="ar"/>
              </w:rPr>
              <w:t>并分别按照该指标对应分值区间100.00%-80.00%（含）、80.00%-60.00%（含）、60.00%-0.00%合理确定分值。</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①指标完成率在100.00%-80.00%之间，得满分；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②指标完成率在80.00%-60.00%之间，得分=指标完成率×标杆分值；</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③指标完成率小于60.00%为不及格，不得分。</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EC91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有效改善</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E429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基本达成目标</w:t>
            </w: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660E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6.00</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58E7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6.00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04D78">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3AACE2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79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91B08C">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14C60">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D2满意度指标（10.00分）</w:t>
            </w:r>
          </w:p>
        </w:tc>
        <w:tc>
          <w:tcPr>
            <w:tcW w:w="13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3664D">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D21参与工程建设的务工群众满意度</w:t>
            </w:r>
          </w:p>
        </w:tc>
        <w:tc>
          <w:tcPr>
            <w:tcW w:w="22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A5077">
            <w:pPr>
              <w:keepNext w:val="0"/>
              <w:keepLines w:val="0"/>
              <w:pageBreakBefore w:val="0"/>
              <w:widowControl/>
              <w:suppressLineNumbers w:val="0"/>
              <w:kinsoku/>
              <w:wordWrap/>
              <w:overflowPunct/>
              <w:topLinePunct w:val="0"/>
              <w:autoSpaceDE/>
              <w:autoSpaceDN/>
              <w:bidi w:val="0"/>
              <w:spacing w:line="240" w:lineRule="auto"/>
              <w:ind w:firstLine="0" w:firstLineChars="0"/>
              <w:jc w:val="both"/>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考核参与工程建设的务工群众满意度对于该项目实施过程及效果的满意程度。</w:t>
            </w:r>
          </w:p>
        </w:tc>
        <w:tc>
          <w:tcPr>
            <w:tcW w:w="52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C898F">
            <w:pPr>
              <w:keepNext w:val="0"/>
              <w:keepLines w:val="0"/>
              <w:pageBreakBefore w:val="0"/>
              <w:widowControl/>
              <w:suppressLineNumbers w:val="0"/>
              <w:kinsoku/>
              <w:wordWrap/>
              <w:overflowPunct/>
              <w:topLinePunct w:val="0"/>
              <w:autoSpaceDE/>
              <w:autoSpaceDN/>
              <w:bidi w:val="0"/>
              <w:spacing w:line="240" w:lineRule="auto"/>
              <w:ind w:firstLine="0" w:firstLineChars="0"/>
              <w:jc w:val="left"/>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根据满意度问卷统计情况计算满意度完成比率，指标完成率=∑样本数（“非常满意”×1.00+“较为满意”×0.80+“一般满意”×0.60+“不满意”×0.30+“很不满意”×0.00）/总样本数×100.00%。</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①若95.00%≤完成率≤100.00%，得分=100.00%×权重；</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②若80.00%≤完成率&lt;95.00%，得分=80.00%×权重；</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③若60.00%≤完成率&lt;80.00%，得分=60.00%×权重；</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④若完成率&lt;60.00%，得分=0.00分。</w:t>
            </w:r>
            <w:r>
              <w:rPr>
                <w:rFonts w:hint="default" w:ascii="Times New Roman" w:hAnsi="Times New Roman" w:eastAsia="宋体" w:cs="Times New Roman"/>
                <w:i w:val="0"/>
                <w:iCs w:val="0"/>
                <w:color w:val="000000"/>
                <w:kern w:val="0"/>
                <w:sz w:val="20"/>
                <w:szCs w:val="20"/>
                <w:u w:val="none"/>
                <w:lang w:val="en-US" w:eastAsia="zh-CN" w:bidi="ar"/>
              </w:rPr>
              <w:br w:type="textWrapping"/>
            </w:r>
            <w:r>
              <w:rPr>
                <w:rFonts w:hint="default" w:ascii="Times New Roman" w:hAnsi="Times New Roman" w:eastAsia="宋体" w:cs="Times New Roman"/>
                <w:i w:val="0"/>
                <w:iCs w:val="0"/>
                <w:color w:val="000000"/>
                <w:kern w:val="0"/>
                <w:sz w:val="20"/>
                <w:szCs w:val="20"/>
                <w:u w:val="none"/>
                <w:lang w:val="en-US" w:eastAsia="zh-CN" w:bidi="ar"/>
              </w:rPr>
              <w:t>综合满意度根据设置的问卷统计结果按照加权平均数计算。</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8E97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≥90%</w:t>
            </w:r>
          </w:p>
        </w:tc>
        <w:tc>
          <w:tcPr>
            <w:tcW w:w="7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64C5C">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97%</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C4F91">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FC195">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0DE54">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i w:val="0"/>
                <w:iCs w:val="0"/>
                <w:color w:val="000000"/>
                <w:sz w:val="20"/>
                <w:szCs w:val="20"/>
                <w:u w:val="none"/>
              </w:rPr>
            </w:pPr>
            <w:r>
              <w:rPr>
                <w:rFonts w:hint="default" w:ascii="Times New Roman" w:hAnsi="Times New Roman" w:eastAsia="宋体" w:cs="Times New Roman"/>
                <w:i w:val="0"/>
                <w:iCs w:val="0"/>
                <w:color w:val="000000"/>
                <w:kern w:val="0"/>
                <w:sz w:val="20"/>
                <w:szCs w:val="20"/>
                <w:u w:val="none"/>
                <w:lang w:val="en-US" w:eastAsia="zh-CN" w:bidi="ar"/>
              </w:rPr>
              <w:t>100.00%</w:t>
            </w:r>
          </w:p>
        </w:tc>
      </w:tr>
      <w:tr w14:paraId="50C75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63" w:hRule="atLeast"/>
        </w:trPr>
        <w:tc>
          <w:tcPr>
            <w:tcW w:w="1037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9C0F957">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小计</w:t>
            </w:r>
          </w:p>
        </w:tc>
        <w:tc>
          <w:tcPr>
            <w:tcW w:w="8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8AAD2">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94FFC5">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941CF">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30.00</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ABD5A9">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30.00</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F0C6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100.00%</w:t>
            </w:r>
          </w:p>
        </w:tc>
      </w:tr>
      <w:tr w14:paraId="28DA0D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63" w:hRule="atLeast"/>
        </w:trPr>
        <w:tc>
          <w:tcPr>
            <w:tcW w:w="10378"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637ED">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合计</w:t>
            </w:r>
          </w:p>
        </w:tc>
        <w:tc>
          <w:tcPr>
            <w:tcW w:w="8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CA62B">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EE189">
            <w:pPr>
              <w:keepNext w:val="0"/>
              <w:keepLines w:val="0"/>
              <w:pageBreakBefore w:val="0"/>
              <w:widowControl/>
              <w:kinsoku/>
              <w:wordWrap/>
              <w:overflowPunct/>
              <w:topLinePunct w:val="0"/>
              <w:autoSpaceDE/>
              <w:autoSpaceDN/>
              <w:bidi w:val="0"/>
              <w:spacing w:line="240" w:lineRule="auto"/>
              <w:ind w:firstLine="0" w:firstLineChars="0"/>
              <w:jc w:val="center"/>
              <w:rPr>
                <w:rFonts w:hint="default" w:ascii="Times New Roman" w:hAnsi="Times New Roman" w:eastAsia="宋体" w:cs="Times New Roman"/>
                <w:i w:val="0"/>
                <w:iCs w:val="0"/>
                <w:color w:val="000000"/>
                <w:sz w:val="20"/>
                <w:szCs w:val="20"/>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FD2646">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100.00</w:t>
            </w:r>
          </w:p>
        </w:tc>
        <w:tc>
          <w:tcPr>
            <w:tcW w:w="6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22F6F2">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85.</w:t>
            </w:r>
            <w:r>
              <w:rPr>
                <w:rFonts w:hint="eastAsia" w:eastAsia="宋体" w:cs="Times New Roman"/>
                <w:b/>
                <w:bCs/>
                <w:i w:val="0"/>
                <w:iCs w:val="0"/>
                <w:color w:val="000000"/>
                <w:kern w:val="0"/>
                <w:sz w:val="20"/>
                <w:szCs w:val="20"/>
                <w:u w:val="none"/>
                <w:lang w:val="en-US" w:eastAsia="zh-CN" w:bidi="ar"/>
              </w:rPr>
              <w:t>7</w:t>
            </w:r>
            <w:r>
              <w:rPr>
                <w:rFonts w:hint="default" w:ascii="Times New Roman" w:hAnsi="Times New Roman" w:eastAsia="宋体" w:cs="Times New Roman"/>
                <w:b/>
                <w:bCs/>
                <w:i w:val="0"/>
                <w:iCs w:val="0"/>
                <w:color w:val="000000"/>
                <w:kern w:val="0"/>
                <w:sz w:val="20"/>
                <w:szCs w:val="20"/>
                <w:u w:val="none"/>
                <w:lang w:val="en-US" w:eastAsia="zh-CN" w:bidi="ar"/>
              </w:rPr>
              <w:t>8</w:t>
            </w:r>
          </w:p>
        </w:tc>
        <w:tc>
          <w:tcPr>
            <w:tcW w:w="83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B2BDE">
            <w:pPr>
              <w:keepNext w:val="0"/>
              <w:keepLines w:val="0"/>
              <w:pageBreakBefore w:val="0"/>
              <w:widowControl/>
              <w:suppressLineNumbers w:val="0"/>
              <w:kinsoku/>
              <w:wordWrap/>
              <w:overflowPunct/>
              <w:topLinePunct w:val="0"/>
              <w:autoSpaceDE/>
              <w:autoSpaceDN/>
              <w:bidi w:val="0"/>
              <w:spacing w:line="240" w:lineRule="auto"/>
              <w:ind w:firstLine="0" w:firstLineChars="0"/>
              <w:jc w:val="center"/>
              <w:textAlignment w:val="center"/>
              <w:rPr>
                <w:rFonts w:hint="default" w:ascii="Times New Roman" w:hAnsi="Times New Roman" w:eastAsia="宋体" w:cs="Times New Roman"/>
                <w:b/>
                <w:bCs/>
                <w:i w:val="0"/>
                <w:iCs w:val="0"/>
                <w:color w:val="000000"/>
                <w:sz w:val="20"/>
                <w:szCs w:val="20"/>
                <w:u w:val="none"/>
              </w:rPr>
            </w:pPr>
            <w:r>
              <w:rPr>
                <w:rFonts w:hint="default" w:ascii="Times New Roman" w:hAnsi="Times New Roman" w:eastAsia="宋体" w:cs="Times New Roman"/>
                <w:b/>
                <w:bCs/>
                <w:i w:val="0"/>
                <w:iCs w:val="0"/>
                <w:color w:val="000000"/>
                <w:kern w:val="0"/>
                <w:sz w:val="20"/>
                <w:szCs w:val="20"/>
                <w:u w:val="none"/>
                <w:lang w:val="en-US" w:eastAsia="zh-CN" w:bidi="ar"/>
              </w:rPr>
              <w:t>85.</w:t>
            </w:r>
            <w:r>
              <w:rPr>
                <w:rFonts w:hint="eastAsia" w:eastAsia="宋体" w:cs="Times New Roman"/>
                <w:b/>
                <w:bCs/>
                <w:i w:val="0"/>
                <w:iCs w:val="0"/>
                <w:color w:val="000000"/>
                <w:kern w:val="0"/>
                <w:sz w:val="20"/>
                <w:szCs w:val="20"/>
                <w:u w:val="none"/>
                <w:lang w:val="en-US" w:eastAsia="zh-CN" w:bidi="ar"/>
              </w:rPr>
              <w:t>7</w:t>
            </w:r>
            <w:r>
              <w:rPr>
                <w:rFonts w:hint="default" w:ascii="Times New Roman" w:hAnsi="Times New Roman" w:eastAsia="宋体" w:cs="Times New Roman"/>
                <w:b/>
                <w:bCs/>
                <w:i w:val="0"/>
                <w:iCs w:val="0"/>
                <w:color w:val="000000"/>
                <w:kern w:val="0"/>
                <w:sz w:val="20"/>
                <w:szCs w:val="20"/>
                <w:u w:val="none"/>
                <w:lang w:val="en-US" w:eastAsia="zh-CN" w:bidi="ar"/>
              </w:rPr>
              <w:t>8%</w:t>
            </w:r>
          </w:p>
        </w:tc>
      </w:tr>
    </w:tbl>
    <w:p w14:paraId="4640ABC5">
      <w:pPr>
        <w:pageBreakBefore w:val="0"/>
        <w:kinsoku/>
        <w:wordWrap/>
        <w:overflowPunct/>
        <w:topLinePunct w:val="0"/>
        <w:autoSpaceDE/>
        <w:autoSpaceDN/>
        <w:bidi w:val="0"/>
        <w:snapToGrid w:val="0"/>
        <w:spacing w:before="0" w:after="0" w:line="360" w:lineRule="auto"/>
        <w:ind w:firstLine="420"/>
        <w:rPr>
          <w:color w:val="auto"/>
        </w:rPr>
      </w:pPr>
    </w:p>
    <w:p w14:paraId="0D72A47C">
      <w:pPr>
        <w:pageBreakBefore w:val="0"/>
        <w:kinsoku/>
        <w:wordWrap/>
        <w:overflowPunct/>
        <w:topLinePunct w:val="0"/>
        <w:autoSpaceDE/>
        <w:autoSpaceDN/>
        <w:bidi w:val="0"/>
        <w:snapToGrid w:val="0"/>
        <w:spacing w:before="0" w:after="0" w:line="360" w:lineRule="auto"/>
        <w:ind w:firstLine="420"/>
        <w:rPr>
          <w:rFonts w:ascii="Times New Roman" w:hAnsi="Times New Roman" w:cs="Times New Roman"/>
          <w:color w:val="auto"/>
        </w:rPr>
        <w:sectPr>
          <w:footerReference r:id="rId15" w:type="default"/>
          <w:pgSz w:w="16838" w:h="11906" w:orient="landscape"/>
          <w:pgMar w:top="1800" w:right="1440" w:bottom="1800" w:left="1440" w:header="851" w:footer="907" w:gutter="0"/>
          <w:cols w:space="425" w:num="1"/>
          <w:docGrid w:type="lines" w:linePitch="312" w:charSpace="0"/>
        </w:sectPr>
      </w:pPr>
    </w:p>
    <w:p w14:paraId="2F922350">
      <w:pPr>
        <w:pStyle w:val="2"/>
        <w:pageBreakBefore w:val="0"/>
        <w:kinsoku/>
        <w:wordWrap/>
        <w:overflowPunct/>
        <w:topLinePunct w:val="0"/>
        <w:autoSpaceDE/>
        <w:autoSpaceDN/>
        <w:bidi w:val="0"/>
        <w:snapToGrid w:val="0"/>
        <w:spacing w:before="0" w:after="0" w:line="360" w:lineRule="auto"/>
        <w:ind w:firstLine="0" w:firstLineChars="0"/>
        <w:rPr>
          <w:color w:val="auto"/>
        </w:rPr>
      </w:pPr>
      <w:bookmarkStart w:id="110" w:name="_Toc6006"/>
      <w:bookmarkStart w:id="111" w:name="_Toc12265"/>
      <w:bookmarkStart w:id="112" w:name="_Toc25777"/>
      <w:bookmarkStart w:id="113" w:name="_Toc1605"/>
      <w:r>
        <w:rPr>
          <w:color w:val="auto"/>
        </w:rPr>
        <w:t>附件2：基础表</w:t>
      </w:r>
      <w:bookmarkEnd w:id="110"/>
      <w:bookmarkEnd w:id="111"/>
      <w:bookmarkEnd w:id="112"/>
      <w:bookmarkEnd w:id="113"/>
    </w:p>
    <w:p w14:paraId="7131EAA6">
      <w:pPr>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i w:val="0"/>
          <w:iCs w:val="0"/>
          <w:color w:val="auto"/>
          <w:kern w:val="0"/>
          <w:sz w:val="21"/>
          <w:szCs w:val="21"/>
          <w:u w:val="none"/>
          <w:lang w:val="en-US" w:eastAsia="zh-CN" w:bidi="ar"/>
        </w:rPr>
        <w:t>基础表1：吉木萨尔县二工镇大泉湖村2024年以工代赈基础设施建设项目基本情况表</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578"/>
        <w:gridCol w:w="1456"/>
        <w:gridCol w:w="2000"/>
        <w:gridCol w:w="1992"/>
        <w:gridCol w:w="1323"/>
        <w:gridCol w:w="1173"/>
      </w:tblGrid>
      <w:tr w14:paraId="1F5511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97" w:hRule="atLeast"/>
        </w:trPr>
        <w:tc>
          <w:tcPr>
            <w:tcW w:w="578" w:type="dxa"/>
            <w:vMerge w:val="restart"/>
            <w:shd w:val="clear" w:color="auto" w:fill="auto"/>
            <w:noWrap/>
            <w:vAlign w:val="center"/>
          </w:tcPr>
          <w:p w14:paraId="3B81DB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序号</w:t>
            </w:r>
          </w:p>
        </w:tc>
        <w:tc>
          <w:tcPr>
            <w:tcW w:w="3456" w:type="dxa"/>
            <w:gridSpan w:val="2"/>
            <w:shd w:val="clear" w:color="auto" w:fill="auto"/>
            <w:vAlign w:val="center"/>
          </w:tcPr>
          <w:p w14:paraId="40EEA99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项目计划情况</w:t>
            </w:r>
          </w:p>
        </w:tc>
        <w:tc>
          <w:tcPr>
            <w:tcW w:w="3315" w:type="dxa"/>
            <w:gridSpan w:val="2"/>
            <w:shd w:val="clear" w:color="auto" w:fill="auto"/>
            <w:vAlign w:val="center"/>
          </w:tcPr>
          <w:p w14:paraId="4871334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项目完成情况</w:t>
            </w:r>
          </w:p>
        </w:tc>
        <w:tc>
          <w:tcPr>
            <w:tcW w:w="1173" w:type="dxa"/>
            <w:vMerge w:val="restart"/>
            <w:shd w:val="clear" w:color="auto" w:fill="auto"/>
            <w:vAlign w:val="center"/>
          </w:tcPr>
          <w:p w14:paraId="76A090B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项目运营情况</w:t>
            </w:r>
          </w:p>
        </w:tc>
      </w:tr>
      <w:tr w14:paraId="77065E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578" w:type="dxa"/>
            <w:vMerge w:val="continue"/>
            <w:shd w:val="clear" w:color="auto" w:fill="auto"/>
            <w:noWrap/>
            <w:vAlign w:val="center"/>
          </w:tcPr>
          <w:p w14:paraId="2BDFE8D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b/>
                <w:bCs/>
                <w:i w:val="0"/>
                <w:iCs w:val="0"/>
                <w:color w:val="auto"/>
                <w:sz w:val="18"/>
                <w:szCs w:val="18"/>
                <w:u w:val="none"/>
              </w:rPr>
            </w:pPr>
          </w:p>
        </w:tc>
        <w:tc>
          <w:tcPr>
            <w:tcW w:w="1456" w:type="dxa"/>
            <w:shd w:val="clear" w:color="auto" w:fill="auto"/>
            <w:vAlign w:val="center"/>
          </w:tcPr>
          <w:p w14:paraId="693FDA3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计划实施内容</w:t>
            </w:r>
          </w:p>
        </w:tc>
        <w:tc>
          <w:tcPr>
            <w:tcW w:w="2000" w:type="dxa"/>
            <w:shd w:val="clear" w:color="auto" w:fill="auto"/>
            <w:vAlign w:val="center"/>
          </w:tcPr>
          <w:p w14:paraId="7E906E3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计划完成日期</w:t>
            </w:r>
          </w:p>
        </w:tc>
        <w:tc>
          <w:tcPr>
            <w:tcW w:w="1992" w:type="dxa"/>
            <w:shd w:val="clear" w:color="auto" w:fill="auto"/>
            <w:vAlign w:val="center"/>
          </w:tcPr>
          <w:p w14:paraId="0787D8D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实际完成内容</w:t>
            </w:r>
          </w:p>
        </w:tc>
        <w:tc>
          <w:tcPr>
            <w:tcW w:w="1323" w:type="dxa"/>
            <w:shd w:val="clear" w:color="auto" w:fill="auto"/>
            <w:vAlign w:val="center"/>
          </w:tcPr>
          <w:p w14:paraId="2A1B66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auto"/>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实际完成日期</w:t>
            </w:r>
          </w:p>
        </w:tc>
        <w:tc>
          <w:tcPr>
            <w:tcW w:w="1173" w:type="dxa"/>
            <w:vMerge w:val="continue"/>
            <w:shd w:val="clear" w:color="auto" w:fill="auto"/>
            <w:vAlign w:val="center"/>
          </w:tcPr>
          <w:p w14:paraId="45C48A9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auto"/>
                <w:sz w:val="18"/>
                <w:szCs w:val="18"/>
                <w:u w:val="none"/>
              </w:rPr>
            </w:pPr>
          </w:p>
        </w:tc>
      </w:tr>
      <w:tr w14:paraId="43787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cantSplit/>
          <w:trHeight w:val="397" w:hRule="atLeast"/>
        </w:trPr>
        <w:tc>
          <w:tcPr>
            <w:tcW w:w="578" w:type="dxa"/>
            <w:shd w:val="clear" w:color="auto" w:fill="auto"/>
            <w:noWrap/>
            <w:vAlign w:val="center"/>
          </w:tcPr>
          <w:p w14:paraId="0A08C96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1</w:t>
            </w:r>
          </w:p>
        </w:tc>
        <w:tc>
          <w:tcPr>
            <w:tcW w:w="1456" w:type="dxa"/>
            <w:shd w:val="clear" w:color="auto" w:fill="auto"/>
            <w:noWrap/>
            <w:vAlign w:val="center"/>
          </w:tcPr>
          <w:p w14:paraId="01E6C76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新建道路8公里及配套附属设施</w:t>
            </w:r>
          </w:p>
        </w:tc>
        <w:tc>
          <w:tcPr>
            <w:tcW w:w="2000" w:type="dxa"/>
            <w:shd w:val="clear" w:color="auto" w:fill="auto"/>
            <w:vAlign w:val="center"/>
          </w:tcPr>
          <w:p w14:paraId="54D2BE8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2024</w:t>
            </w:r>
            <w:r>
              <w:rPr>
                <w:rStyle w:val="38"/>
                <w:rFonts w:hint="default" w:ascii="Times New Roman" w:hAnsi="Times New Roman" w:eastAsia="宋体" w:cs="Times New Roman"/>
                <w:color w:val="auto"/>
                <w:sz w:val="18"/>
                <w:szCs w:val="18"/>
                <w:lang w:val="en-US" w:eastAsia="zh-CN" w:bidi="ar"/>
              </w:rPr>
              <w:t>年</w:t>
            </w:r>
            <w:r>
              <w:rPr>
                <w:rFonts w:hint="default" w:ascii="Times New Roman" w:hAnsi="Times New Roman" w:eastAsia="宋体" w:cs="Times New Roman"/>
                <w:i w:val="0"/>
                <w:iCs w:val="0"/>
                <w:color w:val="auto"/>
                <w:kern w:val="0"/>
                <w:sz w:val="18"/>
                <w:szCs w:val="18"/>
                <w:u w:val="none"/>
                <w:lang w:val="en-US" w:eastAsia="zh-CN" w:bidi="ar"/>
              </w:rPr>
              <w:t>6</w:t>
            </w:r>
            <w:r>
              <w:rPr>
                <w:rStyle w:val="38"/>
                <w:rFonts w:hint="default" w:ascii="Times New Roman" w:hAnsi="Times New Roman" w:eastAsia="宋体" w:cs="Times New Roman"/>
                <w:color w:val="auto"/>
                <w:sz w:val="18"/>
                <w:szCs w:val="18"/>
                <w:lang w:val="en-US" w:eastAsia="zh-CN" w:bidi="ar"/>
              </w:rPr>
              <w:t>月</w:t>
            </w:r>
            <w:r>
              <w:rPr>
                <w:rFonts w:hint="default" w:ascii="Times New Roman" w:hAnsi="Times New Roman" w:eastAsia="宋体" w:cs="Times New Roman"/>
                <w:i w:val="0"/>
                <w:iCs w:val="0"/>
                <w:color w:val="auto"/>
                <w:kern w:val="0"/>
                <w:sz w:val="18"/>
                <w:szCs w:val="18"/>
                <w:u w:val="none"/>
                <w:lang w:val="en-US" w:eastAsia="zh-CN" w:bidi="ar"/>
              </w:rPr>
              <w:t>-2024</w:t>
            </w:r>
            <w:r>
              <w:rPr>
                <w:rStyle w:val="38"/>
                <w:rFonts w:hint="default" w:ascii="Times New Roman" w:hAnsi="Times New Roman" w:eastAsia="宋体" w:cs="Times New Roman"/>
                <w:color w:val="auto"/>
                <w:sz w:val="18"/>
                <w:szCs w:val="18"/>
                <w:lang w:val="en-US" w:eastAsia="zh-CN" w:bidi="ar"/>
              </w:rPr>
              <w:t>年</w:t>
            </w:r>
            <w:r>
              <w:rPr>
                <w:rFonts w:hint="default" w:ascii="Times New Roman" w:hAnsi="Times New Roman" w:eastAsia="宋体" w:cs="Times New Roman"/>
                <w:i w:val="0"/>
                <w:iCs w:val="0"/>
                <w:color w:val="auto"/>
                <w:kern w:val="0"/>
                <w:sz w:val="18"/>
                <w:szCs w:val="18"/>
                <w:u w:val="none"/>
                <w:lang w:val="en-US" w:eastAsia="zh-CN" w:bidi="ar"/>
              </w:rPr>
              <w:t>10</w:t>
            </w:r>
            <w:r>
              <w:rPr>
                <w:rStyle w:val="38"/>
                <w:rFonts w:hint="default" w:ascii="Times New Roman" w:hAnsi="Times New Roman" w:eastAsia="宋体" w:cs="Times New Roman"/>
                <w:color w:val="auto"/>
                <w:sz w:val="18"/>
                <w:szCs w:val="18"/>
                <w:lang w:val="en-US" w:eastAsia="zh-CN" w:bidi="ar"/>
              </w:rPr>
              <w:t>月</w:t>
            </w:r>
          </w:p>
        </w:tc>
        <w:tc>
          <w:tcPr>
            <w:tcW w:w="1992" w:type="dxa"/>
            <w:shd w:val="clear" w:color="auto" w:fill="auto"/>
            <w:noWrap/>
            <w:vAlign w:val="center"/>
          </w:tcPr>
          <w:p w14:paraId="2F3126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完成新建道路8公里及配套附属设施</w:t>
            </w:r>
          </w:p>
        </w:tc>
        <w:tc>
          <w:tcPr>
            <w:tcW w:w="1323" w:type="dxa"/>
            <w:shd w:val="clear" w:color="auto" w:fill="auto"/>
            <w:vAlign w:val="center"/>
          </w:tcPr>
          <w:p w14:paraId="3AD31B3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2024</w:t>
            </w:r>
            <w:r>
              <w:rPr>
                <w:rStyle w:val="38"/>
                <w:rFonts w:hint="default" w:ascii="Times New Roman" w:hAnsi="Times New Roman" w:eastAsia="宋体" w:cs="Times New Roman"/>
                <w:color w:val="auto"/>
                <w:sz w:val="18"/>
                <w:szCs w:val="18"/>
                <w:lang w:val="en-US" w:eastAsia="zh-CN" w:bidi="ar"/>
              </w:rPr>
              <w:t>年</w:t>
            </w:r>
            <w:r>
              <w:rPr>
                <w:rFonts w:hint="default" w:ascii="Times New Roman" w:hAnsi="Times New Roman" w:eastAsia="宋体" w:cs="Times New Roman"/>
                <w:i w:val="0"/>
                <w:iCs w:val="0"/>
                <w:color w:val="auto"/>
                <w:kern w:val="0"/>
                <w:sz w:val="18"/>
                <w:szCs w:val="18"/>
                <w:u w:val="none"/>
                <w:lang w:val="en-US" w:eastAsia="zh-CN" w:bidi="ar"/>
              </w:rPr>
              <w:t>7</w:t>
            </w:r>
            <w:r>
              <w:rPr>
                <w:rStyle w:val="38"/>
                <w:rFonts w:hint="default" w:ascii="Times New Roman" w:hAnsi="Times New Roman" w:eastAsia="宋体" w:cs="Times New Roman"/>
                <w:color w:val="auto"/>
                <w:sz w:val="18"/>
                <w:szCs w:val="18"/>
                <w:lang w:val="en-US" w:eastAsia="zh-CN" w:bidi="ar"/>
              </w:rPr>
              <w:t>月</w:t>
            </w:r>
            <w:r>
              <w:rPr>
                <w:rFonts w:hint="default" w:ascii="Times New Roman" w:hAnsi="Times New Roman" w:eastAsia="宋体" w:cs="Times New Roman"/>
                <w:i w:val="0"/>
                <w:iCs w:val="0"/>
                <w:color w:val="auto"/>
                <w:kern w:val="0"/>
                <w:sz w:val="18"/>
                <w:szCs w:val="18"/>
                <w:u w:val="none"/>
                <w:lang w:val="en-US" w:eastAsia="zh-CN" w:bidi="ar"/>
              </w:rPr>
              <w:t>10</w:t>
            </w:r>
            <w:r>
              <w:rPr>
                <w:rStyle w:val="38"/>
                <w:rFonts w:hint="default" w:ascii="Times New Roman" w:hAnsi="Times New Roman" w:eastAsia="宋体" w:cs="Times New Roman"/>
                <w:color w:val="auto"/>
                <w:sz w:val="18"/>
                <w:szCs w:val="18"/>
                <w:lang w:val="en-US" w:eastAsia="zh-CN" w:bidi="ar"/>
              </w:rPr>
              <w:t>日</w:t>
            </w:r>
            <w:r>
              <w:rPr>
                <w:rFonts w:hint="default" w:ascii="Times New Roman" w:hAnsi="Times New Roman" w:eastAsia="宋体" w:cs="Times New Roman"/>
                <w:i w:val="0"/>
                <w:iCs w:val="0"/>
                <w:color w:val="auto"/>
                <w:kern w:val="0"/>
                <w:sz w:val="18"/>
                <w:szCs w:val="18"/>
                <w:u w:val="none"/>
                <w:lang w:val="en-US" w:eastAsia="zh-CN" w:bidi="ar"/>
              </w:rPr>
              <w:t>-2024</w:t>
            </w:r>
            <w:r>
              <w:rPr>
                <w:rStyle w:val="38"/>
                <w:rFonts w:hint="default" w:ascii="Times New Roman" w:hAnsi="Times New Roman" w:eastAsia="宋体" w:cs="Times New Roman"/>
                <w:color w:val="auto"/>
                <w:sz w:val="18"/>
                <w:szCs w:val="18"/>
                <w:lang w:val="en-US" w:eastAsia="zh-CN" w:bidi="ar"/>
              </w:rPr>
              <w:t>年</w:t>
            </w:r>
            <w:r>
              <w:rPr>
                <w:rFonts w:hint="default" w:ascii="Times New Roman" w:hAnsi="Times New Roman" w:eastAsia="宋体" w:cs="Times New Roman"/>
                <w:i w:val="0"/>
                <w:iCs w:val="0"/>
                <w:color w:val="auto"/>
                <w:kern w:val="0"/>
                <w:sz w:val="18"/>
                <w:szCs w:val="18"/>
                <w:u w:val="none"/>
                <w:lang w:val="en-US" w:eastAsia="zh-CN" w:bidi="ar"/>
              </w:rPr>
              <w:t>12</w:t>
            </w:r>
            <w:r>
              <w:rPr>
                <w:rStyle w:val="38"/>
                <w:rFonts w:hint="default" w:ascii="Times New Roman" w:hAnsi="Times New Roman" w:eastAsia="宋体" w:cs="Times New Roman"/>
                <w:color w:val="auto"/>
                <w:sz w:val="18"/>
                <w:szCs w:val="18"/>
                <w:lang w:val="en-US" w:eastAsia="zh-CN" w:bidi="ar"/>
              </w:rPr>
              <w:t>月</w:t>
            </w:r>
            <w:r>
              <w:rPr>
                <w:rFonts w:hint="default" w:ascii="Times New Roman" w:hAnsi="Times New Roman" w:eastAsia="宋体" w:cs="Times New Roman"/>
                <w:i w:val="0"/>
                <w:iCs w:val="0"/>
                <w:color w:val="auto"/>
                <w:kern w:val="0"/>
                <w:sz w:val="18"/>
                <w:szCs w:val="18"/>
                <w:u w:val="none"/>
                <w:lang w:val="en-US" w:eastAsia="zh-CN" w:bidi="ar"/>
              </w:rPr>
              <w:t>11</w:t>
            </w:r>
            <w:r>
              <w:rPr>
                <w:rStyle w:val="38"/>
                <w:rFonts w:hint="default" w:ascii="Times New Roman" w:hAnsi="Times New Roman" w:eastAsia="宋体" w:cs="Times New Roman"/>
                <w:color w:val="auto"/>
                <w:sz w:val="18"/>
                <w:szCs w:val="18"/>
                <w:lang w:val="en-US" w:eastAsia="zh-CN" w:bidi="ar"/>
              </w:rPr>
              <w:t>日</w:t>
            </w:r>
          </w:p>
        </w:tc>
        <w:tc>
          <w:tcPr>
            <w:tcW w:w="1173" w:type="dxa"/>
            <w:shd w:val="clear" w:color="auto" w:fill="auto"/>
            <w:vAlign w:val="center"/>
          </w:tcPr>
          <w:p w14:paraId="6F061B4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18"/>
                <w:szCs w:val="18"/>
                <w:u w:val="none"/>
              </w:rPr>
            </w:pPr>
            <w:r>
              <w:rPr>
                <w:rFonts w:hint="default" w:ascii="Times New Roman" w:hAnsi="Times New Roman" w:eastAsia="宋体" w:cs="Times New Roman"/>
                <w:i w:val="0"/>
                <w:iCs w:val="0"/>
                <w:color w:val="auto"/>
                <w:kern w:val="0"/>
                <w:sz w:val="18"/>
                <w:szCs w:val="18"/>
                <w:u w:val="none"/>
                <w:lang w:val="en-US" w:eastAsia="zh-CN" w:bidi="ar"/>
              </w:rPr>
              <w:t>已完工并验收并投入使用。</w:t>
            </w:r>
          </w:p>
        </w:tc>
      </w:tr>
    </w:tbl>
    <w:p w14:paraId="0006ACCE">
      <w:pPr>
        <w:rPr>
          <w:rFonts w:hint="default" w:ascii="Times New Roman" w:hAnsi="Times New Roman" w:eastAsia="宋体" w:cs="Times New Roman"/>
          <w:b/>
          <w:bCs/>
          <w:i w:val="0"/>
          <w:iCs w:val="0"/>
          <w:color w:val="auto"/>
          <w:kern w:val="0"/>
          <w:sz w:val="21"/>
          <w:szCs w:val="21"/>
          <w:u w:val="none"/>
          <w:lang w:val="en-US" w:eastAsia="zh-CN" w:bidi="ar"/>
        </w:rPr>
        <w:sectPr>
          <w:footerReference r:id="rId16" w:type="default"/>
          <w:pgSz w:w="11906" w:h="16838"/>
          <w:pgMar w:top="1440" w:right="1800" w:bottom="1440" w:left="1800" w:header="851" w:footer="907" w:gutter="0"/>
          <w:cols w:space="425" w:num="1"/>
          <w:docGrid w:type="lines" w:linePitch="312" w:charSpace="0"/>
        </w:sectPr>
      </w:pPr>
    </w:p>
    <w:p w14:paraId="4B8A74CA">
      <w:pPr>
        <w:spacing w:line="240" w:lineRule="auto"/>
        <w:ind w:left="0" w:leftChars="0" w:firstLine="0" w:firstLineChars="0"/>
        <w:jc w:val="center"/>
        <w:rPr>
          <w:rFonts w:hint="default" w:ascii="Times New Roman" w:hAnsi="Times New Roman" w:eastAsia="黑体" w:cs="Times New Roman"/>
          <w:b w:val="0"/>
          <w:bCs w:val="0"/>
          <w:i w:val="0"/>
          <w:iCs w:val="0"/>
          <w:color w:val="auto"/>
          <w:kern w:val="0"/>
          <w:sz w:val="21"/>
          <w:szCs w:val="21"/>
          <w:u w:val="none"/>
          <w:lang w:val="en-US" w:eastAsia="zh-CN" w:bidi="ar"/>
        </w:rPr>
      </w:pPr>
      <w:r>
        <w:rPr>
          <w:rFonts w:hint="default" w:ascii="Times New Roman" w:hAnsi="Times New Roman" w:eastAsia="黑体" w:cs="Times New Roman"/>
          <w:b w:val="0"/>
          <w:bCs w:val="0"/>
          <w:i w:val="0"/>
          <w:iCs w:val="0"/>
          <w:color w:val="auto"/>
          <w:kern w:val="0"/>
          <w:sz w:val="21"/>
          <w:szCs w:val="21"/>
          <w:u w:val="none"/>
          <w:lang w:val="en-US" w:eastAsia="zh-CN" w:bidi="ar"/>
        </w:rPr>
        <w:t>基础表2：吉木萨尔县二工镇大泉湖村2024年以工代赈基础设施建设项目合同明细表</w:t>
      </w:r>
    </w:p>
    <w:p w14:paraId="23D73965">
      <w:pPr>
        <w:spacing w:line="240" w:lineRule="auto"/>
        <w:ind w:left="0" w:leftChars="0" w:firstLine="0" w:firstLineChars="0"/>
        <w:jc w:val="right"/>
        <w:rPr>
          <w:rFonts w:hint="default" w:ascii="Times New Roman" w:hAnsi="Times New Roman" w:eastAsia="黑体" w:cs="Times New Roman"/>
          <w:b w:val="0"/>
          <w:bCs w:val="0"/>
          <w:i w:val="0"/>
          <w:iCs w:val="0"/>
          <w:color w:val="auto"/>
          <w:kern w:val="0"/>
          <w:sz w:val="21"/>
          <w:szCs w:val="21"/>
          <w:u w:val="none"/>
          <w:lang w:val="en-US" w:eastAsia="zh-CN" w:bidi="ar"/>
        </w:rPr>
      </w:pPr>
      <w:r>
        <w:rPr>
          <w:rFonts w:hint="default" w:ascii="Times New Roman" w:hAnsi="Times New Roman" w:eastAsia="黑体" w:cs="Times New Roman"/>
          <w:b w:val="0"/>
          <w:bCs w:val="0"/>
          <w:i w:val="0"/>
          <w:iCs w:val="0"/>
          <w:color w:val="auto"/>
          <w:kern w:val="0"/>
          <w:sz w:val="21"/>
          <w:szCs w:val="21"/>
          <w:u w:val="none"/>
          <w:lang w:val="en-US" w:eastAsia="zh-CN" w:bidi="ar"/>
        </w:rPr>
        <w:t>单位：万元</w:t>
      </w:r>
    </w:p>
    <w:tbl>
      <w:tblPr>
        <w:tblStyle w:val="18"/>
        <w:tblW w:w="1420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51" w:type="dxa"/>
          <w:bottom w:w="0" w:type="dxa"/>
          <w:right w:w="51" w:type="dxa"/>
        </w:tblCellMar>
      </w:tblPr>
      <w:tblGrid>
        <w:gridCol w:w="484"/>
        <w:gridCol w:w="1044"/>
        <w:gridCol w:w="2712"/>
        <w:gridCol w:w="5388"/>
        <w:gridCol w:w="875"/>
        <w:gridCol w:w="875"/>
        <w:gridCol w:w="900"/>
        <w:gridCol w:w="1925"/>
      </w:tblGrid>
      <w:tr w14:paraId="3301E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9075C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序号</w:t>
            </w:r>
          </w:p>
        </w:tc>
        <w:tc>
          <w:tcPr>
            <w:tcW w:w="104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09990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业务类型</w:t>
            </w:r>
          </w:p>
        </w:tc>
        <w:tc>
          <w:tcPr>
            <w:tcW w:w="27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7124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单位名称</w:t>
            </w:r>
          </w:p>
        </w:tc>
        <w:tc>
          <w:tcPr>
            <w:tcW w:w="53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C0F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合同范围及签订时间</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DE7A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auto"/>
                <w:kern w:val="0"/>
                <w:sz w:val="18"/>
                <w:szCs w:val="18"/>
                <w:u w:val="none"/>
                <w:lang w:val="en-US" w:eastAsia="zh-CN" w:bidi="ar"/>
              </w:rPr>
              <w:t>合同金额或预算金额</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2F5F1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合同金额</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A65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合同执行金额</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CF3C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资金支付时间</w:t>
            </w:r>
          </w:p>
        </w:tc>
      </w:tr>
      <w:tr w14:paraId="15536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DF248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w:t>
            </w:r>
          </w:p>
        </w:tc>
        <w:tc>
          <w:tcPr>
            <w:tcW w:w="10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871767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施工费</w:t>
            </w:r>
          </w:p>
        </w:tc>
        <w:tc>
          <w:tcPr>
            <w:tcW w:w="2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A971E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新疆三友工程建设有限公司</w:t>
            </w:r>
          </w:p>
        </w:tc>
        <w:tc>
          <w:tcPr>
            <w:tcW w:w="538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B1D8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新建道路8公里及附属配套设施，招标工程范围内施工图纸及工程量清单范围内的全部工作内容</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包括招标文件、设计变更、答疑及招标文件补充等内容</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CFFFE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687.24</w:t>
            </w:r>
          </w:p>
        </w:tc>
        <w:tc>
          <w:tcPr>
            <w:tcW w:w="8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7E8CB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703.67</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8E30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211.10</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2355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2024年7月31日</w:t>
            </w:r>
          </w:p>
        </w:tc>
      </w:tr>
      <w:tr w14:paraId="354D56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3BB55">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06099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c>
          <w:tcPr>
            <w:tcW w:w="2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A9B0FA">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c>
          <w:tcPr>
            <w:tcW w:w="53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C649C">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F2E6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default" w:ascii="Times New Roman" w:hAnsi="Times New Roman" w:eastAsia="宋体" w:cs="Times New Roman"/>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901D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default" w:ascii="Times New Roman" w:hAnsi="Times New Roman" w:eastAsia="宋体" w:cs="Times New Roman"/>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8AB4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200.00</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8ABD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2024年9月27日</w:t>
            </w:r>
          </w:p>
        </w:tc>
      </w:tr>
      <w:tr w14:paraId="4DBD4A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0AEA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894B8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c>
          <w:tcPr>
            <w:tcW w:w="2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ED0CC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c>
          <w:tcPr>
            <w:tcW w:w="53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79EFA3">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3712D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default" w:ascii="Times New Roman" w:hAnsi="Times New Roman" w:eastAsia="宋体" w:cs="Times New Roman"/>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4D6B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default" w:ascii="Times New Roman" w:hAnsi="Times New Roman" w:eastAsia="宋体" w:cs="Times New Roman"/>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3B84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187.02</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0446A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2024年9月30日</w:t>
            </w:r>
          </w:p>
        </w:tc>
      </w:tr>
      <w:tr w14:paraId="26557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59568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61A0D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c>
          <w:tcPr>
            <w:tcW w:w="2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ED8E7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c>
          <w:tcPr>
            <w:tcW w:w="53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F1DF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A3AF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default" w:ascii="Times New Roman" w:hAnsi="Times New Roman" w:eastAsia="宋体" w:cs="Times New Roman"/>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A03C9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default" w:ascii="Times New Roman" w:hAnsi="Times New Roman" w:eastAsia="宋体" w:cs="Times New Roman"/>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4EA1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105.55</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1AF2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2024年12月18日</w:t>
            </w:r>
          </w:p>
        </w:tc>
      </w:tr>
      <w:tr w14:paraId="722B19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51" w:type="dxa"/>
            <w:bottom w:w="0" w:type="dxa"/>
            <w:right w:w="51" w:type="dxa"/>
          </w:tblCellMar>
        </w:tblPrEx>
        <w:trPr>
          <w:trHeight w:val="340" w:hRule="atLeast"/>
        </w:trPr>
        <w:tc>
          <w:tcPr>
            <w:tcW w:w="484"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F1A9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18"/>
                <w:szCs w:val="18"/>
                <w:u w:val="none"/>
              </w:rPr>
            </w:pPr>
          </w:p>
        </w:tc>
        <w:tc>
          <w:tcPr>
            <w:tcW w:w="10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77D3BD">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c>
          <w:tcPr>
            <w:tcW w:w="2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AEE42">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c>
          <w:tcPr>
            <w:tcW w:w="538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41B7F">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center"/>
              <w:rPr>
                <w:rFonts w:hint="default" w:ascii="Times New Roman" w:hAnsi="Times New Roman" w:eastAsia="宋体" w:cs="Times New Roman"/>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0CC00">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default" w:ascii="Times New Roman" w:hAnsi="Times New Roman" w:eastAsia="宋体" w:cs="Times New Roman"/>
                <w:i w:val="0"/>
                <w:iCs w:val="0"/>
                <w:color w:val="000000"/>
                <w:sz w:val="18"/>
                <w:szCs w:val="18"/>
                <w:u w:val="none"/>
              </w:rPr>
            </w:pPr>
          </w:p>
        </w:tc>
        <w:tc>
          <w:tcPr>
            <w:tcW w:w="8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181A11">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right"/>
              <w:rPr>
                <w:rFonts w:hint="default" w:ascii="Times New Roman" w:hAnsi="Times New Roman" w:eastAsia="宋体" w:cs="Times New Roman"/>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FC73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-16.43</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A034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2025年6月3日</w:t>
            </w:r>
          </w:p>
        </w:tc>
      </w:tr>
      <w:tr w14:paraId="7EFEF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02ED8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C16C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可研费</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669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中地泓通工程技术有限公司新疆分公司</w:t>
            </w: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BD2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发包人委托设计人承担吉木萨尔县二工镇大泉湖村2024年以工代赈基础设施建设项目可行性研究报告</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40E1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1.30</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A817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1.30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DB07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1.30</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CED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2024年12月18日</w:t>
            </w:r>
          </w:p>
        </w:tc>
      </w:tr>
      <w:tr w14:paraId="6E2A6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B4AF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3</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3A2D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监理费</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77DFA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新疆博跃工程项目管理有限公司</w:t>
            </w: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C521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提供监理服务</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642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11.00</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B34C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9C7A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11.00</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D098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2024年12月18日</w:t>
            </w:r>
          </w:p>
        </w:tc>
      </w:tr>
      <w:tr w14:paraId="2873F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3CECE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9199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测绘费</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E3F9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新疆兴宇天成测绘地理信息咨询有限公司北庭分公司</w:t>
            </w: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C8FFA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提供勘界服务</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5EDC4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5.20</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F828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5.20</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0175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5.20</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C54D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2024年12月18日</w:t>
            </w:r>
          </w:p>
        </w:tc>
      </w:tr>
      <w:tr w14:paraId="37993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0D0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5</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D847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勘察费</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61B8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新疆长江岩土工程勘察设计研究院有限公司</w:t>
            </w: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BB45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勘探点129个，勘探深度5.0m-6.0m，易溶盐32件，土常规53件</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EA2B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4.05</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3D2A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E3AD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4.05</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7CC6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2024年12月18日</w:t>
            </w:r>
          </w:p>
        </w:tc>
      </w:tr>
      <w:tr w14:paraId="281A5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E4AD3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6</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7FFF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招标控制价费用</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5CF9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新疆晶智工程项目管理有限公司</w:t>
            </w: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284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双方约定的服务范围及工作内容</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编制招标控制价及工程量清单服务范围及工作内容详见附录A。</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846D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1.91</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C0EE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1.91</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9E1D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1.91</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43E2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2024年12月18日</w:t>
            </w:r>
          </w:p>
        </w:tc>
      </w:tr>
      <w:tr w14:paraId="4AA16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9DB2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7</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7127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设计费</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82D6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中城城园设计有限公司</w:t>
            </w: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0C1C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施工图</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F5EE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13.55</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7937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13.55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4B5F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13.55</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66B7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2024年12月18日</w:t>
            </w:r>
          </w:p>
        </w:tc>
      </w:tr>
      <w:tr w14:paraId="4BC4A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C991B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8</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D089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水土保持方案费</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F65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新疆畅源工程技术咨询服务有限公司</w:t>
            </w: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3B19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本合同甲方委托乙方就《吉木萨尔县二工镇大泉湖村2024年以工代赈基础设施建设项目》水土保持方案及验收鉴定书进行技术服务，并支付服务报酬。</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1D19C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2.25</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ED51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2.25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9F38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94A2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未支付</w:t>
            </w:r>
          </w:p>
        </w:tc>
      </w:tr>
      <w:tr w14:paraId="7C920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6D25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9</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26B1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竣工财务决算审计</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DACE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新疆鸿联会计师事务所</w:t>
            </w:r>
            <w:r>
              <w:rPr>
                <w:rFonts w:hint="eastAsia" w:eastAsia="宋体" w:cs="Times New Roman"/>
                <w:i w:val="0"/>
                <w:iCs w:val="0"/>
                <w:color w:val="000000"/>
                <w:kern w:val="0"/>
                <w:sz w:val="18"/>
                <w:szCs w:val="18"/>
                <w:u w:val="none"/>
                <w:lang w:val="en-US" w:eastAsia="zh-CN" w:bidi="ar"/>
              </w:rPr>
              <w:t>（</w:t>
            </w:r>
            <w:r>
              <w:rPr>
                <w:rFonts w:hint="default" w:ascii="Times New Roman" w:hAnsi="Times New Roman" w:eastAsia="宋体" w:cs="Times New Roman"/>
                <w:i w:val="0"/>
                <w:iCs w:val="0"/>
                <w:color w:val="000000"/>
                <w:kern w:val="0"/>
                <w:sz w:val="18"/>
                <w:szCs w:val="18"/>
                <w:u w:val="none"/>
                <w:lang w:val="en-US" w:eastAsia="zh-CN" w:bidi="ar"/>
              </w:rPr>
              <w:t>普通合伙</w:t>
            </w:r>
            <w:r>
              <w:rPr>
                <w:rFonts w:hint="eastAsia" w:eastAsia="宋体" w:cs="Times New Roman"/>
                <w:i w:val="0"/>
                <w:iCs w:val="0"/>
                <w:color w:val="000000"/>
                <w:kern w:val="0"/>
                <w:sz w:val="18"/>
                <w:szCs w:val="18"/>
                <w:u w:val="none"/>
                <w:lang w:val="en-US" w:eastAsia="zh-CN" w:bidi="ar"/>
              </w:rPr>
              <w:t>）</w:t>
            </w: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7D82D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对“二工镇大泉湖村2024年以工代赈基础设施建设项目”工程结算、竣工财务决算及有关的文件进行审计</w:t>
            </w:r>
            <w:r>
              <w:rPr>
                <w:rFonts w:hint="eastAsia" w:eastAsia="宋体" w:cs="Times New Roman"/>
                <w:i w:val="0"/>
                <w:iCs w:val="0"/>
                <w:color w:val="000000"/>
                <w:kern w:val="0"/>
                <w:sz w:val="18"/>
                <w:szCs w:val="18"/>
                <w:u w:val="none"/>
                <w:lang w:val="en-US" w:eastAsia="zh-CN" w:bidi="ar"/>
              </w:rPr>
              <w:t>。</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C1304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1.05</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FC2E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1.05</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19F7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661C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未支付</w:t>
            </w:r>
          </w:p>
        </w:tc>
      </w:tr>
      <w:tr w14:paraId="13BAD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E60E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10</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340F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印花税</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6EEB17">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rPr>
                <w:rFonts w:hint="default" w:ascii="Times New Roman" w:hAnsi="Times New Roman" w:eastAsia="宋体" w:cs="Times New Roman"/>
                <w:i w:val="0"/>
                <w:iCs w:val="0"/>
                <w:color w:val="000000"/>
                <w:sz w:val="18"/>
                <w:szCs w:val="18"/>
                <w:u w:val="none"/>
              </w:rPr>
            </w:pP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944CD9">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rPr>
                <w:rFonts w:hint="default" w:ascii="Times New Roman" w:hAnsi="Times New Roman" w:eastAsia="宋体" w:cs="Times New Roman"/>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6B394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0.22</w:t>
            </w:r>
          </w:p>
        </w:tc>
        <w:tc>
          <w:tcPr>
            <w:tcW w:w="8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FB97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0.22</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F0B2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i w:val="0"/>
                <w:iCs w:val="0"/>
                <w:color w:val="000000"/>
                <w:sz w:val="18"/>
                <w:szCs w:val="18"/>
                <w:u w:val="none"/>
              </w:rPr>
            </w:pPr>
            <w:r>
              <w:rPr>
                <w:rFonts w:hint="default" w:ascii="Times New Roman" w:hAnsi="Times New Roman" w:eastAsia="宋体" w:cs="Times New Roman"/>
                <w:i w:val="0"/>
                <w:iCs w:val="0"/>
                <w:color w:val="000000"/>
                <w:kern w:val="0"/>
                <w:sz w:val="18"/>
                <w:szCs w:val="18"/>
                <w:u w:val="none"/>
                <w:lang w:val="en-US" w:eastAsia="zh-CN" w:bidi="ar"/>
              </w:rPr>
              <w:t>-</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83B96">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i w:val="0"/>
                <w:iCs w:val="0"/>
                <w:color w:val="000000"/>
                <w:sz w:val="18"/>
                <w:szCs w:val="18"/>
                <w:u w:val="none"/>
              </w:rPr>
            </w:pPr>
          </w:p>
        </w:tc>
      </w:tr>
      <w:tr w14:paraId="70315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51" w:type="dxa"/>
            <w:bottom w:w="0" w:type="dxa"/>
            <w:right w:w="51" w:type="dxa"/>
          </w:tblCellMar>
        </w:tblPrEx>
        <w:trPr>
          <w:trHeight w:val="340" w:hRule="atLeast"/>
        </w:trPr>
        <w:tc>
          <w:tcPr>
            <w:tcW w:w="48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49EE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11</w:t>
            </w:r>
          </w:p>
        </w:tc>
        <w:tc>
          <w:tcPr>
            <w:tcW w:w="104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3DAD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合计</w:t>
            </w:r>
          </w:p>
        </w:tc>
        <w:tc>
          <w:tcPr>
            <w:tcW w:w="271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84B788">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rPr>
                <w:rFonts w:hint="default" w:ascii="Times New Roman" w:hAnsi="Times New Roman" w:eastAsia="宋体" w:cs="Times New Roman"/>
                <w:b/>
                <w:bCs/>
                <w:i w:val="0"/>
                <w:iCs w:val="0"/>
                <w:color w:val="000000"/>
                <w:sz w:val="18"/>
                <w:szCs w:val="18"/>
                <w:u w:val="none"/>
              </w:rPr>
            </w:pPr>
          </w:p>
        </w:tc>
        <w:tc>
          <w:tcPr>
            <w:tcW w:w="53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B3D8E">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both"/>
              <w:rPr>
                <w:rFonts w:hint="default" w:ascii="Times New Roman" w:hAnsi="Times New Roman" w:eastAsia="宋体" w:cs="Times New Roman"/>
                <w:b/>
                <w:bCs/>
                <w:i w:val="0"/>
                <w:iCs w:val="0"/>
                <w:color w:val="000000"/>
                <w:sz w:val="18"/>
                <w:szCs w:val="18"/>
                <w:u w:val="none"/>
              </w:rPr>
            </w:pP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E761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727.77</w:t>
            </w:r>
          </w:p>
        </w:tc>
        <w:tc>
          <w:tcPr>
            <w:tcW w:w="8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87810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744.19</w:t>
            </w:r>
          </w:p>
        </w:tc>
        <w:tc>
          <w:tcPr>
            <w:tcW w:w="9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96C2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right"/>
              <w:textAlignment w:val="center"/>
              <w:rPr>
                <w:rFonts w:hint="default" w:ascii="Times New Roman" w:hAnsi="Times New Roman" w:eastAsia="宋体" w:cs="Times New Roman"/>
                <w:b/>
                <w:bCs/>
                <w:i w:val="0"/>
                <w:iCs w:val="0"/>
                <w:color w:val="000000"/>
                <w:sz w:val="18"/>
                <w:szCs w:val="18"/>
                <w:u w:val="none"/>
              </w:rPr>
            </w:pPr>
            <w:r>
              <w:rPr>
                <w:rFonts w:hint="default" w:ascii="Times New Roman" w:hAnsi="Times New Roman" w:eastAsia="宋体" w:cs="Times New Roman"/>
                <w:b/>
                <w:bCs/>
                <w:i w:val="0"/>
                <w:iCs w:val="0"/>
                <w:color w:val="000000"/>
                <w:kern w:val="0"/>
                <w:sz w:val="18"/>
                <w:szCs w:val="18"/>
                <w:u w:val="none"/>
                <w:lang w:val="en-US" w:eastAsia="zh-CN" w:bidi="ar"/>
              </w:rPr>
              <w:t>724.25</w:t>
            </w:r>
          </w:p>
        </w:tc>
        <w:tc>
          <w:tcPr>
            <w:tcW w:w="19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7962B">
            <w:pPr>
              <w:keepNext w:val="0"/>
              <w:keepLines w:val="0"/>
              <w:pageBreakBefore w:val="0"/>
              <w:widowControl/>
              <w:kinsoku/>
              <w:wordWrap/>
              <w:overflowPunct/>
              <w:topLinePunct w:val="0"/>
              <w:autoSpaceDE/>
              <w:autoSpaceDN/>
              <w:bidi w:val="0"/>
              <w:adjustRightInd w:val="0"/>
              <w:snapToGrid w:val="0"/>
              <w:spacing w:line="240" w:lineRule="auto"/>
              <w:ind w:firstLine="0" w:firstLineChars="0"/>
              <w:jc w:val="left"/>
              <w:rPr>
                <w:rFonts w:hint="default" w:ascii="Times New Roman" w:hAnsi="Times New Roman" w:eastAsia="宋体" w:cs="Times New Roman"/>
                <w:b/>
                <w:bCs/>
                <w:i w:val="0"/>
                <w:iCs w:val="0"/>
                <w:color w:val="000000"/>
                <w:sz w:val="18"/>
                <w:szCs w:val="18"/>
                <w:u w:val="none"/>
              </w:rPr>
            </w:pPr>
          </w:p>
        </w:tc>
      </w:tr>
    </w:tbl>
    <w:p w14:paraId="4BFCB3FB">
      <w:pPr>
        <w:pageBreakBefore w:val="0"/>
        <w:kinsoku/>
        <w:wordWrap/>
        <w:overflowPunct/>
        <w:topLinePunct w:val="0"/>
        <w:autoSpaceDE/>
        <w:autoSpaceDN/>
        <w:bidi w:val="0"/>
        <w:snapToGrid w:val="0"/>
        <w:spacing w:before="0" w:after="0" w:line="360" w:lineRule="auto"/>
        <w:ind w:firstLine="420"/>
        <w:rPr>
          <w:rFonts w:ascii="Times New Roman" w:hAnsi="Times New Roman" w:cs="Times New Roman"/>
          <w:color w:val="auto"/>
        </w:rPr>
        <w:sectPr>
          <w:pgSz w:w="16838" w:h="11906" w:orient="landscape"/>
          <w:pgMar w:top="1800" w:right="1440" w:bottom="1800" w:left="1440" w:header="851" w:footer="907" w:gutter="0"/>
          <w:cols w:space="425" w:num="1"/>
          <w:docGrid w:type="lines" w:linePitch="312" w:charSpace="0"/>
        </w:sectPr>
      </w:pPr>
    </w:p>
    <w:p w14:paraId="5DB460A0">
      <w:pPr>
        <w:pStyle w:val="2"/>
        <w:pageBreakBefore w:val="0"/>
        <w:kinsoku/>
        <w:wordWrap/>
        <w:overflowPunct/>
        <w:topLinePunct w:val="0"/>
        <w:autoSpaceDE/>
        <w:autoSpaceDN/>
        <w:bidi w:val="0"/>
        <w:snapToGrid w:val="0"/>
        <w:spacing w:before="0" w:after="0" w:line="360" w:lineRule="auto"/>
        <w:ind w:firstLine="0" w:firstLineChars="0"/>
        <w:rPr>
          <w:color w:val="auto"/>
        </w:rPr>
      </w:pPr>
      <w:bookmarkStart w:id="114" w:name="_Toc29169"/>
      <w:bookmarkStart w:id="115" w:name="_Toc15425"/>
      <w:r>
        <w:rPr>
          <w:color w:val="auto"/>
        </w:rPr>
        <w:t>附件3：问卷调查分析报告</w:t>
      </w:r>
      <w:bookmarkEnd w:id="114"/>
      <w:bookmarkEnd w:id="115"/>
    </w:p>
    <w:p w14:paraId="4E0D831E">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color w:val="auto"/>
        </w:rPr>
      </w:pPr>
      <w:r>
        <w:rPr>
          <w:rFonts w:hint="default"/>
          <w:color w:val="auto"/>
        </w:rPr>
        <w:t>本次绩效评价的对象为吉木萨尔县二工镇大泉湖村2024年以工代赈基础设施建设项目，为客观评价该项目的社会效果，绩效评价小组依据公共支出绩效评价“为顾客服务”原理，引入</w:t>
      </w:r>
      <w:r>
        <w:rPr>
          <w:rFonts w:hint="default"/>
          <w:color w:val="auto"/>
          <w:lang w:eastAsia="zh-CN"/>
        </w:rPr>
        <w:t>“</w:t>
      </w:r>
      <w:r>
        <w:rPr>
          <w:rFonts w:hint="default"/>
          <w:color w:val="auto"/>
        </w:rPr>
        <w:t>改善出行困难问题</w:t>
      </w:r>
      <w:r>
        <w:rPr>
          <w:rFonts w:hint="default"/>
          <w:color w:val="auto"/>
          <w:lang w:eastAsia="zh-CN"/>
        </w:rPr>
        <w:t>”“</w:t>
      </w:r>
      <w:r>
        <w:rPr>
          <w:rFonts w:hint="default"/>
          <w:color w:val="auto"/>
        </w:rPr>
        <w:t>善生产生活条件</w:t>
      </w:r>
      <w:r>
        <w:rPr>
          <w:rFonts w:hint="default"/>
          <w:color w:val="auto"/>
          <w:lang w:eastAsia="zh-CN"/>
        </w:rPr>
        <w:t>”“参与工程建设的务工群众满意度”</w:t>
      </w:r>
      <w:r>
        <w:rPr>
          <w:rFonts w:hint="default"/>
          <w:color w:val="auto"/>
        </w:rPr>
        <w:t>等效益指标，了解群众对项目的评价情况，对本项目展开满意度问卷调查。问卷调查工作情况如下：</w:t>
      </w:r>
    </w:p>
    <w:p w14:paraId="1747C1CD">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b/>
          <w:bCs/>
          <w:color w:val="auto"/>
        </w:rPr>
      </w:pPr>
      <w:r>
        <w:rPr>
          <w:rFonts w:hint="default"/>
          <w:b/>
          <w:bCs/>
          <w:color w:val="auto"/>
        </w:rPr>
        <w:t>1.调研对象</w:t>
      </w:r>
    </w:p>
    <w:p w14:paraId="00482FEB">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color w:val="auto"/>
        </w:rPr>
      </w:pPr>
      <w:r>
        <w:rPr>
          <w:rFonts w:hint="default"/>
          <w:color w:val="auto"/>
        </w:rPr>
        <w:t>本次调研的受益对象为</w:t>
      </w:r>
      <w:r>
        <w:rPr>
          <w:rFonts w:hint="default"/>
          <w:color w:val="auto"/>
          <w:lang w:val="en-US" w:eastAsia="zh-CN"/>
        </w:rPr>
        <w:t>参与工程建设的务工群众</w:t>
      </w:r>
      <w:r>
        <w:rPr>
          <w:rFonts w:hint="default"/>
          <w:color w:val="auto"/>
        </w:rPr>
        <w:t>。</w:t>
      </w:r>
    </w:p>
    <w:p w14:paraId="789CF5F9">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b/>
          <w:bCs/>
          <w:color w:val="auto"/>
        </w:rPr>
      </w:pPr>
      <w:r>
        <w:rPr>
          <w:rFonts w:hint="default"/>
          <w:b/>
          <w:bCs/>
          <w:color w:val="auto"/>
        </w:rPr>
        <w:t>2.调研内容</w:t>
      </w:r>
    </w:p>
    <w:p w14:paraId="6FF1A872">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color w:val="auto"/>
        </w:rPr>
      </w:pPr>
      <w:r>
        <w:rPr>
          <w:rFonts w:hint="default"/>
          <w:color w:val="auto"/>
        </w:rPr>
        <w:t>（1）对吉木萨尔县二工镇大泉湖村2024年以工代赈基础设施建设项目实施后的满意度，包括对项目情况是否了解、知晓和满意等。</w:t>
      </w:r>
    </w:p>
    <w:p w14:paraId="156AC384">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color w:val="auto"/>
        </w:rPr>
      </w:pPr>
      <w:r>
        <w:rPr>
          <w:rFonts w:hint="default"/>
          <w:color w:val="auto"/>
        </w:rPr>
        <w:t>（2）对吉木萨尔县二工镇大泉湖村2024年以工代赈基础设施建设项目的意见和建议，通过开放式问答收集，涵盖各个方面。</w:t>
      </w:r>
    </w:p>
    <w:p w14:paraId="00D308DD">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b/>
          <w:bCs/>
          <w:color w:val="auto"/>
        </w:rPr>
      </w:pPr>
      <w:r>
        <w:rPr>
          <w:rFonts w:hint="default"/>
          <w:b/>
          <w:bCs/>
          <w:color w:val="auto"/>
        </w:rPr>
        <w:t>3.调研方法</w:t>
      </w:r>
    </w:p>
    <w:p w14:paraId="0CBA531B">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color w:val="auto"/>
        </w:rPr>
      </w:pPr>
      <w:r>
        <w:rPr>
          <w:rFonts w:hint="default"/>
          <w:color w:val="auto"/>
        </w:rPr>
        <w:t>问卷调查采取抽样和重点选取的方式进行。在全面调研开展之前会先进行论证，依据论证结果对问卷和抽样方案再进行一次修改和调整。评价过程中还采用了现场勘察法、档案法、市场比较法获取相应数据。然后采用定量和定性分析评价、处理数据。</w:t>
      </w:r>
    </w:p>
    <w:p w14:paraId="7F91DEE5">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b/>
          <w:bCs/>
          <w:color w:val="auto"/>
        </w:rPr>
      </w:pPr>
      <w:r>
        <w:rPr>
          <w:rFonts w:hint="default"/>
          <w:b/>
          <w:bCs/>
          <w:color w:val="auto"/>
        </w:rPr>
        <w:t>4.抽样方式</w:t>
      </w:r>
    </w:p>
    <w:p w14:paraId="5C288EDA">
      <w:pPr>
        <w:spacing w:before="0" w:after="0" w:line="360" w:lineRule="auto"/>
        <w:ind w:firstLine="640"/>
        <w:rPr>
          <w:rFonts w:hint="default"/>
          <w:color w:val="auto"/>
        </w:rPr>
      </w:pPr>
      <w:r>
        <w:rPr>
          <w:rFonts w:hint="default"/>
          <w:color w:val="auto"/>
        </w:rPr>
        <w:t>经调研了解，对有明确受益对象的评价项目，设计满意度调查问卷，对调查对象开展独立第三方调研工作。</w:t>
      </w:r>
      <w:r>
        <w:rPr>
          <w:rFonts w:hint="default"/>
          <w:color w:val="auto"/>
          <w:lang w:val="en-US" w:eastAsia="zh-CN"/>
        </w:rPr>
        <w:t>本次调查对象按照受益对象不低于30%确定问卷数量，</w:t>
      </w:r>
      <w:r>
        <w:rPr>
          <w:rFonts w:hint="default"/>
          <w:color w:val="auto"/>
        </w:rPr>
        <w:t>该项目问卷调查使用抽样的方式，对该项目</w:t>
      </w:r>
      <w:r>
        <w:rPr>
          <w:rFonts w:hint="default"/>
          <w:color w:val="auto"/>
          <w:lang w:val="en-US" w:eastAsia="zh-CN"/>
        </w:rPr>
        <w:t>受益</w:t>
      </w:r>
      <w:r>
        <w:rPr>
          <w:rFonts w:hint="default"/>
          <w:color w:val="auto"/>
          <w:lang w:eastAsia="zh-CN"/>
        </w:rPr>
        <w:t>参与工程建设的务工群众</w:t>
      </w:r>
      <w:r>
        <w:rPr>
          <w:rFonts w:hint="default"/>
          <w:color w:val="auto"/>
          <w:lang w:val="en-US" w:eastAsia="zh-CN"/>
        </w:rPr>
        <w:t>发放问卷，受益</w:t>
      </w:r>
      <w:r>
        <w:rPr>
          <w:rFonts w:hint="default"/>
          <w:color w:val="auto"/>
          <w:lang w:eastAsia="zh-CN"/>
        </w:rPr>
        <w:t>参与工程建设的务工群众</w:t>
      </w:r>
      <w:r>
        <w:rPr>
          <w:rFonts w:hint="default"/>
          <w:color w:val="auto"/>
        </w:rPr>
        <w:t>共发放调查问卷</w:t>
      </w:r>
      <w:r>
        <w:rPr>
          <w:rFonts w:hint="default"/>
          <w:color w:val="auto"/>
          <w:lang w:val="en-US" w:eastAsia="zh-CN"/>
        </w:rPr>
        <w:t>60</w:t>
      </w:r>
      <w:r>
        <w:rPr>
          <w:rFonts w:hint="default"/>
          <w:color w:val="auto"/>
        </w:rPr>
        <w:t>份，最终收回</w:t>
      </w:r>
      <w:r>
        <w:rPr>
          <w:rFonts w:hint="default"/>
          <w:color w:val="auto"/>
          <w:lang w:val="en-US" w:eastAsia="zh-CN"/>
        </w:rPr>
        <w:t>问卷60</w:t>
      </w:r>
      <w:r>
        <w:rPr>
          <w:rFonts w:hint="default"/>
          <w:color w:val="auto"/>
        </w:rPr>
        <w:t>份，有效问卷</w:t>
      </w:r>
      <w:r>
        <w:rPr>
          <w:rFonts w:hint="default"/>
          <w:color w:val="auto"/>
          <w:lang w:val="en-US" w:eastAsia="zh-CN"/>
        </w:rPr>
        <w:t>60</w:t>
      </w:r>
      <w:r>
        <w:rPr>
          <w:rFonts w:hint="default"/>
          <w:color w:val="auto"/>
        </w:rPr>
        <w:t>份。</w:t>
      </w:r>
    </w:p>
    <w:p w14:paraId="7C50D0AC">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b/>
          <w:bCs/>
          <w:color w:val="auto"/>
        </w:rPr>
      </w:pPr>
      <w:r>
        <w:rPr>
          <w:rFonts w:hint="default"/>
          <w:b/>
          <w:bCs/>
          <w:color w:val="auto"/>
        </w:rPr>
        <w:t>5.问卷的发放和回收</w:t>
      </w:r>
    </w:p>
    <w:p w14:paraId="6B3BA43F">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color w:val="auto"/>
        </w:rPr>
      </w:pPr>
      <w:r>
        <w:rPr>
          <w:rFonts w:hint="default"/>
          <w:color w:val="auto"/>
        </w:rPr>
        <w:t>为充分采集调研对象的真实想法，保证调研的公平性和科学性，本次问卷调研不记名，在</w:t>
      </w:r>
      <w:r>
        <w:rPr>
          <w:rFonts w:hint="default"/>
          <w:color w:val="auto"/>
          <w:lang w:val="en-US" w:eastAsia="zh-CN"/>
        </w:rPr>
        <w:t>吉木萨尔县二工镇</w:t>
      </w:r>
      <w:r>
        <w:rPr>
          <w:rFonts w:hint="default"/>
          <w:color w:val="auto"/>
        </w:rPr>
        <w:t>乡人民政府的协调配合下，组织安排线上电子问卷的发放与回收。</w:t>
      </w:r>
    </w:p>
    <w:p w14:paraId="37832A7A">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b/>
          <w:bCs/>
          <w:color w:val="auto"/>
        </w:rPr>
      </w:pPr>
      <w:r>
        <w:rPr>
          <w:rFonts w:hint="default"/>
          <w:b/>
          <w:bCs/>
          <w:color w:val="auto"/>
        </w:rPr>
        <w:t>6.问卷调查分析结果</w:t>
      </w:r>
    </w:p>
    <w:p w14:paraId="2EF824B6">
      <w:pPr>
        <w:keepNext w:val="0"/>
        <w:keepLines w:val="0"/>
        <w:pageBreakBefore w:val="0"/>
        <w:widowControl w:val="0"/>
        <w:kinsoku/>
        <w:wordWrap/>
        <w:overflowPunct/>
        <w:topLinePunct w:val="0"/>
        <w:autoSpaceDE/>
        <w:autoSpaceDN/>
        <w:bidi w:val="0"/>
        <w:adjustRightInd w:val="0"/>
        <w:snapToGrid w:val="0"/>
        <w:spacing w:line="360" w:lineRule="auto"/>
        <w:ind w:firstLine="420"/>
        <w:jc w:val="left"/>
        <w:textAlignment w:val="auto"/>
        <w:rPr>
          <w:rFonts w:hint="default" w:eastAsiaTheme="minorEastAsia"/>
          <w:color w:val="auto"/>
          <w:lang w:eastAsia="zh-CN"/>
        </w:rPr>
      </w:pPr>
      <w:r>
        <w:rPr>
          <w:rFonts w:hint="default"/>
          <w:color w:val="auto"/>
        </w:rPr>
        <w:t>本次调研过程中，评价小组实际发放问卷</w:t>
      </w:r>
      <w:r>
        <w:rPr>
          <w:rFonts w:hint="default"/>
          <w:color w:val="auto"/>
          <w:lang w:val="en-US" w:eastAsia="zh-CN"/>
        </w:rPr>
        <w:t>60</w:t>
      </w:r>
      <w:r>
        <w:rPr>
          <w:rFonts w:hint="default"/>
          <w:color w:val="auto"/>
        </w:rPr>
        <w:t>份，回收问卷</w:t>
      </w:r>
      <w:r>
        <w:rPr>
          <w:rFonts w:hint="default"/>
          <w:color w:val="auto"/>
          <w:lang w:val="en-US" w:eastAsia="zh-CN"/>
        </w:rPr>
        <w:t>60</w:t>
      </w:r>
      <w:r>
        <w:rPr>
          <w:rFonts w:hint="default"/>
          <w:color w:val="auto"/>
        </w:rPr>
        <w:t>份，问卷回收率为100.00%，有效问卷</w:t>
      </w:r>
      <w:r>
        <w:rPr>
          <w:rFonts w:hint="default"/>
          <w:color w:val="auto"/>
          <w:lang w:val="en-US" w:eastAsia="zh-CN"/>
        </w:rPr>
        <w:t>60</w:t>
      </w:r>
      <w:r>
        <w:rPr>
          <w:rFonts w:hint="default"/>
          <w:color w:val="auto"/>
        </w:rPr>
        <w:t>份，有效回收率100.00%，根据调研反馈，</w:t>
      </w:r>
      <w:r>
        <w:rPr>
          <w:rFonts w:hint="default"/>
          <w:color w:val="auto"/>
          <w:lang w:val="en-US" w:eastAsia="zh-CN"/>
        </w:rPr>
        <w:t>97</w:t>
      </w:r>
      <w:r>
        <w:rPr>
          <w:rFonts w:hint="default"/>
          <w:color w:val="auto"/>
        </w:rPr>
        <w:t>%以上的受益对象对项目建设后出行便利和安全方面、农村物流运输等方面总体比较满意。本次调研的整体情况如下</w:t>
      </w:r>
      <w:r>
        <w:rPr>
          <w:rFonts w:hint="default"/>
          <w:color w:val="auto"/>
          <w:lang w:eastAsia="zh-CN"/>
        </w:rPr>
        <w:t>：</w:t>
      </w:r>
    </w:p>
    <w:tbl>
      <w:tblPr>
        <w:tblStyle w:val="1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2940"/>
        <w:gridCol w:w="2578"/>
        <w:gridCol w:w="3004"/>
      </w:tblGrid>
      <w:tr w14:paraId="4CD669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0" w:type="auto"/>
            <w:gridSpan w:val="3"/>
            <w:shd w:val="clear" w:color="auto" w:fill="auto"/>
            <w:noWrap/>
            <w:vAlign w:val="center"/>
          </w:tcPr>
          <w:p w14:paraId="722C562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1.您在2024年是否参与了二工镇大泉湖村2024年以工代赈基础设施建设项目，修建8公里道路？</w:t>
            </w:r>
          </w:p>
        </w:tc>
      </w:tr>
      <w:tr w14:paraId="6EDA1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67E493E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选项</w:t>
            </w:r>
          </w:p>
        </w:tc>
        <w:tc>
          <w:tcPr>
            <w:tcW w:w="0" w:type="auto"/>
            <w:shd w:val="clear" w:color="auto" w:fill="auto"/>
            <w:vAlign w:val="center"/>
          </w:tcPr>
          <w:p w14:paraId="7530124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反馈数量</w:t>
            </w:r>
          </w:p>
        </w:tc>
        <w:tc>
          <w:tcPr>
            <w:tcW w:w="0" w:type="auto"/>
            <w:shd w:val="clear" w:color="auto" w:fill="auto"/>
            <w:vAlign w:val="center"/>
          </w:tcPr>
          <w:p w14:paraId="6CF7BA9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占比</w:t>
            </w:r>
          </w:p>
        </w:tc>
      </w:tr>
      <w:tr w14:paraId="7AAAD0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018D1B1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是</w:t>
            </w:r>
          </w:p>
        </w:tc>
        <w:tc>
          <w:tcPr>
            <w:tcW w:w="0" w:type="auto"/>
            <w:shd w:val="clear" w:color="auto" w:fill="auto"/>
            <w:vAlign w:val="center"/>
          </w:tcPr>
          <w:p w14:paraId="45AAF88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52</w:t>
            </w:r>
          </w:p>
        </w:tc>
        <w:tc>
          <w:tcPr>
            <w:tcW w:w="0" w:type="auto"/>
            <w:shd w:val="clear" w:color="auto" w:fill="auto"/>
            <w:vAlign w:val="center"/>
          </w:tcPr>
          <w:p w14:paraId="2867A1B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86.67%</w:t>
            </w:r>
          </w:p>
        </w:tc>
      </w:tr>
      <w:tr w14:paraId="302EC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333BC0C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否</w:t>
            </w:r>
          </w:p>
        </w:tc>
        <w:tc>
          <w:tcPr>
            <w:tcW w:w="0" w:type="auto"/>
            <w:shd w:val="clear" w:color="auto" w:fill="auto"/>
            <w:vAlign w:val="center"/>
          </w:tcPr>
          <w:p w14:paraId="1F6C946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w:t>
            </w:r>
          </w:p>
        </w:tc>
        <w:tc>
          <w:tcPr>
            <w:tcW w:w="0" w:type="auto"/>
            <w:shd w:val="clear" w:color="auto" w:fill="auto"/>
            <w:vAlign w:val="center"/>
          </w:tcPr>
          <w:p w14:paraId="103EA5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13.33%</w:t>
            </w:r>
          </w:p>
        </w:tc>
      </w:tr>
      <w:tr w14:paraId="4153D4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gridSpan w:val="3"/>
            <w:shd w:val="clear" w:color="auto" w:fill="auto"/>
            <w:noWrap/>
            <w:vAlign w:val="center"/>
          </w:tcPr>
          <w:p w14:paraId="2746E2D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2.目前二工镇大泉湖村2024年以工代赈基础设施建设项目中新建的8公里道路是否正常通行？</w:t>
            </w:r>
          </w:p>
        </w:tc>
      </w:tr>
      <w:tr w14:paraId="75D92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0" w:type="auto"/>
            <w:shd w:val="clear" w:color="auto" w:fill="auto"/>
            <w:vAlign w:val="center"/>
          </w:tcPr>
          <w:p w14:paraId="325892C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选项</w:t>
            </w:r>
          </w:p>
        </w:tc>
        <w:tc>
          <w:tcPr>
            <w:tcW w:w="0" w:type="auto"/>
            <w:shd w:val="clear" w:color="auto" w:fill="auto"/>
            <w:vAlign w:val="center"/>
          </w:tcPr>
          <w:p w14:paraId="28BB17C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反馈数量</w:t>
            </w:r>
          </w:p>
        </w:tc>
        <w:tc>
          <w:tcPr>
            <w:tcW w:w="0" w:type="auto"/>
            <w:shd w:val="clear" w:color="auto" w:fill="auto"/>
            <w:vAlign w:val="center"/>
          </w:tcPr>
          <w:p w14:paraId="12B252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占比</w:t>
            </w:r>
          </w:p>
        </w:tc>
      </w:tr>
      <w:tr w14:paraId="47A56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22E0A31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是</w:t>
            </w:r>
          </w:p>
        </w:tc>
        <w:tc>
          <w:tcPr>
            <w:tcW w:w="0" w:type="auto"/>
            <w:shd w:val="clear" w:color="auto" w:fill="auto"/>
            <w:vAlign w:val="center"/>
          </w:tcPr>
          <w:p w14:paraId="547DC2E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59</w:t>
            </w:r>
          </w:p>
        </w:tc>
        <w:tc>
          <w:tcPr>
            <w:tcW w:w="0" w:type="auto"/>
            <w:shd w:val="clear" w:color="auto" w:fill="auto"/>
            <w:vAlign w:val="center"/>
          </w:tcPr>
          <w:p w14:paraId="61F110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98.33%</w:t>
            </w:r>
          </w:p>
        </w:tc>
      </w:tr>
      <w:tr w14:paraId="7142E0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0DF40E6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否</w:t>
            </w:r>
          </w:p>
        </w:tc>
        <w:tc>
          <w:tcPr>
            <w:tcW w:w="0" w:type="auto"/>
            <w:shd w:val="clear" w:color="auto" w:fill="auto"/>
            <w:vAlign w:val="center"/>
          </w:tcPr>
          <w:p w14:paraId="0077758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w:t>
            </w:r>
          </w:p>
        </w:tc>
        <w:tc>
          <w:tcPr>
            <w:tcW w:w="0" w:type="auto"/>
            <w:shd w:val="clear" w:color="auto" w:fill="auto"/>
            <w:vAlign w:val="center"/>
          </w:tcPr>
          <w:p w14:paraId="5504EA6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1.67%</w:t>
            </w:r>
          </w:p>
        </w:tc>
      </w:tr>
      <w:tr w14:paraId="4EE404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0" w:type="auto"/>
            <w:gridSpan w:val="3"/>
            <w:shd w:val="clear" w:color="auto" w:fill="auto"/>
            <w:noWrap/>
            <w:vAlign w:val="center"/>
          </w:tcPr>
          <w:p w14:paraId="0A1F120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3.您认为通过该项目实施，对于您的当年收入提升如何，生活程度改善如何？</w:t>
            </w:r>
          </w:p>
        </w:tc>
      </w:tr>
      <w:tr w14:paraId="618D4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0CA3EB5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选项</w:t>
            </w:r>
          </w:p>
        </w:tc>
        <w:tc>
          <w:tcPr>
            <w:tcW w:w="0" w:type="auto"/>
            <w:shd w:val="clear" w:color="auto" w:fill="auto"/>
            <w:vAlign w:val="center"/>
          </w:tcPr>
          <w:p w14:paraId="518AD07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反馈数量</w:t>
            </w:r>
          </w:p>
        </w:tc>
        <w:tc>
          <w:tcPr>
            <w:tcW w:w="0" w:type="auto"/>
            <w:shd w:val="clear" w:color="auto" w:fill="auto"/>
            <w:vAlign w:val="center"/>
          </w:tcPr>
          <w:p w14:paraId="105C0EE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占比</w:t>
            </w:r>
          </w:p>
        </w:tc>
      </w:tr>
      <w:tr w14:paraId="51132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shd w:val="clear" w:color="auto" w:fill="auto"/>
            <w:noWrap/>
            <w:vAlign w:val="center"/>
          </w:tcPr>
          <w:p w14:paraId="1569F16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lang w:val="en-US" w:eastAsia="zh-CN"/>
              </w:rPr>
              <w:t>显著</w:t>
            </w:r>
          </w:p>
        </w:tc>
        <w:tc>
          <w:tcPr>
            <w:tcW w:w="0" w:type="auto"/>
            <w:shd w:val="clear" w:color="auto" w:fill="auto"/>
            <w:vAlign w:val="center"/>
          </w:tcPr>
          <w:p w14:paraId="77354E6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42</w:t>
            </w:r>
          </w:p>
        </w:tc>
        <w:tc>
          <w:tcPr>
            <w:tcW w:w="0" w:type="auto"/>
            <w:shd w:val="clear" w:color="auto" w:fill="auto"/>
            <w:vAlign w:val="center"/>
          </w:tcPr>
          <w:p w14:paraId="5DECBDA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70.00%</w:t>
            </w:r>
          </w:p>
        </w:tc>
      </w:tr>
      <w:tr w14:paraId="500FFD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49E681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lang w:val="en-US" w:eastAsia="zh-CN"/>
              </w:rPr>
              <w:t>较好</w:t>
            </w:r>
          </w:p>
        </w:tc>
        <w:tc>
          <w:tcPr>
            <w:tcW w:w="0" w:type="auto"/>
            <w:shd w:val="clear" w:color="auto" w:fill="auto"/>
            <w:vAlign w:val="center"/>
          </w:tcPr>
          <w:p w14:paraId="079CEC0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0" w:type="auto"/>
            <w:shd w:val="clear" w:color="auto" w:fill="auto"/>
            <w:vAlign w:val="center"/>
          </w:tcPr>
          <w:p w14:paraId="0DD97F7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25.00%</w:t>
            </w:r>
          </w:p>
        </w:tc>
      </w:tr>
      <w:tr w14:paraId="65B20C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49653EB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sz w:val="21"/>
                <w:szCs w:val="21"/>
                <w:u w:val="none"/>
                <w:lang w:val="en-US" w:eastAsia="zh-CN"/>
              </w:rPr>
              <w:t>一般</w:t>
            </w:r>
          </w:p>
        </w:tc>
        <w:tc>
          <w:tcPr>
            <w:tcW w:w="0" w:type="auto"/>
            <w:shd w:val="clear" w:color="auto" w:fill="auto"/>
            <w:vAlign w:val="center"/>
          </w:tcPr>
          <w:p w14:paraId="4CC7CEA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3</w:t>
            </w:r>
          </w:p>
        </w:tc>
        <w:tc>
          <w:tcPr>
            <w:tcW w:w="0" w:type="auto"/>
            <w:shd w:val="clear" w:color="auto" w:fill="auto"/>
            <w:vAlign w:val="center"/>
          </w:tcPr>
          <w:p w14:paraId="4A98E12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5.00%</w:t>
            </w:r>
          </w:p>
        </w:tc>
      </w:tr>
      <w:tr w14:paraId="6FE9BB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3F14A924">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较差</w:t>
            </w:r>
          </w:p>
        </w:tc>
        <w:tc>
          <w:tcPr>
            <w:tcW w:w="0" w:type="auto"/>
            <w:shd w:val="clear" w:color="auto" w:fill="auto"/>
            <w:vAlign w:val="center"/>
          </w:tcPr>
          <w:p w14:paraId="464C22C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3DE6DB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04176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08CC269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无</w:t>
            </w:r>
          </w:p>
        </w:tc>
        <w:tc>
          <w:tcPr>
            <w:tcW w:w="0" w:type="auto"/>
            <w:shd w:val="clear" w:color="auto" w:fill="auto"/>
            <w:vAlign w:val="center"/>
          </w:tcPr>
          <w:p w14:paraId="17C17B5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3C4FFAC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7DDC8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0" w:type="auto"/>
            <w:gridSpan w:val="3"/>
            <w:shd w:val="clear" w:color="auto" w:fill="auto"/>
            <w:noWrap/>
            <w:vAlign w:val="center"/>
          </w:tcPr>
          <w:p w14:paraId="1E6EB8D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4.您认为通过该项目实施，对于大泉湖村基础设施提升程度如何？</w:t>
            </w:r>
          </w:p>
        </w:tc>
      </w:tr>
      <w:tr w14:paraId="39A75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2D7B247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选项</w:t>
            </w:r>
          </w:p>
        </w:tc>
        <w:tc>
          <w:tcPr>
            <w:tcW w:w="0" w:type="auto"/>
            <w:shd w:val="clear" w:color="auto" w:fill="auto"/>
            <w:vAlign w:val="center"/>
          </w:tcPr>
          <w:p w14:paraId="1BEDB5F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反馈数量</w:t>
            </w:r>
          </w:p>
        </w:tc>
        <w:tc>
          <w:tcPr>
            <w:tcW w:w="0" w:type="auto"/>
            <w:shd w:val="clear" w:color="auto" w:fill="auto"/>
            <w:vAlign w:val="center"/>
          </w:tcPr>
          <w:p w14:paraId="003C6E2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占比</w:t>
            </w:r>
          </w:p>
        </w:tc>
      </w:tr>
      <w:tr w14:paraId="2A27A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50" w:hRule="atLeast"/>
        </w:trPr>
        <w:tc>
          <w:tcPr>
            <w:tcW w:w="0" w:type="auto"/>
            <w:shd w:val="clear" w:color="auto" w:fill="auto"/>
            <w:noWrap/>
            <w:vAlign w:val="center"/>
          </w:tcPr>
          <w:p w14:paraId="1A1398D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显著</w:t>
            </w:r>
          </w:p>
        </w:tc>
        <w:tc>
          <w:tcPr>
            <w:tcW w:w="0" w:type="auto"/>
            <w:shd w:val="clear" w:color="auto" w:fill="auto"/>
            <w:vAlign w:val="center"/>
          </w:tcPr>
          <w:p w14:paraId="4E77AEB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45</w:t>
            </w:r>
          </w:p>
        </w:tc>
        <w:tc>
          <w:tcPr>
            <w:tcW w:w="0" w:type="auto"/>
            <w:shd w:val="clear" w:color="auto" w:fill="auto"/>
            <w:vAlign w:val="center"/>
          </w:tcPr>
          <w:p w14:paraId="6C6256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75.00%</w:t>
            </w:r>
          </w:p>
        </w:tc>
      </w:tr>
      <w:tr w14:paraId="29B53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0" w:type="auto"/>
            <w:shd w:val="clear" w:color="auto" w:fill="auto"/>
            <w:vAlign w:val="center"/>
          </w:tcPr>
          <w:p w14:paraId="628DA61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较好</w:t>
            </w:r>
          </w:p>
        </w:tc>
        <w:tc>
          <w:tcPr>
            <w:tcW w:w="0" w:type="auto"/>
            <w:shd w:val="clear" w:color="auto" w:fill="auto"/>
            <w:vAlign w:val="center"/>
          </w:tcPr>
          <w:p w14:paraId="15C4AA1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w:t>
            </w:r>
          </w:p>
        </w:tc>
        <w:tc>
          <w:tcPr>
            <w:tcW w:w="0" w:type="auto"/>
            <w:shd w:val="clear" w:color="auto" w:fill="auto"/>
            <w:vAlign w:val="center"/>
          </w:tcPr>
          <w:p w14:paraId="77A240B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25.00%</w:t>
            </w:r>
          </w:p>
        </w:tc>
      </w:tr>
      <w:tr w14:paraId="261C2C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747265B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一般</w:t>
            </w:r>
          </w:p>
        </w:tc>
        <w:tc>
          <w:tcPr>
            <w:tcW w:w="0" w:type="auto"/>
            <w:shd w:val="clear" w:color="auto" w:fill="auto"/>
            <w:vAlign w:val="center"/>
          </w:tcPr>
          <w:p w14:paraId="1ADDFC1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681D8F4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3345B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40CCA33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较差</w:t>
            </w:r>
          </w:p>
        </w:tc>
        <w:tc>
          <w:tcPr>
            <w:tcW w:w="0" w:type="auto"/>
            <w:shd w:val="clear" w:color="auto" w:fill="auto"/>
            <w:noWrap/>
            <w:vAlign w:val="center"/>
          </w:tcPr>
          <w:p w14:paraId="5283DDF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1ADA713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79E2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47270CD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无</w:t>
            </w:r>
          </w:p>
        </w:tc>
        <w:tc>
          <w:tcPr>
            <w:tcW w:w="0" w:type="auto"/>
            <w:shd w:val="clear" w:color="auto" w:fill="auto"/>
            <w:vAlign w:val="center"/>
          </w:tcPr>
          <w:p w14:paraId="1E7080D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547A5F2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1EBB1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0" w:type="auto"/>
            <w:gridSpan w:val="3"/>
            <w:shd w:val="clear" w:color="auto" w:fill="auto"/>
            <w:vAlign w:val="center"/>
          </w:tcPr>
          <w:p w14:paraId="5638F41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5.您认为通过该项目实施，对于您的出行方面提升改善如何？</w:t>
            </w:r>
          </w:p>
        </w:tc>
      </w:tr>
      <w:tr w14:paraId="1032DB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60CD4E6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选项</w:t>
            </w:r>
          </w:p>
        </w:tc>
        <w:tc>
          <w:tcPr>
            <w:tcW w:w="0" w:type="auto"/>
            <w:shd w:val="clear" w:color="auto" w:fill="auto"/>
            <w:vAlign w:val="center"/>
          </w:tcPr>
          <w:p w14:paraId="4837D67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反馈数量</w:t>
            </w:r>
          </w:p>
        </w:tc>
        <w:tc>
          <w:tcPr>
            <w:tcW w:w="0" w:type="auto"/>
            <w:shd w:val="clear" w:color="auto" w:fill="auto"/>
            <w:vAlign w:val="center"/>
          </w:tcPr>
          <w:p w14:paraId="2C0C532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占比</w:t>
            </w:r>
          </w:p>
        </w:tc>
      </w:tr>
      <w:tr w14:paraId="21E013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0" w:type="auto"/>
            <w:shd w:val="clear" w:color="auto" w:fill="auto"/>
            <w:noWrap/>
            <w:vAlign w:val="center"/>
          </w:tcPr>
          <w:p w14:paraId="68D3875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both"/>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显著</w:t>
            </w:r>
          </w:p>
        </w:tc>
        <w:tc>
          <w:tcPr>
            <w:tcW w:w="0" w:type="auto"/>
            <w:shd w:val="clear" w:color="auto" w:fill="auto"/>
            <w:vAlign w:val="center"/>
          </w:tcPr>
          <w:p w14:paraId="486E7B4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46</w:t>
            </w:r>
          </w:p>
        </w:tc>
        <w:tc>
          <w:tcPr>
            <w:tcW w:w="0" w:type="auto"/>
            <w:shd w:val="clear" w:color="auto" w:fill="auto"/>
            <w:vAlign w:val="center"/>
          </w:tcPr>
          <w:p w14:paraId="1C3C535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74.19%</w:t>
            </w:r>
          </w:p>
        </w:tc>
      </w:tr>
      <w:tr w14:paraId="6FFD8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56B3FE3B">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较好</w:t>
            </w:r>
          </w:p>
        </w:tc>
        <w:tc>
          <w:tcPr>
            <w:tcW w:w="0" w:type="auto"/>
            <w:shd w:val="clear" w:color="auto" w:fill="auto"/>
            <w:vAlign w:val="center"/>
          </w:tcPr>
          <w:p w14:paraId="177C3E05">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16</w:t>
            </w:r>
          </w:p>
        </w:tc>
        <w:tc>
          <w:tcPr>
            <w:tcW w:w="0" w:type="auto"/>
            <w:shd w:val="clear" w:color="auto" w:fill="auto"/>
            <w:vAlign w:val="center"/>
          </w:tcPr>
          <w:p w14:paraId="7C9B84D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25.81%</w:t>
            </w:r>
          </w:p>
        </w:tc>
      </w:tr>
      <w:tr w14:paraId="2DBBB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5BE0743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一般</w:t>
            </w:r>
          </w:p>
        </w:tc>
        <w:tc>
          <w:tcPr>
            <w:tcW w:w="0" w:type="auto"/>
            <w:shd w:val="clear" w:color="auto" w:fill="auto"/>
            <w:vAlign w:val="center"/>
          </w:tcPr>
          <w:p w14:paraId="19CE58D6">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0AD8F2F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6B9E3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0" w:type="auto"/>
            <w:shd w:val="clear" w:color="auto" w:fill="auto"/>
            <w:vAlign w:val="center"/>
          </w:tcPr>
          <w:p w14:paraId="3EE218AC">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较差</w:t>
            </w:r>
          </w:p>
        </w:tc>
        <w:tc>
          <w:tcPr>
            <w:tcW w:w="0" w:type="auto"/>
            <w:shd w:val="clear" w:color="auto" w:fill="auto"/>
            <w:vAlign w:val="center"/>
          </w:tcPr>
          <w:p w14:paraId="31A5650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4BBD10DD">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29112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7051271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无</w:t>
            </w:r>
          </w:p>
        </w:tc>
        <w:tc>
          <w:tcPr>
            <w:tcW w:w="0" w:type="auto"/>
            <w:shd w:val="clear" w:color="auto" w:fill="auto"/>
            <w:vAlign w:val="center"/>
          </w:tcPr>
          <w:p w14:paraId="1D74C2F0">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1ED2859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7EB62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 w:hRule="atLeast"/>
        </w:trPr>
        <w:tc>
          <w:tcPr>
            <w:tcW w:w="0" w:type="auto"/>
            <w:gridSpan w:val="3"/>
            <w:shd w:val="clear" w:color="auto" w:fill="auto"/>
            <w:vAlign w:val="center"/>
          </w:tcPr>
          <w:p w14:paraId="5434A2F2">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6.您对二工镇大泉湖村2024年以工代赈基础设施建设项目的实施过程及效果是否满意？</w:t>
            </w:r>
          </w:p>
        </w:tc>
      </w:tr>
      <w:tr w14:paraId="1959F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5019F6A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选项</w:t>
            </w:r>
          </w:p>
        </w:tc>
        <w:tc>
          <w:tcPr>
            <w:tcW w:w="0" w:type="auto"/>
            <w:shd w:val="clear" w:color="auto" w:fill="auto"/>
            <w:vAlign w:val="center"/>
          </w:tcPr>
          <w:p w14:paraId="12156B8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反馈数量</w:t>
            </w:r>
          </w:p>
        </w:tc>
        <w:tc>
          <w:tcPr>
            <w:tcW w:w="0" w:type="auto"/>
            <w:shd w:val="clear" w:color="auto" w:fill="auto"/>
            <w:vAlign w:val="center"/>
          </w:tcPr>
          <w:p w14:paraId="30083E0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占比</w:t>
            </w:r>
          </w:p>
        </w:tc>
      </w:tr>
      <w:tr w14:paraId="5DD4B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0" w:type="auto"/>
            <w:shd w:val="clear" w:color="auto" w:fill="auto"/>
            <w:vAlign w:val="center"/>
          </w:tcPr>
          <w:p w14:paraId="2CF13AA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非常满意</w:t>
            </w:r>
          </w:p>
        </w:tc>
        <w:tc>
          <w:tcPr>
            <w:tcW w:w="0" w:type="auto"/>
            <w:shd w:val="clear" w:color="auto" w:fill="auto"/>
            <w:vAlign w:val="center"/>
          </w:tcPr>
          <w:p w14:paraId="2F3A6FC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51</w:t>
            </w:r>
          </w:p>
        </w:tc>
        <w:tc>
          <w:tcPr>
            <w:tcW w:w="0" w:type="auto"/>
            <w:shd w:val="clear" w:color="auto" w:fill="auto"/>
            <w:vAlign w:val="center"/>
          </w:tcPr>
          <w:p w14:paraId="3D6C9A3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85.00%</w:t>
            </w:r>
          </w:p>
        </w:tc>
      </w:tr>
      <w:tr w14:paraId="3B311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66BC973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满意</w:t>
            </w:r>
          </w:p>
        </w:tc>
        <w:tc>
          <w:tcPr>
            <w:tcW w:w="0" w:type="auto"/>
            <w:shd w:val="clear" w:color="auto" w:fill="auto"/>
            <w:vAlign w:val="center"/>
          </w:tcPr>
          <w:p w14:paraId="7AA47F6F">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9</w:t>
            </w:r>
          </w:p>
        </w:tc>
        <w:tc>
          <w:tcPr>
            <w:tcW w:w="0" w:type="auto"/>
            <w:shd w:val="clear" w:color="auto" w:fill="auto"/>
            <w:vAlign w:val="center"/>
          </w:tcPr>
          <w:p w14:paraId="31AAF81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15.00%</w:t>
            </w:r>
          </w:p>
        </w:tc>
      </w:tr>
      <w:tr w14:paraId="15C6E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0" w:type="auto"/>
            <w:shd w:val="clear" w:color="auto" w:fill="auto"/>
            <w:vAlign w:val="center"/>
          </w:tcPr>
          <w:p w14:paraId="248C86DA">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比较满意</w:t>
            </w:r>
          </w:p>
        </w:tc>
        <w:tc>
          <w:tcPr>
            <w:tcW w:w="0" w:type="auto"/>
            <w:shd w:val="clear" w:color="auto" w:fill="auto"/>
            <w:vAlign w:val="center"/>
          </w:tcPr>
          <w:p w14:paraId="1972BE33">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490D3BA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183FB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7BF526B7">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不满意</w:t>
            </w:r>
          </w:p>
        </w:tc>
        <w:tc>
          <w:tcPr>
            <w:tcW w:w="0" w:type="auto"/>
            <w:shd w:val="clear" w:color="auto" w:fill="auto"/>
            <w:vAlign w:val="center"/>
          </w:tcPr>
          <w:p w14:paraId="573B8B9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780706AE">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r w14:paraId="3F2E5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0" w:type="auto"/>
            <w:shd w:val="clear" w:color="auto" w:fill="auto"/>
            <w:vAlign w:val="center"/>
          </w:tcPr>
          <w:p w14:paraId="7AF9D8D8">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left"/>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不了解</w:t>
            </w:r>
          </w:p>
        </w:tc>
        <w:tc>
          <w:tcPr>
            <w:tcW w:w="0" w:type="auto"/>
            <w:shd w:val="clear" w:color="auto" w:fill="auto"/>
            <w:vAlign w:val="center"/>
          </w:tcPr>
          <w:p w14:paraId="09946F69">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w:t>
            </w:r>
          </w:p>
        </w:tc>
        <w:tc>
          <w:tcPr>
            <w:tcW w:w="0" w:type="auto"/>
            <w:shd w:val="clear" w:color="auto" w:fill="auto"/>
            <w:vAlign w:val="center"/>
          </w:tcPr>
          <w:p w14:paraId="5AA2C7A1">
            <w:pPr>
              <w:keepNext w:val="0"/>
              <w:keepLines w:val="0"/>
              <w:pageBreakBefore w:val="0"/>
              <w:widowControl/>
              <w:suppressLineNumbers w:val="0"/>
              <w:kinsoku/>
              <w:wordWrap/>
              <w:overflowPunct/>
              <w:topLinePunct w:val="0"/>
              <w:autoSpaceDE/>
              <w:autoSpaceDN/>
              <w:bidi w:val="0"/>
              <w:adjustRightInd w:val="0"/>
              <w:snapToGrid w:val="0"/>
              <w:spacing w:line="240" w:lineRule="auto"/>
              <w:ind w:firstLine="0" w:firstLineChars="0"/>
              <w:jc w:val="center"/>
              <w:textAlignment w:val="center"/>
              <w:rPr>
                <w:rFonts w:hint="default" w:ascii="Times New Roman" w:hAnsi="Times New Roman" w:eastAsia="宋体" w:cs="Times New Roman"/>
                <w:i w:val="0"/>
                <w:iCs w:val="0"/>
                <w:color w:val="auto"/>
                <w:sz w:val="21"/>
                <w:szCs w:val="21"/>
                <w:u w:val="none"/>
              </w:rPr>
            </w:pPr>
            <w:r>
              <w:rPr>
                <w:rFonts w:hint="default" w:ascii="Times New Roman" w:hAnsi="Times New Roman" w:eastAsia="宋体" w:cs="Times New Roman"/>
                <w:i w:val="0"/>
                <w:iCs w:val="0"/>
                <w:color w:val="auto"/>
                <w:kern w:val="0"/>
                <w:sz w:val="21"/>
                <w:szCs w:val="21"/>
                <w:u w:val="none"/>
                <w:lang w:val="en-US" w:eastAsia="zh-CN" w:bidi="ar"/>
              </w:rPr>
              <w:t>0.00%</w:t>
            </w:r>
          </w:p>
        </w:tc>
      </w:tr>
    </w:tbl>
    <w:p w14:paraId="2D401A58">
      <w:pPr>
        <w:pageBreakBefore w:val="0"/>
        <w:kinsoku/>
        <w:wordWrap/>
        <w:overflowPunct/>
        <w:topLinePunct w:val="0"/>
        <w:autoSpaceDE/>
        <w:autoSpaceDN/>
        <w:bidi w:val="0"/>
        <w:snapToGrid w:val="0"/>
        <w:spacing w:before="0" w:after="0" w:line="360" w:lineRule="auto"/>
        <w:ind w:left="420" w:leftChars="200" w:firstLine="0" w:firstLineChars="0"/>
        <w:jc w:val="left"/>
        <w:rPr>
          <w:color w:val="auto"/>
        </w:rPr>
      </w:pPr>
      <w:r>
        <w:rPr>
          <w:color w:val="auto"/>
        </w:rPr>
        <w:br w:type="page"/>
      </w:r>
    </w:p>
    <w:p w14:paraId="70C97806">
      <w:pPr>
        <w:pStyle w:val="2"/>
        <w:pageBreakBefore w:val="0"/>
        <w:kinsoku/>
        <w:wordWrap/>
        <w:overflowPunct/>
        <w:topLinePunct w:val="0"/>
        <w:autoSpaceDE/>
        <w:autoSpaceDN/>
        <w:bidi w:val="0"/>
        <w:snapToGrid w:val="0"/>
        <w:spacing w:before="0" w:after="0" w:line="360" w:lineRule="auto"/>
        <w:ind w:firstLine="0" w:firstLineChars="0"/>
        <w:rPr>
          <w:color w:val="auto"/>
        </w:rPr>
      </w:pPr>
      <w:bookmarkStart w:id="116" w:name="_Toc26230"/>
      <w:bookmarkStart w:id="117" w:name="_Toc23223"/>
      <w:bookmarkStart w:id="118" w:name="_Toc32397"/>
      <w:bookmarkStart w:id="119" w:name="_Toc17928"/>
      <w:r>
        <w:rPr>
          <w:color w:val="auto"/>
        </w:rPr>
        <w:t>附件4：现场勘查照片</w:t>
      </w:r>
      <w:bookmarkEnd w:id="116"/>
      <w:bookmarkEnd w:id="117"/>
      <w:bookmarkEnd w:id="118"/>
      <w:bookmarkEnd w:id="119"/>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61B2CE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2F01CC2D">
            <w:pPr>
              <w:pageBreakBefore w:val="0"/>
              <w:kinsoku/>
              <w:wordWrap/>
              <w:overflowPunct/>
              <w:topLinePunct w:val="0"/>
              <w:autoSpaceDE/>
              <w:autoSpaceDN/>
              <w:bidi w:val="0"/>
              <w:snapToGrid w:val="0"/>
              <w:spacing w:before="0" w:after="0" w:line="360" w:lineRule="auto"/>
              <w:jc w:val="center"/>
              <w:rPr>
                <w:rFonts w:hint="default" w:eastAsiaTheme="minorEastAsia"/>
                <w:color w:val="auto"/>
                <w:vertAlign w:val="baseline"/>
                <w:lang w:val="en-US" w:eastAsia="zh-CN"/>
              </w:rPr>
            </w:pPr>
            <w:r>
              <w:rPr>
                <w:rFonts w:hint="default"/>
                <w:b/>
                <w:bCs/>
                <w:color w:val="auto"/>
                <w:vertAlign w:val="baseline"/>
                <w:lang w:val="en-US" w:eastAsia="zh-CN"/>
              </w:rPr>
              <w:t>图1：图2：大泉湖村乡村道路</w:t>
            </w:r>
          </w:p>
        </w:tc>
      </w:tr>
      <w:tr w14:paraId="5A1CB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7F046732">
            <w:pPr>
              <w:pageBreakBefore w:val="0"/>
              <w:kinsoku/>
              <w:wordWrap/>
              <w:overflowPunct/>
              <w:topLinePunct w:val="0"/>
              <w:autoSpaceDE/>
              <w:autoSpaceDN/>
              <w:bidi w:val="0"/>
              <w:snapToGrid w:val="0"/>
              <w:spacing w:before="0" w:after="0" w:line="360" w:lineRule="auto"/>
              <w:rPr>
                <w:rFonts w:hint="default" w:eastAsiaTheme="minorEastAsia"/>
                <w:color w:val="auto"/>
                <w:vertAlign w:val="baseline"/>
                <w:lang w:eastAsia="zh-CN"/>
              </w:rPr>
            </w:pPr>
            <w:r>
              <w:rPr>
                <w:color w:val="auto"/>
              </w:rPr>
              <w:drawing>
                <wp:anchor distT="0" distB="0" distL="114300" distR="114300" simplePos="0" relativeHeight="251660288" behindDoc="0" locked="0" layoutInCell="1" allowOverlap="1">
                  <wp:simplePos x="0" y="0"/>
                  <wp:positionH relativeFrom="column">
                    <wp:posOffset>18415</wp:posOffset>
                  </wp:positionH>
                  <wp:positionV relativeFrom="paragraph">
                    <wp:posOffset>-4070350</wp:posOffset>
                  </wp:positionV>
                  <wp:extent cx="5287010" cy="2812415"/>
                  <wp:effectExtent l="0" t="0" r="8890" b="6985"/>
                  <wp:wrapSquare wrapText="bothSides"/>
                  <wp:docPr id="3" name="图片 3" descr="8ddef4f408e74e159b68eabb9e5408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8ddef4f408e74e159b68eabb9e5408e2"/>
                          <pic:cNvPicPr>
                            <a:picLocks noChangeAspect="1"/>
                          </pic:cNvPicPr>
                        </pic:nvPicPr>
                        <pic:blipFill>
                          <a:blip r:embed="rId18"/>
                          <a:stretch>
                            <a:fillRect/>
                          </a:stretch>
                        </pic:blipFill>
                        <pic:spPr>
                          <a:xfrm>
                            <a:off x="0" y="0"/>
                            <a:ext cx="5287010" cy="2812415"/>
                          </a:xfrm>
                          <a:prstGeom prst="rect">
                            <a:avLst/>
                          </a:prstGeom>
                        </pic:spPr>
                      </pic:pic>
                    </a:graphicData>
                  </a:graphic>
                </wp:anchor>
              </w:drawing>
            </w:r>
          </w:p>
        </w:tc>
      </w:tr>
      <w:tr w14:paraId="6DA4E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14:paraId="0DBB17F5">
            <w:pPr>
              <w:pageBreakBefore w:val="0"/>
              <w:kinsoku/>
              <w:wordWrap/>
              <w:overflowPunct/>
              <w:topLinePunct w:val="0"/>
              <w:autoSpaceDE/>
              <w:autoSpaceDN/>
              <w:bidi w:val="0"/>
              <w:snapToGrid w:val="0"/>
              <w:spacing w:before="0" w:after="0" w:line="360" w:lineRule="auto"/>
              <w:rPr>
                <w:rFonts w:hint="default" w:eastAsiaTheme="minorEastAsia"/>
                <w:color w:val="auto"/>
                <w:lang w:eastAsia="zh-CN"/>
              </w:rPr>
            </w:pPr>
            <w:r>
              <w:rPr>
                <w:rFonts w:hint="default" w:eastAsiaTheme="minorEastAsia"/>
                <w:color w:val="auto"/>
                <w:lang w:eastAsia="zh-CN"/>
              </w:rPr>
              <w:drawing>
                <wp:anchor distT="0" distB="0" distL="114300" distR="114300" simplePos="0" relativeHeight="251661312" behindDoc="0" locked="0" layoutInCell="1" allowOverlap="1">
                  <wp:simplePos x="0" y="0"/>
                  <wp:positionH relativeFrom="column">
                    <wp:posOffset>20320</wp:posOffset>
                  </wp:positionH>
                  <wp:positionV relativeFrom="paragraph">
                    <wp:posOffset>0</wp:posOffset>
                  </wp:positionV>
                  <wp:extent cx="5276215" cy="2811780"/>
                  <wp:effectExtent l="0" t="0" r="6985" b="7620"/>
                  <wp:wrapSquare wrapText="bothSides"/>
                  <wp:docPr id="6" name="图片 6" descr="5c36ea11bffb93fc94fc0b76c709a4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5c36ea11bffb93fc94fc0b76c709a412"/>
                          <pic:cNvPicPr>
                            <a:picLocks noChangeAspect="1"/>
                          </pic:cNvPicPr>
                        </pic:nvPicPr>
                        <pic:blipFill>
                          <a:blip r:embed="rId19"/>
                          <a:stretch>
                            <a:fillRect/>
                          </a:stretch>
                        </pic:blipFill>
                        <pic:spPr>
                          <a:xfrm>
                            <a:off x="0" y="0"/>
                            <a:ext cx="5276215" cy="2811780"/>
                          </a:xfrm>
                          <a:prstGeom prst="rect">
                            <a:avLst/>
                          </a:prstGeom>
                        </pic:spPr>
                      </pic:pic>
                    </a:graphicData>
                  </a:graphic>
                </wp:anchor>
              </w:drawing>
            </w:r>
          </w:p>
        </w:tc>
      </w:tr>
    </w:tbl>
    <w:p w14:paraId="77DDD63C">
      <w:pPr>
        <w:pageBreakBefore w:val="0"/>
        <w:kinsoku/>
        <w:wordWrap/>
        <w:overflowPunct/>
        <w:topLinePunct w:val="0"/>
        <w:autoSpaceDE/>
        <w:autoSpaceDN/>
        <w:bidi w:val="0"/>
        <w:snapToGrid w:val="0"/>
        <w:spacing w:before="0" w:after="0" w:line="360" w:lineRule="auto"/>
        <w:ind w:firstLine="0" w:firstLineChars="0"/>
        <w:rPr>
          <w:color w:val="auto"/>
        </w:rPr>
      </w:pPr>
      <w:r>
        <w:rPr>
          <w:color w:val="auto"/>
        </w:rPr>
        <w:br w:type="page"/>
      </w:r>
    </w:p>
    <w:p w14:paraId="11347F20">
      <w:pPr>
        <w:pStyle w:val="2"/>
        <w:pageBreakBefore w:val="0"/>
        <w:kinsoku/>
        <w:wordWrap/>
        <w:overflowPunct/>
        <w:topLinePunct w:val="0"/>
        <w:autoSpaceDE/>
        <w:autoSpaceDN/>
        <w:bidi w:val="0"/>
        <w:snapToGrid w:val="0"/>
        <w:spacing w:before="0" w:after="0" w:line="360" w:lineRule="auto"/>
        <w:ind w:firstLine="0" w:firstLineChars="0"/>
        <w:rPr>
          <w:color w:val="auto"/>
        </w:rPr>
      </w:pPr>
      <w:bookmarkStart w:id="120" w:name="_Toc12827"/>
      <w:bookmarkStart w:id="121" w:name="_Toc18444"/>
      <w:r>
        <w:rPr>
          <w:color w:val="auto"/>
        </w:rPr>
        <w:t>附件5：</w:t>
      </w:r>
      <w:bookmarkEnd w:id="120"/>
      <w:r>
        <w:rPr>
          <w:color w:val="auto"/>
        </w:rPr>
        <w:t>绩效评价</w:t>
      </w:r>
      <w:r>
        <w:rPr>
          <w:rFonts w:hint="default"/>
          <w:color w:val="auto"/>
        </w:rPr>
        <w:t>工作沟通</w:t>
      </w:r>
      <w:r>
        <w:rPr>
          <w:color w:val="auto"/>
        </w:rPr>
        <w:t>反馈</w:t>
      </w:r>
      <w:r>
        <w:rPr>
          <w:rFonts w:hint="default"/>
          <w:color w:val="auto"/>
        </w:rPr>
        <w:t>结果</w:t>
      </w:r>
      <w:bookmarkEnd w:id="121"/>
    </w:p>
    <w:p w14:paraId="5DF9A6A3">
      <w:pPr>
        <w:rPr>
          <w:rFonts w:hint="default" w:eastAsia="黑体"/>
          <w:color w:val="auto"/>
          <w:lang w:eastAsia="zh-CN"/>
        </w:rPr>
      </w:pPr>
      <w:r>
        <w:rPr>
          <w:rFonts w:hint="default" w:eastAsia="黑体"/>
          <w:color w:val="auto"/>
          <w:lang w:eastAsia="zh-CN"/>
        </w:rPr>
        <w:drawing>
          <wp:anchor distT="0" distB="0" distL="114300" distR="114300" simplePos="0" relativeHeight="251662336" behindDoc="0" locked="0" layoutInCell="1" allowOverlap="1">
            <wp:simplePos x="0" y="0"/>
            <wp:positionH relativeFrom="column">
              <wp:posOffset>147955</wp:posOffset>
            </wp:positionH>
            <wp:positionV relativeFrom="paragraph">
              <wp:posOffset>92710</wp:posOffset>
            </wp:positionV>
            <wp:extent cx="5268595" cy="6171565"/>
            <wp:effectExtent l="0" t="0" r="1905" b="635"/>
            <wp:wrapSquare wrapText="bothSides"/>
            <wp:docPr id="2" name="图片 2" descr="9f736f1b-e30c-4a30-9181-c47594bb205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9f736f1b-e30c-4a30-9181-c47594bb205a"/>
                    <pic:cNvPicPr>
                      <a:picLocks noChangeAspect="1"/>
                    </pic:cNvPicPr>
                  </pic:nvPicPr>
                  <pic:blipFill>
                    <a:blip r:embed="rId20"/>
                    <a:stretch>
                      <a:fillRect/>
                    </a:stretch>
                  </pic:blipFill>
                  <pic:spPr>
                    <a:xfrm>
                      <a:off x="0" y="0"/>
                      <a:ext cx="5268595" cy="6171565"/>
                    </a:xfrm>
                    <a:prstGeom prst="rect">
                      <a:avLst/>
                    </a:prstGeom>
                  </pic:spPr>
                </pic:pic>
              </a:graphicData>
            </a:graphic>
          </wp:anchor>
        </w:drawing>
      </w:r>
      <w:r>
        <w:rPr>
          <w:rFonts w:hint="default" w:eastAsia="黑体"/>
          <w:color w:val="auto"/>
          <w:lang w:eastAsia="zh-CN"/>
        </w:rPr>
        <w:br w:type="page"/>
      </w:r>
    </w:p>
    <w:p w14:paraId="46B09A48">
      <w:pPr>
        <w:pageBreakBefore w:val="0"/>
        <w:kinsoku/>
        <w:wordWrap/>
        <w:overflowPunct/>
        <w:topLinePunct w:val="0"/>
        <w:autoSpaceDE/>
        <w:autoSpaceDN/>
        <w:bidi w:val="0"/>
        <w:snapToGrid w:val="0"/>
        <w:spacing w:before="0" w:after="0" w:line="360" w:lineRule="auto"/>
        <w:ind w:firstLine="0" w:firstLineChars="0"/>
        <w:rPr>
          <w:rFonts w:hint="default" w:eastAsia="黑体"/>
          <w:color w:val="auto"/>
          <w:lang w:eastAsia="zh-CN"/>
        </w:rPr>
      </w:pPr>
      <w:bookmarkStart w:id="122" w:name="_GoBack"/>
      <w:r>
        <w:rPr>
          <w:rFonts w:hint="default" w:eastAsia="黑体"/>
          <w:color w:val="auto"/>
          <w:lang w:eastAsia="zh-CN"/>
        </w:rPr>
        <w:drawing>
          <wp:anchor distT="0" distB="0" distL="114300" distR="114300" simplePos="0" relativeHeight="251663360" behindDoc="0" locked="0" layoutInCell="1" allowOverlap="1">
            <wp:simplePos x="0" y="0"/>
            <wp:positionH relativeFrom="column">
              <wp:posOffset>0</wp:posOffset>
            </wp:positionH>
            <wp:positionV relativeFrom="paragraph">
              <wp:posOffset>0</wp:posOffset>
            </wp:positionV>
            <wp:extent cx="5273675" cy="7247255"/>
            <wp:effectExtent l="0" t="0" r="9525" b="4445"/>
            <wp:wrapSquare wrapText="bothSides"/>
            <wp:docPr id="4" name="图片 4" descr="绩效评价反馈表_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绩效评价反馈表_03"/>
                    <pic:cNvPicPr>
                      <a:picLocks noChangeAspect="1"/>
                    </pic:cNvPicPr>
                  </pic:nvPicPr>
                  <pic:blipFill>
                    <a:blip r:embed="rId21"/>
                    <a:stretch>
                      <a:fillRect/>
                    </a:stretch>
                  </pic:blipFill>
                  <pic:spPr>
                    <a:xfrm>
                      <a:off x="0" y="0"/>
                      <a:ext cx="5273675" cy="7247255"/>
                    </a:xfrm>
                    <a:prstGeom prst="rect">
                      <a:avLst/>
                    </a:prstGeom>
                  </pic:spPr>
                </pic:pic>
              </a:graphicData>
            </a:graphic>
          </wp:anchor>
        </w:drawing>
      </w:r>
      <w:bookmarkEnd w:id="122"/>
    </w:p>
    <w:sectPr>
      <w:pgSz w:w="11906" w:h="16838"/>
      <w:pgMar w:top="1440" w:right="1800" w:bottom="1440" w:left="1800" w:header="851" w:footer="907"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Unicode MS">
    <w:panose1 w:val="020B0604020202020204"/>
    <w:charset w:val="86"/>
    <w:family w:val="swiss"/>
    <w:pitch w:val="default"/>
    <w:sig w:usb0="FFFFFFFF" w:usb1="E9FFFFFF" w:usb2="0000003F" w:usb3="00000000" w:csb0="603F01FF" w:csb1="FFFF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CBD76A">
    <w:pPr>
      <w:pStyle w:val="12"/>
      <w:ind w:right="72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56476">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7FEA9">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8D1DB8">
    <w:pPr>
      <w:pStyle w:val="12"/>
      <w:ind w:firstLine="360"/>
      <w:jc w:val="right"/>
    </w:pPr>
    <w:r>
      <mc:AlternateContent>
        <mc:Choice Requires="wps">
          <w:drawing>
            <wp:anchor distT="0" distB="0" distL="114300" distR="114300" simplePos="0" relativeHeight="251659264" behindDoc="0" locked="0" layoutInCell="1" allowOverlap="1">
              <wp:simplePos x="0" y="0"/>
              <wp:positionH relativeFrom="margin">
                <wp:posOffset>2560955</wp:posOffset>
              </wp:positionH>
              <wp:positionV relativeFrom="paragraph">
                <wp:posOffset>127000</wp:posOffset>
              </wp:positionV>
              <wp:extent cx="32639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326390" cy="1828800"/>
                      </a:xfrm>
                      <a:prstGeom prst="rect">
                        <a:avLst/>
                      </a:prstGeom>
                      <a:noFill/>
                      <a:ln>
                        <a:noFill/>
                      </a:ln>
                    </wps:spPr>
                    <wps:txbx>
                      <w:txbxContent>
                        <w:p w14:paraId="63C87E4B">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wps:txbx>
                    <wps:bodyPr lIns="0" tIns="0" rIns="0" bIns="0">
                      <a:spAutoFit/>
                    </wps:bodyPr>
                  </wps:wsp>
                </a:graphicData>
              </a:graphic>
            </wp:anchor>
          </w:drawing>
        </mc:Choice>
        <mc:Fallback>
          <w:pict>
            <v:shape id="_x0000_s1026" o:spid="_x0000_s1026" o:spt="202" type="#_x0000_t202" style="position:absolute;left:0pt;margin-left:201.65pt;margin-top:10pt;height:144pt;width:25.7pt;mso-position-horizontal-relative:margin;z-index:251659264;mso-width-relative:page;mso-height-relative:page;" filled="f" stroked="f" coordsize="21600,21600" o:gfxdata="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BfrW5Q1wAAAAoBAAAPAAAAAAAAAAEAIAAAACIAAABkcnMvZG93bnJldi54bWxQ&#10;SwECFAAUAAAACACHTuJACdKSA78BAACAAwAADgAAAAAAAAABACAAAAAmAQAAZHJzL2Uyb0RvYy54&#10;bWxQSwUGAAAAAAYABgBZAQAAVwUAAAAA&#10;">
              <v:fill on="f" focussize="0,0"/>
              <v:stroke on="f"/>
              <v:imagedata o:title=""/>
              <o:lock v:ext="edit" aspectratio="f"/>
              <v:textbox inset="0mm,0mm,0mm,0mm" style="mso-fit-shape-to-text:t;">
                <w:txbxContent>
                  <w:p w14:paraId="63C87E4B">
                    <w:pPr>
                      <w:pStyle w:val="12"/>
                      <w:spacing w:line="240" w:lineRule="auto"/>
                      <w:ind w:firstLine="0" w:firstLineChars="0"/>
                    </w:pPr>
                    <w:r>
                      <w:fldChar w:fldCharType="begin"/>
                    </w:r>
                    <w:r>
                      <w:instrText xml:space="preserve"> PAGE  \* MERGEFORMAT </w:instrText>
                    </w:r>
                    <w:r>
                      <w:fldChar w:fldCharType="separate"/>
                    </w:r>
                    <w:r>
                      <w:t>II</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FDF22">
    <w:pPr>
      <w:pStyle w:val="12"/>
      <w:ind w:firstLine="0" w:firstLineChars="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7681ECEE">
        <w:pPr>
          <w:pStyle w:val="12"/>
          <w:spacing w:line="240" w:lineRule="auto"/>
          <w:ind w:firstLine="0" w:firstLineChars="0"/>
          <w:jc w:val="center"/>
        </w:pPr>
        <w:r>
          <w:fldChar w:fldCharType="begin"/>
        </w:r>
        <w:r>
          <w:instrText xml:space="preserve">PAGE   \* MERGEFORMAT</w:instrText>
        </w:r>
        <w:r>
          <w:fldChar w:fldCharType="separate"/>
        </w:r>
        <w:r>
          <w:rPr>
            <w:lang w:val="zh-CN"/>
          </w:rPr>
          <w:t>1</w:t>
        </w:r>
        <w: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30654414"/>
      <w:docPartObj>
        <w:docPartGallery w:val="autotext"/>
      </w:docPartObj>
    </w:sdtPr>
    <w:sdtContent>
      <w:p w14:paraId="759FEF61">
        <w:pPr>
          <w:pStyle w:val="12"/>
          <w:spacing w:line="240" w:lineRule="auto"/>
          <w:ind w:firstLine="360"/>
          <w:jc w:val="center"/>
        </w:pPr>
        <w:r>
          <w:fldChar w:fldCharType="begin"/>
        </w:r>
        <w:r>
          <w:instrText xml:space="preserve">PAGE   \* MERGEFORMAT</w:instrText>
        </w:r>
        <w:r>
          <w:fldChar w:fldCharType="separate"/>
        </w:r>
        <w:r>
          <w:rPr>
            <w:lang w:val="zh-CN"/>
          </w:rPr>
          <w:t>7</w:t>
        </w:r>
        <w:r>
          <w:fldChar w:fldCharType="end"/>
        </w:r>
      </w:p>
    </w:sdtContent>
  </w:sdt>
  <w:p w14:paraId="0D51CD53">
    <w:pPr>
      <w:pStyle w:val="12"/>
      <w:spacing w:line="240" w:lineRule="auto"/>
      <w:ind w:firstLine="0" w:firstLineChars="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39251423"/>
      <w:docPartObj>
        <w:docPartGallery w:val="autotext"/>
      </w:docPartObj>
    </w:sdtPr>
    <w:sdtContent>
      <w:p w14:paraId="68D56D42">
        <w:pPr>
          <w:pStyle w:val="12"/>
          <w:spacing w:line="240" w:lineRule="auto"/>
          <w:ind w:firstLine="360"/>
          <w:jc w:val="center"/>
        </w:pPr>
        <w:r>
          <w:fldChar w:fldCharType="begin"/>
        </w:r>
        <w:r>
          <w:instrText xml:space="preserve">PAGE   \* MERGEFORMAT</w:instrText>
        </w:r>
        <w:r>
          <w:fldChar w:fldCharType="separate"/>
        </w:r>
        <w:r>
          <w:rPr>
            <w:lang w:val="zh-CN"/>
          </w:rPr>
          <w:t>11</w:t>
        </w:r>
        <w:r>
          <w:fldChar w:fldCharType="end"/>
        </w:r>
      </w:p>
    </w:sdtContent>
  </w:sdt>
  <w:p w14:paraId="753E79A7">
    <w:pPr>
      <w:pStyle w:val="12"/>
      <w:spacing w:line="240" w:lineRule="auto"/>
      <w:ind w:firstLine="0" w:firstLineChars="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1C4BF">
    <w:pPr>
      <w:pStyle w:val="13"/>
      <w:pBdr>
        <w:bottom w:val="none" w:color="auto" w:sz="0" w:space="0"/>
      </w:pBdr>
      <w:adjustRightInd/>
      <w:spacing w:line="240" w:lineRule="auto"/>
      <w:ind w:firstLine="0" w:firstLineChars="0"/>
      <w:jc w:val="right"/>
      <w:rPr>
        <w:rFonts w:ascii="黑体" w:hAnsi="黑体" w:eastAsia="黑体" w:cs="黑体"/>
        <w:b/>
        <w:bCs/>
        <w:sz w:val="15"/>
        <w:szCs w:val="15"/>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1A56F">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E4D4C2">
    <w:pPr>
      <w:pStyle w:val="13"/>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D355E5">
    <w:pPr>
      <w:pStyle w:val="13"/>
      <w:pBdr>
        <w:bottom w:val="single" w:color="auto" w:sz="4" w:space="0"/>
      </w:pBdr>
      <w:spacing w:line="360" w:lineRule="auto"/>
      <w:ind w:firstLine="0" w:firstLineChars="0"/>
      <w:jc w:val="right"/>
      <w:rPr>
        <w:rFonts w:ascii="黑体" w:hAnsi="黑体" w:eastAsia="黑体" w:cs="黑体"/>
        <w:b/>
        <w:bCs/>
        <w:color w:val="auto"/>
        <w:sz w:val="15"/>
        <w:szCs w:val="15"/>
      </w:rPr>
    </w:pPr>
    <w:r>
      <w:rPr>
        <w:rFonts w:hint="eastAsia" w:ascii="黑体" w:hAnsi="黑体" w:eastAsia="黑体" w:cs="黑体"/>
        <w:b/>
        <w:bCs/>
        <w:color w:val="auto"/>
        <w:sz w:val="15"/>
        <w:szCs w:val="15"/>
      </w:rPr>
      <w:t>吉木萨尔县二工镇大泉湖村2024年以工代赈基础设施建设项目绩效评价报告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C1A41F"/>
    <w:multiLevelType w:val="singleLevel"/>
    <w:tmpl w:val="B5C1A41F"/>
    <w:lvl w:ilvl="0" w:tentative="0">
      <w:start w:val="4"/>
      <w:numFmt w:val="decimal"/>
      <w:suff w:val="nothing"/>
      <w:lvlText w:val="（%1）"/>
      <w:lvlJc w:val="left"/>
    </w:lvl>
  </w:abstractNum>
  <w:abstractNum w:abstractNumId="1">
    <w:nsid w:val="04140925"/>
    <w:multiLevelType w:val="singleLevel"/>
    <w:tmpl w:val="04140925"/>
    <w:lvl w:ilvl="0" w:tentative="0">
      <w:start w:val="8"/>
      <w:numFmt w:val="chineseCounting"/>
      <w:suff w:val="nothing"/>
      <w:lvlText w:val="%1、"/>
      <w:lvlJc w:val="left"/>
      <w:rPr>
        <w:rFonts w:hint="eastAsia"/>
      </w:rPr>
    </w:lvl>
  </w:abstractNum>
  <w:abstractNum w:abstractNumId="2">
    <w:nsid w:val="536F7A89"/>
    <w:multiLevelType w:val="singleLevel"/>
    <w:tmpl w:val="536F7A89"/>
    <w:lvl w:ilvl="0" w:tentative="0">
      <w:start w:val="1"/>
      <w:numFmt w:val="decimal"/>
      <w:suff w:val="nothing"/>
      <w:lvlText w:val="%1."/>
      <w:lvlJc w:val="left"/>
      <w:pPr>
        <w:ind w:left="0" w:firstLine="4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cyN2QyNzY1MGQyMDA0NmQyYjYxNzZhOTdlZDU0MTgifQ=="/>
  </w:docVars>
  <w:rsids>
    <w:rsidRoot w:val="00A03703"/>
    <w:rsid w:val="00144E57"/>
    <w:rsid w:val="0020458F"/>
    <w:rsid w:val="00207014"/>
    <w:rsid w:val="00252009"/>
    <w:rsid w:val="002550B3"/>
    <w:rsid w:val="0036398D"/>
    <w:rsid w:val="0041395F"/>
    <w:rsid w:val="00426245"/>
    <w:rsid w:val="006C6562"/>
    <w:rsid w:val="00774338"/>
    <w:rsid w:val="00813149"/>
    <w:rsid w:val="00837A57"/>
    <w:rsid w:val="00A03703"/>
    <w:rsid w:val="00A15A88"/>
    <w:rsid w:val="00C32FFE"/>
    <w:rsid w:val="00C83FDF"/>
    <w:rsid w:val="00CA14B6"/>
    <w:rsid w:val="00D265A7"/>
    <w:rsid w:val="00D50A30"/>
    <w:rsid w:val="00E12696"/>
    <w:rsid w:val="00EE50F7"/>
    <w:rsid w:val="01F16529"/>
    <w:rsid w:val="02B45E0D"/>
    <w:rsid w:val="04475D71"/>
    <w:rsid w:val="04542819"/>
    <w:rsid w:val="078330B3"/>
    <w:rsid w:val="0950746A"/>
    <w:rsid w:val="09E65C14"/>
    <w:rsid w:val="0C69230C"/>
    <w:rsid w:val="0C733BFF"/>
    <w:rsid w:val="0E0A5B29"/>
    <w:rsid w:val="0E4B13F3"/>
    <w:rsid w:val="0EC86014"/>
    <w:rsid w:val="112138F3"/>
    <w:rsid w:val="11C83272"/>
    <w:rsid w:val="12BE716A"/>
    <w:rsid w:val="13513B8A"/>
    <w:rsid w:val="17414DD5"/>
    <w:rsid w:val="178025FC"/>
    <w:rsid w:val="1821504C"/>
    <w:rsid w:val="1C5F19D6"/>
    <w:rsid w:val="20070B5C"/>
    <w:rsid w:val="208800D4"/>
    <w:rsid w:val="20E91BAB"/>
    <w:rsid w:val="23067FEC"/>
    <w:rsid w:val="23B14FE2"/>
    <w:rsid w:val="25AF6319"/>
    <w:rsid w:val="25F7546A"/>
    <w:rsid w:val="290E4DCA"/>
    <w:rsid w:val="2AAD1304"/>
    <w:rsid w:val="2B63759C"/>
    <w:rsid w:val="2BB367D2"/>
    <w:rsid w:val="2CCF60A8"/>
    <w:rsid w:val="2CD07DE1"/>
    <w:rsid w:val="2D333521"/>
    <w:rsid w:val="2EF05C60"/>
    <w:rsid w:val="30A25881"/>
    <w:rsid w:val="30BB1AA0"/>
    <w:rsid w:val="32B76597"/>
    <w:rsid w:val="33484DD4"/>
    <w:rsid w:val="356B08AB"/>
    <w:rsid w:val="35A53AD6"/>
    <w:rsid w:val="35A95619"/>
    <w:rsid w:val="372A5C55"/>
    <w:rsid w:val="37823126"/>
    <w:rsid w:val="3830653A"/>
    <w:rsid w:val="398D26CB"/>
    <w:rsid w:val="3A2E6000"/>
    <w:rsid w:val="3AEF3BB8"/>
    <w:rsid w:val="3DAF0D3F"/>
    <w:rsid w:val="3DB50D85"/>
    <w:rsid w:val="3FF92359"/>
    <w:rsid w:val="42A31D6D"/>
    <w:rsid w:val="44A678F3"/>
    <w:rsid w:val="454861CA"/>
    <w:rsid w:val="461F39E6"/>
    <w:rsid w:val="463162BF"/>
    <w:rsid w:val="46D1728D"/>
    <w:rsid w:val="471F1BDF"/>
    <w:rsid w:val="49516307"/>
    <w:rsid w:val="4BA40904"/>
    <w:rsid w:val="4C6E6818"/>
    <w:rsid w:val="4CA644DD"/>
    <w:rsid w:val="4D2646B1"/>
    <w:rsid w:val="4E543563"/>
    <w:rsid w:val="4E654BD6"/>
    <w:rsid w:val="54602B04"/>
    <w:rsid w:val="553A3451"/>
    <w:rsid w:val="56921B6A"/>
    <w:rsid w:val="58175C92"/>
    <w:rsid w:val="58DE2219"/>
    <w:rsid w:val="593F3897"/>
    <w:rsid w:val="5BC339B3"/>
    <w:rsid w:val="5C6B645D"/>
    <w:rsid w:val="5D382BE7"/>
    <w:rsid w:val="5DEE6DAA"/>
    <w:rsid w:val="5E484837"/>
    <w:rsid w:val="5E606702"/>
    <w:rsid w:val="5F2D4A41"/>
    <w:rsid w:val="5F470E2F"/>
    <w:rsid w:val="61500E84"/>
    <w:rsid w:val="64FF2692"/>
    <w:rsid w:val="6631134F"/>
    <w:rsid w:val="667747F4"/>
    <w:rsid w:val="68D511B8"/>
    <w:rsid w:val="6AAF4400"/>
    <w:rsid w:val="6CA65E33"/>
    <w:rsid w:val="6D5E5248"/>
    <w:rsid w:val="6D8E15BD"/>
    <w:rsid w:val="6DA35E6F"/>
    <w:rsid w:val="6EA7498F"/>
    <w:rsid w:val="6EE80D54"/>
    <w:rsid w:val="718524BB"/>
    <w:rsid w:val="71F238C8"/>
    <w:rsid w:val="726C71D4"/>
    <w:rsid w:val="730D5951"/>
    <w:rsid w:val="74064E51"/>
    <w:rsid w:val="743F1ACB"/>
    <w:rsid w:val="75CC2DDE"/>
    <w:rsid w:val="76C84BF7"/>
    <w:rsid w:val="776C8B73"/>
    <w:rsid w:val="77C202CB"/>
    <w:rsid w:val="783F0B6E"/>
    <w:rsid w:val="788656FE"/>
    <w:rsid w:val="78D173E0"/>
    <w:rsid w:val="7A0E2437"/>
    <w:rsid w:val="7A374B97"/>
    <w:rsid w:val="7BF267D8"/>
    <w:rsid w:val="7D046F50"/>
    <w:rsid w:val="7D414D23"/>
    <w:rsid w:val="7D657264"/>
    <w:rsid w:val="7E801BC8"/>
    <w:rsid w:val="7E8A1D6F"/>
    <w:rsid w:val="7FD82D8C"/>
    <w:rsid w:val="9A5E12E9"/>
    <w:rsid w:val="BF9D96C6"/>
    <w:rsid w:val="DFFBD6E3"/>
    <w:rsid w:val="F7A30022"/>
    <w:rsid w:val="F8FF19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590" w:lineRule="exact"/>
      <w:ind w:firstLine="883" w:firstLineChars="200"/>
      <w:jc w:val="both"/>
    </w:pPr>
    <w:rPr>
      <w:rFonts w:ascii="Times New Roman" w:hAnsi="Times New Roman" w:cs="Times New Roman" w:eastAsiaTheme="minorEastAsia"/>
      <w:kern w:val="2"/>
      <w:sz w:val="21"/>
      <w:szCs w:val="21"/>
      <w:lang w:val="en-US" w:eastAsia="zh-CN" w:bidi="ar-SA"/>
    </w:rPr>
  </w:style>
  <w:style w:type="paragraph" w:styleId="2">
    <w:name w:val="heading 1"/>
    <w:basedOn w:val="1"/>
    <w:next w:val="1"/>
    <w:link w:val="34"/>
    <w:qFormat/>
    <w:uiPriority w:val="99"/>
    <w:pPr>
      <w:keepNext/>
      <w:keepLines/>
      <w:spacing w:before="260" w:after="260"/>
      <w:outlineLvl w:val="0"/>
    </w:pPr>
    <w:rPr>
      <w:b/>
      <w:bCs/>
      <w:kern w:val="44"/>
      <w:sz w:val="24"/>
      <w:szCs w:val="44"/>
    </w:rPr>
  </w:style>
  <w:style w:type="paragraph" w:styleId="3">
    <w:name w:val="heading 2"/>
    <w:basedOn w:val="1"/>
    <w:next w:val="4"/>
    <w:qFormat/>
    <w:uiPriority w:val="0"/>
    <w:pPr>
      <w:keepNext/>
      <w:keepLines/>
      <w:spacing w:before="100" w:after="100"/>
      <w:jc w:val="left"/>
      <w:outlineLvl w:val="1"/>
    </w:pPr>
    <w:rPr>
      <w:rFonts w:ascii="Cambria" w:hAnsi="Cambria"/>
      <w:b/>
      <w:bCs/>
      <w:kern w:val="0"/>
      <w:sz w:val="24"/>
      <w:szCs w:val="32"/>
    </w:rPr>
  </w:style>
  <w:style w:type="paragraph" w:styleId="5">
    <w:name w:val="heading 3"/>
    <w:basedOn w:val="1"/>
    <w:next w:val="6"/>
    <w:qFormat/>
    <w:uiPriority w:val="99"/>
    <w:pPr>
      <w:keepNext/>
      <w:keepLines/>
      <w:outlineLvl w:val="2"/>
    </w:pPr>
    <w:rPr>
      <w:rFonts w:ascii="仿宋_GB2312" w:hAnsi="仿宋_GB2312"/>
      <w:b/>
      <w:bCs/>
      <w:kern w:val="0"/>
      <w:szCs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style>
  <w:style w:type="paragraph" w:styleId="6">
    <w:name w:val="Normal Indent"/>
    <w:basedOn w:val="1"/>
    <w:next w:val="7"/>
    <w:qFormat/>
    <w:uiPriority w:val="0"/>
    <w:pPr>
      <w:ind w:firstLine="420"/>
    </w:pPr>
  </w:style>
  <w:style w:type="paragraph" w:styleId="7">
    <w:name w:val="toc 4"/>
    <w:basedOn w:val="1"/>
    <w:next w:val="1"/>
    <w:qFormat/>
    <w:uiPriority w:val="0"/>
    <w:pPr>
      <w:ind w:left="1260" w:leftChars="600"/>
    </w:pPr>
  </w:style>
  <w:style w:type="paragraph" w:styleId="8">
    <w:name w:val="annotation text"/>
    <w:basedOn w:val="1"/>
    <w:unhideWhenUsed/>
    <w:qFormat/>
    <w:uiPriority w:val="99"/>
    <w:rPr>
      <w:rFonts w:ascii="Calibri" w:hAnsi="Calibri" w:eastAsia="仿宋"/>
      <w:kern w:val="0"/>
      <w:sz w:val="24"/>
      <w:szCs w:val="20"/>
    </w:rPr>
  </w:style>
  <w:style w:type="paragraph" w:styleId="9">
    <w:name w:val="Body Text Indent"/>
    <w:basedOn w:val="1"/>
    <w:qFormat/>
    <w:uiPriority w:val="0"/>
    <w:pPr>
      <w:ind w:firstLine="570"/>
    </w:pPr>
    <w:rPr>
      <w:rFonts w:eastAsia="宋体"/>
      <w:sz w:val="24"/>
    </w:rPr>
  </w:style>
  <w:style w:type="paragraph" w:styleId="10">
    <w:name w:val="Plain Text"/>
    <w:basedOn w:val="1"/>
    <w:qFormat/>
    <w:uiPriority w:val="0"/>
    <w:pPr>
      <w:spacing w:line="240" w:lineRule="atLeast"/>
    </w:pPr>
    <w:rPr>
      <w:rFonts w:ascii="宋体" w:hAnsi="Courier New" w:eastAsia="宋体"/>
      <w:sz w:val="24"/>
      <w:szCs w:val="20"/>
    </w:rPr>
  </w:style>
  <w:style w:type="paragraph" w:styleId="11">
    <w:name w:val="Balloon Text"/>
    <w:basedOn w:val="1"/>
    <w:link w:val="33"/>
    <w:semiHidden/>
    <w:unhideWhenUsed/>
    <w:qFormat/>
    <w:uiPriority w:val="99"/>
    <w:pPr>
      <w:spacing w:line="240" w:lineRule="auto"/>
    </w:pPr>
    <w:rPr>
      <w:sz w:val="18"/>
      <w:szCs w:val="18"/>
    </w:rPr>
  </w:style>
  <w:style w:type="paragraph" w:styleId="12">
    <w:name w:val="footer"/>
    <w:basedOn w:val="1"/>
    <w:link w:val="25"/>
    <w:unhideWhenUsed/>
    <w:qFormat/>
    <w:uiPriority w:val="99"/>
    <w:pPr>
      <w:tabs>
        <w:tab w:val="center" w:pos="4153"/>
        <w:tab w:val="right" w:pos="8306"/>
      </w:tabs>
      <w:jc w:val="left"/>
    </w:pPr>
    <w:rPr>
      <w:sz w:val="18"/>
      <w:szCs w:val="18"/>
    </w:rPr>
  </w:style>
  <w:style w:type="paragraph" w:styleId="13">
    <w:name w:val="header"/>
    <w:basedOn w:val="1"/>
    <w:link w:val="24"/>
    <w:unhideWhenUsed/>
    <w:qFormat/>
    <w:uiPriority w:val="99"/>
    <w:pPr>
      <w:pBdr>
        <w:bottom w:val="single" w:color="auto" w:sz="6" w:space="1"/>
      </w:pBdr>
      <w:tabs>
        <w:tab w:val="center" w:pos="4153"/>
        <w:tab w:val="right" w:pos="8306"/>
      </w:tabs>
      <w:jc w:val="center"/>
    </w:pPr>
    <w:rPr>
      <w:sz w:val="18"/>
      <w:szCs w:val="18"/>
    </w:rPr>
  </w:style>
  <w:style w:type="paragraph" w:styleId="14">
    <w:name w:val="toc 1"/>
    <w:basedOn w:val="1"/>
    <w:next w:val="1"/>
    <w:qFormat/>
    <w:uiPriority w:val="39"/>
    <w:pPr>
      <w:tabs>
        <w:tab w:val="right" w:leader="dot" w:pos="9356"/>
      </w:tabs>
      <w:ind w:firstLine="0" w:firstLineChars="0"/>
    </w:pPr>
    <w:rPr>
      <w:rFonts w:ascii="黑体" w:hAnsi="黑体" w:cs="仿宋_GB2312"/>
      <w:bCs/>
      <w:color w:val="000000"/>
      <w:kern w:val="0"/>
      <w:sz w:val="28"/>
      <w:szCs w:val="28"/>
    </w:rPr>
  </w:style>
  <w:style w:type="paragraph" w:styleId="15">
    <w:name w:val="toc 2"/>
    <w:basedOn w:val="1"/>
    <w:next w:val="1"/>
    <w:semiHidden/>
    <w:unhideWhenUsed/>
    <w:qFormat/>
    <w:uiPriority w:val="39"/>
    <w:pPr>
      <w:ind w:firstLine="663" w:firstLineChars="150"/>
    </w:pPr>
    <w:rPr>
      <w:sz w:val="24"/>
    </w:rPr>
  </w:style>
  <w:style w:type="paragraph" w:styleId="16">
    <w:name w:val="Body Text 2"/>
    <w:basedOn w:val="1"/>
    <w:qFormat/>
    <w:uiPriority w:val="0"/>
    <w:pPr>
      <w:spacing w:after="120" w:line="480" w:lineRule="auto"/>
    </w:pPr>
    <w:rPr>
      <w:rFonts w:eastAsia="宋体"/>
    </w:rPr>
  </w:style>
  <w:style w:type="paragraph" w:styleId="17">
    <w:name w:val="Body Text First Indent 2"/>
    <w:basedOn w:val="9"/>
    <w:qFormat/>
    <w:uiPriority w:val="0"/>
    <w:pPr>
      <w:ind w:firstLine="420"/>
    </w:pPr>
  </w:style>
  <w:style w:type="table" w:styleId="19">
    <w:name w:val="Table Grid"/>
    <w:basedOn w:val="1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Strong"/>
    <w:basedOn w:val="20"/>
    <w:qFormat/>
    <w:uiPriority w:val="22"/>
    <w:rPr>
      <w:b/>
    </w:rPr>
  </w:style>
  <w:style w:type="character" w:styleId="22">
    <w:name w:val="page number"/>
    <w:basedOn w:val="20"/>
    <w:qFormat/>
    <w:uiPriority w:val="0"/>
  </w:style>
  <w:style w:type="character" w:styleId="23">
    <w:name w:val="annotation reference"/>
    <w:basedOn w:val="20"/>
    <w:semiHidden/>
    <w:unhideWhenUsed/>
    <w:qFormat/>
    <w:uiPriority w:val="99"/>
    <w:rPr>
      <w:sz w:val="21"/>
      <w:szCs w:val="21"/>
    </w:rPr>
  </w:style>
  <w:style w:type="character" w:customStyle="1" w:styleId="24">
    <w:name w:val="页眉 Char"/>
    <w:basedOn w:val="20"/>
    <w:link w:val="13"/>
    <w:qFormat/>
    <w:uiPriority w:val="99"/>
    <w:rPr>
      <w:sz w:val="18"/>
      <w:szCs w:val="18"/>
    </w:rPr>
  </w:style>
  <w:style w:type="character" w:customStyle="1" w:styleId="25">
    <w:name w:val="页脚 Char"/>
    <w:basedOn w:val="20"/>
    <w:link w:val="12"/>
    <w:qFormat/>
    <w:uiPriority w:val="99"/>
    <w:rPr>
      <w:sz w:val="18"/>
      <w:szCs w:val="18"/>
    </w:rPr>
  </w:style>
  <w:style w:type="paragraph" w:customStyle="1" w:styleId="26">
    <w:name w:val="闻政-正文二级标题"/>
    <w:basedOn w:val="3"/>
    <w:next w:val="27"/>
    <w:qFormat/>
    <w:uiPriority w:val="3"/>
    <w:pPr>
      <w:spacing w:before="120" w:after="60" w:line="500" w:lineRule="exact"/>
      <w:ind w:left="200" w:leftChars="200" w:firstLine="0" w:firstLineChars="0"/>
    </w:pPr>
    <w:rPr>
      <w:rFonts w:ascii="Times New Roman" w:hAnsi="Times New Roman"/>
      <w:sz w:val="28"/>
    </w:rPr>
  </w:style>
  <w:style w:type="paragraph" w:customStyle="1" w:styleId="27">
    <w:name w:val="闻政-正文段落文字"/>
    <w:basedOn w:val="1"/>
    <w:qFormat/>
    <w:uiPriority w:val="3"/>
    <w:pPr>
      <w:spacing w:line="500" w:lineRule="exact"/>
      <w:ind w:firstLine="200"/>
    </w:pPr>
    <w:rPr>
      <w:kern w:val="0"/>
      <w:szCs w:val="28"/>
    </w:rPr>
  </w:style>
  <w:style w:type="paragraph" w:customStyle="1" w:styleId="28">
    <w:name w:val="闻政-正文一级标题"/>
    <w:basedOn w:val="5"/>
    <w:next w:val="27"/>
    <w:qFormat/>
    <w:uiPriority w:val="3"/>
    <w:pPr>
      <w:spacing w:before="120" w:after="60" w:line="500" w:lineRule="exact"/>
      <w:ind w:firstLine="0" w:firstLineChars="0"/>
      <w:outlineLvl w:val="0"/>
    </w:pPr>
    <w:rPr>
      <w:rFonts w:ascii="黑体" w:hAnsi="黑体" w:eastAsia="黑体"/>
      <w:sz w:val="32"/>
    </w:rPr>
  </w:style>
  <w:style w:type="paragraph" w:styleId="29">
    <w:name w:val="List Paragraph"/>
    <w:basedOn w:val="1"/>
    <w:qFormat/>
    <w:uiPriority w:val="34"/>
    <w:pPr>
      <w:ind w:firstLine="420"/>
    </w:pPr>
  </w:style>
  <w:style w:type="paragraph" w:customStyle="1" w:styleId="30">
    <w:name w:val="正文 A"/>
    <w:qFormat/>
    <w:uiPriority w:val="99"/>
    <w:pPr>
      <w:widowControl w:val="0"/>
      <w:spacing w:before="50" w:after="50" w:line="360" w:lineRule="auto"/>
    </w:pPr>
    <w:rPr>
      <w:rFonts w:ascii="Times New Roman" w:hAnsi="Arial Unicode MS" w:eastAsia="Times New Roman" w:cs="Arial Unicode MS"/>
      <w:color w:val="000000"/>
      <w:kern w:val="2"/>
      <w:sz w:val="28"/>
      <w:szCs w:val="28"/>
      <w:u w:color="000000"/>
      <w:lang w:val="en-US" w:eastAsia="zh-CN" w:bidi="ar-SA"/>
    </w:rPr>
  </w:style>
  <w:style w:type="paragraph" w:customStyle="1" w:styleId="31">
    <w:name w:val="WPSOffice手动目录 1"/>
    <w:qFormat/>
    <w:uiPriority w:val="0"/>
    <w:rPr>
      <w:rFonts w:ascii="Times New Roman" w:hAnsi="Times New Roman" w:eastAsia="宋体" w:cs="Times New Roman"/>
      <w:lang w:val="en-US" w:eastAsia="zh-CN" w:bidi="ar-SA"/>
    </w:rPr>
  </w:style>
  <w:style w:type="paragraph" w:customStyle="1" w:styleId="32">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33">
    <w:name w:val="批注框文本 Char"/>
    <w:basedOn w:val="20"/>
    <w:link w:val="11"/>
    <w:semiHidden/>
    <w:qFormat/>
    <w:uiPriority w:val="99"/>
    <w:rPr>
      <w:rFonts w:eastAsiaTheme="minorEastAsia"/>
      <w:kern w:val="2"/>
      <w:sz w:val="18"/>
      <w:szCs w:val="18"/>
    </w:rPr>
  </w:style>
  <w:style w:type="character" w:customStyle="1" w:styleId="34">
    <w:name w:val="标题 1 Char"/>
    <w:link w:val="2"/>
    <w:qFormat/>
    <w:uiPriority w:val="99"/>
    <w:rPr>
      <w:b/>
      <w:bCs/>
      <w:kern w:val="44"/>
      <w:sz w:val="24"/>
      <w:szCs w:val="44"/>
    </w:rPr>
  </w:style>
  <w:style w:type="character" w:customStyle="1" w:styleId="35">
    <w:name w:val="font31"/>
    <w:basedOn w:val="20"/>
    <w:qFormat/>
    <w:uiPriority w:val="0"/>
    <w:rPr>
      <w:rFonts w:hint="eastAsia" w:ascii="宋体" w:hAnsi="宋体" w:eastAsia="宋体" w:cs="宋体"/>
      <w:color w:val="000000"/>
      <w:sz w:val="20"/>
      <w:szCs w:val="20"/>
      <w:u w:val="none"/>
    </w:rPr>
  </w:style>
  <w:style w:type="character" w:customStyle="1" w:styleId="36">
    <w:name w:val="font101"/>
    <w:basedOn w:val="20"/>
    <w:qFormat/>
    <w:uiPriority w:val="0"/>
    <w:rPr>
      <w:rFonts w:hint="eastAsia" w:ascii="宋体" w:hAnsi="宋体" w:eastAsia="宋体" w:cs="宋体"/>
      <w:color w:val="000000"/>
      <w:sz w:val="20"/>
      <w:szCs w:val="20"/>
      <w:u w:val="none"/>
    </w:rPr>
  </w:style>
  <w:style w:type="character" w:customStyle="1" w:styleId="37">
    <w:name w:val="font112"/>
    <w:basedOn w:val="20"/>
    <w:qFormat/>
    <w:uiPriority w:val="0"/>
    <w:rPr>
      <w:rFonts w:hint="eastAsia" w:ascii="宋体" w:hAnsi="宋体" w:eastAsia="宋体" w:cs="宋体"/>
      <w:color w:val="000000"/>
      <w:sz w:val="15"/>
      <w:szCs w:val="15"/>
      <w:u w:val="none"/>
    </w:rPr>
  </w:style>
  <w:style w:type="character" w:customStyle="1" w:styleId="38">
    <w:name w:val="font51"/>
    <w:basedOn w:val="20"/>
    <w:qFormat/>
    <w:uiPriority w:val="0"/>
    <w:rPr>
      <w:rFonts w:hint="eastAsia" w:ascii="宋体" w:hAnsi="宋体" w:eastAsia="宋体" w:cs="宋体"/>
      <w:color w:val="000000"/>
      <w:sz w:val="21"/>
      <w:szCs w:val="21"/>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5" Type="http://schemas.openxmlformats.org/officeDocument/2006/relationships/fontTable" Target="fontTable.xml"/><Relationship Id="rId24" Type="http://schemas.openxmlformats.org/officeDocument/2006/relationships/customXml" Target="../customXml/item2.xml"/><Relationship Id="rId23" Type="http://schemas.openxmlformats.org/officeDocument/2006/relationships/numbering" Target="numbering.xml"/><Relationship Id="rId22" Type="http://schemas.openxmlformats.org/officeDocument/2006/relationships/customXml" Target="../customXml/item1.xml"/><Relationship Id="rId21" Type="http://schemas.openxmlformats.org/officeDocument/2006/relationships/image" Target="media/image4.jpeg"/><Relationship Id="rId20" Type="http://schemas.openxmlformats.org/officeDocument/2006/relationships/image" Target="media/image3.png"/><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8.xml"/><Relationship Id="rId15" Type="http://schemas.openxmlformats.org/officeDocument/2006/relationships/footer" Target="footer7.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17A4AD-C8AC-4D6E-B5B8-B4766CB3F4A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44</Pages>
  <Words>32241</Words>
  <Characters>36564</Characters>
  <Lines>41</Lines>
  <Paragraphs>11</Paragraphs>
  <TotalTime>2</TotalTime>
  <ScaleCrop>false</ScaleCrop>
  <LinksUpToDate>false</LinksUpToDate>
  <CharactersWithSpaces>36849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2020-09-23T23:41:00Z</dcterms:created>
  <dc:creator>Lenovo</dc:creator>
  <cp:lastModifiedBy>HH</cp:lastModifiedBy>
  <dcterms:modified xsi:type="dcterms:W3CDTF">2025-09-10T04:41:55Z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9866BCDA9B7C48CF82ADE0DF44C1DFF2_13</vt:lpwstr>
  </property>
  <property fmtid="{D5CDD505-2E9C-101B-9397-08002B2CF9AE}" pid="4" name="KSOTemplateDocerSaveRecord">
    <vt:lpwstr>eyJoZGlkIjoiZDU5ODI3OTZlMjJmZjZkNDhjY2NkNTZiNTU2ZmRkMGYiLCJ1c2VySWQiOiI0OTM4NDcxMDAifQ==</vt:lpwstr>
  </property>
</Properties>
</file>