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吉木萨尔北庭工业园区绿化养护、道路保洁项目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左炜</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吉木萨尔镇北庭工业园的不断建设与扩张，入驻企业数量逐渐增多，园区内的基础设施规模持续扩大。良好的道路环境和绿化景观对于提升工业园的整体形象、吸引更多优质企业投资入驻至关重要。整洁的道路有助于货物运输的顺畅以及人员的安全通行，而优美的绿化则能改善园区生态环境、提升员工工作舒适度和幸福感，是打造现代化、高品质工业园的必然要求。本项目旨在保障北庭工业园区道路的整洁卫生、绿化景观优美，其中道路保洁工作包括日常清扫、垃圾清运等；绿化养护涵盖绿植修剪、浇水施肥、病虫害防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（1）项目名称：吉木萨尔北庭工业园区绿化养护、道路保洁项目（以下简称“该项目”或“项目”）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（2）项目主要内容：项目计划对北庭工业园区11条道路的养护及绿化保洁服务进行招标，寻找服务方承包2024年度北庭工业园区道路养护、绿化保洁服务。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实施主体：吉木萨尔县吉木萨尔镇人民政府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吉木萨尔镇北庭工业园区道路保洁、绿化养护项目从前期准备到投入使用，全过程规范高效推进。前期，由我镇联合相关部门开展实地调研，科学制定实施方案，明确道路保洁机械化作业标准及绿化养护精细化管护要求，并通过公开招标选定具备资质的专业化服务单位。招投标阶段严格遵循政府采购流程，最终确定吉木萨尔县家和园物业服务有限公司为此项目中标单位，中标价为90.558904万元。实施过程中，施工单位配备道路清扫机械及人工配合的方式对道路进行清扫，同步开展乔灌木修剪、草坪补植及灌溉系统维护，我镇通月考核机制强化质量监管。项目服务期限到期后，由我镇组织多部门联合验收，道路洁净度、绿化成活率等指标均达合同约定标准，有效改善了营商环境及生态面貌，为园区高质量发展提供了坚实基础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（一）执行决策与命令：执行本级人民代表大会的决议以及上级国家行政机关的决定和命令，发布决定和命令，并确保其在本镇区域内得到有效实施.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（二）管理行政事务：负责本镇的经济、教育、科技、文化、卫生、体育事业和财政、民政、治安、人民调解、安全生产监督管理、移民开发等行政工作的管理与协调.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（三）制定发展规划：根据本镇实际情况，拟定经济发展、产业结构规划和计划，并组织实施，推动镇域经济的发展，促进产业结构优化升级.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 加强经济管理：负责农业、林业、畜牧、水利、财政、土地、统计、交通、村镇建设、扶贫开发、招商引资、项目管理等经济领域的管理、服务、协调和监督工作，为企业和经济组织提供支持和保障，增加农牧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维护社会稳定：保护社会主义的全民所有财产和劳动群众集体所有财产，保护公民私人所有的合法财产，维护社会秩序，保障公民的人身权利、民主权利和其他权利，协调处理各类社会矛盾和纠纷，打击违法犯罪活动，确保社会稳定和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（六）加强综合治理：负责政法、社会治安综合治理、民族宗教、信访、司法、统战等工作，组织开展平安创建活动，加强对流动人口、特殊人群的管理和服务，预防和减少各类社会问题的发生.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提供社会服务：负责科技、教育、文化、卫生、体育、广播电视、旅游、计划生育、民政、劳动就业、社会保障、社会救助、退役军人、残疾人、红十字事业等社会公共服务的规划、管理和实施，努力改善民生，提高居民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（八）推进社会事业发展：加强教育、文化、卫生等基础设施建设，推动教育公平发展，丰富群众文化生活，提高医疗卫生服务水平，促进社会事业全面进步.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（九）加强组织建设：负责党的基层组织建设和党员队伍建设工作，做好党员的教育、管理和服务，充分发挥党组织的战斗堡垒作用和党员的先锋模范作用，加强党风廉政建设，落实全面从严治党要求.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（十）推进基层民主：指导和支持村民委员会、居民委员会等基层群众性自治组织开展工作，推进基层民主选举、民主决策、民主管理、民主监督，促进农村和谐稳定.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（十一）承办上级人民政府交办的其他事项。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镇设置5个综合性办公室，分别为：党政综合办公室、党建工作办公室、经济发展和财政办公室、社会事务办公室、综合执法办公室。设置五个事业单位，分别为：农业发展服务中心、公共文化服务中心、村镇建设发展中心、综治和网格化服务中心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本项目预算安排总额为90.558904万元，资金来源为本级部门预算，其中：财政资金90.558904万元，2024年实际收到预算资金90.558904万元，预算资金到位率为100.00%。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截至2024年12月31日，本项目实际支付资金90.558904万元，预算执行率100.00%。本项目资金主要用于支付北庭工业园区道路保洁费用23.670369万元、绿化养护费用66.888535万元。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镇北庭工业园区道路保洁、绿化养护项目通过2024年1年的服务，完成了园区11条道路总面积458,872平方米的日常机械化清扫、洒水降尘及人工精细化保洁，确保道路洁净度达90%以上；同时对11条道路总面积498,141平方米的绿化带实施常态化养护，包括乔灌木修剪、草坪维护及灌溉系统管理，使绿化成活率保持在95%以上。根据自评结果，项目实际完成道路保洁面积458,872平方米、绿化养护面积498,141平方米，全面达成量化目标，有效降低了园区PM10浓度，提升了绿化景观效果，整体环境质量显著改善，为园区企业创造了整洁优美的生产生活环境，绩效目标完成率达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“11条路的绿化养护”指标，预期指标值为“等于11条”；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“11条路的日常保洁”指标，预期指标值为“等于11条”；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“道路清洁保证率”指标，预期指标值为“等于100%”；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“考核合规率”指标，预期指标值为“等于100%”；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“清扫积雪及时率”指标，预期指标值为“等于100%”；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“北庭工业园区绿化养护、道路保洁费用”指标，预期指标值为“小于等于90.558904万元”；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“改善生态环境”指标，预期指标值为“大于等于95%”；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“居民满意度”指标，预期指标值为“大于等于95%”。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镇北庭工业园区道路保洁、绿化养护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此次我单位根据《财政支出绩效评价管理暂行办法》（财预〔2020〕10号）文件要求实施评价工作，本次评价对象为吉木萨尔镇北庭工业园区道路保洁、绿化养护项目，评价核心为项目资金、项目产出、项目效益。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香诚龙（评价小组组长）：主要负责项目策划和监督，全面负责项目绩效评价报告的最终质量，对评价人员出具的最终报告质量进行复核，确保评估结果的客观性；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陈建民（评价小组组员）：主要负责项目报告的制定，指标的研判，数据分析及报告撰写。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园区11条道路总面积458,872平方米的日常机械化清扫、洒水降尘及人工精细化保洁，确保道路洁净度达90%以上；同时对11条道路总面积498,141平方米的绿化带实施常态化养护的产出目标，发挥了改善园区环境、提升企业满意度、促进招商引资的积极效益效益。但在实施过程中也存在一些不足：一是极端天气应急响应机制不够完善，大风沙尘天气后道路积尘清理存在滞后；二是绿化养护专业技术力量相对薄弱，部分新栽植苗木管护不到位导致成活率波动；三是智慧化管理水平有待提升，尚未建立数字化监管平台实现作业全过程动态监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98.5分，绩效评级为“优”。综合评价结论如下：本项目共设置三级指标数量19个，实现三级指标数量18个，总体完成率为100.53%。项目决策类指标共设置6个，满分指标6个，得分率100.00%；过程管理类指标共设置5个，满分指标4个，得分率92.11%；项目产出类指标共设置6个，满分指标6个，得分率100.00%；项目效益类指标共设置1个，满分指标1个，得分率100%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17.50  30.00  20.00  10.00  98.50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92.11% 100.00% 100.00% 100.00% 98.50%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央机构编制委员会颁发的《关于规范开发区管理机构促进开发区创新发展的指导意见的通知》（中编委发〔2020〕7号）中：“园区要聚焦经济管理和投资服务主要职能，社会事务要充分依托属地人民政府管理的总体要求”；本项目立项符合《关于全面剥离北庭工业园区社会事务管理职能的方案》中：“北庭工业园区涉及的各类社会事务有:综合治理、卫生健康(疫情防控)、市政绿化、环境卫生、交通运输、安全生产、环境保护、市场监管、统计、民政、司法行政、民族宗教、信访、教育、科技、文化、体育、广播电视、劳动就业、社会保障、医疗保障、社会救助、退役军人、林草、水利、自然资源、残疾人事业等事务。按照应交尽交、全面移交的原则，将园区社会管理职能进行剥离，明确行业主管部门、属地人民政府、园区管委会管理职责。”内容，符合行业发展规划和政策要求；本项目立项符合《吉木萨尔镇单位配置内设机构和人员编制规定》中职责范围中的“（四） 加强经济管理：负责农业、林业、畜牧、水利、财政、土地、统计、交通、村镇建设、扶贫开发、招商引资、项目管理等经济领域的管理、服务、协调和监督工作，为企业和经济组织提供支持和保障，增加农牧民收入.”，属于我单位履职所需；根据《财政资金直接支付申请书》，本项目资金性质为“公共财政预算”功能分类为“2010399其他政府办公厅及相关机构事务支出”经济分类为“30227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由我单位严格按照《关于全面剥离北庭工业园区社会事务管理职能的方案》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①该项目已设置年度绩效目标，具体内容为“北庭工业园区11条路总面积498141平方米的绿化养护、11条路总面积458872平方米日常保洁，服务期限为1年。”。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由吉木萨尔县家和园物业服务有限公司提供2024年对北庭工业园区11条路总面积498141平方米的绿化养护、11条路总面积458872平方米日常保洁服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本项目实际支出资金90.558904，通过实施本项目保证了北庭工业园区道路整洁、绿化达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④该项目批复的预算金额为90.558904万元，《项目支出绩效目标表》中预算金额为90.558904万元，预算确定的项目资金与预算确定的项目投资额相匹配。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8个，定性指标0个，指标量化率为100.00%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11条路的绿化养护”“11条路的道路保洁”，三级指标的年度指标值与年度绩效目标中任务数一致，已设置时效指标“清扫积雪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本预算编制通过编制招标控制价，由中标方报价得出，即预算编制较科学且经过论证；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北庭工业园区11条路总面积498141平方米的绿化养护、11条路总面积458872平方米日常保洁服务，项目实际内容为北庭工业园区11条路总面积498141平方米的绿化养护、11条路总面积458872平方米日常保洁服务，预算申请与《关于申请吉木萨尔县吉木萨尔镇北庭工业园区道路保洁、绿化养护费》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90.558904万元万元，我单位在预算申请中严格按照项目实施内容及测算标准进行核算，其中：道路保洁费用23.670369万元、绿化养护费用66.888535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木萨尔县吉木萨尔镇北庭工业园区道路养护、绿化保洁项目资金的请示》和《吉木萨尔县吉木萨尔镇北庭工业园区道路养护、绿化保洁实施方案》为依据进行资金分配，预算资金分配依据充分。根据《关于申请木萨尔县吉木萨尔镇北庭工业园区道路养护、绿化保洁项目资金的请示》，本项目实际到位资金90.558904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90.558904万元，其中：财政安排资金90.558904万元，其他资金0.00万元，实际到位资金90.558904万元，资金到位率=（实际到位资金/预算资金）×100.00%=（90.558904/90.558904）×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本项目实际支出资金90.558904万元，预算执行率=（实际支出资金/实际到位资金）×100.00%=（90.558904/90.558904）×100.00%=100.00%；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镇财务管理制度》《吉木萨尔镇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镇支出管理制度》《吉木萨尔镇财务管理制度》《吉木萨尔镇项目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镇支出管理制度》《吉木萨尔镇财务管理制度》《吉木萨尔镇项目管理制度》等相关法律法规及管理规定，项目具备完整规范的立项程序；经查证项目实施过程资料，项目采购、实施、验收等过程均按照项目管理制度和支出管理制度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香诚龙任组长，负责项目的组织工作；刘江任副组长，负责项目的实施工作；组员包括：陈建民和安钟杰，主要负责项目监督管理、验收以及资金核拨等工作。因存档资料不及时扣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综上所述，本指标满分为4.00分，根据评分标准得2.5分，本项目所建立制度执行较有效。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项目产出类指标由4个二级指标和6个三级指标构成，权重分30.00分，实际得分100.00分。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“11条路的绿化养护”指标：预期指标值为“等于11条”，实际完成指标值为“等于11条”，指标完成率为100.00%。根据验收文件显示，实际完成值为11条路的绿化养护。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综上所述，本指标满分为4.50分，根据评分标准得4.50分。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“11条路的日常保洁”指标：预期指标值为“等于11条”，实际完成指标值为“等于11”，指标完成率为100.00%。。根据验收文件显示，实际完成值为11条路的日常保洁。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综上所述，本指标满分为4.50分，根据评分标准得4.50分。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“道理清洁保证率”指标：预期指标值为“等于100%”，实际完成指标值为“等于100%”，指标完成率为100.00%。根据验收文件显示，实际完成值为100%。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“考核合格率”指标：预期指标值为“等于100%”，实际完成指标值为“等于100%”，指标完成率为100%。根据验收文件显示，实际完成值为100%。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“清扫积雪及时率”指标：预期指标值为“等于100%”，实际完成指标值为“=100%”，指标完成率为100.00%。根据验收文件显示，实际完成值为100%。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“北庭工业园区绿化养护、道路保洁费用”指标：预期指标值为“小于等于90.558904万元”，实际完成指标值为“等于90.558904万元”，指标完成率为100.00%。根据支付凭证显示，实际完成值为90.558904万元。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生态环境”指标：预期指标值为“大于等于95%”，实际完成指标值为“等于100.00%”，指标完成率为105.00%，达成改善生态环境的效益。根据验收文件显示，实际完成值为100%。主要原因为：用于11条道路的保洁和绿化养护，确保了园区环境的整洁和美观，提升了园区的整体形象和吸引力。改善环境达到了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居民满意度”指标：预期指标值为“大于等于95%”，实际完成指标值为“等于100.00%”，指标完成率为105.00%。根据满意度调查报告显示，实际完成值为100%。主要原因为：用于11条道路的保洁和绿化养护，确保了园区环境的整洁和美观，提升了园区的整体形象和吸引力。使得受益居民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吉木萨尔镇北庭工业园区道路保洁、绿化养护项目在资金使用上体现了铰高的规范性和针对性。资金90.658804万元全部用于11条道路的保洁和绿化养护，确保了园区环境的整洁和美观，提升了园区的整体形象和吸引力。项目在资金分配上合理，注重实际需求，避免了资金浪费。此外，项目在执行过程中注重效率，确保了保洁和养护工作的持续性，为园区的长期发展提供了良好的环境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极端天气应急响应不足，受新疆气候影响，大风、沙尘等恶劣天气频发，但项目缺乏完善的应急预案，导致突发天气后道路积尘清理不及时，影响园区环境质量。 绿化养护专业化水平有限，部分绿化区域管护技术不到位，新栽苗木因灌溉不均或病虫害防治不及时出现成活率波动，影响整体景观效果。机械化作业覆盖不全面部分狭窄路段或边角区域因设备限制无法实现机械化清扫，仍依赖人工保洁，效率较低。</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完善极端天气应急响应机制，制定专项应急预案，配备快速清扫设备（如吸尘车、高压冲洗车），建立沙尘天气后4小时内完成积尘清理的响应标准。与气象部门联动，提前48小时预警，预置应急人员和物资。  提升绿化养护专业化水平，引入第三方园林专家团队，定期开展技术指导（如灌溉系统优化、病虫害防治）。建立苗木养护档案，对成活率低的区域实施重点监测和补植计划。补足机械化作业短板，采购小型电动扫地车、高空作业车等设备，覆盖狭窄路段和绿化带边缘区域。  优化作业路线规划，提高设备使用效率。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