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9BDE4">
      <w:bookmarkStart w:id="0" w:name="_GoBack"/>
      <w:bookmarkEnd w:id="0"/>
    </w:p>
    <w:p w14:paraId="5DDB93F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47F5144">
      <w:pPr>
        <w:spacing w:line="540" w:lineRule="exact"/>
        <w:jc w:val="center"/>
        <w:rPr>
          <w:rFonts w:ascii="华文中宋" w:hAnsi="华文中宋" w:eastAsia="华文中宋" w:cs="宋体"/>
          <w:b/>
          <w:kern w:val="0"/>
          <w:sz w:val="52"/>
          <w:szCs w:val="52"/>
        </w:rPr>
      </w:pPr>
    </w:p>
    <w:p w14:paraId="5F23FBF2">
      <w:pPr>
        <w:spacing w:line="540" w:lineRule="exact"/>
        <w:jc w:val="center"/>
        <w:rPr>
          <w:rFonts w:ascii="华文中宋" w:hAnsi="华文中宋" w:eastAsia="华文中宋" w:cs="宋体"/>
          <w:b/>
          <w:kern w:val="0"/>
          <w:sz w:val="52"/>
          <w:szCs w:val="52"/>
        </w:rPr>
      </w:pPr>
    </w:p>
    <w:p w14:paraId="1F091BAE">
      <w:pPr>
        <w:spacing w:line="540" w:lineRule="exact"/>
        <w:jc w:val="center"/>
        <w:rPr>
          <w:rFonts w:ascii="华文中宋" w:hAnsi="华文中宋" w:eastAsia="华文中宋" w:cs="宋体"/>
          <w:b/>
          <w:kern w:val="0"/>
          <w:sz w:val="52"/>
          <w:szCs w:val="52"/>
        </w:rPr>
      </w:pPr>
    </w:p>
    <w:p w14:paraId="492E291E">
      <w:pPr>
        <w:spacing w:line="540" w:lineRule="exact"/>
        <w:jc w:val="center"/>
        <w:rPr>
          <w:rFonts w:ascii="华文中宋" w:hAnsi="华文中宋" w:eastAsia="华文中宋" w:cs="宋体"/>
          <w:b/>
          <w:kern w:val="0"/>
          <w:sz w:val="52"/>
          <w:szCs w:val="52"/>
        </w:rPr>
      </w:pPr>
    </w:p>
    <w:p w14:paraId="2C5BAE29">
      <w:pPr>
        <w:spacing w:line="540" w:lineRule="exact"/>
        <w:jc w:val="center"/>
        <w:rPr>
          <w:rFonts w:ascii="华文中宋" w:hAnsi="华文中宋" w:eastAsia="华文中宋" w:cs="宋体"/>
          <w:b/>
          <w:kern w:val="0"/>
          <w:sz w:val="52"/>
          <w:szCs w:val="52"/>
        </w:rPr>
      </w:pPr>
    </w:p>
    <w:p w14:paraId="22EA4BB2">
      <w:pPr>
        <w:spacing w:line="540" w:lineRule="exact"/>
        <w:jc w:val="center"/>
        <w:rPr>
          <w:rFonts w:ascii="华文中宋" w:hAnsi="华文中宋" w:eastAsia="华文中宋" w:cs="宋体"/>
          <w:b/>
          <w:kern w:val="0"/>
          <w:sz w:val="52"/>
          <w:szCs w:val="52"/>
        </w:rPr>
      </w:pPr>
    </w:p>
    <w:p w14:paraId="559B72A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B822B0D">
      <w:pPr>
        <w:spacing w:line="540" w:lineRule="exact"/>
        <w:jc w:val="center"/>
        <w:rPr>
          <w:rFonts w:ascii="华文中宋" w:hAnsi="华文中宋" w:eastAsia="华文中宋" w:cs="宋体"/>
          <w:b/>
          <w:kern w:val="0"/>
          <w:sz w:val="52"/>
          <w:szCs w:val="52"/>
        </w:rPr>
      </w:pPr>
    </w:p>
    <w:p w14:paraId="2E978AD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110D964">
      <w:pPr>
        <w:spacing w:line="540" w:lineRule="exact"/>
        <w:jc w:val="center"/>
        <w:rPr>
          <w:rFonts w:hAnsi="宋体" w:eastAsia="仿宋_GB2312" w:cs="宋体"/>
          <w:kern w:val="0"/>
          <w:sz w:val="30"/>
          <w:szCs w:val="30"/>
        </w:rPr>
      </w:pPr>
    </w:p>
    <w:p w14:paraId="76BAC46F">
      <w:pPr>
        <w:spacing w:line="540" w:lineRule="exact"/>
        <w:jc w:val="center"/>
        <w:rPr>
          <w:rFonts w:hAnsi="宋体" w:eastAsia="仿宋_GB2312" w:cs="宋体"/>
          <w:kern w:val="0"/>
          <w:sz w:val="30"/>
          <w:szCs w:val="30"/>
        </w:rPr>
      </w:pPr>
    </w:p>
    <w:p w14:paraId="356341D6">
      <w:pPr>
        <w:spacing w:line="540" w:lineRule="exact"/>
        <w:jc w:val="center"/>
        <w:rPr>
          <w:rFonts w:hAnsi="宋体" w:eastAsia="仿宋_GB2312" w:cs="宋体"/>
          <w:kern w:val="0"/>
          <w:sz w:val="30"/>
          <w:szCs w:val="30"/>
        </w:rPr>
      </w:pPr>
    </w:p>
    <w:p w14:paraId="36240BCB">
      <w:pPr>
        <w:spacing w:line="540" w:lineRule="exact"/>
        <w:jc w:val="center"/>
        <w:rPr>
          <w:rFonts w:hAnsi="宋体" w:eastAsia="仿宋_GB2312" w:cs="宋体"/>
          <w:kern w:val="0"/>
          <w:sz w:val="30"/>
          <w:szCs w:val="30"/>
        </w:rPr>
      </w:pPr>
    </w:p>
    <w:p w14:paraId="255BEF1C">
      <w:pPr>
        <w:spacing w:line="540" w:lineRule="exact"/>
        <w:jc w:val="center"/>
        <w:rPr>
          <w:rFonts w:hAnsi="宋体" w:eastAsia="仿宋_GB2312" w:cs="宋体"/>
          <w:kern w:val="0"/>
          <w:sz w:val="30"/>
          <w:szCs w:val="30"/>
        </w:rPr>
      </w:pPr>
    </w:p>
    <w:p w14:paraId="1A68F708">
      <w:pPr>
        <w:spacing w:line="540" w:lineRule="exact"/>
        <w:jc w:val="center"/>
        <w:rPr>
          <w:rFonts w:hAnsi="宋体" w:eastAsia="仿宋_GB2312" w:cs="宋体"/>
          <w:kern w:val="0"/>
          <w:sz w:val="30"/>
          <w:szCs w:val="30"/>
        </w:rPr>
      </w:pPr>
    </w:p>
    <w:p w14:paraId="419BB550">
      <w:pPr>
        <w:spacing w:line="540" w:lineRule="exact"/>
        <w:rPr>
          <w:rFonts w:hAnsi="宋体" w:eastAsia="仿宋_GB2312" w:cs="宋体"/>
          <w:kern w:val="0"/>
          <w:sz w:val="30"/>
          <w:szCs w:val="30"/>
        </w:rPr>
      </w:pPr>
    </w:p>
    <w:p w14:paraId="671EF57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BEAE9D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吉木萨尔县困难群众救助补助资金项目</w:t>
      </w:r>
    </w:p>
    <w:p w14:paraId="10CE12E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吉木萨尔县民政局</w:t>
      </w:r>
    </w:p>
    <w:p w14:paraId="765A0E5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吉木萨尔县民政局</w:t>
      </w:r>
    </w:p>
    <w:p w14:paraId="352D558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钮鸿林</w:t>
      </w:r>
    </w:p>
    <w:p w14:paraId="686AC32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2025年03月06日</w:t>
      </w:r>
    </w:p>
    <w:p w14:paraId="205EE8AE">
      <w:pPr>
        <w:spacing w:line="700" w:lineRule="exact"/>
        <w:ind w:firstLine="708" w:firstLineChars="236"/>
        <w:jc w:val="left"/>
        <w:rPr>
          <w:rFonts w:hAnsi="宋体" w:eastAsia="仿宋_GB2312" w:cs="宋体"/>
          <w:kern w:val="0"/>
          <w:sz w:val="30"/>
          <w:szCs w:val="30"/>
        </w:rPr>
      </w:pPr>
    </w:p>
    <w:p w14:paraId="427F9A7A">
      <w:pPr>
        <w:spacing w:line="540" w:lineRule="exact"/>
        <w:rPr>
          <w:rStyle w:val="19"/>
          <w:rFonts w:ascii="黑体" w:hAnsi="黑体" w:eastAsia="黑体"/>
          <w:b w:val="0"/>
          <w:spacing w:val="-4"/>
          <w:sz w:val="32"/>
          <w:szCs w:val="32"/>
        </w:rPr>
      </w:pPr>
    </w:p>
    <w:p w14:paraId="3DA94EA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BEA9E6B">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F9A797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关于提前下达2024年中央财政困难群众救助补助资金预算的通知》（昌州财社〔2023〕70号）、《关于下达2024年中央财政困难群众救助补助资金的通知》（昌州财社〔2024〕38号）、《关于下达2024年自治区财政困难群众救助补助资金的通知》（昌州财社〔2023〕96号）、《关于下达2024年财政困难群众一次性困难补助资金的通知》（昌州财社〔2024〕5号）、关于印发《新疆维吾尔自治区低收入人口认定管理办法（试行）》的通知（新民规发〔2023〕3号）、关于印发《昌吉州关于加强低收入人口动态监测健全分层分类社会救助体系的具体措施》的通知（昌州民字〔2024〕53号）等文件要求， 规范城乡低保政策实施，合理确定保障标准，使困难群众基本生活得到有效保障；统筹城乡特困人员救助供养工作，合理确定保障标准；规范实施临时救助政策，实现及时高效、救急解难；为生活无着流浪乞讨人员提供临时食宿、疾病救治、协助返回等救助，并妥善安置返乡受助人员；对流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引导地方提高孤儿生活保障水平，孤儿生活保障政策规范高效实施，使孤儿、艾滋病病毒感染儿童和事实无人抚养儿童生活基本得到保障。积极为走失、务工不着、家庭暴力受害者等离家在外的临时遇困人员提供救助。确保我县困难群众基本生活有保障，应救尽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（1）项目名称：吉木萨尔县困难群众救助补助资金项目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对我县城乡低保户发放1至12月份的城乡低保金、有必要时发放一次性生活补贴、临时价格补贴；对特困供养对象落实1-12月份的特困供养救助政策发放生活费、护理费、医疗费、丧葬费等；为孤儿（事实无人抚养儿童）发放1-12月份生活补贴；对生活临时陷入困境的困难家庭落实临时救助；对生活无着的流浪乞讨人员落实救助包括住宿、饮食、返乡，送医、返乡救助政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实施主体：吉木萨尔县民政局。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实施时间：本项目实施周期为2024年1月1日-2024年12月31日。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困难群众救助补助资金统筹用于低保、特困人员救助供养、临时救助、流浪乞讨人员救助、孤儿基本生活保障支出。适度扩大城乡低保范围，进一步提高城乡低保对象基本生活水平，确保特困对象基本生活有所保障，落实临时救助，救助生活无着流浪乞讨人员，提高孤儿生活水平，进一步提高困难群众基本生活救助工作管理服务水平。截止2024年12月，我县享受城乡低保1131户2106人，享受特困供养人员320人，享受临时救助229人次，救助孤儿15名，救助流浪乞讨人员4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负责全县社会救助政策落实，统筹社会救助体系建设，负责城乡居民最低生活保障、特困人员救助供养、临时救助、生活无着落流浪乞讨人员救助工作，承担全县社会救助的日常工作；督促指导全县的养老服务工作。负责拟定全县养老服务体系建设规划、政策、标准并组织实施；承担老年人福利和特殊困难老年人救助工作；贯彻落实国家婚姻管理政策、殡葬管理政策及服务规范，负责推进婚俗、殡葬改革，指导婚姻、殡葬服务机构管理工作；贯彻落实全县儿童福利、孤弃儿童保障、儿童收养、儿童救助保护政策、标准。健全农村留守儿童关爱服务体系和困境儿童保障制度；贯彻落实全县城乡基层群众自治建设和社区建设的政策，指导城乡社区建设和服务管理工作，提出加强和改进城乡基层政权建设的建议，推动基层民主政治建设；贯彻执行行政区划管理政策和行政区域界线、地名管理办法；负责研究、制定和报告县人民政府审批的村以上行政区划的设立、撤销、调整、更名和界线变更及乡镇以上人民政府驻地迁移审核工作；组织、指导全县行政区域界线的勘定和管理工作，负责全县地名管理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民政局现有6个内设科室:即行政办公室、社会救助办公室（发放城乡低保、五保老人供养金、孤儿生活费、临时救助、流浪乞讨救助、残疾人两项补贴等）、基层政权办公室、社会事务办公室、婚姻登记办公室、行政区划地名办公室、党建办公室，下属1个单位社会福利管理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1662.52万元，资金来源为中央下达1143万元、自治区下达41万元、2023年中央结余资金113.52万元、县级部门预算365万元、困难群众救助补助资金。其中：财政资金为1662.52万元，其他资金为0万元。2024年实际收到预算资金1662.52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出1662.52万元，预算执行率100%。项目资金主要用于支付城乡低保金、特困供养金、孤儿基本生活费、流浪乞讨救助金、临时救助等，2024年底城乡低保1131户2106人（城市低保180户295人，农村低保951户1811人），累计发放1261.17万元；特困对象320人，累计发放341.31万元；享受孤儿基本生活津贴15人，累计发放23.16万元；流浪乞讨救助4人，发放救助金0.57万元，临时救助229人次，累计发放36.31万元。</w:t>
      </w:r>
    </w:p>
    <w:p w14:paraId="5EA563D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817B70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规范城乡低保政策实施，合理确定保障标准，使低保对象基本生活得到有效保障；统筹城乡特困人员救助供养工作，合理确定保障标准；规范实施临时救助政策，实现及时高效、救急解难；为生活无着流浪乞讨人员提供临时食宿、疾病救治、协助返回等救助，并妥善安置返乡受助人员；对流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引导地方提高孤儿生活保障水平，孤儿生活保障政策规范高效实施，使孤儿、艾滋病病毒感染儿童和事实无人抚养儿童生活基本得到保障。积极为走失、务工不着、家庭暴力受害者等离家在外的临时遇困人员提供救助。确保我县困难群众基本生活有保障，应救尽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“城乡居民低保保障率”指标，预期指标值为“100%”；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“特困供养保障率”指标，预期指标值为“适度提高”；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“求救的流浪乞讨人员救助率”指标，预期指标值为“大于等于95%”；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“符合条件的儿童纳入保障范围率”指标，预期指标值为“大于等于90%”；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“患病孤残儿童救助率”指标，预期指标值为“大于等于90%”；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“城乡低保中重度残疾人人数”指标，预期指标值为“大于等于550人”；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“特困供养对象人数”指标，预期指标值为“大于等于300人”；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“孤儿人数”指标，预期指标值为“大于等于9人”；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“城乡低保标准”指标，预期指标值为“稳步提高”；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“城乡特困人员救助供养标准”指标，预期指标值为“不低于上年”；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“临时救助水平”指标，预期指标值为“不低于上年”；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“建立社会救助家庭居民经济状况核对机制到县（市、区）比例”指标，预期指标值为“92%”；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“符合条件的儿童认定准确率”指标，预期指标值为“大于等于90%”；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“向本行政区域县级及以上财政部门下达中央财政困难群众救助补助资金”指标，预期指标值为“小于等于30日内收到补助资金后”；</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“困难群众基本生活救助和孤儿基本生活费按时发放率”指标，预期指标值为“大于等于90%”；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“流浪乞讨人员救助要求当天登记救助率”指标，预期指标值为“大于等于95%”；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“流浪乞讨人员救助执行当地支出标准”指标，预期指标值为“大于等于95%”；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“低保资金社会化发放率”指标，预期指标值为“大于等于90%”；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“困难群众基本生活救助和孤儿基本生活保障制度”指标，预期指标值为“进一步完善”；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“困难群众生活水平情况”指标，预期指标值为“有所提升”；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“帮助查明身份滞留流浪乞讨人员返乡情况”指标，预期指标值为“及时返送”；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“为走失、务工不着，家庭暴力受害者等离家在外的临时遇困人员提供帮助服务率”指标，预期指标值为“大于等于95%”；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“政策知晓率”指标，预期指标值为“大于等于82%”。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“救助对象对社会救助实施的满意度”指标，预期指标值为“大于等于85%”。</w:t>
      </w:r>
    </w:p>
    <w:p w14:paraId="3BEB0F0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43FBD0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CD67C3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困难群众补助救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此次我单位根据《财政支出绩效评价管理暂行办法》（财预〔2020〕10号）文件要求实施评价工作，本次评价对象为困难群众补助救助资金项目，评价核心为项目资金、项目产出、项目效益。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D96380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A8E632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9B293F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BD2D38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钮鸿林（评价小组组长）：主要负责项目策划和监督，全面负责项目绩效评价办稿的最终质量，对评估人员出具的最终报告质量进行复核，确保评估结果的客观性；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陈姿含、张莹莹、米娜瓦尔（评价小组组员）：主要负责资料的收集，取证、数据统计分析；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萨吉达、张仕颖（评价小组组员）：主要负责主要负责项目报告的制定，指标的研判，数据分析及报告撰写。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AB1871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712724A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经评价，本项目较大程度达成年初设立的绩效目标，2024年困难群众救助补助资金项目总体组织规范，完成了2024年困难群众救助补助资金项目的工作目标，在实施过程中取得了良好的成效，具体表现在以下方面：</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项目决策方面：严格按照《关于提前下达2024年中央财政困难群众救助补助资金预算的通知》（昌州财社〔2023〕70号）、《关于下达2024年中央财政困难群众救助补助资金的通知》（昌州财社〔2024〕38号）、《关于下达2024年自治区财政困难群众救助补助资金的通知》（昌州财社〔2023〕96号）、《关于下达2024年财政困难群众一次性困难补助资金的通知》（昌州财社〔2024〕5号）等文件要求，规范困难群众救助政策实施，合理确定保障标准，使困难群众基本生活得到有效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管理方面：严格按照预算法及其实施条例、转移支付管理制度规定以及资金管理办法规定的时限要求分解下达；严格按照国库中支付制度有关规定支付资金，未出现违规将资金从国库转入财政专户或支付到预算单位实有资金账户等问题，严格按照下达预算的科目和项目执行，未出现截留、挤占、挪用或自调整等问题按照上级下达和本级预算安排的金额执行，不存在执行数偏离预算数较多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方面：实际支出实际支出1662.52万元，预算执行率100%。项目资金主要用于支付城乡低保金、特困供养金、孤儿基本生活费、流浪乞讨救助金、临时救助等，2024年底城乡低保1131户2106人（城市低保180户295人，农村低保951户1811人），累计发放1261.17万元；特困对象320人，累计发放341.31万元；享受孤儿基本生活津贴15人，累计发放23.16万元；流浪乞讨救助4人，发放救助金0.57万元，临时救助229人次，累计发放36.31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35个，实现三级指标数量32个，总体完成率为99.38%。最终评分结果：总分为98.96分，绩效评级为“优”。综合评价结论如下：项目决策类指标共设置6个，满分指标6个，得分率100%；过程管理类指标共设置5个，满分指标4个，得分率94.74%；项目产出类指标共设置18个，满分指标16个，得分率99.87%；项目效益类指标共设置4个，满分指标4个，得分率100%；项目满意度指标共设置2个，满分指标2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18.00  29.96  20.00  10.00  98.96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94.74% 99.87% 100.00% 100.00% 98.96%</w:t>
      </w:r>
    </w:p>
    <w:p w14:paraId="5721EDEE">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015B31C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7AF8494">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关于提前下达2024年中央财政困难群众救助补助资金预算的通知》（昌州财社〔2023〕70号）、《关于下达2024年中央财政困难群众救助补助资金的通知》（昌州财社〔2024〕38号）、《关于下达2024年自治区财政困难群众救助补助资金的通知》（昌州财社〔2023〕96号）、《关于下达2024年财政困难群众一次性困难补助资金的通知》（昌州财社〔2024〕5号）、关于印发《新疆维吾尔自治区低收入人口认定管理办法（试行）》的通知（新民规发〔2023〕3号）、关于印发《昌吉州关于加强低收入人口动态监测健全分层分类社会救助体系的具体措施》的通知（昌州民字〔2024〕53号）等文件要求。本项目立项符合《吉木萨尔县民政局配置内设机构和人员编制规定》中职责范围中的“开展困难群众救助工作”，属于我单位履职所需；根据《财政资金直接支付申请书》，本项目资金性质为“中央直达资金和自治区资金”，功能分类为“社会保障和就业”，经济分类为“用于低保、特困供养人员救助供养、临时救助、流浪乞讨人员救助（含农村留守儿童、困境儿童、流浪乞讨儿童的应急处置、救助帮扶、监护支持、精神关爱等</w:t>
      </w:r>
      <w:r>
        <w:rPr>
          <w:rStyle w:val="19"/>
          <w:rFonts w:hint="eastAsia" w:ascii="楷体" w:hAnsi="楷体" w:eastAsia="楷体"/>
          <w:b w:val="0"/>
          <w:bCs w:val="0"/>
          <w:spacing w:val="-4"/>
          <w:sz w:val="32"/>
          <w:szCs w:val="32"/>
          <w:lang w:eastAsia="zh-CN"/>
        </w:rPr>
        <w:t>未成年人保护</w:t>
      </w:r>
      <w:r>
        <w:rPr>
          <w:rStyle w:val="19"/>
          <w:rFonts w:hint="eastAsia" w:ascii="楷体" w:hAnsi="楷体" w:eastAsia="楷体"/>
          <w:b w:val="0"/>
          <w:bCs w:val="0"/>
          <w:spacing w:val="-4"/>
          <w:sz w:val="32"/>
          <w:szCs w:val="32"/>
        </w:rPr>
        <w:t>支出）、孤儿基本生活保障支出”，属于公共财政支持范围，符合中央、地方事权支出责任划分原则；经检查我单位财政管理一体化信息系统，本项目不存在重复。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中央财政困难群众救助补助资金预算的通知》（昌州财社〔2023〕70号）、《关于下达2024年中央财政困难群众救助补助资金的通知》（昌州财社〔2024〕38号）、《关于下达2024年自治区财政困难群众救助补助资金的通知》（昌州财社〔2023〕96号）、《关于下达2024年财政困难群众一次性困难补助资金的通知》（昌州财社〔2024〕5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1.规范城乡低保政策实施，合理确定保障标准，使低保对象基本生活得到有效保障。2.统筹城乡特困人员救助供养工作，合理确定保障标准。3.规范实施临时救助政策，实现及时高效、救急解难。4.为生活无着流浪乞讨人员提供临时食宿、疾病救治、协助返回等救助，并妥善安置返乡受助人员。5.对流浪未成年人提供特殊优先保护及教育等专业服务，确保其健康成长。6.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艾滋病病毒感染儿童和事实无人抚养儿童生活基本得到保障。8.积极为走失、务工不着、家庭暴力受害者等离家在外的临时遇困人员提供救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1.合理确定了低保标准，城市低保标准712元/月/人、农村低保标准8544元/年/人，使低保对象基本生活得到有效保障。2.合理确定了特困人员供养标准。城乡集中供养标准1035元/月/人，分散供养特困标准820元/月/人。3.规范实施临时救助政策，推进实现了及时高效、救急解难，使临时遇困人员得到及时救助。4.全年累计为生活无着流浪乞讨人员得到了临时食宿、疾病救治、协助返回等救助。 5.通过政府购买社会组织服务，督促乡镇督导员、村社区儿童主任对农村留守儿童、困境儿童等开展家庭监护支持、关心关爱等工作，从源头上预防未成年人外出流浪。6.集中养育标准1610元/月/人、分散养育标准1150元/月/人，孤儿生活保障政策规范高效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城乡低保、特困供养对象保障率，流浪乞讨人员、孤儿、艾滋病病毒感染、孤残儿童救助率，城乡低保、特困人员救助供养标准、临时救助水平稳步提高，困难群众基本生活救助和孤儿基本生活费按时社会化发放，困难群众生活水平有所提高，流浪乞讨人员求助当天登记，并且执行我县支出标准，帮助查明滞留流浪乞讨人员返乡，为走失，务工不着，家庭暴力受害者等离家在外的临时遇困人员提高救助服务，不断进行社会救助宣讲群众的政策知晓率不断提高，救助对象对社会救助实施的满意度持续提升，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④该项目批复的预算金额为1662.52万元，《项目支出绩效目标表》中预算金额为1662.52万元，预算确定的项目资金与预算确定的项目投资额相匹配。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8个，三级指标24个，定量指标17个，定性指标7个，指标量化率为70.83%，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城乡居民低保保障率”指标，“特困供养保障率”指标，“求救的流浪乞讨人员救助率”，“符合条件的儿童纳入保障范围率”指标、“患病孤残儿童救助率”指标、“城乡低保中重度残疾人人数”指标、“特困供养对象人数”指标、“孤儿人数”指标，三级指标的年度指标值与年度绩效目标中任务数不完全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关于提前下达2024年中央财政困难群众救助补助资金预算的通知》（昌州财社〔2023〕70号）、《关于下达2024年中央财政困难群众救助补助资金的通知》（昌州财社〔2024〕38号）、《关于下达2024年自治区财政困难群众救助补助资金的通知》（昌州财社〔2023〕96号）、《关于下达2024年财政困难群众一次性困难补助资金的通知》（昌州财社〔2024〕5号）文件标准，根据实际发放人员数量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内容为1662.52万元，项目资金主要用于支付低保、特困供养人员救助供养、临时救助、流浪乞讨人员救助（含农村留守儿童、困境儿童、流浪乞讨儿童的应急处置、救助帮扶、监护支持、精神关爱等</w:t>
      </w:r>
      <w:r>
        <w:rPr>
          <w:rStyle w:val="19"/>
          <w:rFonts w:hint="eastAsia" w:ascii="楷体" w:hAnsi="楷体" w:eastAsia="楷体"/>
          <w:b w:val="0"/>
          <w:bCs w:val="0"/>
          <w:spacing w:val="-4"/>
          <w:sz w:val="32"/>
          <w:szCs w:val="32"/>
          <w:lang w:eastAsia="zh-CN"/>
        </w:rPr>
        <w:t>未成年人保护</w:t>
      </w:r>
      <w:r>
        <w:rPr>
          <w:rStyle w:val="19"/>
          <w:rFonts w:hint="eastAsia" w:ascii="楷体" w:hAnsi="楷体" w:eastAsia="楷体"/>
          <w:b w:val="0"/>
          <w:bCs w:val="0"/>
          <w:spacing w:val="-4"/>
          <w:sz w:val="32"/>
          <w:szCs w:val="32"/>
        </w:rPr>
        <w:t>支出）、孤儿基本生活保障资金，预算申请与《困难群众救助补助资金项目实施方案》中涉及的项目内容匹配。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1662.52万元，我单位在预算申请中严格按照项目实施内容及测算标准进行核算，其中：城乡低保发放1261.17万元；特困对象发放341.31万元；孤儿基本生活费发放23.16万元；流浪乞讨人员发放救助金0.57万元，临时救助发放36.31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提前下达2024年中央财政困难群众救助补助资金预算的通知》（昌州财社〔2023〕70号）、《关于下达2024年中央财政困难群众救助补助资金的通知》（昌州财社〔2024〕38号）、《关于下达2024年自治区财政困难群众救助补助资金的通知》（昌州财社〔2023〕96号）、《关于下达2024年财政困难群众一次性困难补助资金的通知》（昌州财社〔2024〕5号）为依据进行资金分配，预算资金分配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关于提前下达2024年中央财政困难群众救助补助资金预算的通知》（昌州财社〔2023〕70号）、《关于下达2024年中央财政困难群众救助补助资金的通知》（昌州财社〔2024〕38号）、《关于下达2024年自治区财政困难群众救助补助资金的通知》（昌州财社〔2023〕96号）、《关于下达2024年财政困难群众一次性困难补助资金的通知》（昌州财社〔2024〕5号），本项目实际到位资金1662.52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4788E77D">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33A5675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项目过程管理类指标由2个二级指标和5个三级指标构成，权重分19.00分，实际得分18分。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本项目预算资金为1662.52万元，其中：财政安排资金1662.52万元，其他资金0万元，实际到位资金1662.52万元，资金到位率100%。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本项目实际支出资金1662.52万元，预算执行率100%；项目已完成，总体完成率为100%；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发放统计台账、资金申请文件、发票等财务付款凭证，得出本项目资金支出符合国家财经法规、《政府会计制度》《吉木萨尔县民政局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吉木萨尔县民政局建设资金管理办法》、关于印发《新疆维吾尔自治区低收入人口认定管理办法（试行）》的通知（新民规发〔2023〕3号）、关于印发《昌吉州关于加强低收入人口动态监测健全分层分类社会救助体系的具体措施》的通知（昌州民字〔2024〕53号），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综上所述，本指标满分为2.00分，根据评分标准得1分，项目制度建设较健全。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关于提前下达2024年中央财政困难群众救助补助资金预算的通知》（昌州财社〔2023〕70号）、《关于下达2024年中央财政困难群众救助补助资金的通知》（昌州财社〔2024〕38号）、《关于下达2024年自治区财政困难群众救助补助资金的通知》（昌州财社〔2023〕96号）、《关于下达2024年财政困难群众一次性困难补助资金的通知》（昌州财社〔2024〕5号）等相关法律法规及管理规定，项目具备完整规范的立项程序；经查证项目实施过程资料，按照下达的困难群众补助救助预算资金文件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②经现场查证项目发放台账、统计报表、财务支付凭证等资料齐全并及时归档。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③该项目实施过程中存在调整，调整程序完整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困难群众救助补助资金项目工作领导小组，由钮鸿林任组长，负责项目的组织工作；陈姿含任副组长，负责项目的实施工作；组员包括：萨吉达、王雪莹、王丽娟，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6532666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2975578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项目产出类指标由4个二级指标和18个三级指标构成，权重分30.00分，实际得分29.96分。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“城乡居民低保保障率”指标，预期指标值为“等于100%”，实际完成指标值为“等于100%”，指标完成率为100.0%；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“特困供养保障率”指标，预期指标值为“适度提高”，实际完成指标值为“适度提高”，指标完成率为100.0%；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“求救的流浪乞讨人员救助率”预期指标值为“大于等于95%”，实际完成指标值为“等于95%”，指标完成率为100.0%；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“符合条件的儿童纳入保障范围率”预期指标值为“大于等于90%”，实际完成指标值为“等于90%”，指标完成率为100.0%；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“患病孤残儿童救助率”预期指标值为“大于等于90%”，实际完成指标值为“等于90%”，指标完成率为100.0%；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“城乡低保中重度残疾人人数”预期指标值为“大于等于550人”，实际完成指标值为“553人”，指标完成率为100.5%；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综上所述，本指标满分为2分，根据评分标准得1.99分。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“特困供养对象人数”预期指标值为“大于等于300人”，实际完成指标值为“315人”，指标完成率为101.6%；主要原因为实际供养人数达到315人，项目实施动态管理。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综上所述，本指标满分为2分，根据评分标准得1.97分。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“孤儿人数”预期指标值为“大于等于9人”，实际完成指标值为“9人”，指标完成率为100.0%；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“城乡低保标准”指标，预期指标值为“稳步提高”，实际完成指标值为“稳步提高”，指标完成率为100.0%；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“城乡特困人员救助供养保准”指标，预期指标值为“不低于上年”，实际完成指标值为“不低于上年”，指标完成率为100.0%；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“临时救助水平”指标，预期指标值为“不低于上年”，实际完成指标值为“不低于上年”，指标完成率为100.0%；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“建立社会救助家庭居民经济状况核对机制到县（市、区）比例”指标，预期指标值为“大于等于92%”，实际完成指标值为“等于92%”，指标完成率为100.0%；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“符合条件的儿童认定准确率”指标，预期指标值为“大于等于90%”，实际完成指标值为“等于90%”，指标完成率为100.0%；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“向本行政区域县级及以上财政部门下达中央财政困难群众救助补助资金”指标，预期指标值为“小于等于30日内收到补助资金后”，实际完成指标值为“30日内收到补助资金后”，指标完成率为100.0%；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“困难群众基本生活救助和孤儿基本生活费按时发放率”指标，预期指标值为“大于等于90%”，实际完成指标值为“90%”，指标完成率为100.0%；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“流浪乞讨人员救助要求当天登记救助率”指标，预期指标值为“大于等于95%”，实际完成指标值为“95%”，指标完成率为100.0%；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“流浪乞讨人员救助执行当地支出标准”指标，预期指标值为“大于等于95%”，实际完成指标值为“95%”，指标完成率为100.0%；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“低保资金社会化发放率”指标，预期指标值为“大于等于90%”，实际完成指标值为“90%”，指标完成率为100.0%；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45F70CA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60C73A8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项目效益类指标由2个二级指标和4个三级指标构成，权重分20分，实际得分20分。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“困难群众基本生活救助和孤儿基本生活保障制度”指标，预期指标值为“进一步完善”，实际完成指标值为“进一步完善”，指标完成率为100.0%；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“困难群众生活水平情况”指标，预期指标值为“有所提升”，实际完成指标值为“有所提升”，指标完成率为100.0%；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“帮助查明身份滞留流浪乞讨人员返乡情况”指标，预期指标值为“及时返送”，实际完成指标值为“及时返送”，指标完成率为100.0%；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“为走失、务工不着，家庭暴力受害者等离家在外的临时遇困人员提供帮助服务率”指标，预期指标值为“大于等于95%”，实际完成指标值为“100%”，指标完成率为105.0%；主要原因为 2024年我县救助流浪乞讨人员4人，已返乡4人，均为其购买车票送他们返乡，全部已经返乡，返乡率达到100%。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14E242E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项目满意度类指标由1个二级指标和2个三级指标构成，权重分10.00分，实际得分10分。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“政策知晓率”指标，预期指标值为“大于等于82%”，实际完成指标值为“82%”，指标完成率为100.0%。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“救助对象对社会救助实施的满意度”指标，预期指标值为“大于等于85%”，实际完成指标值为“85%”，指标完成率为100.0%。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p>
    <w:p w14:paraId="172F78C7">
      <w:pPr>
        <w:spacing w:line="540" w:lineRule="exact"/>
        <w:ind w:firstLine="567"/>
        <w:rPr>
          <w:rStyle w:val="19"/>
          <w:rFonts w:hint="eastAsia" w:ascii="楷体" w:hAnsi="楷体" w:eastAsia="楷体"/>
          <w:b w:val="0"/>
          <w:bCs w:val="0"/>
          <w:spacing w:val="-4"/>
          <w:sz w:val="32"/>
          <w:szCs w:val="32"/>
        </w:rPr>
      </w:pPr>
    </w:p>
    <w:p w14:paraId="0E25C16C">
      <w:pPr>
        <w:spacing w:line="540" w:lineRule="exact"/>
        <w:ind w:firstLine="567"/>
        <w:rPr>
          <w:rStyle w:val="19"/>
          <w:rFonts w:ascii="楷体" w:hAnsi="楷体" w:eastAsia="楷体"/>
          <w:spacing w:val="-4"/>
          <w:sz w:val="32"/>
          <w:szCs w:val="32"/>
        </w:rPr>
      </w:pPr>
    </w:p>
    <w:p w14:paraId="6D9EE052">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51E326EF">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构建多层次的救助体系：一是强化基本救助，加大对低保、特困供养人员等基本九组制度的投入，提高救助标准，确保困难群众基本生活；二是发展专项救助，针对医疗、教育、住房等特定领域的苦难安，开展专项救助；三是鼓励社会力量参与，通过政府购买服务、慈善捐赠、志愿服务等方式，引导社会量参与救助，为苦难群众提供度氧化、个性化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存在问题：一是基层社会救助工作人员数量不足，工作负担较重，影响了社会救助工作的质量和效率；二是救助工作信息化程度不高，各部门之间信息共享不畅，导致救助遗漏等问题时有发生。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原因分析：一是社会救助工作任务日益繁重，但基层政府在人员编制、经费保障等方面相对滞后；二是不同部门的信息建设标准不一致，数据格式和接口不统一，难以实现无缝对接。</w:t>
      </w:r>
    </w:p>
    <w:p w14:paraId="7FEA646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0F51C58B">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七、有关建议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政府要优化财政支出结构，加大对社会救助的资金支持，同时引导社会资本参与，拓宽资金筹集渠道，如同共设立慈善信托、开展公众筹等方式，增加资金总量。</w:t>
      </w:r>
    </w:p>
    <w:p w14:paraId="3084B9C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390A009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八、其他需要说明的问题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A2BE67F">
      <w:pPr>
        <w:spacing w:line="540" w:lineRule="exact"/>
        <w:ind w:firstLine="567"/>
        <w:rPr>
          <w:rStyle w:val="19"/>
          <w:rFonts w:ascii="仿宋" w:hAnsi="仿宋" w:eastAsia="仿宋"/>
          <w:b w:val="0"/>
          <w:spacing w:val="-4"/>
          <w:sz w:val="32"/>
          <w:szCs w:val="32"/>
        </w:rPr>
      </w:pPr>
    </w:p>
    <w:p w14:paraId="1C2600AA">
      <w:pPr>
        <w:spacing w:line="540" w:lineRule="exact"/>
        <w:ind w:firstLine="567"/>
        <w:rPr>
          <w:rStyle w:val="19"/>
          <w:rFonts w:ascii="仿宋" w:hAnsi="仿宋" w:eastAsia="仿宋"/>
          <w:b w:val="0"/>
          <w:spacing w:val="-4"/>
          <w:sz w:val="32"/>
          <w:szCs w:val="32"/>
        </w:rPr>
      </w:pPr>
    </w:p>
    <w:p w14:paraId="31BC6769">
      <w:pPr>
        <w:spacing w:line="540" w:lineRule="exact"/>
        <w:ind w:firstLine="567"/>
        <w:rPr>
          <w:rStyle w:val="19"/>
          <w:rFonts w:ascii="仿宋" w:hAnsi="仿宋" w:eastAsia="仿宋"/>
          <w:b w:val="0"/>
          <w:spacing w:val="-4"/>
          <w:sz w:val="32"/>
          <w:szCs w:val="32"/>
        </w:rPr>
      </w:pPr>
    </w:p>
    <w:p w14:paraId="5A50C5ED">
      <w:pPr>
        <w:spacing w:line="540" w:lineRule="exact"/>
        <w:ind w:firstLine="567"/>
        <w:rPr>
          <w:rStyle w:val="19"/>
          <w:rFonts w:ascii="仿宋" w:hAnsi="仿宋" w:eastAsia="仿宋"/>
          <w:b w:val="0"/>
          <w:spacing w:val="-4"/>
          <w:sz w:val="32"/>
          <w:szCs w:val="32"/>
        </w:rPr>
      </w:pPr>
    </w:p>
    <w:p w14:paraId="1FFBA20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A48C909">
        <w:pPr>
          <w:pStyle w:val="12"/>
          <w:jc w:val="center"/>
        </w:pPr>
        <w:r>
          <w:fldChar w:fldCharType="begin"/>
        </w:r>
        <w:r>
          <w:instrText xml:space="preserve">PAGE   \* MERGEFORMAT</w:instrText>
        </w:r>
        <w:r>
          <w:fldChar w:fldCharType="separate"/>
        </w:r>
        <w:r>
          <w:rPr>
            <w:lang w:val="zh-CN"/>
          </w:rPr>
          <w:t>2</w:t>
        </w:r>
        <w:r>
          <w:fldChar w:fldCharType="end"/>
        </w:r>
      </w:p>
    </w:sdtContent>
  </w:sdt>
  <w:p w14:paraId="55FEA6F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77B04F5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613ce2e7-59bb-49c9-8d17-73f741aa6d53}">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270</Words>
  <Characters>578</Characters>
  <Lines>4</Lines>
  <Paragraphs>1</Paragraphs>
  <TotalTime>7</TotalTime>
  <ScaleCrop>false</ScaleCrop>
  <LinksUpToDate>false</LinksUpToDate>
  <CharactersWithSpaces>592</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国库科</cp:lastModifiedBy>
  <cp:lastPrinted>2018-12-31T10:56:00Z</cp:lastPrinted>
  <dcterms:modified xsi:type="dcterms:W3CDTF">2025-10-31T11:11:02Z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86A4BE803B594D54BB30BEB283D7FDDD_13</vt:lpwstr>
  </property>
</Properties>
</file>