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CF7269">
      <w:r>
        <w:br w:type="page"/>
      </w:r>
    </w:p>
    <w:p w14:paraId="7EE71A3F">
      <w:pPr>
        <w:spacing w:line="640" w:lineRule="exact"/>
        <w:jc w:val="center"/>
        <w:outlineLvl w:val="1"/>
      </w:pPr>
      <w:r>
        <w:rPr>
          <w:rFonts w:ascii="黑体" w:hAnsi="黑体" w:eastAsia="黑体"/>
          <w:sz w:val="32"/>
        </w:rPr>
        <w:t>第一部分 单位概况</w:t>
      </w:r>
    </w:p>
    <w:p w14:paraId="0FC9ADA4">
      <w:pPr>
        <w:spacing w:line="640" w:lineRule="exact"/>
        <w:ind w:firstLine="640"/>
        <w:jc w:val="both"/>
        <w:outlineLvl w:val="2"/>
      </w:pPr>
      <w:r>
        <w:rPr>
          <w:rFonts w:ascii="黑体" w:hAnsi="黑体" w:eastAsia="黑体"/>
          <w:sz w:val="32"/>
        </w:rPr>
        <w:t>一、主要职能</w:t>
      </w:r>
    </w:p>
    <w:p w14:paraId="6917BC6D">
      <w:pPr>
        <w:spacing w:line="580" w:lineRule="exact"/>
        <w:ind w:firstLine="640"/>
        <w:jc w:val="both"/>
      </w:pPr>
      <w:r>
        <w:rPr>
          <w:rFonts w:ascii="仿宋_GB2312" w:hAnsi="仿宋_GB2312" w:eastAsia="仿宋_GB2312"/>
          <w:sz w:val="32"/>
        </w:rPr>
        <w:t>（一）宣传、贯彻落实《中华人民共和国红十字会法》《中国红十字会章程》《中华人民共和国红十字使用法》《新疆维吾尔自治区实施&lt;中华人民共和国红十字会法&gt;办法》和《中华人民共和国献血法》、指导和协调全县红十字会工作。</w:t>
      </w:r>
    </w:p>
    <w:p w14:paraId="50FA3E48">
      <w:pPr>
        <w:spacing w:line="580" w:lineRule="exact"/>
        <w:ind w:firstLine="640"/>
        <w:jc w:val="both"/>
      </w:pPr>
      <w:r>
        <w:rPr>
          <w:rFonts w:ascii="仿宋_GB2312" w:hAnsi="仿宋_GB2312" w:eastAsia="仿宋_GB2312"/>
          <w:sz w:val="32"/>
        </w:rPr>
        <w:t>（二）开展救灾准备工作、在自然灾害和突发事件中、对伤病人员和其他受害者进行救助。</w:t>
      </w:r>
    </w:p>
    <w:p w14:paraId="11E32D08">
      <w:pPr>
        <w:spacing w:line="580" w:lineRule="exact"/>
        <w:ind w:firstLine="640"/>
        <w:jc w:val="both"/>
      </w:pPr>
      <w:r>
        <w:rPr>
          <w:rFonts w:ascii="仿宋_GB2312" w:hAnsi="仿宋_GB2312" w:eastAsia="仿宋_GB2312"/>
          <w:sz w:val="32"/>
        </w:rPr>
        <w:t>（三）开展人道领域的社会救助，社区服务和社会公益活动；组织开展群众性初级救护培训和现场急救工作。</w:t>
      </w:r>
    </w:p>
    <w:p w14:paraId="6DD8B4B0">
      <w:pPr>
        <w:spacing w:line="580" w:lineRule="exact"/>
        <w:ind w:firstLine="640"/>
        <w:jc w:val="both"/>
      </w:pPr>
      <w:r>
        <w:rPr>
          <w:rFonts w:ascii="仿宋_GB2312" w:hAnsi="仿宋_GB2312" w:eastAsia="仿宋_GB2312"/>
          <w:sz w:val="32"/>
        </w:rPr>
        <w:t>（四）在州红十字会的指导下，开展与国际国内红十字会组织的交流与合作；宣传国际红十字会与红新月运动的基本原则和日内瓦公约及其附加议定书，并依照有关规定开展工作。</w:t>
      </w:r>
    </w:p>
    <w:p w14:paraId="35FEC90F">
      <w:pPr>
        <w:spacing w:line="580" w:lineRule="exact"/>
        <w:ind w:firstLine="640"/>
        <w:jc w:val="both"/>
      </w:pPr>
      <w:r>
        <w:rPr>
          <w:rFonts w:ascii="仿宋_GB2312" w:hAnsi="仿宋_GB2312" w:eastAsia="仿宋_GB2312"/>
          <w:sz w:val="32"/>
        </w:rPr>
        <w:t>（五）开展有益于青少年身心健康的，弘扬人道主义精神的红十字青少年活动。</w:t>
      </w:r>
    </w:p>
    <w:p w14:paraId="39BC9B82">
      <w:pPr>
        <w:spacing w:line="580" w:lineRule="exact"/>
        <w:ind w:firstLine="640"/>
        <w:jc w:val="both"/>
      </w:pPr>
      <w:r>
        <w:rPr>
          <w:rFonts w:ascii="仿宋_GB2312" w:hAnsi="仿宋_GB2312" w:eastAsia="仿宋_GB2312"/>
          <w:sz w:val="32"/>
        </w:rPr>
        <w:t>（六）依据《中华人民共和国红十字会法》和《中华人民共和国献血法》的规定，推动无偿献血，进行遗体、器官捐献和“中华造血干细胞捐献者”宣传、动员、登记工作。</w:t>
      </w:r>
    </w:p>
    <w:p w14:paraId="7F5AA024">
      <w:pPr>
        <w:spacing w:line="580" w:lineRule="exact"/>
        <w:ind w:firstLine="640"/>
        <w:jc w:val="both"/>
      </w:pPr>
      <w:r>
        <w:rPr>
          <w:rFonts w:ascii="仿宋_GB2312" w:hAnsi="仿宋_GB2312" w:eastAsia="仿宋_GB2312"/>
          <w:sz w:val="32"/>
        </w:rPr>
        <w:t>（七）组织会员、志愿工作者开展</w:t>
      </w:r>
      <w:r>
        <w:rPr>
          <w:rFonts w:hint="eastAsia" w:ascii="仿宋_GB2312" w:hAnsi="仿宋_GB2312" w:eastAsia="仿宋_GB2312"/>
          <w:sz w:val="32"/>
          <w:lang w:val="en-US" w:eastAsia="zh-CN"/>
        </w:rPr>
        <w:t>AZB</w:t>
      </w:r>
      <w:r>
        <w:rPr>
          <w:rFonts w:ascii="仿宋_GB2312" w:hAnsi="仿宋_GB2312" w:eastAsia="仿宋_GB2312"/>
          <w:sz w:val="32"/>
        </w:rPr>
        <w:t>预防宣传培训活动。</w:t>
      </w:r>
    </w:p>
    <w:p w14:paraId="0155EF31">
      <w:pPr>
        <w:spacing w:line="640" w:lineRule="exact"/>
        <w:ind w:firstLine="640"/>
        <w:jc w:val="both"/>
        <w:outlineLvl w:val="2"/>
      </w:pPr>
      <w:r>
        <w:rPr>
          <w:rFonts w:ascii="黑体" w:hAnsi="黑体" w:eastAsia="黑体"/>
          <w:sz w:val="32"/>
        </w:rPr>
        <w:t>二、机构设置及人员情况</w:t>
      </w:r>
    </w:p>
    <w:p w14:paraId="2E89A4B2">
      <w:pPr>
        <w:spacing w:line="580" w:lineRule="exact"/>
        <w:ind w:firstLine="640"/>
        <w:jc w:val="both"/>
      </w:pPr>
      <w:r>
        <w:rPr>
          <w:rFonts w:ascii="仿宋_GB2312" w:hAnsi="仿宋_GB2312" w:eastAsia="仿宋_GB2312"/>
          <w:sz w:val="32"/>
        </w:rPr>
        <w:t>吉木萨尔县红十字会2024年度，实有人数4人，其中：在职人员2人，增加0人；离休人员0人，增加0人；退休人员2人,增加0人。</w:t>
      </w:r>
    </w:p>
    <w:p w14:paraId="718063A7">
      <w:pPr>
        <w:spacing w:line="580" w:lineRule="exact"/>
        <w:ind w:firstLine="640"/>
        <w:jc w:val="both"/>
      </w:pPr>
      <w:r>
        <w:rPr>
          <w:rFonts w:ascii="仿宋_GB2312" w:hAnsi="仿宋_GB2312" w:eastAsia="仿宋_GB2312"/>
          <w:sz w:val="32"/>
        </w:rPr>
        <w:t>吉木萨尔县红十字会无下属预算单位，下设1个科室，分别是：办公室。</w:t>
      </w:r>
    </w:p>
    <w:p w14:paraId="444BCDAA">
      <w:r>
        <w:br w:type="page"/>
      </w:r>
    </w:p>
    <w:p w14:paraId="100A7D5F">
      <w:pPr>
        <w:spacing w:line="240" w:lineRule="auto"/>
        <w:jc w:val="center"/>
        <w:outlineLvl w:val="1"/>
      </w:pPr>
      <w:r>
        <w:rPr>
          <w:rFonts w:ascii="黑体" w:hAnsi="黑体" w:eastAsia="黑体"/>
          <w:sz w:val="32"/>
        </w:rPr>
        <w:t>第二部分 部门决算情况说明</w:t>
      </w:r>
    </w:p>
    <w:p w14:paraId="1DD5F4DF">
      <w:pPr>
        <w:spacing w:line="640" w:lineRule="exact"/>
        <w:ind w:firstLine="640"/>
        <w:jc w:val="both"/>
        <w:outlineLvl w:val="2"/>
      </w:pPr>
      <w:r>
        <w:rPr>
          <w:rFonts w:ascii="黑体" w:hAnsi="黑体" w:eastAsia="黑体"/>
          <w:sz w:val="32"/>
        </w:rPr>
        <w:t>一、收入支出决算总体情况说明</w:t>
      </w:r>
    </w:p>
    <w:p w14:paraId="14C22A0B">
      <w:pPr>
        <w:spacing w:line="580" w:lineRule="exact"/>
        <w:ind w:firstLine="640"/>
        <w:jc w:val="both"/>
      </w:pPr>
      <w:r>
        <w:rPr>
          <w:rFonts w:ascii="仿宋_GB2312" w:hAnsi="仿宋_GB2312" w:eastAsia="仿宋_GB2312"/>
          <w:b/>
          <w:sz w:val="32"/>
        </w:rPr>
        <w:t>2024年度收入总计99.17万元，</w:t>
      </w:r>
      <w:r>
        <w:rPr>
          <w:rFonts w:ascii="仿宋_GB2312" w:hAnsi="仿宋_GB2312" w:eastAsia="仿宋_GB2312"/>
          <w:b w:val="0"/>
          <w:sz w:val="32"/>
        </w:rPr>
        <w:t>其中：本年收入合计96.72万元，使用非财政拨款结余（含专用结余）0.00万元，年初结转和结余2.46万元。</w:t>
      </w:r>
    </w:p>
    <w:p w14:paraId="191EED9F">
      <w:pPr>
        <w:spacing w:line="580" w:lineRule="exact"/>
        <w:ind w:firstLine="640"/>
        <w:jc w:val="both"/>
      </w:pPr>
      <w:r>
        <w:rPr>
          <w:rFonts w:ascii="仿宋_GB2312" w:hAnsi="仿宋_GB2312" w:eastAsia="仿宋_GB2312"/>
          <w:b/>
          <w:sz w:val="32"/>
        </w:rPr>
        <w:t>2024年度支出总计99.17万元，</w:t>
      </w:r>
      <w:r>
        <w:rPr>
          <w:rFonts w:ascii="仿宋_GB2312" w:hAnsi="仿宋_GB2312" w:eastAsia="仿宋_GB2312"/>
          <w:b w:val="0"/>
          <w:sz w:val="32"/>
        </w:rPr>
        <w:t>其中：本年支出合计98.30万元，结余分配0.00万元，年末结转和结余0.87万元。</w:t>
      </w:r>
    </w:p>
    <w:p w14:paraId="68DB9536">
      <w:pPr>
        <w:spacing w:line="580" w:lineRule="exact"/>
        <w:ind w:firstLine="640"/>
        <w:jc w:val="both"/>
      </w:pPr>
      <w:r>
        <w:rPr>
          <w:rFonts w:ascii="仿宋_GB2312" w:hAnsi="仿宋_GB2312" w:eastAsia="仿宋_GB2312"/>
          <w:b w:val="0"/>
          <w:sz w:val="32"/>
        </w:rPr>
        <w:t>收入支出总体与上年相比，增加21.43万元，增长27.57%，主要原因是：本年增加伤残抚恤金；本年在职人员工资调增，导致相关人员经费较上年有所增加；新增购买电脑打印机经费。</w:t>
      </w:r>
    </w:p>
    <w:p w14:paraId="5B3D2FD0">
      <w:pPr>
        <w:spacing w:line="640" w:lineRule="exact"/>
        <w:ind w:firstLine="640"/>
        <w:jc w:val="both"/>
        <w:outlineLvl w:val="2"/>
      </w:pPr>
      <w:r>
        <w:rPr>
          <w:rFonts w:ascii="黑体" w:hAnsi="黑体" w:eastAsia="黑体"/>
          <w:sz w:val="32"/>
        </w:rPr>
        <w:t>二、收入决算情况说明</w:t>
      </w:r>
    </w:p>
    <w:p w14:paraId="09FC564E">
      <w:pPr>
        <w:spacing w:line="580" w:lineRule="exact"/>
        <w:ind w:firstLine="640"/>
        <w:jc w:val="both"/>
      </w:pPr>
      <w:r>
        <w:rPr>
          <w:rFonts w:ascii="仿宋_GB2312" w:hAnsi="仿宋_GB2312" w:eastAsia="仿宋_GB2312"/>
          <w:b/>
          <w:sz w:val="32"/>
        </w:rPr>
        <w:t>本年收入96.72万元，</w:t>
      </w:r>
      <w:r>
        <w:rPr>
          <w:rFonts w:ascii="仿宋_GB2312" w:hAnsi="仿宋_GB2312" w:eastAsia="仿宋_GB2312"/>
          <w:b w:val="0"/>
          <w:sz w:val="32"/>
        </w:rPr>
        <w:t>其中：财政拨款收入93.59万元，占96.76%；上级补助收入0.00万元，占0.00%；事业收入0.00万元，占0.00%；经营收入0.00万元，占0.00%；附属单位上缴收入0.00万元，占0.00%；其他收入3.12万元，占3.23%。</w:t>
      </w:r>
    </w:p>
    <w:p w14:paraId="0E82B17E">
      <w:pPr>
        <w:spacing w:line="640" w:lineRule="exact"/>
        <w:ind w:firstLine="640"/>
        <w:jc w:val="both"/>
        <w:outlineLvl w:val="2"/>
      </w:pPr>
      <w:r>
        <w:rPr>
          <w:rFonts w:ascii="黑体" w:hAnsi="黑体" w:eastAsia="黑体"/>
          <w:sz w:val="32"/>
        </w:rPr>
        <w:t>三、支出决算情况说明</w:t>
      </w:r>
    </w:p>
    <w:p w14:paraId="0D09F4BA">
      <w:pPr>
        <w:spacing w:line="580" w:lineRule="exact"/>
        <w:ind w:firstLine="640"/>
        <w:jc w:val="both"/>
      </w:pPr>
      <w:r>
        <w:rPr>
          <w:rFonts w:ascii="仿宋_GB2312" w:hAnsi="仿宋_GB2312" w:eastAsia="仿宋_GB2312"/>
          <w:b/>
          <w:sz w:val="32"/>
        </w:rPr>
        <w:t>本年支出98.30万元，</w:t>
      </w:r>
      <w:r>
        <w:rPr>
          <w:rFonts w:ascii="仿宋_GB2312" w:hAnsi="仿宋_GB2312" w:eastAsia="仿宋_GB2312"/>
          <w:b w:val="0"/>
          <w:sz w:val="32"/>
        </w:rPr>
        <w:t>其中：基本支出98.30万元，占100.00%；项目支出0.00万元，占0.00%；上缴上级支出0.00万元，占0.00%；经营支出0.00万元，占0.00%；对附属单位补助支出0.00万元，占0.00%。</w:t>
      </w:r>
    </w:p>
    <w:p w14:paraId="5BEBDC84">
      <w:pPr>
        <w:spacing w:line="640" w:lineRule="exact"/>
        <w:ind w:firstLine="640"/>
        <w:jc w:val="both"/>
        <w:outlineLvl w:val="2"/>
      </w:pPr>
      <w:r>
        <w:rPr>
          <w:rFonts w:ascii="黑体" w:hAnsi="黑体" w:eastAsia="黑体"/>
          <w:sz w:val="32"/>
        </w:rPr>
        <w:t>四、财政拨款收入支出决算总体情况说明</w:t>
      </w:r>
    </w:p>
    <w:p w14:paraId="181EC938">
      <w:pPr>
        <w:spacing w:line="580" w:lineRule="exact"/>
        <w:ind w:firstLine="640"/>
        <w:jc w:val="both"/>
      </w:pPr>
      <w:r>
        <w:rPr>
          <w:rFonts w:ascii="仿宋_GB2312" w:hAnsi="仿宋_GB2312" w:eastAsia="仿宋_GB2312"/>
          <w:b/>
          <w:sz w:val="32"/>
        </w:rPr>
        <w:t>2024年度财政拨款收入总计93.59万元，</w:t>
      </w:r>
      <w:r>
        <w:rPr>
          <w:rFonts w:ascii="仿宋_GB2312" w:hAnsi="仿宋_GB2312" w:eastAsia="仿宋_GB2312"/>
          <w:b w:val="0"/>
          <w:sz w:val="32"/>
        </w:rPr>
        <w:t>其中：年初财政拨款结转和结余0.00万元，本年财政拨款收入93.59万元。</w:t>
      </w:r>
      <w:r>
        <w:rPr>
          <w:rFonts w:ascii="仿宋_GB2312" w:hAnsi="仿宋_GB2312" w:eastAsia="仿宋_GB2312"/>
          <w:b/>
          <w:sz w:val="32"/>
        </w:rPr>
        <w:t>财政拨款支出总计93.59万元，</w:t>
      </w:r>
      <w:r>
        <w:rPr>
          <w:rFonts w:ascii="仿宋_GB2312" w:hAnsi="仿宋_GB2312" w:eastAsia="仿宋_GB2312"/>
          <w:b w:val="0"/>
          <w:sz w:val="32"/>
        </w:rPr>
        <w:t>其中：年末财政拨款结转和结余0.00万元，本年财政拨款支出93.59万元。</w:t>
      </w:r>
    </w:p>
    <w:p w14:paraId="0A74A01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增加20.86万元，增长28.68%，主要原因是：本年增加伤残抚恤金；本年在职人员工资调增，导致相关人员经费较上年有所增加；新增购买电脑打印机经费。</w:t>
      </w:r>
      <w:r>
        <w:rPr>
          <w:rFonts w:ascii="仿宋_GB2312" w:hAnsi="仿宋_GB2312" w:eastAsia="仿宋_GB2312"/>
          <w:b/>
          <w:sz w:val="32"/>
        </w:rPr>
        <w:t>与年初预算相比，</w:t>
      </w:r>
      <w:r>
        <w:rPr>
          <w:rFonts w:ascii="仿宋_GB2312" w:hAnsi="仿宋_GB2312" w:eastAsia="仿宋_GB2312"/>
          <w:b w:val="0"/>
          <w:sz w:val="32"/>
        </w:rPr>
        <w:t>年初预算数60.80万元，决算数93.59万元，预决算差异率53.93%，主要原因是：年中追加伤残抚恤金及人员工资、社保、公积金基数调增部分资金，导致预决算存在差异。</w:t>
      </w:r>
    </w:p>
    <w:p w14:paraId="1A875072">
      <w:pPr>
        <w:spacing w:line="640" w:lineRule="exact"/>
        <w:ind w:firstLine="640"/>
        <w:jc w:val="both"/>
        <w:outlineLvl w:val="2"/>
      </w:pPr>
      <w:r>
        <w:rPr>
          <w:rFonts w:ascii="黑体" w:hAnsi="黑体" w:eastAsia="黑体"/>
          <w:sz w:val="32"/>
        </w:rPr>
        <w:t>五、一般公共预算财政拨款支出决算情况说明</w:t>
      </w:r>
    </w:p>
    <w:p w14:paraId="3D20A4E8">
      <w:pPr>
        <w:spacing w:line="640" w:lineRule="exact"/>
        <w:ind w:firstLine="640"/>
        <w:jc w:val="both"/>
        <w:outlineLvl w:val="3"/>
      </w:pPr>
      <w:r>
        <w:rPr>
          <w:rFonts w:ascii="楷体_GB2312" w:hAnsi="楷体_GB2312" w:eastAsia="楷体_GB2312"/>
          <w:b/>
          <w:sz w:val="32"/>
        </w:rPr>
        <w:t>（一）一般公共预算财政拨款支出决算总体情况</w:t>
      </w:r>
    </w:p>
    <w:p w14:paraId="41AF1F51">
      <w:pPr>
        <w:spacing w:line="580" w:lineRule="exact"/>
        <w:ind w:firstLine="640"/>
        <w:jc w:val="both"/>
      </w:pPr>
      <w:r>
        <w:rPr>
          <w:rFonts w:ascii="仿宋_GB2312" w:hAnsi="仿宋_GB2312" w:eastAsia="仿宋_GB2312"/>
          <w:b/>
          <w:sz w:val="32"/>
        </w:rPr>
        <w:t>2024年度一般公共预算财政拨款支出93.59万元，</w:t>
      </w:r>
      <w:r>
        <w:rPr>
          <w:rFonts w:ascii="仿宋_GB2312" w:hAnsi="仿宋_GB2312" w:eastAsia="仿宋_GB2312"/>
          <w:b w:val="0"/>
          <w:sz w:val="32"/>
        </w:rPr>
        <w:t>占本年支出合计的95.21%。</w:t>
      </w:r>
      <w:r>
        <w:rPr>
          <w:rFonts w:ascii="仿宋_GB2312" w:hAnsi="仿宋_GB2312" w:eastAsia="仿宋_GB2312"/>
          <w:b/>
          <w:sz w:val="32"/>
        </w:rPr>
        <w:t>与上年相比，</w:t>
      </w:r>
      <w:r>
        <w:rPr>
          <w:rFonts w:ascii="仿宋_GB2312" w:hAnsi="仿宋_GB2312" w:eastAsia="仿宋_GB2312"/>
          <w:b w:val="0"/>
          <w:sz w:val="32"/>
        </w:rPr>
        <w:t>增加20.86万元，增长28.68%，主要原因是：本年增加伤残抚恤金；本年在职人员工资调增，导致相关人员经费较上年有所增加，新增购买电脑打印机经费。</w:t>
      </w:r>
      <w:r>
        <w:rPr>
          <w:rFonts w:ascii="仿宋_GB2312" w:hAnsi="仿宋_GB2312" w:eastAsia="仿宋_GB2312"/>
          <w:b/>
          <w:sz w:val="32"/>
        </w:rPr>
        <w:t>与年初预算相比,</w:t>
      </w:r>
      <w:r>
        <w:rPr>
          <w:rFonts w:ascii="仿宋_GB2312" w:hAnsi="仿宋_GB2312" w:eastAsia="仿宋_GB2312"/>
          <w:b w:val="0"/>
          <w:sz w:val="32"/>
        </w:rPr>
        <w:t>年初预算数60.80万元，决算数93.59万元，预决算差异率53.93%，主要原因是：年中追加伤残抚恤金及人员工资、社保、公积金基数调增部分资金，导致预决算存在差异。</w:t>
      </w:r>
    </w:p>
    <w:p w14:paraId="2C4941EE">
      <w:pPr>
        <w:spacing w:line="640" w:lineRule="exact"/>
        <w:ind w:firstLine="640"/>
        <w:jc w:val="both"/>
        <w:outlineLvl w:val="3"/>
      </w:pPr>
      <w:r>
        <w:rPr>
          <w:rFonts w:ascii="楷体_GB2312" w:hAnsi="楷体_GB2312" w:eastAsia="楷体_GB2312"/>
          <w:b/>
          <w:sz w:val="32"/>
        </w:rPr>
        <w:t>（二）一般公共预算财政拨款支出决算结构情况</w:t>
      </w:r>
    </w:p>
    <w:p w14:paraId="6BB39EA8">
      <w:pPr>
        <w:spacing w:line="580" w:lineRule="exact"/>
        <w:ind w:firstLine="640"/>
        <w:jc w:val="both"/>
      </w:pPr>
      <w:r>
        <w:rPr>
          <w:rFonts w:ascii="仿宋_GB2312" w:hAnsi="仿宋_GB2312" w:eastAsia="仿宋_GB2312"/>
          <w:b w:val="0"/>
          <w:sz w:val="32"/>
        </w:rPr>
        <w:t>1.科学技术支出(类)1.14万元,占1.22%。</w:t>
      </w:r>
    </w:p>
    <w:p w14:paraId="2C8367CC">
      <w:pPr>
        <w:spacing w:line="580" w:lineRule="exact"/>
        <w:ind w:firstLine="640"/>
        <w:jc w:val="both"/>
      </w:pPr>
      <w:r>
        <w:rPr>
          <w:rFonts w:ascii="仿宋_GB2312" w:hAnsi="仿宋_GB2312" w:eastAsia="仿宋_GB2312"/>
          <w:b w:val="0"/>
          <w:sz w:val="32"/>
        </w:rPr>
        <w:t>2.社会保障和就业支出(类)87.70万元,占93.71%。</w:t>
      </w:r>
    </w:p>
    <w:p w14:paraId="593D9469">
      <w:pPr>
        <w:spacing w:line="580" w:lineRule="exact"/>
        <w:ind w:firstLine="640"/>
        <w:jc w:val="both"/>
      </w:pPr>
      <w:r>
        <w:rPr>
          <w:rFonts w:ascii="仿宋_GB2312" w:hAnsi="仿宋_GB2312" w:eastAsia="仿宋_GB2312"/>
          <w:b w:val="0"/>
          <w:sz w:val="32"/>
        </w:rPr>
        <w:t>3.卫生健康支出(类)1.89万元,占2.02%。</w:t>
      </w:r>
    </w:p>
    <w:p w14:paraId="3279153E">
      <w:pPr>
        <w:spacing w:line="580" w:lineRule="exact"/>
        <w:ind w:firstLine="640"/>
        <w:jc w:val="both"/>
      </w:pPr>
      <w:r>
        <w:rPr>
          <w:rFonts w:ascii="仿宋_GB2312" w:hAnsi="仿宋_GB2312" w:eastAsia="仿宋_GB2312"/>
          <w:b w:val="0"/>
          <w:sz w:val="32"/>
        </w:rPr>
        <w:t>4.住房保障支出(类)2.86万元,占3.06%。</w:t>
      </w:r>
    </w:p>
    <w:p w14:paraId="7F944E34">
      <w:pPr>
        <w:spacing w:line="640" w:lineRule="exact"/>
        <w:ind w:firstLine="640"/>
        <w:jc w:val="both"/>
        <w:outlineLvl w:val="3"/>
      </w:pPr>
      <w:r>
        <w:rPr>
          <w:rFonts w:ascii="楷体_GB2312" w:hAnsi="楷体_GB2312" w:eastAsia="楷体_GB2312"/>
          <w:b/>
          <w:sz w:val="32"/>
        </w:rPr>
        <w:t>（三）一般公共预算财政拨款支出决算具体情况</w:t>
      </w:r>
    </w:p>
    <w:p w14:paraId="1CB757F8">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1.科学技术支出(类)科技条件与服务(款)其他科技条件与服务支出(项):支出决算数为1.14万元，比上年决算增加1.14万元，增长100.00%,主要原因是：本年新增购买电脑打印机经费。</w:t>
      </w:r>
    </w:p>
    <w:p w14:paraId="1A75D6D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2.社会保障和就业支出(类)行政事业单位养老支出(款)行政单位离退休(项):支出决算数为1.82万元，比上年决算增加1.29万元，增长243.40%,主要原因是：本年增加退休人员基础绩效奖，退休费支出增加。</w:t>
      </w:r>
    </w:p>
    <w:p w14:paraId="4D6324C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3.56万元，比上年决算增加0.27万元，增长8.21%,主要原因是：本年在职人员工资基数调增，养老缴费基数上涨，相应支出增加。</w:t>
      </w:r>
    </w:p>
    <w:p w14:paraId="1AF96E42">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4.社会保障和就业支出(类)行政事业单位养老支出(款)机关事业单位职业年金缴费支出(项):支出决算数为1.78万元，比上年决算增加0.14万元，增长8.54%,主要原因是：本年在职人员工资调增，职业年金缴费支出增加。</w:t>
      </w:r>
    </w:p>
    <w:p w14:paraId="1FCE473B">
      <w:pPr>
        <w:spacing w:line="580" w:lineRule="exact"/>
        <w:ind w:firstLine="640"/>
        <w:jc w:val="both"/>
      </w:pPr>
      <w:r>
        <w:rPr>
          <w:rFonts w:ascii="仿宋_GB2312" w:hAnsi="仿宋_GB2312" w:eastAsia="仿宋_GB2312"/>
          <w:b w:val="0"/>
          <w:sz w:val="32"/>
        </w:rPr>
        <w:t>5.社会保障和就业支出(类)红十字事业(款)行政运行(项):支出决算数为80.54万元，比上年决算增加19.14万元，增长31.17%,主要原因是：本年增加伤残抚恤金；本年在职人员工资调增，导致相关人员经费较上年有所增加。</w:t>
      </w:r>
    </w:p>
    <w:p w14:paraId="17547B3D">
      <w:pPr>
        <w:spacing w:line="580" w:lineRule="exact"/>
        <w:ind w:firstLine="640"/>
        <w:jc w:val="both"/>
      </w:pPr>
      <w:r>
        <w:rPr>
          <w:rFonts w:ascii="仿宋_GB2312" w:hAnsi="仿宋_GB2312" w:eastAsia="仿宋_GB2312"/>
          <w:b w:val="0"/>
          <w:sz w:val="32"/>
        </w:rPr>
        <w:t>6.卫生健康支出(类)行政事业单位医疗(款)行政单位医疗(项):支出决算数为1.78万元，比上年决算减少1.30万元，下降42.21%,主要原因是：因退休人员医疗保险制度改革，退休人员基本医疗不再由单位缴纳，导致经费较上年减少。</w:t>
      </w:r>
    </w:p>
    <w:p w14:paraId="08D304DF">
      <w:pPr>
        <w:spacing w:line="580" w:lineRule="exact"/>
        <w:ind w:firstLine="640"/>
        <w:jc w:val="both"/>
      </w:pPr>
      <w:r>
        <w:rPr>
          <w:rFonts w:ascii="仿宋_GB2312" w:hAnsi="仿宋_GB2312" w:eastAsia="仿宋_GB2312"/>
          <w:b w:val="0"/>
          <w:sz w:val="32"/>
        </w:rPr>
        <w:t>7.卫生健康支出(类)行政事业单位医疗(款)公务员医疗补助(项):支出决算数为0.11万元，比上年决算减少0.07万元，下降38.89%,主要原因是：因退休人员医疗保险制度改革，退休人员基本医疗不再由单位缴纳，导致经费较上年减少。</w:t>
      </w:r>
    </w:p>
    <w:p w14:paraId="73AFE7A6">
      <w:pPr>
        <w:spacing w:line="580" w:lineRule="exact"/>
        <w:ind w:firstLine="640"/>
        <w:jc w:val="both"/>
      </w:pPr>
      <w:r>
        <w:rPr>
          <w:rFonts w:ascii="仿宋_GB2312" w:hAnsi="仿宋_GB2312" w:eastAsia="仿宋_GB2312"/>
          <w:b w:val="0"/>
          <w:sz w:val="32"/>
        </w:rPr>
        <w:t>8.住房保障支出(类)住房改革支出(款)住房公积金(项):支出决算数为2.86万元，比上年决算增加0.25万元，增长9.58%,主要原因是：本年在职人员工资基数调增，公积金缴费基数上涨，相应支出增加。</w:t>
      </w:r>
    </w:p>
    <w:p w14:paraId="0AC83D3E">
      <w:pPr>
        <w:spacing w:line="640" w:lineRule="exact"/>
        <w:ind w:firstLine="640"/>
        <w:jc w:val="both"/>
        <w:outlineLvl w:val="2"/>
      </w:pPr>
      <w:r>
        <w:rPr>
          <w:rFonts w:ascii="黑体" w:hAnsi="黑体" w:eastAsia="黑体"/>
          <w:sz w:val="32"/>
        </w:rPr>
        <w:t>六、一般公共预算财政拨款基本支出决算情况说明</w:t>
      </w:r>
    </w:p>
    <w:p w14:paraId="7EBB816D">
      <w:pPr>
        <w:spacing w:line="580" w:lineRule="exact"/>
        <w:ind w:firstLine="640"/>
        <w:jc w:val="both"/>
      </w:pPr>
      <w:r>
        <w:rPr>
          <w:rFonts w:ascii="仿宋_GB2312" w:hAnsi="仿宋_GB2312" w:eastAsia="仿宋_GB2312"/>
          <w:b w:val="0"/>
          <w:sz w:val="32"/>
        </w:rPr>
        <w:t>2024年度一般公共预算财政拨款基本支出93.59万元，其中：</w:t>
      </w:r>
      <w:r>
        <w:rPr>
          <w:rFonts w:ascii="仿宋_GB2312" w:hAnsi="仿宋_GB2312" w:eastAsia="仿宋_GB2312"/>
          <w:b/>
          <w:sz w:val="32"/>
        </w:rPr>
        <w:t>人员经费77.07万元，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195731D6">
      <w:pPr>
        <w:spacing w:line="580" w:lineRule="exact"/>
        <w:ind w:firstLine="640"/>
        <w:jc w:val="both"/>
      </w:pPr>
      <w:r>
        <w:rPr>
          <w:rFonts w:ascii="仿宋_GB2312" w:hAnsi="仿宋_GB2312" w:eastAsia="仿宋_GB2312"/>
          <w:b/>
          <w:sz w:val="32"/>
        </w:rPr>
        <w:t>公用经费16.52万元，</w:t>
      </w:r>
      <w:r>
        <w:rPr>
          <w:rFonts w:ascii="仿宋_GB2312" w:hAnsi="仿宋_GB2312" w:eastAsia="仿宋_GB2312"/>
          <w:b w:val="0"/>
          <w:sz w:val="32"/>
        </w:rPr>
        <w:t>包括：办公费、印刷费、电费、邮电费、委托业务费、工会经费、其他交通费用、其他商品和服务支出。</w:t>
      </w:r>
    </w:p>
    <w:p w14:paraId="0D8A45FD">
      <w:pPr>
        <w:spacing w:line="640" w:lineRule="exact"/>
        <w:ind w:firstLine="640"/>
        <w:jc w:val="both"/>
        <w:outlineLvl w:val="2"/>
      </w:pPr>
      <w:r>
        <w:rPr>
          <w:rFonts w:ascii="黑体" w:hAnsi="黑体" w:eastAsia="黑体"/>
          <w:sz w:val="32"/>
        </w:rPr>
        <w:t>七、政府性基金预算财政拨款收入支出决算情况说明</w:t>
      </w:r>
    </w:p>
    <w:p w14:paraId="3C67D2D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3C9103D">
      <w:pPr>
        <w:spacing w:line="640" w:lineRule="exact"/>
        <w:ind w:firstLine="640"/>
        <w:jc w:val="both"/>
        <w:outlineLvl w:val="2"/>
      </w:pPr>
      <w:r>
        <w:rPr>
          <w:rFonts w:ascii="黑体" w:hAnsi="黑体" w:eastAsia="黑体"/>
          <w:sz w:val="32"/>
        </w:rPr>
        <w:t>八、国有资本经营预算财政拨款收入支出决算情况说明</w:t>
      </w:r>
    </w:p>
    <w:p w14:paraId="1E41D5D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415ACC">
      <w:pPr>
        <w:spacing w:line="640" w:lineRule="exact"/>
        <w:ind w:firstLine="640"/>
        <w:jc w:val="both"/>
        <w:outlineLvl w:val="2"/>
      </w:pPr>
      <w:r>
        <w:rPr>
          <w:rFonts w:ascii="黑体" w:hAnsi="黑体" w:eastAsia="黑体"/>
          <w:sz w:val="32"/>
        </w:rPr>
        <w:t>九、财政拨款“三公”经费支出决算情况说明</w:t>
      </w:r>
    </w:p>
    <w:p w14:paraId="47D2050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E9A6AC">
      <w:pPr>
        <w:spacing w:line="580" w:lineRule="exact"/>
        <w:ind w:firstLine="640"/>
        <w:jc w:val="both"/>
      </w:pPr>
      <w:r>
        <w:rPr>
          <w:rFonts w:ascii="仿宋_GB2312" w:hAnsi="仿宋_GB2312" w:eastAsia="仿宋_GB2312"/>
          <w:b/>
          <w:sz w:val="32"/>
        </w:rPr>
        <w:t>具体情况如下：</w:t>
      </w:r>
    </w:p>
    <w:p w14:paraId="5361338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6C9C6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851D6F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16142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C14C9CF">
      <w:pPr>
        <w:spacing w:line="640" w:lineRule="exact"/>
        <w:ind w:firstLine="640"/>
        <w:jc w:val="both"/>
        <w:outlineLvl w:val="2"/>
      </w:pPr>
      <w:r>
        <w:rPr>
          <w:rFonts w:ascii="黑体" w:hAnsi="黑体" w:eastAsia="黑体"/>
          <w:sz w:val="32"/>
        </w:rPr>
        <w:t>十、其他重要事项的情况说明</w:t>
      </w:r>
    </w:p>
    <w:p w14:paraId="51E04DDB">
      <w:pPr>
        <w:spacing w:line="640" w:lineRule="exact"/>
        <w:ind w:firstLine="640"/>
        <w:jc w:val="both"/>
        <w:outlineLvl w:val="3"/>
      </w:pPr>
      <w:r>
        <w:rPr>
          <w:rFonts w:ascii="楷体_GB2312" w:hAnsi="楷体_GB2312" w:eastAsia="楷体_GB2312"/>
          <w:b/>
          <w:sz w:val="32"/>
        </w:rPr>
        <w:t>（一）机关运行经费及公用经费支出情况</w:t>
      </w:r>
    </w:p>
    <w:p w14:paraId="2F7DD3EF">
      <w:pPr>
        <w:spacing w:line="580" w:lineRule="exact"/>
        <w:ind w:firstLine="640"/>
        <w:jc w:val="both"/>
      </w:pPr>
      <w:r>
        <w:rPr>
          <w:rFonts w:ascii="仿宋_GB2312" w:hAnsi="仿宋_GB2312" w:eastAsia="仿宋_GB2312"/>
          <w:b w:val="0"/>
          <w:sz w:val="32"/>
        </w:rPr>
        <w:t>2024年度吉木萨尔县红十字会（行政单位和参照公务员法管理事业单位）机关运行经费支出16.52万元，比上年增加8.67万元，增长110.45%，主要原因是：本年增加购买电脑打印机经费，导致公用经费增加。</w:t>
      </w:r>
    </w:p>
    <w:p w14:paraId="36A15030">
      <w:pPr>
        <w:spacing w:line="640" w:lineRule="exact"/>
        <w:ind w:firstLine="640"/>
        <w:jc w:val="both"/>
        <w:outlineLvl w:val="3"/>
      </w:pPr>
      <w:r>
        <w:rPr>
          <w:rFonts w:ascii="楷体_GB2312" w:hAnsi="楷体_GB2312" w:eastAsia="楷体_GB2312"/>
          <w:b/>
          <w:sz w:val="32"/>
        </w:rPr>
        <w:t>（二）政府采购情况</w:t>
      </w:r>
    </w:p>
    <w:p w14:paraId="194D33EB">
      <w:pPr>
        <w:spacing w:line="580" w:lineRule="exact"/>
        <w:ind w:firstLine="640"/>
        <w:jc w:val="both"/>
      </w:pPr>
      <w:r>
        <w:rPr>
          <w:rFonts w:ascii="仿宋_GB2312" w:hAnsi="仿宋_GB2312" w:eastAsia="仿宋_GB2312"/>
          <w:b w:val="0"/>
          <w:sz w:val="32"/>
        </w:rPr>
        <w:t>2024年度政府采购支出总额1.78万元，其中：政府采购货物支出1.41万元、政府采购工程支出0.00万元、政府采购服务支出0.37万元。</w:t>
      </w:r>
    </w:p>
    <w:p w14:paraId="0EAE2D73">
      <w:pPr>
        <w:spacing w:line="580" w:lineRule="exact"/>
        <w:ind w:firstLine="640"/>
        <w:jc w:val="both"/>
      </w:pPr>
      <w:r>
        <w:rPr>
          <w:rFonts w:ascii="仿宋_GB2312" w:hAnsi="仿宋_GB2312" w:eastAsia="仿宋_GB2312"/>
          <w:b w:val="0"/>
          <w:sz w:val="32"/>
        </w:rPr>
        <w:t>授予中小企业合同金额1.78万元，占政府采购支出总额的100.00%，其中：授予小微企业合同金额0.65万元，占政府采购支出总额的36.52%。</w:t>
      </w:r>
    </w:p>
    <w:p w14:paraId="77C1CD02">
      <w:pPr>
        <w:spacing w:line="640" w:lineRule="exact"/>
        <w:ind w:firstLine="640"/>
        <w:jc w:val="both"/>
        <w:outlineLvl w:val="3"/>
      </w:pPr>
      <w:r>
        <w:rPr>
          <w:rFonts w:ascii="楷体_GB2312" w:hAnsi="楷体_GB2312" w:eastAsia="楷体_GB2312"/>
          <w:b/>
          <w:sz w:val="32"/>
        </w:rPr>
        <w:t>（三）国有资产占用情况说明</w:t>
      </w:r>
    </w:p>
    <w:p w14:paraId="4412D12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3F55356">
      <w:pPr>
        <w:spacing w:line="640" w:lineRule="exact"/>
        <w:ind w:firstLine="640"/>
        <w:jc w:val="both"/>
        <w:outlineLvl w:val="2"/>
      </w:pPr>
      <w:r>
        <w:rPr>
          <w:rFonts w:ascii="黑体" w:hAnsi="黑体" w:eastAsia="黑体"/>
          <w:sz w:val="32"/>
        </w:rPr>
        <w:t>十一、预算绩效的情况说明</w:t>
      </w:r>
    </w:p>
    <w:p w14:paraId="6C67B07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99.20万元，实际执行总额98.30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2024年无预算项目绩效。发现的问题及原因：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2024年无预算项目绩效。下一步改进措施：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2024年无预算项目绩效。具体附整体支出绩效自评表。</w:t>
      </w:r>
    </w:p>
    <w:p w14:paraId="697E56C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F1473A">
        <w:tblPrEx>
          <w:tblCellMar>
            <w:top w:w="0" w:type="dxa"/>
            <w:left w:w="108" w:type="dxa"/>
            <w:bottom w:w="0" w:type="dxa"/>
            <w:right w:w="108" w:type="dxa"/>
          </w:tblCellMar>
        </w:tblPrEx>
        <w:tc>
          <w:tcPr>
            <w:tcW w:w="8847" w:type="dxa"/>
            <w:gridSpan w:val="9"/>
            <w:vAlign w:val="center"/>
          </w:tcPr>
          <w:p w14:paraId="600A7959">
            <w:pPr>
              <w:jc w:val="center"/>
            </w:pPr>
            <w:r>
              <w:rPr>
                <w:rFonts w:ascii="宋体" w:hAnsi="宋体" w:eastAsia="宋体"/>
                <w:sz w:val="24"/>
              </w:rPr>
              <w:t>单位整体支出绩效自评表</w:t>
            </w:r>
          </w:p>
        </w:tc>
      </w:tr>
      <w:tr w14:paraId="12EC9213">
        <w:tblPrEx>
          <w:tblCellMar>
            <w:top w:w="0" w:type="dxa"/>
            <w:left w:w="108" w:type="dxa"/>
            <w:bottom w:w="0" w:type="dxa"/>
            <w:right w:w="108" w:type="dxa"/>
          </w:tblCellMar>
        </w:tblPrEx>
        <w:tc>
          <w:tcPr>
            <w:tcW w:w="8847" w:type="dxa"/>
            <w:gridSpan w:val="9"/>
            <w:vAlign w:val="center"/>
          </w:tcPr>
          <w:p w14:paraId="20129C90">
            <w:pPr>
              <w:jc w:val="center"/>
            </w:pPr>
            <w:r>
              <w:rPr>
                <w:rFonts w:ascii="宋体" w:hAnsi="宋体" w:eastAsia="宋体"/>
                <w:sz w:val="24"/>
              </w:rPr>
              <w:t>（2024年度）</w:t>
            </w:r>
          </w:p>
        </w:tc>
      </w:tr>
      <w:tr w14:paraId="7424E6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707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278D3D">
            <w:pPr>
              <w:jc w:val="center"/>
            </w:pPr>
            <w:r>
              <w:rPr>
                <w:rFonts w:ascii="宋体" w:hAnsi="宋体" w:eastAsia="宋体"/>
                <w:sz w:val="16"/>
              </w:rPr>
              <w:t>吉木萨尔县红十字会</w:t>
            </w:r>
          </w:p>
        </w:tc>
      </w:tr>
      <w:tr w14:paraId="460B7D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22832">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7D1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20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4EF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F69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5152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60F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B384">
            <w:pPr>
              <w:jc w:val="center"/>
            </w:pPr>
            <w:r>
              <w:rPr>
                <w:rFonts w:ascii="宋体" w:hAnsi="宋体" w:eastAsia="宋体"/>
                <w:sz w:val="16"/>
              </w:rPr>
              <w:t>得分</w:t>
            </w:r>
          </w:p>
        </w:tc>
      </w:tr>
      <w:tr w14:paraId="4B387C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E7E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82E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FEC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8DE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D3F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7A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23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32A9">
            <w:pPr>
              <w:jc w:val="center"/>
            </w:pPr>
            <w:r>
              <w:rPr>
                <w:rFonts w:ascii="宋体" w:hAnsi="宋体" w:eastAsia="宋体"/>
                <w:sz w:val="16"/>
              </w:rPr>
              <w:t>-</w:t>
            </w:r>
          </w:p>
        </w:tc>
      </w:tr>
      <w:tr w14:paraId="05813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241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2776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3B30">
            <w:pPr>
              <w:jc w:val="center"/>
            </w:pPr>
            <w:r>
              <w:rPr>
                <w:rFonts w:ascii="宋体" w:hAnsi="宋体" w:eastAsia="宋体"/>
                <w:sz w:val="16"/>
              </w:rPr>
              <w:t>60.80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7806">
            <w:pPr>
              <w:jc w:val="center"/>
            </w:pPr>
            <w:r>
              <w:rPr>
                <w:rFonts w:ascii="宋体" w:hAnsi="宋体" w:eastAsia="宋体"/>
                <w:sz w:val="16"/>
              </w:rPr>
              <w:t>93.59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CD696">
            <w:pPr>
              <w:jc w:val="center"/>
            </w:pPr>
            <w:r>
              <w:rPr>
                <w:rFonts w:ascii="宋体" w:hAnsi="宋体" w:eastAsia="宋体"/>
                <w:sz w:val="16"/>
              </w:rPr>
              <w:t>93.59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C17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CBC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8BA26">
            <w:pPr>
              <w:jc w:val="center"/>
            </w:pPr>
            <w:r>
              <w:rPr>
                <w:rFonts w:ascii="宋体" w:hAnsi="宋体" w:eastAsia="宋体"/>
                <w:sz w:val="16"/>
              </w:rPr>
              <w:t>-</w:t>
            </w:r>
          </w:p>
        </w:tc>
      </w:tr>
      <w:tr w14:paraId="6AB01F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047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F0F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D9118">
            <w:pPr>
              <w:jc w:val="center"/>
            </w:pPr>
            <w:r>
              <w:rPr>
                <w:rFonts w:ascii="宋体" w:hAnsi="宋体" w:eastAsia="宋体"/>
                <w:sz w:val="16"/>
              </w:rPr>
              <w:t>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6CF0D">
            <w:pPr>
              <w:jc w:val="center"/>
            </w:pPr>
            <w:r>
              <w:rPr>
                <w:rFonts w:ascii="宋体" w:hAnsi="宋体" w:eastAsia="宋体"/>
                <w:sz w:val="16"/>
              </w:rPr>
              <w:t>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1CE3">
            <w:pPr>
              <w:jc w:val="center"/>
            </w:pPr>
            <w:r>
              <w:rPr>
                <w:rFonts w:ascii="宋体" w:hAnsi="宋体" w:eastAsia="宋体"/>
                <w:sz w:val="16"/>
              </w:rPr>
              <w:t>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92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9E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AA96">
            <w:pPr>
              <w:jc w:val="center"/>
            </w:pPr>
            <w:r>
              <w:rPr>
                <w:rFonts w:ascii="宋体" w:hAnsi="宋体" w:eastAsia="宋体"/>
                <w:sz w:val="16"/>
              </w:rPr>
              <w:t>-</w:t>
            </w:r>
          </w:p>
        </w:tc>
      </w:tr>
      <w:tr w14:paraId="01A33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D0C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49C6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7DEA0">
            <w:pPr>
              <w:jc w:val="center"/>
            </w:pPr>
            <w:r>
              <w:rPr>
                <w:rFonts w:ascii="宋体" w:hAnsi="宋体" w:eastAsia="宋体"/>
                <w:sz w:val="16"/>
              </w:rPr>
              <w:t>65.11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2970">
            <w:pPr>
              <w:jc w:val="center"/>
            </w:pPr>
            <w:r>
              <w:rPr>
                <w:rFonts w:ascii="宋体" w:hAnsi="宋体" w:eastAsia="宋体"/>
                <w:sz w:val="16"/>
              </w:rPr>
              <w:t>99.20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388E2">
            <w:pPr>
              <w:jc w:val="center"/>
            </w:pPr>
            <w:r>
              <w:rPr>
                <w:rFonts w:ascii="宋体" w:hAnsi="宋体" w:eastAsia="宋体"/>
                <w:sz w:val="16"/>
              </w:rPr>
              <w:t>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63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078D">
            <w:pPr>
              <w:jc w:val="center"/>
            </w:pPr>
            <w:r>
              <w:rPr>
                <w:rFonts w:ascii="宋体" w:hAnsi="宋体" w:eastAsia="宋体"/>
                <w:sz w:val="16"/>
              </w:rPr>
              <w:t>99.09%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AE582">
            <w:pPr>
              <w:jc w:val="center"/>
            </w:pPr>
            <w:r>
              <w:rPr>
                <w:rFonts w:ascii="宋体" w:hAnsi="宋体" w:eastAsia="宋体"/>
                <w:sz w:val="16"/>
              </w:rPr>
              <w:t>10</w:t>
            </w:r>
          </w:p>
        </w:tc>
      </w:tr>
      <w:tr w14:paraId="7FEF6D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850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E478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71B18">
            <w:pPr>
              <w:jc w:val="center"/>
            </w:pPr>
            <w:r>
              <w:rPr>
                <w:rFonts w:ascii="宋体" w:hAnsi="宋体" w:eastAsia="宋体"/>
                <w:sz w:val="16"/>
              </w:rPr>
              <w:t>实际完成情况</w:t>
            </w:r>
          </w:p>
        </w:tc>
      </w:tr>
      <w:tr w14:paraId="2D79F6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79B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D7F7C3">
            <w:pPr>
              <w:jc w:val="both"/>
            </w:pPr>
            <w:r>
              <w:rPr>
                <w:rFonts w:ascii="宋体" w:hAnsi="宋体" w:eastAsia="宋体"/>
                <w:sz w:val="16"/>
              </w:rPr>
              <w:t>（一）宣传、贯彻、落实《中华人民共和国红十字会法</w:t>
            </w:r>
            <w:r>
              <w:rPr>
                <w:rFonts w:hint="eastAsia" w:ascii="宋体" w:hAnsi="宋体"/>
                <w:sz w:val="16"/>
                <w:lang w:eastAsia="zh-CN"/>
              </w:rPr>
              <w:t>》《</w:t>
            </w:r>
            <w:r>
              <w:rPr>
                <w:rFonts w:ascii="宋体" w:hAnsi="宋体" w:eastAsia="宋体"/>
                <w:sz w:val="16"/>
              </w:rPr>
              <w:t>中国红十字会章程</w:t>
            </w:r>
            <w:r>
              <w:rPr>
                <w:rFonts w:hint="eastAsia" w:ascii="宋体" w:hAnsi="宋体"/>
                <w:sz w:val="16"/>
                <w:lang w:eastAsia="zh-CN"/>
              </w:rPr>
              <w:t>》《</w:t>
            </w:r>
            <w:r>
              <w:rPr>
                <w:rFonts w:ascii="宋体" w:hAnsi="宋体" w:eastAsia="宋体"/>
                <w:sz w:val="16"/>
              </w:rPr>
              <w:t>中华人民共和国红十字标志使用办法</w:t>
            </w:r>
            <w:r>
              <w:rPr>
                <w:rFonts w:hint="eastAsia" w:ascii="宋体" w:hAnsi="宋体"/>
                <w:sz w:val="16"/>
                <w:lang w:eastAsia="zh-CN"/>
              </w:rPr>
              <w:t>》《</w:t>
            </w:r>
            <w:r>
              <w:rPr>
                <w:rFonts w:ascii="宋体" w:hAnsi="宋体" w:eastAsia="宋体"/>
                <w:sz w:val="16"/>
              </w:rPr>
              <w:t>新疆维吾尔自治区实施＜中华人民共和国红十字会法＞办法》和《中华人民共和国献血法》。（二）依照《</w:t>
            </w:r>
            <w:r>
              <w:rPr>
                <w:rFonts w:hint="eastAsia" w:ascii="宋体" w:hAnsi="宋体"/>
                <w:sz w:val="16"/>
                <w:lang w:eastAsia="zh-CN"/>
              </w:rPr>
              <w:t>中华人民共和国红十字会法</w:t>
            </w:r>
            <w:r>
              <w:rPr>
                <w:rFonts w:ascii="宋体" w:hAnsi="宋体" w:eastAsia="宋体"/>
                <w:sz w:val="16"/>
              </w:rPr>
              <w:t>》规定，为开展救助工作进行募捐活动，做好救灾的准备工作；在自然灾害和突发事件中，对伤病人员和其他受害者进行救助，参加国内外的人道主义救助工作。（三）开展人道领域内的社会救助、社区服务和社会公益活动；组织群众性初级救护培训和现场急救培训工作。等。本年度绩效目标为一.保障单位在职人员和退休人员、编外人员的工资、奖金、绩效、社会保险缴费、住房公积金正常发放和缴纳。二.确保</w:t>
            </w:r>
            <w:r>
              <w:rPr>
                <w:rFonts w:hint="eastAsia" w:ascii="宋体" w:hAnsi="宋体"/>
                <w:sz w:val="16"/>
                <w:lang w:eastAsia="zh-CN"/>
              </w:rPr>
              <w:t>本单位</w:t>
            </w:r>
            <w:r>
              <w:rPr>
                <w:rFonts w:ascii="宋体" w:hAnsi="宋体" w:eastAsia="宋体"/>
                <w:sz w:val="16"/>
              </w:rPr>
              <w:t>日常工作运行，其中包含办公费、邮电费、差旅费、工会经费、劳务费等。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E210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全年预算数为93.59万元，全年执行数为93.59万元，主要完成任务内容如下：1.实际完成保障单位2名在职人员和2名退休人员、2名编外人员的工资、奖金、绩效、社会保险缴费、住房公积金正常发放和缴纳</w:t>
            </w:r>
            <w:r>
              <w:rPr>
                <w:rFonts w:hint="eastAsia" w:ascii="宋体" w:hAnsi="宋体"/>
                <w:sz w:val="16"/>
                <w:lang w:eastAsia="zh-CN"/>
              </w:rPr>
              <w:t>。</w:t>
            </w:r>
            <w:r>
              <w:rPr>
                <w:rFonts w:ascii="宋体" w:hAnsi="宋体" w:eastAsia="宋体"/>
                <w:sz w:val="16"/>
              </w:rPr>
              <w:t>2.实际完成确保</w:t>
            </w:r>
            <w:r>
              <w:rPr>
                <w:rFonts w:hint="eastAsia" w:ascii="宋体" w:hAnsi="宋体"/>
                <w:sz w:val="16"/>
                <w:lang w:eastAsia="zh-CN"/>
              </w:rPr>
              <w:t>本单位</w:t>
            </w:r>
            <w:r>
              <w:rPr>
                <w:rFonts w:ascii="宋体" w:hAnsi="宋体" w:eastAsia="宋体"/>
                <w:sz w:val="16"/>
              </w:rPr>
              <w:t>日常工作运行，其中包含办公费、邮电费、差旅费、工会经费、劳务费等。</w:t>
            </w:r>
          </w:p>
        </w:tc>
      </w:tr>
      <w:tr w14:paraId="03950E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947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519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0FF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9458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DC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FE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9A8B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67467">
            <w:pPr>
              <w:jc w:val="center"/>
            </w:pPr>
            <w:r>
              <w:rPr>
                <w:rFonts w:ascii="宋体" w:hAnsi="宋体" w:eastAsia="宋体"/>
                <w:sz w:val="16"/>
              </w:rPr>
              <w:t>得分</w:t>
            </w:r>
          </w:p>
        </w:tc>
      </w:tr>
      <w:tr w14:paraId="033130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E2DE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C21E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D167">
            <w:pPr>
              <w:jc w:val="center"/>
            </w:pPr>
            <w:r>
              <w:rPr>
                <w:rFonts w:ascii="宋体" w:hAnsi="宋体" w:eastAsia="宋体"/>
                <w:sz w:val="16"/>
              </w:rPr>
              <w:t>组建红十字会志愿者服务队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F8E2">
            <w:pPr>
              <w:jc w:val="center"/>
            </w:pPr>
            <w:r>
              <w:rPr>
                <w:rFonts w:ascii="宋体" w:hAnsi="宋体" w:eastAsia="宋体"/>
                <w:sz w:val="16"/>
              </w:rPr>
              <w:t>&gt;=22支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51D1">
            <w:pPr>
              <w:jc w:val="center"/>
            </w:pPr>
            <w:r>
              <w:rPr>
                <w:rFonts w:ascii="宋体" w:hAnsi="宋体" w:eastAsia="宋体"/>
                <w:sz w:val="16"/>
              </w:rPr>
              <w:t>红十字会2023年工作总结及</w:t>
            </w:r>
            <w:r>
              <w:rPr>
                <w:rFonts w:hint="eastAsia" w:ascii="宋体" w:hAnsi="宋体"/>
                <w:sz w:val="16"/>
                <w:lang w:eastAsia="zh-CN"/>
              </w:rPr>
              <w:t>2024年工作计划</w:t>
            </w:r>
            <w:r>
              <w:rPr>
                <w:rFonts w:ascii="宋体" w:hAnsi="宋体" w:eastAsia="宋体"/>
                <w:sz w:val="16"/>
              </w:rPr>
              <w:t>及2024年工作总结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D1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71F0">
            <w:pPr>
              <w:jc w:val="center"/>
            </w:pPr>
            <w:r>
              <w:rPr>
                <w:rFonts w:ascii="宋体" w:hAnsi="宋体" w:eastAsia="宋体"/>
                <w:sz w:val="16"/>
              </w:rPr>
              <w:t>=22支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CE7A3">
            <w:pPr>
              <w:jc w:val="center"/>
            </w:pPr>
            <w:r>
              <w:rPr>
                <w:rFonts w:ascii="宋体" w:hAnsi="宋体" w:eastAsia="宋体"/>
                <w:sz w:val="16"/>
              </w:rPr>
              <w:t>20</w:t>
            </w:r>
          </w:p>
        </w:tc>
      </w:tr>
      <w:tr w14:paraId="427E3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A91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482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B564">
            <w:pPr>
              <w:jc w:val="center"/>
            </w:pPr>
            <w:r>
              <w:rPr>
                <w:rFonts w:ascii="宋体" w:hAnsi="宋体" w:eastAsia="宋体"/>
                <w:sz w:val="16"/>
              </w:rPr>
              <w:t>应急救护知识培训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ABFB">
            <w:pPr>
              <w:jc w:val="center"/>
            </w:pPr>
            <w:r>
              <w:rPr>
                <w:rFonts w:ascii="宋体" w:hAnsi="宋体" w:eastAsia="宋体"/>
                <w:sz w:val="16"/>
              </w:rPr>
              <w:t>&gt;=6场次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132BE">
            <w:pPr>
              <w:jc w:val="center"/>
            </w:pPr>
            <w:r>
              <w:rPr>
                <w:rFonts w:ascii="宋体" w:hAnsi="宋体" w:eastAsia="宋体"/>
                <w:sz w:val="16"/>
              </w:rPr>
              <w:t>红十字会2023年工作总结及</w:t>
            </w:r>
            <w:r>
              <w:rPr>
                <w:rFonts w:hint="eastAsia" w:ascii="宋体" w:hAnsi="宋体"/>
                <w:sz w:val="16"/>
                <w:lang w:eastAsia="zh-CN"/>
              </w:rPr>
              <w:t>2024年工作计划</w:t>
            </w:r>
            <w:r>
              <w:rPr>
                <w:rFonts w:ascii="宋体" w:hAnsi="宋体" w:eastAsia="宋体"/>
                <w:sz w:val="16"/>
              </w:rPr>
              <w:t>及2024年工作总结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EF6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7FE8">
            <w:pPr>
              <w:jc w:val="center"/>
            </w:pPr>
            <w:r>
              <w:rPr>
                <w:rFonts w:ascii="宋体" w:hAnsi="宋体" w:eastAsia="宋体"/>
                <w:sz w:val="16"/>
              </w:rPr>
              <w: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4639">
            <w:pPr>
              <w:jc w:val="center"/>
            </w:pPr>
            <w:r>
              <w:rPr>
                <w:rFonts w:ascii="宋体" w:hAnsi="宋体" w:eastAsia="宋体"/>
                <w:sz w:val="16"/>
              </w:rPr>
              <w:t>15</w:t>
            </w:r>
          </w:p>
        </w:tc>
      </w:tr>
      <w:tr w14:paraId="4D7563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60A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F7E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335C">
            <w:pPr>
              <w:jc w:val="center"/>
            </w:pPr>
            <w:r>
              <w:rPr>
                <w:rFonts w:ascii="宋体" w:hAnsi="宋体" w:eastAsia="宋体"/>
                <w:sz w:val="16"/>
              </w:rPr>
              <w:t>发展新会员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139A9">
            <w:pPr>
              <w:jc w:val="center"/>
            </w:pPr>
            <w:r>
              <w:rPr>
                <w:rFonts w:ascii="宋体" w:hAnsi="宋体" w:eastAsia="宋体"/>
                <w:sz w:val="16"/>
              </w:rPr>
              <w:t>&gt;=3342名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CB6A">
            <w:pPr>
              <w:jc w:val="center"/>
            </w:pPr>
            <w:r>
              <w:rPr>
                <w:rFonts w:ascii="宋体" w:hAnsi="宋体" w:eastAsia="宋体"/>
                <w:sz w:val="16"/>
              </w:rPr>
              <w:t>红十字会2023年工作总结及</w:t>
            </w:r>
            <w:r>
              <w:rPr>
                <w:rFonts w:hint="eastAsia" w:ascii="宋体" w:hAnsi="宋体"/>
                <w:sz w:val="16"/>
                <w:lang w:eastAsia="zh-CN"/>
              </w:rPr>
              <w:t>2024年工作计划</w:t>
            </w:r>
            <w:r>
              <w:rPr>
                <w:rFonts w:ascii="宋体" w:hAnsi="宋体" w:eastAsia="宋体"/>
                <w:sz w:val="16"/>
              </w:rPr>
              <w:t>及2024年工作总结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11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9DF73">
            <w:pPr>
              <w:jc w:val="center"/>
            </w:pPr>
            <w:r>
              <w:rPr>
                <w:rFonts w:ascii="宋体" w:hAnsi="宋体" w:eastAsia="宋体"/>
                <w:sz w:val="16"/>
              </w:rPr>
              <w:t>=3342名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F748">
            <w:pPr>
              <w:jc w:val="center"/>
            </w:pPr>
            <w:r>
              <w:rPr>
                <w:rFonts w:ascii="宋体" w:hAnsi="宋体" w:eastAsia="宋体"/>
                <w:sz w:val="16"/>
              </w:rPr>
              <w:t>15</w:t>
            </w:r>
          </w:p>
        </w:tc>
      </w:tr>
      <w:tr w14:paraId="2D406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890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96D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B15F">
            <w:pPr>
              <w:jc w:val="center"/>
            </w:pPr>
            <w:r>
              <w:rPr>
                <w:rFonts w:ascii="宋体" w:hAnsi="宋体" w:eastAsia="宋体"/>
                <w:sz w:val="16"/>
              </w:rPr>
              <w:t>应急救护培训人次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F16A">
            <w:pPr>
              <w:jc w:val="center"/>
            </w:pPr>
            <w:r>
              <w:rPr>
                <w:rFonts w:ascii="宋体" w:hAnsi="宋体" w:eastAsia="宋体"/>
                <w:sz w:val="16"/>
              </w:rPr>
              <w:t>&gt;=3700人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09ECC">
            <w:pPr>
              <w:jc w:val="center"/>
            </w:pPr>
            <w:r>
              <w:rPr>
                <w:rFonts w:ascii="宋体" w:hAnsi="宋体" w:eastAsia="宋体"/>
                <w:sz w:val="16"/>
              </w:rPr>
              <w:t>红十字会2023年工作总结及</w:t>
            </w:r>
            <w:r>
              <w:rPr>
                <w:rFonts w:hint="eastAsia" w:ascii="宋体" w:hAnsi="宋体"/>
                <w:sz w:val="16"/>
                <w:lang w:eastAsia="zh-CN"/>
              </w:rPr>
              <w:t>2024年工作计划</w:t>
            </w:r>
            <w:r>
              <w:rPr>
                <w:rFonts w:ascii="宋体" w:hAnsi="宋体" w:eastAsia="宋体"/>
                <w:sz w:val="16"/>
              </w:rPr>
              <w:t>及2024年工作总结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95F9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9DCE">
            <w:pPr>
              <w:jc w:val="center"/>
            </w:pPr>
            <w:r>
              <w:rPr>
                <w:rFonts w:ascii="宋体" w:hAnsi="宋体" w:eastAsia="宋体"/>
                <w:sz w:val="16"/>
              </w:rPr>
              <w:t>=3700人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28B5">
            <w:pPr>
              <w:jc w:val="center"/>
            </w:pPr>
            <w:r>
              <w:rPr>
                <w:rFonts w:ascii="宋体" w:hAnsi="宋体" w:eastAsia="宋体"/>
                <w:sz w:val="16"/>
              </w:rPr>
              <w:t>15</w:t>
            </w:r>
          </w:p>
        </w:tc>
      </w:tr>
      <w:tr w14:paraId="552E1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2AC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A3E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55DA">
            <w:pPr>
              <w:jc w:val="center"/>
            </w:pPr>
            <w:r>
              <w:rPr>
                <w:rFonts w:ascii="宋体" w:hAnsi="宋体" w:eastAsia="宋体"/>
                <w:sz w:val="16"/>
              </w:rPr>
              <w:t>发放各类宣传资料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6CD7C">
            <w:pPr>
              <w:jc w:val="center"/>
            </w:pPr>
            <w:r>
              <w:rPr>
                <w:rFonts w:ascii="宋体" w:hAnsi="宋体" w:eastAsia="宋体"/>
                <w:sz w:val="16"/>
              </w:rPr>
              <w:t>&gt;=3000本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C573">
            <w:pPr>
              <w:jc w:val="center"/>
            </w:pPr>
            <w:r>
              <w:rPr>
                <w:rFonts w:ascii="宋体" w:hAnsi="宋体" w:eastAsia="宋体"/>
                <w:sz w:val="16"/>
              </w:rPr>
              <w:t>红十字会2023年工作总结及</w:t>
            </w:r>
            <w:r>
              <w:rPr>
                <w:rFonts w:hint="eastAsia" w:ascii="宋体" w:hAnsi="宋体"/>
                <w:sz w:val="16"/>
                <w:lang w:eastAsia="zh-CN"/>
              </w:rPr>
              <w:t>2024年工作计划</w:t>
            </w:r>
            <w:r>
              <w:rPr>
                <w:rFonts w:ascii="宋体" w:hAnsi="宋体" w:eastAsia="宋体"/>
                <w:sz w:val="16"/>
              </w:rPr>
              <w:t>及2024年工作总结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C8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97844">
            <w:pPr>
              <w:jc w:val="center"/>
            </w:pPr>
            <w:r>
              <w:rPr>
                <w:rFonts w:ascii="宋体" w:hAnsi="宋体" w:eastAsia="宋体"/>
                <w:sz w:val="16"/>
              </w:rPr>
              <w:t>=3000本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23BD">
            <w:pPr>
              <w:jc w:val="center"/>
            </w:pPr>
            <w:r>
              <w:rPr>
                <w:rFonts w:ascii="宋体" w:hAnsi="宋体" w:eastAsia="宋体"/>
                <w:sz w:val="16"/>
              </w:rPr>
              <w:t>15</w:t>
            </w:r>
          </w:p>
        </w:tc>
      </w:tr>
    </w:tbl>
    <w:p w14:paraId="3BC732E7">
      <w:r>
        <w:br w:type="page"/>
      </w:r>
    </w:p>
    <w:p w14:paraId="6B03F8D2">
      <w:pPr>
        <w:spacing w:line="640" w:lineRule="exact"/>
        <w:ind w:firstLine="640"/>
        <w:jc w:val="both"/>
        <w:outlineLvl w:val="2"/>
      </w:pPr>
      <w:r>
        <w:rPr>
          <w:rFonts w:ascii="黑体" w:hAnsi="黑体" w:eastAsia="黑体"/>
          <w:sz w:val="32"/>
        </w:rPr>
        <w:t>十二、其他需说明的事项</w:t>
      </w:r>
    </w:p>
    <w:p w14:paraId="553A7A5B">
      <w:pPr>
        <w:spacing w:line="580" w:lineRule="exact"/>
        <w:ind w:firstLine="640"/>
        <w:jc w:val="both"/>
      </w:pPr>
      <w:r>
        <w:rPr>
          <w:rFonts w:ascii="仿宋_GB2312" w:hAnsi="仿宋_GB2312" w:eastAsia="仿宋_GB2312"/>
          <w:b w:val="0"/>
          <w:sz w:val="32"/>
        </w:rPr>
        <w:t>本单位无其他需说明的事项。</w:t>
      </w:r>
    </w:p>
    <w:p w14:paraId="20BDFB43">
      <w:r>
        <w:br w:type="page"/>
      </w:r>
    </w:p>
    <w:p w14:paraId="3578C8BD">
      <w:pPr>
        <w:spacing w:line="240" w:lineRule="auto"/>
        <w:jc w:val="center"/>
        <w:outlineLvl w:val="1"/>
      </w:pPr>
      <w:r>
        <w:rPr>
          <w:rFonts w:ascii="黑体" w:hAnsi="黑体" w:eastAsia="黑体"/>
          <w:sz w:val="32"/>
        </w:rPr>
        <w:t>第三部分 专业名词解释</w:t>
      </w:r>
    </w:p>
    <w:p w14:paraId="5972499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9619D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7A9F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3F31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4B268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F0C7F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3C585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1450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6360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A1FF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4A868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17797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268EF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9FE4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6C6806">
      <w:r>
        <w:br w:type="page"/>
      </w:r>
    </w:p>
    <w:p w14:paraId="284A0EB8">
      <w:pPr>
        <w:spacing w:line="240" w:lineRule="auto"/>
        <w:jc w:val="center"/>
        <w:outlineLvl w:val="1"/>
      </w:pPr>
      <w:r>
        <w:rPr>
          <w:rFonts w:ascii="黑体" w:hAnsi="黑体" w:eastAsia="黑体"/>
          <w:sz w:val="32"/>
        </w:rPr>
        <w:t>第四部分 部门决算报表（见附表）</w:t>
      </w:r>
    </w:p>
    <w:p w14:paraId="4D251B68">
      <w:pPr>
        <w:spacing w:line="240" w:lineRule="auto"/>
        <w:ind w:firstLine="640"/>
        <w:jc w:val="both"/>
      </w:pPr>
      <w:r>
        <w:rPr>
          <w:rFonts w:ascii="仿宋_GB2312" w:hAnsi="仿宋_GB2312" w:eastAsia="仿宋_GB2312"/>
          <w:b w:val="0"/>
          <w:sz w:val="32"/>
        </w:rPr>
        <w:t>一、《收入支出决算总表》</w:t>
      </w:r>
    </w:p>
    <w:p w14:paraId="5A7C2ECB">
      <w:pPr>
        <w:spacing w:line="240" w:lineRule="auto"/>
        <w:ind w:firstLine="640"/>
        <w:jc w:val="both"/>
      </w:pPr>
      <w:r>
        <w:rPr>
          <w:rFonts w:ascii="仿宋_GB2312" w:hAnsi="仿宋_GB2312" w:eastAsia="仿宋_GB2312"/>
          <w:b w:val="0"/>
          <w:sz w:val="32"/>
        </w:rPr>
        <w:t>二、《收入决算表》</w:t>
      </w:r>
    </w:p>
    <w:p w14:paraId="53357ED6">
      <w:pPr>
        <w:spacing w:line="240" w:lineRule="auto"/>
        <w:ind w:firstLine="640"/>
        <w:jc w:val="both"/>
      </w:pPr>
      <w:r>
        <w:rPr>
          <w:rFonts w:ascii="仿宋_GB2312" w:hAnsi="仿宋_GB2312" w:eastAsia="仿宋_GB2312"/>
          <w:b w:val="0"/>
          <w:sz w:val="32"/>
        </w:rPr>
        <w:t>三、《支出决算表》</w:t>
      </w:r>
    </w:p>
    <w:p w14:paraId="151D55C2">
      <w:pPr>
        <w:spacing w:line="240" w:lineRule="auto"/>
        <w:ind w:firstLine="640"/>
        <w:jc w:val="both"/>
      </w:pPr>
      <w:r>
        <w:rPr>
          <w:rFonts w:ascii="仿宋_GB2312" w:hAnsi="仿宋_GB2312" w:eastAsia="仿宋_GB2312"/>
          <w:b w:val="0"/>
          <w:sz w:val="32"/>
        </w:rPr>
        <w:t>四、《财政拨款收入支出决算总表》</w:t>
      </w:r>
    </w:p>
    <w:p w14:paraId="49A7CF87">
      <w:pPr>
        <w:spacing w:line="240" w:lineRule="auto"/>
        <w:ind w:firstLine="640"/>
        <w:jc w:val="both"/>
      </w:pPr>
      <w:r>
        <w:rPr>
          <w:rFonts w:ascii="仿宋_GB2312" w:hAnsi="仿宋_GB2312" w:eastAsia="仿宋_GB2312"/>
          <w:b w:val="0"/>
          <w:sz w:val="32"/>
        </w:rPr>
        <w:t>五、《一般公共预算财政拨款支出决算表》</w:t>
      </w:r>
    </w:p>
    <w:p w14:paraId="3654F19D">
      <w:pPr>
        <w:spacing w:line="240" w:lineRule="auto"/>
        <w:ind w:firstLine="640"/>
        <w:jc w:val="both"/>
      </w:pPr>
      <w:r>
        <w:rPr>
          <w:rFonts w:ascii="仿宋_GB2312" w:hAnsi="仿宋_GB2312" w:eastAsia="仿宋_GB2312"/>
          <w:b w:val="0"/>
          <w:sz w:val="32"/>
        </w:rPr>
        <w:t>六、《一般公共预算财政拨款基本支出决算表》</w:t>
      </w:r>
    </w:p>
    <w:p w14:paraId="3C9DC7DD">
      <w:pPr>
        <w:spacing w:line="240" w:lineRule="auto"/>
        <w:ind w:firstLine="640"/>
        <w:jc w:val="both"/>
      </w:pPr>
      <w:r>
        <w:rPr>
          <w:rFonts w:ascii="仿宋_GB2312" w:hAnsi="仿宋_GB2312" w:eastAsia="仿宋_GB2312"/>
          <w:b w:val="0"/>
          <w:sz w:val="32"/>
        </w:rPr>
        <w:t>七、《政府性基金预算财政拨款收入支出决算表》</w:t>
      </w:r>
    </w:p>
    <w:p w14:paraId="1C84C548">
      <w:pPr>
        <w:spacing w:line="240" w:lineRule="auto"/>
        <w:ind w:firstLine="640"/>
        <w:jc w:val="both"/>
      </w:pPr>
      <w:r>
        <w:rPr>
          <w:rFonts w:ascii="仿宋_GB2312" w:hAnsi="仿宋_GB2312" w:eastAsia="仿宋_GB2312"/>
          <w:b w:val="0"/>
          <w:sz w:val="32"/>
        </w:rPr>
        <w:t>八、《国有资本经营预算财政拨款收入支出决算表》</w:t>
      </w:r>
    </w:p>
    <w:p w14:paraId="267407FE">
      <w:pPr>
        <w:spacing w:line="240" w:lineRule="auto"/>
        <w:ind w:firstLine="640"/>
        <w:jc w:val="both"/>
      </w:pPr>
      <w:r>
        <w:rPr>
          <w:rFonts w:ascii="仿宋_GB2312" w:hAnsi="仿宋_GB2312" w:eastAsia="仿宋_GB2312"/>
          <w:b w:val="0"/>
          <w:sz w:val="32"/>
        </w:rPr>
        <w:t>九、《财政拨款“三公”经费支出决算表》</w:t>
      </w:r>
    </w:p>
    <w:p w14:paraId="5693C934">
      <w:pPr>
        <w:spacing w:line="240" w:lineRule="auto"/>
        <w:ind w:firstLine="640"/>
        <w:jc w:val="both"/>
      </w:pPr>
    </w:p>
    <w:p w14:paraId="30EA046F">
      <w:pPr>
        <w:spacing w:line="240" w:lineRule="auto"/>
        <w:ind w:firstLine="640"/>
        <w:jc w:val="both"/>
      </w:pPr>
    </w:p>
    <w:p w14:paraId="3C3D7690">
      <w:pPr>
        <w:spacing w:line="240" w:lineRule="auto"/>
        <w:ind w:firstLine="640"/>
        <w:jc w:val="both"/>
      </w:pPr>
    </w:p>
    <w:p w14:paraId="731D26DE">
      <w:pPr>
        <w:spacing w:line="240" w:lineRule="auto"/>
        <w:ind w:firstLine="640"/>
        <w:jc w:val="both"/>
      </w:pPr>
    </w:p>
    <w:p w14:paraId="40460BC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DB531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8D28A9"/>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4510</Words>
  <Characters>5133</Characters>
  <Lines>0</Lines>
  <Paragraphs>0</Paragraphs>
  <TotalTime>1</TotalTime>
  <ScaleCrop>false</ScaleCrop>
  <LinksUpToDate>false</LinksUpToDate>
  <CharactersWithSpaces>5141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2025-10-15T02:15:32Z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