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吉木萨尔县第七幼儿园2024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13EF7DB">
      <w:r>
        <w:br w:type="page"/>
      </w:r>
    </w:p>
    <w:p w14:paraId="2B1FFCBD">
      <w:pPr>
        <w:spacing w:line="640" w:lineRule="exact"/>
        <w:jc w:val="center"/>
        <w:outlineLvl w:val="1"/>
      </w:pPr>
      <w:r>
        <w:rPr>
          <w:rFonts w:ascii="黑体" w:hAnsi="黑体" w:eastAsia="黑体"/>
          <w:sz w:val="32"/>
        </w:rPr>
        <w:t>第一部分 单位概况</w:t>
      </w:r>
    </w:p>
    <w:p w14:paraId="23C33DE4">
      <w:pPr>
        <w:spacing w:line="640" w:lineRule="exact"/>
        <w:ind w:firstLine="640"/>
        <w:jc w:val="both"/>
        <w:outlineLvl w:val="2"/>
      </w:pPr>
      <w:r>
        <w:rPr>
          <w:rFonts w:ascii="黑体" w:hAnsi="黑体" w:eastAsia="黑体"/>
          <w:sz w:val="32"/>
        </w:rPr>
        <w:t>一、主要职能</w:t>
      </w:r>
    </w:p>
    <w:p w14:paraId="3D0DBCD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实施幼儿保育</w:t>
      </w:r>
      <w:r>
        <w:rPr>
          <w:rFonts w:hint="eastAsia" w:ascii="仿宋_GB2312" w:hAnsi="仿宋_GB2312" w:eastAsia="仿宋_GB2312"/>
          <w:sz w:val="32"/>
          <w:lang w:eastAsia="zh-CN"/>
        </w:rPr>
        <w:t>、</w:t>
      </w:r>
      <w:r>
        <w:rPr>
          <w:rFonts w:ascii="仿宋_GB2312" w:hAnsi="仿宋_GB2312" w:eastAsia="仿宋_GB2312"/>
          <w:sz w:val="32"/>
        </w:rPr>
        <w:t>幼儿教育工作。</w:t>
      </w:r>
    </w:p>
    <w:p w14:paraId="292F9D1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负责幼儿园教学业务指导和教研工作。</w:t>
      </w:r>
    </w:p>
    <w:p w14:paraId="578A4171">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负责幼儿园领导班子的考核和推荐。</w:t>
      </w:r>
    </w:p>
    <w:p w14:paraId="1DC380CB">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负责幼儿园教师的管理和服务。</w:t>
      </w:r>
    </w:p>
    <w:p w14:paraId="237E3D1E">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负责幼儿园各项经费的安排使用和管理。</w:t>
      </w:r>
    </w:p>
    <w:p w14:paraId="6FB50032">
      <w:pPr>
        <w:spacing w:line="640" w:lineRule="exact"/>
        <w:ind w:firstLine="640"/>
        <w:jc w:val="both"/>
        <w:outlineLvl w:val="2"/>
      </w:pPr>
      <w:r>
        <w:rPr>
          <w:rFonts w:ascii="黑体" w:hAnsi="黑体" w:eastAsia="黑体"/>
          <w:sz w:val="32"/>
        </w:rPr>
        <w:t>二、机构设置及人员情况</w:t>
      </w:r>
    </w:p>
    <w:p w14:paraId="627D43DD">
      <w:pPr>
        <w:spacing w:line="580" w:lineRule="exact"/>
        <w:ind w:firstLine="640"/>
        <w:jc w:val="both"/>
      </w:pPr>
      <w:r>
        <w:rPr>
          <w:rFonts w:ascii="仿宋_GB2312" w:hAnsi="仿宋_GB2312" w:eastAsia="仿宋_GB2312"/>
          <w:sz w:val="32"/>
        </w:rPr>
        <w:t>吉木萨尔县第七幼儿园2024年度，实有人数4人，其中：在职人员4人，减少24人；离休人员0人，增加0人；退休人员0人,增加0人。</w:t>
      </w:r>
    </w:p>
    <w:p w14:paraId="07F2E6F5">
      <w:pPr>
        <w:spacing w:line="580" w:lineRule="exact"/>
        <w:ind w:firstLine="640"/>
        <w:jc w:val="both"/>
      </w:pPr>
      <w:r>
        <w:rPr>
          <w:rFonts w:ascii="仿宋_GB2312" w:hAnsi="仿宋_GB2312" w:eastAsia="仿宋_GB2312"/>
          <w:sz w:val="32"/>
        </w:rPr>
        <w:t>吉木萨尔县第七幼儿园无下属预算单位，下设6个科室，分别是：德育室、教务室、财务室、党建办、办公室、园长室。</w:t>
      </w:r>
    </w:p>
    <w:p w14:paraId="52C8481D">
      <w:r>
        <w:br w:type="page"/>
      </w:r>
    </w:p>
    <w:p w14:paraId="33130CC9">
      <w:pPr>
        <w:spacing w:line="240" w:lineRule="auto"/>
        <w:jc w:val="center"/>
        <w:outlineLvl w:val="1"/>
      </w:pPr>
      <w:r>
        <w:rPr>
          <w:rFonts w:ascii="黑体" w:hAnsi="黑体" w:eastAsia="黑体"/>
          <w:sz w:val="32"/>
        </w:rPr>
        <w:t>第二部分 部门决算情况说明</w:t>
      </w:r>
    </w:p>
    <w:p w14:paraId="6D65BB60">
      <w:pPr>
        <w:spacing w:line="640" w:lineRule="exact"/>
        <w:ind w:firstLine="640"/>
        <w:jc w:val="both"/>
        <w:outlineLvl w:val="2"/>
      </w:pPr>
      <w:r>
        <w:rPr>
          <w:rFonts w:ascii="黑体" w:hAnsi="黑体" w:eastAsia="黑体"/>
          <w:sz w:val="32"/>
        </w:rPr>
        <w:t>一、收入支出决算总体情况说明</w:t>
      </w:r>
    </w:p>
    <w:p w14:paraId="6C87C002">
      <w:pPr>
        <w:spacing w:line="580" w:lineRule="exact"/>
        <w:ind w:firstLine="640"/>
        <w:jc w:val="both"/>
      </w:pPr>
      <w:r>
        <w:rPr>
          <w:rFonts w:ascii="仿宋_GB2312" w:hAnsi="仿宋_GB2312" w:eastAsia="仿宋_GB2312"/>
          <w:b/>
          <w:sz w:val="32"/>
        </w:rPr>
        <w:t>2024年度收入总计112.43万元，</w:t>
      </w:r>
      <w:r>
        <w:rPr>
          <w:rFonts w:ascii="仿宋_GB2312" w:hAnsi="仿宋_GB2312" w:eastAsia="仿宋_GB2312"/>
          <w:b w:val="0"/>
          <w:sz w:val="32"/>
        </w:rPr>
        <w:t>其中：本年收入合计106.51万元，使用非财政拨款结余（含专用结余）0.00万元，年初结转和结余5.92万元。</w:t>
      </w:r>
    </w:p>
    <w:p w14:paraId="5EC3394A">
      <w:pPr>
        <w:spacing w:line="580" w:lineRule="exact"/>
        <w:ind w:firstLine="640"/>
        <w:jc w:val="both"/>
      </w:pPr>
      <w:r>
        <w:rPr>
          <w:rFonts w:ascii="仿宋_GB2312" w:hAnsi="仿宋_GB2312" w:eastAsia="仿宋_GB2312"/>
          <w:b/>
          <w:sz w:val="32"/>
        </w:rPr>
        <w:t>2024年度支出总计112.43万元，</w:t>
      </w:r>
      <w:r>
        <w:rPr>
          <w:rFonts w:ascii="仿宋_GB2312" w:hAnsi="仿宋_GB2312" w:eastAsia="仿宋_GB2312"/>
          <w:b w:val="0"/>
          <w:sz w:val="32"/>
        </w:rPr>
        <w:t>其中：本年支出合计106.52万元，结余分配0.00万元，年末结转和结余5.91万元。</w:t>
      </w:r>
    </w:p>
    <w:p w14:paraId="7C3D7891">
      <w:pPr>
        <w:spacing w:line="580" w:lineRule="exact"/>
        <w:ind w:firstLine="640"/>
        <w:jc w:val="both"/>
      </w:pPr>
      <w:r>
        <w:rPr>
          <w:rFonts w:ascii="仿宋_GB2312" w:hAnsi="仿宋_GB2312" w:eastAsia="仿宋_GB2312"/>
          <w:b w:val="0"/>
          <w:sz w:val="32"/>
        </w:rPr>
        <w:t>收入支出总体与上年相比，减少284.21万元，下降71.65%，主要原因是：本年在职人员较上年减少，相关人员经费减少；减少学前保障县级配套资金（伙食补助）、教育系统各校（园）残疾人保障金项目等，导致经费较上年减少。</w:t>
      </w:r>
    </w:p>
    <w:p w14:paraId="0FA95749">
      <w:pPr>
        <w:spacing w:line="640" w:lineRule="exact"/>
        <w:ind w:firstLine="640"/>
        <w:jc w:val="both"/>
        <w:outlineLvl w:val="2"/>
      </w:pPr>
      <w:r>
        <w:rPr>
          <w:rFonts w:ascii="黑体" w:hAnsi="黑体" w:eastAsia="黑体"/>
          <w:sz w:val="32"/>
        </w:rPr>
        <w:t>二、收入决算情况说明</w:t>
      </w:r>
    </w:p>
    <w:p w14:paraId="27A888B8">
      <w:pPr>
        <w:spacing w:line="580" w:lineRule="exact"/>
        <w:ind w:firstLine="640"/>
        <w:jc w:val="both"/>
      </w:pPr>
      <w:r>
        <w:rPr>
          <w:rFonts w:ascii="仿宋_GB2312" w:hAnsi="仿宋_GB2312" w:eastAsia="仿宋_GB2312"/>
          <w:b/>
          <w:sz w:val="32"/>
        </w:rPr>
        <w:t>本年收入106.51万元，</w:t>
      </w:r>
      <w:r>
        <w:rPr>
          <w:rFonts w:ascii="仿宋_GB2312" w:hAnsi="仿宋_GB2312" w:eastAsia="仿宋_GB2312"/>
          <w:b w:val="0"/>
          <w:sz w:val="32"/>
        </w:rPr>
        <w:t>其中：财政拨款收入106.49万元，占99.98%；上级补助收入0.00万元，占0.00%；事业收入0.00万元，占0.00%；经营收入0.00万元，占0.00%；附属单位上缴收入0.00万元，占0.00%；其他收入0.02万元，占0.02%。</w:t>
      </w:r>
    </w:p>
    <w:p w14:paraId="59566E40">
      <w:pPr>
        <w:spacing w:line="640" w:lineRule="exact"/>
        <w:ind w:firstLine="640"/>
        <w:jc w:val="both"/>
        <w:outlineLvl w:val="2"/>
      </w:pPr>
      <w:r>
        <w:rPr>
          <w:rFonts w:ascii="黑体" w:hAnsi="黑体" w:eastAsia="黑体"/>
          <w:sz w:val="32"/>
        </w:rPr>
        <w:t>三、支出决算情况说明</w:t>
      </w:r>
    </w:p>
    <w:p w14:paraId="510C6529">
      <w:pPr>
        <w:spacing w:line="580" w:lineRule="exact"/>
        <w:ind w:firstLine="640"/>
        <w:jc w:val="both"/>
      </w:pPr>
      <w:r>
        <w:rPr>
          <w:rFonts w:ascii="仿宋_GB2312" w:hAnsi="仿宋_GB2312" w:eastAsia="仿宋_GB2312"/>
          <w:b/>
          <w:sz w:val="32"/>
        </w:rPr>
        <w:t>本年支出106.52万元，</w:t>
      </w:r>
      <w:r>
        <w:rPr>
          <w:rFonts w:ascii="仿宋_GB2312" w:hAnsi="仿宋_GB2312" w:eastAsia="仿宋_GB2312"/>
          <w:b w:val="0"/>
          <w:sz w:val="32"/>
        </w:rPr>
        <w:t>其中：基本支出75.18万元，占70.58%；项目支出31.34万元，占29.42%；上缴上级支出0.00万元，占0.00%；经营支出0.00万元，占0.00%；对附属单位补助支出0.00万元，占0.00%。</w:t>
      </w:r>
    </w:p>
    <w:p w14:paraId="5D95BBC6">
      <w:pPr>
        <w:spacing w:line="640" w:lineRule="exact"/>
        <w:ind w:firstLine="640"/>
        <w:jc w:val="both"/>
        <w:outlineLvl w:val="2"/>
      </w:pPr>
      <w:r>
        <w:rPr>
          <w:rFonts w:ascii="黑体" w:hAnsi="黑体" w:eastAsia="黑体"/>
          <w:sz w:val="32"/>
        </w:rPr>
        <w:t>四、财政拨款收入支出决算总体情况说明</w:t>
      </w:r>
    </w:p>
    <w:p w14:paraId="0C442FE0">
      <w:pPr>
        <w:spacing w:line="580" w:lineRule="exact"/>
        <w:ind w:firstLine="640"/>
        <w:jc w:val="both"/>
      </w:pPr>
      <w:r>
        <w:rPr>
          <w:rFonts w:ascii="仿宋_GB2312" w:hAnsi="仿宋_GB2312" w:eastAsia="仿宋_GB2312"/>
          <w:b/>
          <w:sz w:val="32"/>
        </w:rPr>
        <w:t>2024年度财政拨款收入总计106.49万元，</w:t>
      </w:r>
      <w:r>
        <w:rPr>
          <w:rFonts w:ascii="仿宋_GB2312" w:hAnsi="仿宋_GB2312" w:eastAsia="仿宋_GB2312"/>
          <w:b w:val="0"/>
          <w:sz w:val="32"/>
        </w:rPr>
        <w:t>其中：年初财政拨款结转和结余0.00万元，本年财政拨款收入106.49万元。</w:t>
      </w:r>
      <w:r>
        <w:rPr>
          <w:rFonts w:ascii="仿宋_GB2312" w:hAnsi="仿宋_GB2312" w:eastAsia="仿宋_GB2312"/>
          <w:b/>
          <w:sz w:val="32"/>
        </w:rPr>
        <w:t>财政拨款支出总计106.49万元，</w:t>
      </w:r>
      <w:r>
        <w:rPr>
          <w:rFonts w:ascii="仿宋_GB2312" w:hAnsi="仿宋_GB2312" w:eastAsia="仿宋_GB2312"/>
          <w:b w:val="0"/>
          <w:sz w:val="32"/>
        </w:rPr>
        <w:t>其中：年末财政拨款结转和结余0.00万元，本年财政拨款支出106.49万元。</w:t>
      </w:r>
    </w:p>
    <w:p w14:paraId="13A2988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减少278.98万元，下降72.37%，主要原因是：本年在职人员较上年减少，相关人员经费减少；减少学前保障县级配套资金（伙食补助）、教育系统各校（园）残疾人保障金项目等，导致经费较上年减少。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年初预算数147.03万元，决算数106.49万元，预决算差异率-27.57%，主要原因是：本年在职人员减少，年中调减人员经费，导致预决算存在差异。</w:t>
      </w:r>
    </w:p>
    <w:p w14:paraId="36C9E590">
      <w:pPr>
        <w:spacing w:line="640" w:lineRule="exact"/>
        <w:ind w:firstLine="640"/>
        <w:jc w:val="both"/>
        <w:outlineLvl w:val="2"/>
      </w:pPr>
      <w:r>
        <w:rPr>
          <w:rFonts w:ascii="黑体" w:hAnsi="黑体" w:eastAsia="黑体"/>
          <w:sz w:val="32"/>
        </w:rPr>
        <w:t>五、一般公共预算财政拨款支出决算情况说明</w:t>
      </w:r>
    </w:p>
    <w:p w14:paraId="0FF785BB">
      <w:pPr>
        <w:spacing w:line="640" w:lineRule="exact"/>
        <w:ind w:firstLine="640"/>
        <w:jc w:val="both"/>
        <w:outlineLvl w:val="3"/>
      </w:pPr>
      <w:r>
        <w:rPr>
          <w:rFonts w:ascii="楷体_GB2312" w:hAnsi="楷体_GB2312" w:eastAsia="楷体_GB2312"/>
          <w:b/>
          <w:sz w:val="32"/>
        </w:rPr>
        <w:t>（一）一般公共预算财政拨款支出决算总体情况</w:t>
      </w:r>
    </w:p>
    <w:p w14:paraId="36A8A0F8">
      <w:pPr>
        <w:spacing w:line="580" w:lineRule="exact"/>
        <w:ind w:firstLine="640"/>
        <w:jc w:val="both"/>
      </w:pPr>
      <w:r>
        <w:rPr>
          <w:rFonts w:ascii="仿宋_GB2312" w:hAnsi="仿宋_GB2312" w:eastAsia="仿宋_GB2312"/>
          <w:b/>
          <w:sz w:val="32"/>
        </w:rPr>
        <w:t>2024年度一般公共预算财政拨款支出106.49万元，</w:t>
      </w:r>
      <w:r>
        <w:rPr>
          <w:rFonts w:ascii="仿宋_GB2312" w:hAnsi="仿宋_GB2312" w:eastAsia="仿宋_GB2312"/>
          <w:b w:val="0"/>
          <w:sz w:val="32"/>
        </w:rPr>
        <w:t>占本年支出合计的99.97%。</w:t>
      </w:r>
      <w:r>
        <w:rPr>
          <w:rFonts w:ascii="仿宋_GB2312" w:hAnsi="仿宋_GB2312" w:eastAsia="仿宋_GB2312"/>
          <w:b/>
          <w:sz w:val="32"/>
        </w:rPr>
        <w:t>与上年相比，</w:t>
      </w:r>
      <w:r>
        <w:rPr>
          <w:rFonts w:ascii="仿宋_GB2312" w:hAnsi="仿宋_GB2312" w:eastAsia="仿宋_GB2312"/>
          <w:b w:val="0"/>
          <w:sz w:val="32"/>
        </w:rPr>
        <w:t>减少278.98万元，下降72.37%，主要原因是：本年在职人员较上年减少，相关人员经费减少；减少学前保障县级配套资金（伙食补助）、教育系统各校（园）残疾人保障金项目等，导致经费较上年减少。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年初预算数147.03万元，决算数106.49万元，预决算差异率-27.57%，主要原因是：本年在职人员减少，年中调减人员经费，导致预决算存在差异。</w:t>
      </w:r>
    </w:p>
    <w:p w14:paraId="07E86C21">
      <w:pPr>
        <w:spacing w:line="640" w:lineRule="exact"/>
        <w:ind w:firstLine="640"/>
        <w:jc w:val="both"/>
        <w:outlineLvl w:val="3"/>
      </w:pPr>
      <w:r>
        <w:rPr>
          <w:rFonts w:ascii="楷体_GB2312" w:hAnsi="楷体_GB2312" w:eastAsia="楷体_GB2312"/>
          <w:b/>
          <w:sz w:val="32"/>
        </w:rPr>
        <w:t>（二）一般公共预算财政拨款支出决算结构情况</w:t>
      </w:r>
    </w:p>
    <w:p w14:paraId="7AD4573A">
      <w:pPr>
        <w:spacing w:line="580" w:lineRule="exact"/>
        <w:ind w:firstLine="640"/>
        <w:jc w:val="both"/>
      </w:pPr>
      <w:r>
        <w:rPr>
          <w:rFonts w:ascii="仿宋_GB2312" w:hAnsi="仿宋_GB2312" w:eastAsia="仿宋_GB2312"/>
          <w:b w:val="0"/>
          <w:sz w:val="32"/>
        </w:rPr>
        <w:t>1.教育支出(类)106.49万元,占100.00%。</w:t>
      </w:r>
    </w:p>
    <w:p w14:paraId="75F4B925">
      <w:pPr>
        <w:spacing w:line="640" w:lineRule="exact"/>
        <w:ind w:firstLine="640"/>
        <w:jc w:val="both"/>
        <w:outlineLvl w:val="3"/>
      </w:pPr>
      <w:r>
        <w:rPr>
          <w:rFonts w:ascii="楷体_GB2312" w:hAnsi="楷体_GB2312" w:eastAsia="楷体_GB2312"/>
          <w:b/>
          <w:sz w:val="32"/>
        </w:rPr>
        <w:t>（三）一般公共预算财政拨款支出决算具体情况</w:t>
      </w:r>
    </w:p>
    <w:p w14:paraId="7B8956EE">
      <w:pPr>
        <w:spacing w:line="580" w:lineRule="exact"/>
        <w:ind w:firstLine="640"/>
        <w:jc w:val="both"/>
      </w:pPr>
      <w:r>
        <w:rPr>
          <w:rFonts w:ascii="仿宋_GB2312" w:hAnsi="仿宋_GB2312" w:eastAsia="仿宋_GB2312"/>
          <w:b w:val="0"/>
          <w:sz w:val="32"/>
        </w:rPr>
        <w:t>1.教育支出(类)普通教育(款)学前教育(项):支出决算数为98.98万元，比上年决算减少198.94万元，下降66.78%,主要原因是：本年在职人员较上年减少，相关人员经费减少；减少学前保障县级配套资金（伙食补助）、教育系统各校（园）残疾人保障金项目等，导致经费较上年减少。</w:t>
      </w:r>
    </w:p>
    <w:p w14:paraId="61D2592F">
      <w:pPr>
        <w:spacing w:line="580" w:lineRule="exact"/>
        <w:ind w:firstLine="640"/>
        <w:jc w:val="both"/>
      </w:pPr>
      <w:r>
        <w:rPr>
          <w:rFonts w:ascii="仿宋_GB2312" w:hAnsi="仿宋_GB2312" w:eastAsia="仿宋_GB2312"/>
          <w:b w:val="0"/>
          <w:sz w:val="32"/>
        </w:rPr>
        <w:t>2.教育支出(类)普通教育(款)小学教育(项):支出决算数为0.00万元，比上年决算减少87.55万元，下降100.00%,主要原因是：本年在职人员较上年减少，相关人员经费减少。</w:t>
      </w:r>
    </w:p>
    <w:p w14:paraId="0846AA64">
      <w:pPr>
        <w:spacing w:line="580" w:lineRule="exact"/>
        <w:ind w:firstLine="640"/>
        <w:jc w:val="both"/>
      </w:pPr>
      <w:r>
        <w:rPr>
          <w:rFonts w:ascii="仿宋_GB2312" w:hAnsi="仿宋_GB2312" w:eastAsia="仿宋_GB2312"/>
          <w:b w:val="0"/>
          <w:sz w:val="32"/>
        </w:rPr>
        <w:t>3.教育支出(类)教育费附加安排的支出(款)其他教育费附加安排的支出(项):支出决算数为7.51万元，比上年决算增加7.51万元，增长100.00%,主要原因是：本年增加取暖费支出，相应支出增加。</w:t>
      </w:r>
    </w:p>
    <w:p w14:paraId="7F63C633">
      <w:pPr>
        <w:spacing w:line="640" w:lineRule="exact"/>
        <w:ind w:firstLine="640"/>
        <w:jc w:val="both"/>
        <w:outlineLvl w:val="2"/>
      </w:pPr>
      <w:r>
        <w:rPr>
          <w:rFonts w:ascii="黑体" w:hAnsi="黑体" w:eastAsia="黑体"/>
          <w:sz w:val="32"/>
        </w:rPr>
        <w:t>六、一般公共预算财政拨款基本支出决算情况说明</w:t>
      </w:r>
    </w:p>
    <w:p w14:paraId="08EAF323">
      <w:pPr>
        <w:spacing w:line="580" w:lineRule="exact"/>
        <w:ind w:firstLine="640"/>
        <w:jc w:val="both"/>
      </w:pPr>
      <w:r>
        <w:rPr>
          <w:rFonts w:ascii="仿宋_GB2312" w:hAnsi="仿宋_GB2312" w:eastAsia="仿宋_GB2312"/>
          <w:b w:val="0"/>
          <w:sz w:val="32"/>
        </w:rPr>
        <w:t>2024年度一般公共预算财政拨款基本支出75.15万元，其中：</w:t>
      </w:r>
      <w:r>
        <w:rPr>
          <w:rFonts w:ascii="仿宋_GB2312" w:hAnsi="仿宋_GB2312" w:eastAsia="仿宋_GB2312"/>
          <w:b/>
          <w:sz w:val="32"/>
        </w:rPr>
        <w:t>人员经费66.29万元，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w:t>
      </w:r>
    </w:p>
    <w:p w14:paraId="51D2AE28">
      <w:pPr>
        <w:spacing w:line="580" w:lineRule="exact"/>
        <w:ind w:firstLine="640"/>
        <w:jc w:val="both"/>
      </w:pPr>
      <w:r>
        <w:rPr>
          <w:rFonts w:ascii="仿宋_GB2312" w:hAnsi="仿宋_GB2312" w:eastAsia="仿宋_GB2312"/>
          <w:b/>
          <w:sz w:val="32"/>
        </w:rPr>
        <w:t>公用经费8.87万元，</w:t>
      </w:r>
      <w:r>
        <w:rPr>
          <w:rFonts w:ascii="仿宋_GB2312" w:hAnsi="仿宋_GB2312" w:eastAsia="仿宋_GB2312"/>
          <w:b w:val="0"/>
          <w:sz w:val="32"/>
        </w:rPr>
        <w:t>包括：取暖费、培训费、工会经费。</w:t>
      </w:r>
    </w:p>
    <w:p w14:paraId="7D4BB4BD">
      <w:pPr>
        <w:spacing w:line="640" w:lineRule="exact"/>
        <w:ind w:firstLine="640"/>
        <w:jc w:val="both"/>
        <w:outlineLvl w:val="2"/>
      </w:pPr>
      <w:r>
        <w:rPr>
          <w:rFonts w:ascii="黑体" w:hAnsi="黑体" w:eastAsia="黑体"/>
          <w:sz w:val="32"/>
        </w:rPr>
        <w:t>七、政府性基金预算财政拨款收入支出决算情况说明</w:t>
      </w:r>
    </w:p>
    <w:p w14:paraId="2C8E679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EB561B4">
      <w:pPr>
        <w:spacing w:line="640" w:lineRule="exact"/>
        <w:ind w:firstLine="640"/>
        <w:jc w:val="both"/>
        <w:outlineLvl w:val="2"/>
      </w:pPr>
      <w:r>
        <w:rPr>
          <w:rFonts w:ascii="黑体" w:hAnsi="黑体" w:eastAsia="黑体"/>
          <w:sz w:val="32"/>
        </w:rPr>
        <w:t>八、国有资本经营预算财政拨款收入支出决算情况说明</w:t>
      </w:r>
    </w:p>
    <w:p w14:paraId="3462AC9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3365D5">
      <w:pPr>
        <w:spacing w:line="640" w:lineRule="exact"/>
        <w:ind w:firstLine="640"/>
        <w:jc w:val="both"/>
        <w:outlineLvl w:val="2"/>
      </w:pPr>
      <w:r>
        <w:rPr>
          <w:rFonts w:ascii="黑体" w:hAnsi="黑体" w:eastAsia="黑体"/>
          <w:sz w:val="32"/>
        </w:rPr>
        <w:t>九、财政拨款“三公”经费支出决算情况说明</w:t>
      </w:r>
    </w:p>
    <w:p w14:paraId="44E92EB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B182C22">
      <w:pPr>
        <w:spacing w:line="580" w:lineRule="exact"/>
        <w:ind w:firstLine="640"/>
        <w:jc w:val="both"/>
      </w:pPr>
      <w:r>
        <w:rPr>
          <w:rFonts w:ascii="仿宋_GB2312" w:hAnsi="仿宋_GB2312" w:eastAsia="仿宋_GB2312"/>
          <w:b/>
          <w:sz w:val="32"/>
        </w:rPr>
        <w:t>具体情况如下：</w:t>
      </w:r>
    </w:p>
    <w:p w14:paraId="0641B10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A6CF7E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公务用车运行维护费。公务用车购置数0辆，公务用车保有量0辆。国有资产占用情况中固定资产车辆0辆，与公务用车保有量差异原因是：本单位无固定资产车辆。</w:t>
      </w:r>
    </w:p>
    <w:p w14:paraId="7D223C4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D13590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2FCD784">
      <w:pPr>
        <w:spacing w:line="640" w:lineRule="exact"/>
        <w:ind w:firstLine="640"/>
        <w:jc w:val="both"/>
        <w:outlineLvl w:val="2"/>
      </w:pPr>
      <w:r>
        <w:rPr>
          <w:rFonts w:ascii="黑体" w:hAnsi="黑体" w:eastAsia="黑体"/>
          <w:sz w:val="32"/>
        </w:rPr>
        <w:t>十、其他重要事项的情况说明</w:t>
      </w:r>
    </w:p>
    <w:p w14:paraId="71954456">
      <w:pPr>
        <w:spacing w:line="640" w:lineRule="exact"/>
        <w:ind w:firstLine="640"/>
        <w:jc w:val="both"/>
        <w:outlineLvl w:val="3"/>
      </w:pPr>
      <w:r>
        <w:rPr>
          <w:rFonts w:ascii="楷体_GB2312" w:hAnsi="楷体_GB2312" w:eastAsia="楷体_GB2312"/>
          <w:b/>
          <w:sz w:val="32"/>
        </w:rPr>
        <w:t>（一）机关运行经费及公用经费支出情况</w:t>
      </w:r>
    </w:p>
    <w:p w14:paraId="117CB249">
      <w:pPr>
        <w:spacing w:line="580" w:lineRule="exact"/>
        <w:ind w:firstLine="640"/>
        <w:jc w:val="both"/>
      </w:pPr>
      <w:r>
        <w:rPr>
          <w:rFonts w:ascii="仿宋_GB2312" w:hAnsi="仿宋_GB2312" w:eastAsia="仿宋_GB2312"/>
          <w:b w:val="0"/>
          <w:sz w:val="32"/>
        </w:rPr>
        <w:t>2024年度吉木萨尔县第七幼儿园（事业单位）公用经费支出8.87万元，比上年增加7.68万元，增长645.38%，主要原因是：本年更新、维护补充办公用品，</w:t>
      </w:r>
      <w:r>
        <w:rPr>
          <w:rFonts w:hint="eastAsia" w:ascii="仿宋_GB2312" w:hAnsi="仿宋_GB2312" w:eastAsia="仿宋_GB2312"/>
          <w:b w:val="0"/>
          <w:sz w:val="32"/>
          <w:lang w:val="en-US" w:eastAsia="zh-CN"/>
        </w:rPr>
        <w:t>办公费、取暖费增加，</w:t>
      </w:r>
      <w:r>
        <w:rPr>
          <w:rFonts w:ascii="仿宋_GB2312" w:hAnsi="仿宋_GB2312" w:eastAsia="仿宋_GB2312"/>
          <w:b w:val="0"/>
          <w:sz w:val="32"/>
        </w:rPr>
        <w:t>导致公用经费较上年增加。</w:t>
      </w:r>
    </w:p>
    <w:p w14:paraId="3AD60053">
      <w:pPr>
        <w:spacing w:line="640" w:lineRule="exact"/>
        <w:ind w:firstLine="640"/>
        <w:jc w:val="both"/>
        <w:outlineLvl w:val="3"/>
      </w:pPr>
      <w:r>
        <w:rPr>
          <w:rFonts w:ascii="楷体_GB2312" w:hAnsi="楷体_GB2312" w:eastAsia="楷体_GB2312"/>
          <w:b/>
          <w:sz w:val="32"/>
        </w:rPr>
        <w:t>（二）政府采购情况</w:t>
      </w:r>
    </w:p>
    <w:p w14:paraId="5C1316CC">
      <w:pPr>
        <w:spacing w:line="580" w:lineRule="exact"/>
        <w:ind w:firstLine="640"/>
        <w:jc w:val="both"/>
      </w:pPr>
      <w:r>
        <w:rPr>
          <w:rFonts w:ascii="仿宋_GB2312" w:hAnsi="仿宋_GB2312" w:eastAsia="仿宋_GB2312"/>
          <w:b w:val="0"/>
          <w:sz w:val="32"/>
        </w:rPr>
        <w:t>2024年度政府采购支出总额2.22万元，其中：政府采购货物支出2.22万元、政府采购工程支出0.00万元、政府采购服务支出0.00万元。</w:t>
      </w:r>
    </w:p>
    <w:p w14:paraId="6F9CE191">
      <w:pPr>
        <w:spacing w:line="580" w:lineRule="exact"/>
        <w:ind w:firstLine="640"/>
        <w:jc w:val="both"/>
      </w:pPr>
      <w:r>
        <w:rPr>
          <w:rFonts w:ascii="仿宋_GB2312" w:hAnsi="仿宋_GB2312" w:eastAsia="仿宋_GB2312"/>
          <w:b w:val="0"/>
          <w:sz w:val="32"/>
        </w:rPr>
        <w:t>授予中小企业合同金额2.22万元，占政府采购支出总额的100.00%，其中：授予小微企业合同金额2.22万元，占政府采购支出总额的100.00%。</w:t>
      </w:r>
    </w:p>
    <w:p w14:paraId="0F055F96">
      <w:pPr>
        <w:spacing w:line="640" w:lineRule="exact"/>
        <w:ind w:firstLine="640"/>
        <w:jc w:val="both"/>
        <w:outlineLvl w:val="3"/>
      </w:pPr>
      <w:r>
        <w:rPr>
          <w:rFonts w:ascii="楷体_GB2312" w:hAnsi="楷体_GB2312" w:eastAsia="楷体_GB2312"/>
          <w:b/>
          <w:sz w:val="32"/>
        </w:rPr>
        <w:t>（三）国有资产占用情况说明</w:t>
      </w:r>
    </w:p>
    <w:p w14:paraId="22823A97">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固定资产车辆。单价100万元（含）以上设备（不含车辆）0台（套）。</w:t>
      </w:r>
    </w:p>
    <w:p w14:paraId="4091A9D6">
      <w:pPr>
        <w:spacing w:line="640" w:lineRule="exact"/>
        <w:ind w:firstLine="640"/>
        <w:jc w:val="both"/>
        <w:outlineLvl w:val="2"/>
      </w:pPr>
      <w:r>
        <w:rPr>
          <w:rFonts w:ascii="黑体" w:hAnsi="黑体" w:eastAsia="黑体"/>
          <w:sz w:val="32"/>
        </w:rPr>
        <w:t>十一、预算绩效的情况说明</w:t>
      </w:r>
    </w:p>
    <w:p w14:paraId="27C899B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112.43万元，实际执行总额106.52万元；预算绩效评价项目2个，全年预算数31.33万元，全年执行数31.33万元。预算绩效管理取得的成效：1.保障人员工资、社保、公积金等人员经费支出；2.普惠性幼儿园持续发展、巩固九年义务教育教学。通过以上工作的实施，学校各项办公经费得到保障，使学校正常运转，落实有关教育经费的法规政策，让国家优惠政策落实到每家每户，逐步提高受益群众的满意度。发现的问题及原因：一是设置绩效指标不精准，主要是“教职工人数”指标、“幼儿入</w:t>
      </w:r>
      <w:r>
        <w:rPr>
          <w:rFonts w:hint="eastAsia" w:ascii="仿宋_GB2312" w:hAnsi="仿宋_GB2312" w:eastAsia="仿宋_GB2312"/>
          <w:b w:val="0"/>
          <w:sz w:val="32"/>
          <w:lang w:eastAsia="zh-CN"/>
        </w:rPr>
        <w:t>园</w:t>
      </w:r>
      <w:r>
        <w:rPr>
          <w:rFonts w:ascii="仿宋_GB2312" w:hAnsi="仿宋_GB2312" w:eastAsia="仿宋_GB2312"/>
          <w:b w:val="0"/>
          <w:sz w:val="32"/>
        </w:rPr>
        <w:t>人数”指标，经费统计年报中教职工人数中包含小学人数，数据有误，按实有人数填列。二是党员先锋模范意识淡化，重视程度不足。三是教师队伍年轻，职业素养不高。下一步改进措施：一是加强部门整体绩效目标表设置的精准度。二是对党员先锋模范带头意识的思想教育，以</w:t>
      </w:r>
      <w:r>
        <w:rPr>
          <w:rFonts w:hint="eastAsia" w:ascii="仿宋_GB2312" w:hAnsi="仿宋_GB2312" w:eastAsia="仿宋_GB2312"/>
          <w:b w:val="0"/>
          <w:sz w:val="32"/>
          <w:lang w:eastAsia="zh-CN"/>
        </w:rPr>
        <w:t>优秀</w:t>
      </w:r>
      <w:r>
        <w:rPr>
          <w:rFonts w:ascii="仿宋_GB2312" w:hAnsi="仿宋_GB2312" w:eastAsia="仿宋_GB2312"/>
          <w:b w:val="0"/>
          <w:sz w:val="32"/>
        </w:rPr>
        <w:t>党员干部在工</w:t>
      </w:r>
      <w:r>
        <w:rPr>
          <w:rFonts w:hint="eastAsia" w:ascii="仿宋_GB2312" w:hAnsi="仿宋_GB2312" w:eastAsia="仿宋_GB2312"/>
          <w:b w:val="0"/>
          <w:sz w:val="32"/>
          <w:lang w:eastAsia="zh-CN"/>
        </w:rPr>
        <w:t>作中</w:t>
      </w:r>
      <w:r>
        <w:rPr>
          <w:rFonts w:ascii="仿宋_GB2312" w:hAnsi="仿宋_GB2312" w:eastAsia="仿宋_GB2312"/>
          <w:b w:val="0"/>
          <w:sz w:val="32"/>
        </w:rPr>
        <w:t>吃苦耐劳精神起到模范带头作用。三是加强保育教学内容、教学方法、教育创新探索和研究。及时、准确发现教育教学中的问题。提高教育教学质量，使幼儿身心健康得到良好发展。具体附</w:t>
      </w:r>
      <w:bookmarkStart w:id="0" w:name="_GoBack"/>
      <w:r>
        <w:rPr>
          <w:rFonts w:ascii="仿宋_GB2312" w:hAnsi="仿宋_GB2312" w:eastAsia="仿宋_GB2312"/>
          <w:b w:val="0"/>
          <w:sz w:val="32"/>
        </w:rPr>
        <w:t>整体支出绩效自评表，项目支出绩效自评表</w:t>
      </w:r>
      <w:bookmarkEnd w:id="0"/>
      <w:r>
        <w:rPr>
          <w:rFonts w:ascii="仿宋_GB2312" w:hAnsi="仿宋_GB2312" w:eastAsia="仿宋_GB2312"/>
          <w:b w:val="0"/>
          <w:sz w:val="32"/>
        </w:rPr>
        <w:t>。</w:t>
      </w:r>
    </w:p>
    <w:p w14:paraId="0F7D125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1269"/>
        <w:gridCol w:w="697"/>
        <w:gridCol w:w="983"/>
        <w:gridCol w:w="983"/>
      </w:tblGrid>
      <w:tr w14:paraId="1FB0173F">
        <w:tblPrEx>
          <w:tblCellMar>
            <w:top w:w="0" w:type="dxa"/>
            <w:left w:w="108" w:type="dxa"/>
            <w:bottom w:w="0" w:type="dxa"/>
            <w:right w:w="108" w:type="dxa"/>
          </w:tblCellMar>
        </w:tblPrEx>
        <w:tc>
          <w:tcPr>
            <w:tcW w:w="8847" w:type="dxa"/>
            <w:gridSpan w:val="9"/>
            <w:vAlign w:val="center"/>
          </w:tcPr>
          <w:p w14:paraId="11B679F2">
            <w:pPr>
              <w:jc w:val="center"/>
            </w:pPr>
            <w:r>
              <w:rPr>
                <w:rFonts w:ascii="宋体" w:hAnsi="宋体" w:eastAsia="宋体"/>
                <w:sz w:val="24"/>
              </w:rPr>
              <w:t>单位整体支出绩效自评表</w:t>
            </w:r>
          </w:p>
        </w:tc>
      </w:tr>
      <w:tr w14:paraId="36086399">
        <w:tblPrEx>
          <w:tblCellMar>
            <w:top w:w="0" w:type="dxa"/>
            <w:left w:w="108" w:type="dxa"/>
            <w:bottom w:w="0" w:type="dxa"/>
            <w:right w:w="108" w:type="dxa"/>
          </w:tblCellMar>
        </w:tblPrEx>
        <w:tc>
          <w:tcPr>
            <w:tcW w:w="8847" w:type="dxa"/>
            <w:gridSpan w:val="9"/>
            <w:vAlign w:val="center"/>
          </w:tcPr>
          <w:p w14:paraId="3AF18C0B">
            <w:pPr>
              <w:jc w:val="center"/>
            </w:pPr>
            <w:r>
              <w:rPr>
                <w:rFonts w:ascii="宋体" w:hAnsi="宋体" w:eastAsia="宋体"/>
                <w:sz w:val="24"/>
              </w:rPr>
              <w:t>（2024年度）</w:t>
            </w:r>
          </w:p>
        </w:tc>
      </w:tr>
      <w:tr w14:paraId="7A36AA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1245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92E176B">
            <w:pPr>
              <w:jc w:val="center"/>
            </w:pPr>
            <w:r>
              <w:rPr>
                <w:rFonts w:ascii="宋体" w:hAnsi="宋体" w:eastAsia="宋体"/>
                <w:sz w:val="16"/>
              </w:rPr>
              <w:t>吉木萨尔县第七幼儿园</w:t>
            </w:r>
          </w:p>
        </w:tc>
      </w:tr>
      <w:tr w14:paraId="1FA0E4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5B12D">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B535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2313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DE82C">
            <w:pPr>
              <w:jc w:val="center"/>
            </w:pPr>
            <w:r>
              <w:rPr>
                <w:rFonts w:ascii="宋体" w:hAnsi="宋体" w:eastAsia="宋体"/>
                <w:sz w:val="16"/>
              </w:rPr>
              <w:t>全年预算数</w:t>
            </w:r>
          </w:p>
        </w:tc>
        <w:tc>
          <w:tcPr>
            <w:tcW w:w="1269" w:type="dxa"/>
            <w:tcBorders>
              <w:top w:val="single" w:color="auto" w:sz="10" w:space="0"/>
              <w:left w:val="single" w:color="auto" w:sz="10" w:space="0"/>
              <w:bottom w:val="single" w:color="auto" w:sz="10" w:space="0"/>
              <w:right w:val="single" w:color="auto" w:sz="10" w:space="0"/>
              <w:insideV w:val="single" w:sz="10" w:space="0"/>
            </w:tcBorders>
            <w:vAlign w:val="center"/>
          </w:tcPr>
          <w:p w14:paraId="3C7451CC">
            <w:pPr>
              <w:jc w:val="center"/>
            </w:pPr>
            <w:r>
              <w:rPr>
                <w:rFonts w:ascii="宋体" w:hAnsi="宋体" w:eastAsia="宋体"/>
                <w:sz w:val="16"/>
              </w:rPr>
              <w:t>全年执行数</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02BF055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FFE0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B6E9D">
            <w:pPr>
              <w:jc w:val="center"/>
            </w:pPr>
            <w:r>
              <w:rPr>
                <w:rFonts w:ascii="宋体" w:hAnsi="宋体" w:eastAsia="宋体"/>
                <w:sz w:val="16"/>
              </w:rPr>
              <w:t>得分</w:t>
            </w:r>
          </w:p>
        </w:tc>
      </w:tr>
      <w:tr w14:paraId="1A0992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A97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1888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7A10D">
            <w:pPr>
              <w:jc w:val="center"/>
            </w:pPr>
            <w:r>
              <w:rPr>
                <w:rFonts w:ascii="宋体" w:hAnsi="宋体" w:eastAsia="宋体"/>
                <w:sz w:val="16"/>
              </w:rPr>
              <w:t>24.73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F65E2">
            <w:pPr>
              <w:jc w:val="center"/>
            </w:pPr>
            <w:r>
              <w:rPr>
                <w:rFonts w:ascii="宋体" w:hAnsi="宋体" w:eastAsia="宋体"/>
                <w:sz w:val="16"/>
              </w:rPr>
              <w:t>31.33</w:t>
            </w:r>
          </w:p>
        </w:tc>
        <w:tc>
          <w:tcPr>
            <w:tcW w:w="1269" w:type="dxa"/>
            <w:tcBorders>
              <w:top w:val="single" w:color="auto" w:sz="10" w:space="0"/>
              <w:left w:val="single" w:color="auto" w:sz="10" w:space="0"/>
              <w:bottom w:val="single" w:color="auto" w:sz="10" w:space="0"/>
              <w:right w:val="single" w:color="auto" w:sz="10" w:space="0"/>
              <w:insideV w:val="single" w:sz="10" w:space="0"/>
            </w:tcBorders>
            <w:vAlign w:val="center"/>
          </w:tcPr>
          <w:p w14:paraId="0DFBFA69">
            <w:pPr>
              <w:jc w:val="center"/>
            </w:pPr>
            <w:r>
              <w:rPr>
                <w:rFonts w:ascii="宋体" w:hAnsi="宋体" w:eastAsia="宋体"/>
                <w:sz w:val="16"/>
              </w:rPr>
              <w:t>31.33</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6F027B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CE8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07F78">
            <w:pPr>
              <w:jc w:val="center"/>
            </w:pPr>
            <w:r>
              <w:rPr>
                <w:rFonts w:ascii="宋体" w:hAnsi="宋体" w:eastAsia="宋体"/>
                <w:sz w:val="16"/>
              </w:rPr>
              <w:t>-</w:t>
            </w:r>
          </w:p>
        </w:tc>
      </w:tr>
      <w:tr w14:paraId="51DA49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DE2C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A3D7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D577F">
            <w:pPr>
              <w:jc w:val="center"/>
            </w:pPr>
            <w:r>
              <w:rPr>
                <w:rFonts w:ascii="宋体" w:hAnsi="宋体" w:eastAsia="宋体"/>
                <w:sz w:val="16"/>
              </w:rPr>
              <w:t>122.29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D49E5">
            <w:pPr>
              <w:jc w:val="center"/>
            </w:pPr>
            <w:r>
              <w:rPr>
                <w:rFonts w:ascii="宋体" w:hAnsi="宋体" w:eastAsia="宋体"/>
                <w:sz w:val="16"/>
              </w:rPr>
              <w:t>81.10</w:t>
            </w:r>
          </w:p>
        </w:tc>
        <w:tc>
          <w:tcPr>
            <w:tcW w:w="1269" w:type="dxa"/>
            <w:tcBorders>
              <w:top w:val="single" w:color="auto" w:sz="10" w:space="0"/>
              <w:left w:val="single" w:color="auto" w:sz="10" w:space="0"/>
              <w:bottom w:val="single" w:color="auto" w:sz="10" w:space="0"/>
              <w:right w:val="single" w:color="auto" w:sz="10" w:space="0"/>
              <w:insideV w:val="single" w:sz="10" w:space="0"/>
            </w:tcBorders>
            <w:vAlign w:val="center"/>
          </w:tcPr>
          <w:p w14:paraId="1DF9D0D1">
            <w:pPr>
              <w:jc w:val="center"/>
            </w:pPr>
            <w:r>
              <w:rPr>
                <w:rFonts w:ascii="宋体" w:hAnsi="宋体" w:eastAsia="宋体"/>
                <w:sz w:val="16"/>
              </w:rPr>
              <w:t>75.19</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7B5206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77F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A9E4F">
            <w:pPr>
              <w:jc w:val="center"/>
            </w:pPr>
            <w:r>
              <w:rPr>
                <w:rFonts w:ascii="宋体" w:hAnsi="宋体" w:eastAsia="宋体"/>
                <w:sz w:val="16"/>
              </w:rPr>
              <w:t>-</w:t>
            </w:r>
          </w:p>
        </w:tc>
      </w:tr>
      <w:tr w14:paraId="7E7951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387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94BE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F36C4">
            <w:pPr>
              <w:jc w:val="center"/>
            </w:pPr>
            <w:r>
              <w:rPr>
                <w:rFonts w:ascii="宋体" w:hAnsi="宋体" w:eastAsia="宋体"/>
                <w:sz w:val="16"/>
              </w:rPr>
              <w:t>9.06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56FCE">
            <w:pPr>
              <w:jc w:val="center"/>
            </w:pPr>
            <w:r>
              <w:rPr>
                <w:rFonts w:ascii="宋体" w:hAnsi="宋体" w:eastAsia="宋体"/>
                <w:sz w:val="16"/>
              </w:rPr>
              <w:t>0.00</w:t>
            </w:r>
          </w:p>
        </w:tc>
        <w:tc>
          <w:tcPr>
            <w:tcW w:w="1269" w:type="dxa"/>
            <w:tcBorders>
              <w:top w:val="single" w:color="auto" w:sz="10" w:space="0"/>
              <w:left w:val="single" w:color="auto" w:sz="10" w:space="0"/>
              <w:bottom w:val="single" w:color="auto" w:sz="10" w:space="0"/>
              <w:right w:val="single" w:color="auto" w:sz="10" w:space="0"/>
              <w:insideV w:val="single" w:sz="10" w:space="0"/>
            </w:tcBorders>
            <w:vAlign w:val="center"/>
          </w:tcPr>
          <w:p w14:paraId="0857A651">
            <w:pPr>
              <w:jc w:val="center"/>
            </w:pPr>
            <w:r>
              <w:rPr>
                <w:rFonts w:ascii="宋体" w:hAnsi="宋体" w:eastAsia="宋体"/>
                <w:sz w:val="16"/>
              </w:rPr>
              <w:t>0.00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14448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458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0F1A3">
            <w:pPr>
              <w:jc w:val="center"/>
            </w:pPr>
            <w:r>
              <w:rPr>
                <w:rFonts w:ascii="宋体" w:hAnsi="宋体" w:eastAsia="宋体"/>
                <w:sz w:val="16"/>
              </w:rPr>
              <w:t>-</w:t>
            </w:r>
          </w:p>
        </w:tc>
      </w:tr>
      <w:tr w14:paraId="48B912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324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F0C5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6B3B0">
            <w:pPr>
              <w:jc w:val="center"/>
            </w:pPr>
            <w:r>
              <w:rPr>
                <w:rFonts w:ascii="宋体" w:hAnsi="宋体" w:eastAsia="宋体"/>
                <w:sz w:val="16"/>
              </w:rPr>
              <w:t>156.08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F5282">
            <w:pPr>
              <w:jc w:val="center"/>
            </w:pPr>
            <w:r>
              <w:rPr>
                <w:rFonts w:ascii="宋体" w:hAnsi="宋体" w:eastAsia="宋体"/>
                <w:sz w:val="16"/>
              </w:rPr>
              <w:t>112.43</w:t>
            </w:r>
          </w:p>
        </w:tc>
        <w:tc>
          <w:tcPr>
            <w:tcW w:w="1269" w:type="dxa"/>
            <w:tcBorders>
              <w:top w:val="single" w:color="auto" w:sz="10" w:space="0"/>
              <w:left w:val="single" w:color="auto" w:sz="10" w:space="0"/>
              <w:bottom w:val="single" w:color="auto" w:sz="10" w:space="0"/>
              <w:right w:val="single" w:color="auto" w:sz="10" w:space="0"/>
              <w:insideV w:val="single" w:sz="10" w:space="0"/>
            </w:tcBorders>
            <w:vAlign w:val="center"/>
          </w:tcPr>
          <w:p w14:paraId="0275058F">
            <w:pPr>
              <w:jc w:val="center"/>
            </w:pPr>
            <w:r>
              <w:rPr>
                <w:rFonts w:ascii="宋体" w:hAnsi="宋体" w:eastAsia="宋体"/>
                <w:sz w:val="16"/>
              </w:rPr>
              <w:t>106.52</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720A96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3972D">
            <w:pPr>
              <w:jc w:val="center"/>
            </w:pPr>
            <w:r>
              <w:rPr>
                <w:rFonts w:ascii="宋体" w:hAnsi="宋体" w:eastAsia="宋体"/>
                <w:sz w:val="16"/>
              </w:rPr>
              <w:t>94.74%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6839D">
            <w:pPr>
              <w:jc w:val="center"/>
            </w:pPr>
            <w:r>
              <w:rPr>
                <w:rFonts w:ascii="宋体" w:hAnsi="宋体" w:eastAsia="宋体"/>
                <w:sz w:val="16"/>
              </w:rPr>
              <w:t>9.48</w:t>
            </w:r>
          </w:p>
        </w:tc>
      </w:tr>
      <w:tr w14:paraId="1632DA3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F882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27513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BB6561">
            <w:pPr>
              <w:jc w:val="center"/>
            </w:pPr>
            <w:r>
              <w:rPr>
                <w:rFonts w:ascii="宋体" w:hAnsi="宋体" w:eastAsia="宋体"/>
                <w:sz w:val="16"/>
              </w:rPr>
              <w:t>实际完成情况</w:t>
            </w:r>
          </w:p>
        </w:tc>
      </w:tr>
      <w:tr w14:paraId="24F1BF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410D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010E58">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，落实有关教育经费的法规政策，普惠性幼儿园覆盖率达到100%，学前三年毛入园率达到90%，让国家优惠政策落实到每家每户，逐步提高乡镇师生的满意度。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7CA40D">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年初预算数为156.08万元，全年执行数为106.52万元，2024年</w:t>
            </w:r>
            <w:r>
              <w:rPr>
                <w:rFonts w:hint="eastAsia" w:ascii="宋体" w:hAnsi="宋体"/>
                <w:sz w:val="16"/>
                <w:lang w:eastAsia="zh-CN"/>
              </w:rPr>
              <w:t>本单位</w:t>
            </w:r>
            <w:r>
              <w:rPr>
                <w:rFonts w:ascii="宋体" w:hAnsi="宋体" w:eastAsia="宋体"/>
                <w:sz w:val="16"/>
              </w:rPr>
              <w:t>完成以下工作内容：1.保障人员工资、社保、公积金等人员经费支出；2.普惠性幼儿园持续发展、巩固九年义务教育教学。通过以上工作的实施，学校各项办公经费得到保障，使学校正常运转，落实有关教育经费的法规政策，让国家优惠政策落实到每家每户，逐步提高受益群众的满意度。</w:t>
            </w:r>
          </w:p>
        </w:tc>
      </w:tr>
      <w:tr w14:paraId="0B2081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CA48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8C03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C796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894A3">
            <w:pPr>
              <w:jc w:val="center"/>
            </w:pPr>
            <w:r>
              <w:rPr>
                <w:rFonts w:ascii="宋体" w:hAnsi="宋体" w:eastAsia="宋体"/>
                <w:sz w:val="16"/>
              </w:rPr>
              <w:t>预期指标值</w:t>
            </w:r>
          </w:p>
        </w:tc>
        <w:tc>
          <w:tcPr>
            <w:tcW w:w="1269" w:type="dxa"/>
            <w:tcBorders>
              <w:top w:val="single" w:color="auto" w:sz="10" w:space="0"/>
              <w:left w:val="single" w:color="auto" w:sz="10" w:space="0"/>
              <w:bottom w:val="single" w:color="auto" w:sz="10" w:space="0"/>
              <w:right w:val="single" w:color="auto" w:sz="10" w:space="0"/>
              <w:insideV w:val="single" w:sz="10" w:space="0"/>
            </w:tcBorders>
            <w:vAlign w:val="center"/>
          </w:tcPr>
          <w:p w14:paraId="0470861D">
            <w:pPr>
              <w:jc w:val="center"/>
            </w:pPr>
            <w:r>
              <w:rPr>
                <w:rFonts w:ascii="宋体" w:hAnsi="宋体" w:eastAsia="宋体"/>
                <w:sz w:val="16"/>
              </w:rPr>
              <w:t>指标值设定依据</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04D5AE1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B296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DFC79">
            <w:pPr>
              <w:jc w:val="center"/>
            </w:pPr>
            <w:r>
              <w:rPr>
                <w:rFonts w:ascii="宋体" w:hAnsi="宋体" w:eastAsia="宋体"/>
                <w:sz w:val="16"/>
              </w:rPr>
              <w:t>得分</w:t>
            </w:r>
          </w:p>
        </w:tc>
      </w:tr>
      <w:tr w14:paraId="1D4233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FBE88">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3AFD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7377D">
            <w:pPr>
              <w:jc w:val="center"/>
            </w:pPr>
            <w:r>
              <w:rPr>
                <w:rFonts w:ascii="宋体" w:hAnsi="宋体" w:eastAsia="宋体"/>
                <w:sz w:val="16"/>
              </w:rPr>
              <w:t>幼儿入园人数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1035A">
            <w:pPr>
              <w:jc w:val="center"/>
            </w:pPr>
            <w:r>
              <w:rPr>
                <w:rFonts w:ascii="宋体" w:hAnsi="宋体" w:eastAsia="宋体"/>
                <w:sz w:val="16"/>
              </w:rPr>
              <w:t>&lt;=267人</w:t>
            </w:r>
          </w:p>
        </w:tc>
        <w:tc>
          <w:tcPr>
            <w:tcW w:w="1269" w:type="dxa"/>
            <w:tcBorders>
              <w:top w:val="single" w:color="auto" w:sz="10" w:space="0"/>
              <w:left w:val="single" w:color="auto" w:sz="10" w:space="0"/>
              <w:bottom w:val="single" w:color="auto" w:sz="10" w:space="0"/>
              <w:right w:val="single" w:color="auto" w:sz="10" w:space="0"/>
              <w:insideV w:val="single" w:sz="10" w:space="0"/>
            </w:tcBorders>
            <w:vAlign w:val="center"/>
          </w:tcPr>
          <w:p w14:paraId="3B74274B">
            <w:pPr>
              <w:jc w:val="center"/>
            </w:pPr>
            <w:r>
              <w:rPr>
                <w:rFonts w:ascii="宋体" w:hAnsi="宋体" w:eastAsia="宋体"/>
                <w:sz w:val="16"/>
              </w:rPr>
              <w:t>2023年经费年报</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71B1EBD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C72C7">
            <w:pPr>
              <w:jc w:val="center"/>
            </w:pPr>
            <w:r>
              <w:rPr>
                <w:rFonts w:ascii="宋体" w:hAnsi="宋体" w:eastAsia="宋体"/>
                <w:sz w:val="16"/>
              </w:rPr>
              <w:t>=307人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A4BC3">
            <w:pPr>
              <w:jc w:val="center"/>
            </w:pPr>
            <w:r>
              <w:rPr>
                <w:rFonts w:ascii="宋体" w:hAnsi="宋体" w:eastAsia="宋体"/>
                <w:sz w:val="16"/>
              </w:rPr>
              <w:t>15</w:t>
            </w:r>
          </w:p>
        </w:tc>
      </w:tr>
      <w:tr w14:paraId="3B556C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8CA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CD6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8E6C9">
            <w:pPr>
              <w:jc w:val="center"/>
            </w:pPr>
            <w:r>
              <w:rPr>
                <w:rFonts w:ascii="宋体" w:hAnsi="宋体" w:eastAsia="宋体"/>
                <w:sz w:val="16"/>
              </w:rPr>
              <w:t>教职工人数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1D27F">
            <w:pPr>
              <w:jc w:val="center"/>
            </w:pPr>
            <w:r>
              <w:rPr>
                <w:rFonts w:ascii="宋体" w:hAnsi="宋体" w:eastAsia="宋体"/>
                <w:sz w:val="16"/>
              </w:rPr>
              <w:t>&lt;=38人</w:t>
            </w:r>
          </w:p>
        </w:tc>
        <w:tc>
          <w:tcPr>
            <w:tcW w:w="1269" w:type="dxa"/>
            <w:tcBorders>
              <w:top w:val="single" w:color="auto" w:sz="10" w:space="0"/>
              <w:left w:val="single" w:color="auto" w:sz="10" w:space="0"/>
              <w:bottom w:val="single" w:color="auto" w:sz="10" w:space="0"/>
              <w:right w:val="single" w:color="auto" w:sz="10" w:space="0"/>
              <w:insideV w:val="single" w:sz="10" w:space="0"/>
            </w:tcBorders>
            <w:vAlign w:val="center"/>
          </w:tcPr>
          <w:p w14:paraId="0888C235">
            <w:pPr>
              <w:jc w:val="center"/>
            </w:pPr>
            <w:r>
              <w:rPr>
                <w:rFonts w:ascii="宋体" w:hAnsi="宋体" w:eastAsia="宋体"/>
                <w:sz w:val="16"/>
              </w:rPr>
              <w:t>2023年经费年报</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6BF5D174">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0FF72">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9AB2B">
            <w:pPr>
              <w:jc w:val="center"/>
            </w:pPr>
            <w:r>
              <w:rPr>
                <w:rFonts w:ascii="宋体" w:hAnsi="宋体" w:eastAsia="宋体"/>
                <w:sz w:val="16"/>
              </w:rPr>
              <w:t>1.58</w:t>
            </w:r>
          </w:p>
        </w:tc>
      </w:tr>
      <w:tr w14:paraId="082AACC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A31F6">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DAB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8159A">
            <w:pPr>
              <w:jc w:val="center"/>
            </w:pPr>
            <w:r>
              <w:rPr>
                <w:rFonts w:ascii="宋体" w:hAnsi="宋体" w:eastAsia="宋体"/>
                <w:sz w:val="16"/>
              </w:rPr>
              <w:t>开展专题活动次数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EA5C7">
            <w:pPr>
              <w:jc w:val="center"/>
            </w:pPr>
            <w:r>
              <w:rPr>
                <w:rFonts w:ascii="宋体" w:hAnsi="宋体" w:eastAsia="宋体"/>
                <w:sz w:val="16"/>
              </w:rPr>
              <w:t>&gt;=5次</w:t>
            </w:r>
          </w:p>
        </w:tc>
        <w:tc>
          <w:tcPr>
            <w:tcW w:w="1269" w:type="dxa"/>
            <w:tcBorders>
              <w:top w:val="single" w:color="auto" w:sz="10" w:space="0"/>
              <w:left w:val="single" w:color="auto" w:sz="10" w:space="0"/>
              <w:bottom w:val="single" w:color="auto" w:sz="10" w:space="0"/>
              <w:right w:val="single" w:color="auto" w:sz="10" w:space="0"/>
              <w:insideV w:val="single" w:sz="10" w:space="0"/>
            </w:tcBorders>
            <w:vAlign w:val="center"/>
          </w:tcPr>
          <w:p w14:paraId="68EF721E">
            <w:pPr>
              <w:jc w:val="center"/>
            </w:pPr>
            <w:r>
              <w:rPr>
                <w:rFonts w:ascii="宋体" w:hAnsi="宋体" w:eastAsia="宋体"/>
                <w:sz w:val="16"/>
              </w:rPr>
              <w:t>昌吉州实验幼儿园准东分园2023年工作总结</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266D21E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E0951">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C1D1B">
            <w:pPr>
              <w:jc w:val="center"/>
            </w:pPr>
            <w:r>
              <w:rPr>
                <w:rFonts w:ascii="宋体" w:hAnsi="宋体" w:eastAsia="宋体"/>
                <w:sz w:val="16"/>
              </w:rPr>
              <w:t>15</w:t>
            </w:r>
          </w:p>
        </w:tc>
      </w:tr>
      <w:tr w14:paraId="3048F7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308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80C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247E0">
            <w:pPr>
              <w:jc w:val="center"/>
            </w:pPr>
            <w:r>
              <w:rPr>
                <w:rFonts w:ascii="宋体" w:hAnsi="宋体" w:eastAsia="宋体"/>
                <w:sz w:val="16"/>
              </w:rPr>
              <w:t>组织教职工培训学习人次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E9037">
            <w:pPr>
              <w:jc w:val="center"/>
            </w:pPr>
            <w:r>
              <w:rPr>
                <w:rFonts w:ascii="宋体" w:hAnsi="宋体" w:eastAsia="宋体"/>
                <w:sz w:val="16"/>
              </w:rPr>
              <w:t>&gt;=10人次</w:t>
            </w:r>
          </w:p>
        </w:tc>
        <w:tc>
          <w:tcPr>
            <w:tcW w:w="1269" w:type="dxa"/>
            <w:tcBorders>
              <w:top w:val="single" w:color="auto" w:sz="10" w:space="0"/>
              <w:left w:val="single" w:color="auto" w:sz="10" w:space="0"/>
              <w:bottom w:val="single" w:color="auto" w:sz="10" w:space="0"/>
              <w:right w:val="single" w:color="auto" w:sz="10" w:space="0"/>
              <w:insideV w:val="single" w:sz="10" w:space="0"/>
            </w:tcBorders>
            <w:vAlign w:val="center"/>
          </w:tcPr>
          <w:p w14:paraId="6B6D2DDF">
            <w:pPr>
              <w:jc w:val="center"/>
            </w:pPr>
            <w:r>
              <w:rPr>
                <w:rFonts w:ascii="宋体" w:hAnsi="宋体" w:eastAsia="宋体"/>
                <w:sz w:val="16"/>
              </w:rPr>
              <w:t>昌吉州实验幼儿园准东分园2023年工作总结</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EC0CF41">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0D010">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52E50">
            <w:pPr>
              <w:jc w:val="center"/>
            </w:pPr>
            <w:r>
              <w:rPr>
                <w:rFonts w:ascii="宋体" w:hAnsi="宋体" w:eastAsia="宋体"/>
                <w:sz w:val="16"/>
              </w:rPr>
              <w:t>16</w:t>
            </w:r>
          </w:p>
        </w:tc>
      </w:tr>
      <w:tr w14:paraId="25AC5D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7F6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D30F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06A11">
            <w:pPr>
              <w:jc w:val="center"/>
            </w:pPr>
            <w:r>
              <w:rPr>
                <w:rFonts w:ascii="宋体" w:hAnsi="宋体" w:eastAsia="宋体"/>
                <w:sz w:val="16"/>
              </w:rPr>
              <w:t>安全隐患排查次数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1299E">
            <w:pPr>
              <w:jc w:val="center"/>
            </w:pPr>
            <w:r>
              <w:rPr>
                <w:rFonts w:ascii="宋体" w:hAnsi="宋体" w:eastAsia="宋体"/>
                <w:sz w:val="16"/>
              </w:rPr>
              <w:t>&gt;=5次</w:t>
            </w:r>
          </w:p>
        </w:tc>
        <w:tc>
          <w:tcPr>
            <w:tcW w:w="1269" w:type="dxa"/>
            <w:tcBorders>
              <w:top w:val="single" w:color="auto" w:sz="10" w:space="0"/>
              <w:left w:val="single" w:color="auto" w:sz="10" w:space="0"/>
              <w:bottom w:val="single" w:color="auto" w:sz="10" w:space="0"/>
              <w:right w:val="single" w:color="auto" w:sz="10" w:space="0"/>
              <w:insideV w:val="single" w:sz="10" w:space="0"/>
            </w:tcBorders>
            <w:vAlign w:val="center"/>
          </w:tcPr>
          <w:p w14:paraId="32368FFC">
            <w:pPr>
              <w:jc w:val="center"/>
            </w:pPr>
            <w:r>
              <w:rPr>
                <w:rFonts w:ascii="宋体" w:hAnsi="宋体" w:eastAsia="宋体"/>
                <w:sz w:val="16"/>
              </w:rPr>
              <w:t>昌吉州实验幼儿园准东分园2023年工作总结</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75FA58EC">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61BF9">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F329E">
            <w:pPr>
              <w:jc w:val="center"/>
            </w:pPr>
            <w:r>
              <w:rPr>
                <w:rFonts w:ascii="宋体" w:hAnsi="宋体" w:eastAsia="宋体"/>
                <w:sz w:val="16"/>
              </w:rPr>
              <w:t>14</w:t>
            </w:r>
          </w:p>
        </w:tc>
      </w:tr>
      <w:tr w14:paraId="18D74A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18B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7CF2C">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9177F">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18D36">
            <w:pPr>
              <w:jc w:val="center"/>
            </w:pPr>
            <w:r>
              <w:rPr>
                <w:rFonts w:ascii="宋体" w:hAnsi="宋体" w:eastAsia="宋体"/>
                <w:sz w:val="16"/>
              </w:rPr>
              <w:t>=100%</w:t>
            </w:r>
          </w:p>
        </w:tc>
        <w:tc>
          <w:tcPr>
            <w:tcW w:w="1269" w:type="dxa"/>
            <w:tcBorders>
              <w:top w:val="single" w:color="auto" w:sz="10" w:space="0"/>
              <w:left w:val="single" w:color="auto" w:sz="10" w:space="0"/>
              <w:bottom w:val="single" w:color="auto" w:sz="10" w:space="0"/>
              <w:right w:val="single" w:color="auto" w:sz="10" w:space="0"/>
              <w:insideV w:val="single" w:sz="10" w:space="0"/>
            </w:tcBorders>
            <w:vAlign w:val="center"/>
          </w:tcPr>
          <w:p w14:paraId="710EA60A">
            <w:pPr>
              <w:jc w:val="center"/>
            </w:pPr>
            <w:r>
              <w:rPr>
                <w:rFonts w:ascii="宋体" w:hAnsi="宋体" w:eastAsia="宋体"/>
                <w:sz w:val="16"/>
              </w:rPr>
              <w:t>昌吉州实验幼儿园准东分园2023年工作总结</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6DFABB8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36C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7C7BD">
            <w:pPr>
              <w:jc w:val="center"/>
            </w:pPr>
            <w:r>
              <w:rPr>
                <w:rFonts w:ascii="宋体" w:hAnsi="宋体" w:eastAsia="宋体"/>
                <w:sz w:val="16"/>
              </w:rPr>
              <w:t>18</w:t>
            </w:r>
          </w:p>
        </w:tc>
      </w:tr>
    </w:tbl>
    <w:p w14:paraId="1C89174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02F85530">
        <w:tblPrEx>
          <w:tblCellMar>
            <w:top w:w="0" w:type="dxa"/>
            <w:left w:w="108" w:type="dxa"/>
            <w:bottom w:w="0" w:type="dxa"/>
            <w:right w:w="108" w:type="dxa"/>
          </w:tblCellMar>
        </w:tblPrEx>
        <w:tc>
          <w:tcPr>
            <w:tcW w:w="8848" w:type="dxa"/>
            <w:gridSpan w:val="14"/>
            <w:vAlign w:val="center"/>
          </w:tcPr>
          <w:p w14:paraId="76BDB2F9">
            <w:pPr>
              <w:jc w:val="center"/>
            </w:pPr>
            <w:r>
              <w:rPr>
                <w:rFonts w:ascii="宋体" w:hAnsi="宋体" w:eastAsia="宋体"/>
                <w:sz w:val="24"/>
              </w:rPr>
              <w:t>项目支出绩效自评表</w:t>
            </w:r>
          </w:p>
        </w:tc>
      </w:tr>
      <w:tr w14:paraId="3F8CEF6F">
        <w:tblPrEx>
          <w:tblCellMar>
            <w:top w:w="0" w:type="dxa"/>
            <w:left w:w="108" w:type="dxa"/>
            <w:bottom w:w="0" w:type="dxa"/>
            <w:right w:w="108" w:type="dxa"/>
          </w:tblCellMar>
        </w:tblPrEx>
        <w:tc>
          <w:tcPr>
            <w:tcW w:w="8848" w:type="dxa"/>
            <w:gridSpan w:val="14"/>
            <w:vAlign w:val="center"/>
          </w:tcPr>
          <w:p w14:paraId="651EAA1C">
            <w:pPr>
              <w:jc w:val="center"/>
            </w:pPr>
            <w:r>
              <w:rPr>
                <w:rFonts w:ascii="宋体" w:hAnsi="宋体" w:eastAsia="宋体"/>
                <w:sz w:val="24"/>
              </w:rPr>
              <w:t>(2024年度)</w:t>
            </w:r>
          </w:p>
        </w:tc>
      </w:tr>
      <w:tr w14:paraId="4A0117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B7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ADAAD6">
            <w:pPr>
              <w:jc w:val="center"/>
            </w:pPr>
            <w:r>
              <w:rPr>
                <w:rFonts w:ascii="宋体" w:hAnsi="宋体" w:eastAsia="宋体"/>
                <w:sz w:val="16"/>
              </w:rPr>
              <w:t>七幼昌州财教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关于提前下达2024年新疆西藏等地区教育特殊补助资金的通知（学前三年幼儿保障经费（公用经费））</w:t>
            </w:r>
          </w:p>
        </w:tc>
      </w:tr>
      <w:tr w14:paraId="0A85C4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05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6A12A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B4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E5AEE5">
            <w:pPr>
              <w:jc w:val="center"/>
            </w:pPr>
            <w:r>
              <w:rPr>
                <w:rFonts w:ascii="宋体" w:hAnsi="宋体" w:eastAsia="宋体"/>
                <w:sz w:val="16"/>
              </w:rPr>
              <w:t>吉木萨尔县第七幼儿园</w:t>
            </w:r>
          </w:p>
        </w:tc>
      </w:tr>
      <w:tr w14:paraId="7AA2DA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52FA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81C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C27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A72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A2A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84F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7CF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91F1">
            <w:pPr>
              <w:jc w:val="center"/>
            </w:pPr>
            <w:r>
              <w:rPr>
                <w:rFonts w:ascii="宋体" w:hAnsi="宋体" w:eastAsia="宋体"/>
                <w:sz w:val="16"/>
              </w:rPr>
              <w:t>得分</w:t>
            </w:r>
          </w:p>
        </w:tc>
      </w:tr>
      <w:tr w14:paraId="51DEB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79C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B99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CDDD4">
            <w:pPr>
              <w:jc w:val="center"/>
            </w:pPr>
            <w:r>
              <w:rPr>
                <w:rFonts w:ascii="宋体" w:hAnsi="宋体" w:eastAsia="宋体"/>
                <w:sz w:val="16"/>
              </w:rPr>
              <w:t>24.73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02A97">
            <w:pPr>
              <w:jc w:val="center"/>
            </w:pPr>
            <w:r>
              <w:rPr>
                <w:rFonts w:ascii="宋体" w:hAnsi="宋体" w:eastAsia="宋体"/>
                <w:sz w:val="16"/>
              </w:rPr>
              <w:t>24.73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7436B">
            <w:pPr>
              <w:jc w:val="center"/>
            </w:pPr>
            <w:r>
              <w:rPr>
                <w:rFonts w:ascii="宋体" w:hAnsi="宋体" w:eastAsia="宋体"/>
                <w:sz w:val="16"/>
              </w:rPr>
              <w:t>24.73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094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393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5F51">
            <w:pPr>
              <w:jc w:val="center"/>
            </w:pPr>
            <w:r>
              <w:rPr>
                <w:rFonts w:ascii="宋体" w:hAnsi="宋体" w:eastAsia="宋体"/>
                <w:sz w:val="16"/>
              </w:rPr>
              <w:t>10.00</w:t>
            </w:r>
          </w:p>
        </w:tc>
      </w:tr>
      <w:tr w14:paraId="03713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808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A6C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42525">
            <w:pPr>
              <w:jc w:val="center"/>
            </w:pPr>
            <w:r>
              <w:rPr>
                <w:rFonts w:ascii="宋体" w:hAnsi="宋体" w:eastAsia="宋体"/>
                <w:sz w:val="16"/>
              </w:rPr>
              <w:t>24.73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73F23">
            <w:pPr>
              <w:jc w:val="center"/>
            </w:pPr>
            <w:r>
              <w:rPr>
                <w:rFonts w:ascii="宋体" w:hAnsi="宋体" w:eastAsia="宋体"/>
                <w:sz w:val="16"/>
              </w:rPr>
              <w:t>24.73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4B5DA">
            <w:pPr>
              <w:jc w:val="center"/>
            </w:pPr>
            <w:r>
              <w:rPr>
                <w:rFonts w:ascii="宋体" w:hAnsi="宋体" w:eastAsia="宋体"/>
                <w:sz w:val="16"/>
              </w:rPr>
              <w:t>24.73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20D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70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1EC9">
            <w:pPr>
              <w:jc w:val="center"/>
            </w:pPr>
            <w:r>
              <w:rPr>
                <w:rFonts w:ascii="宋体" w:hAnsi="宋体" w:eastAsia="宋体"/>
                <w:sz w:val="16"/>
              </w:rPr>
              <w:t>—</w:t>
            </w:r>
          </w:p>
        </w:tc>
      </w:tr>
      <w:tr w14:paraId="23D97E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855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34D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469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0E4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DC8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A5B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F2D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8604">
            <w:pPr>
              <w:jc w:val="center"/>
            </w:pPr>
            <w:r>
              <w:rPr>
                <w:rFonts w:ascii="宋体" w:hAnsi="宋体" w:eastAsia="宋体"/>
                <w:sz w:val="16"/>
              </w:rPr>
              <w:t>—</w:t>
            </w:r>
          </w:p>
        </w:tc>
      </w:tr>
      <w:tr w14:paraId="363D9E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CDE0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1307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AB783">
            <w:pPr>
              <w:jc w:val="center"/>
            </w:pPr>
            <w:r>
              <w:rPr>
                <w:rFonts w:ascii="宋体" w:hAnsi="宋体" w:eastAsia="宋体"/>
                <w:sz w:val="16"/>
              </w:rPr>
              <w:t>实际完成情况</w:t>
            </w:r>
          </w:p>
        </w:tc>
      </w:tr>
      <w:tr w14:paraId="19A6D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DF7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05259A">
            <w:pPr>
              <w:jc w:val="both"/>
            </w:pPr>
            <w:r>
              <w:rPr>
                <w:rFonts w:ascii="宋体" w:hAnsi="宋体" w:eastAsia="宋体"/>
                <w:sz w:val="16"/>
              </w:rPr>
              <w:t>2024年吉木萨尔县第七幼儿园特殊教育补助资金拨付24.73万元，幼儿在园人数267人，公用经费生均补助1100元，主要用于支付水电费、维修费、设备购置、材料采购等，保障学前教育工作正常运转，提高学生及家长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92A173">
            <w:pPr>
              <w:jc w:val="both"/>
            </w:pPr>
            <w:r>
              <w:rPr>
                <w:rFonts w:hint="eastAsia" w:ascii="宋体" w:hAnsi="宋体"/>
                <w:sz w:val="16"/>
                <w:lang w:eastAsia="zh-CN"/>
              </w:rPr>
              <w:t>截至2024</w:t>
            </w:r>
            <w:r>
              <w:rPr>
                <w:rFonts w:ascii="宋体" w:hAnsi="宋体" w:eastAsia="宋体"/>
                <w:sz w:val="16"/>
              </w:rPr>
              <w:t>年12月31日，本项目实际支付24.73万元，预算执行率为100%，通过实施此项目使我校307名幼儿享受到公用经费补助，补助覆盖率达到了100%，保障了我校学前三年教育发展正常运转，学生、家长满意度提高。</w:t>
            </w:r>
          </w:p>
        </w:tc>
      </w:tr>
      <w:tr w14:paraId="1BF66E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06D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A9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B8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E3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F8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1BD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ED0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E67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179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3F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AE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E9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C4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FC6A">
            <w:pPr>
              <w:jc w:val="center"/>
            </w:pPr>
            <w:r>
              <w:rPr>
                <w:rFonts w:ascii="宋体" w:hAnsi="宋体" w:eastAsia="宋体"/>
                <w:sz w:val="16"/>
              </w:rPr>
              <w:t>偏差原因分析及改进措施</w:t>
            </w:r>
          </w:p>
        </w:tc>
      </w:tr>
      <w:tr w14:paraId="35D18D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AEA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57E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06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1E83">
            <w:pPr>
              <w:jc w:val="center"/>
            </w:pPr>
            <w:r>
              <w:rPr>
                <w:rFonts w:ascii="宋体" w:hAnsi="宋体" w:eastAsia="宋体"/>
                <w:sz w:val="16"/>
              </w:rPr>
              <w:t>保障农村学前三年适龄幼儿人数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86C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191B">
            <w:pPr>
              <w:jc w:val="center"/>
            </w:pPr>
            <w:r>
              <w:rPr>
                <w:rFonts w:ascii="宋体" w:hAnsi="宋体" w:eastAsia="宋体"/>
                <w:sz w:val="16"/>
              </w:rPr>
              <w:t>=267人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F2D9">
            <w:pPr>
              <w:jc w:val="center"/>
            </w:pPr>
            <w:r>
              <w:rPr>
                <w:rFonts w:ascii="宋体" w:hAnsi="宋体" w:eastAsia="宋体"/>
                <w:sz w:val="16"/>
              </w:rPr>
              <w:t>=307人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A8CB">
            <w:pPr>
              <w:jc w:val="center"/>
            </w:pPr>
            <w:r>
              <w:rPr>
                <w:rFonts w:ascii="宋体" w:hAnsi="宋体" w:eastAsia="宋体"/>
                <w:sz w:val="16"/>
              </w:rPr>
              <w:t>114.98%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D42E">
            <w:pPr>
              <w:jc w:val="center"/>
            </w:pPr>
            <w:r>
              <w:rPr>
                <w:rFonts w:ascii="宋体" w:hAnsi="宋体" w:eastAsia="宋体"/>
                <w:sz w:val="16"/>
              </w:rPr>
              <w:t>12.75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3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16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79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6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BE00">
            <w:pPr>
              <w:jc w:val="center"/>
            </w:pPr>
            <w:r>
              <w:rPr>
                <w:rFonts w:ascii="宋体" w:hAnsi="宋体" w:eastAsia="宋体"/>
                <w:sz w:val="16"/>
              </w:rPr>
              <w:t>2024年上半年幼儿人数为267人，下半年为307人，以统计年报为准。</w:t>
            </w:r>
          </w:p>
        </w:tc>
      </w:tr>
      <w:tr w14:paraId="54E81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A2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BB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0C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A4AD">
            <w:pPr>
              <w:jc w:val="center"/>
            </w:pPr>
            <w:r>
              <w:rPr>
                <w:rFonts w:ascii="宋体" w:hAnsi="宋体" w:eastAsia="宋体"/>
                <w:sz w:val="16"/>
              </w:rPr>
              <w:t>农村学前国语教育覆盖率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88A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72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E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5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BA1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ED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EA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E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3E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1436">
            <w:pPr>
              <w:jc w:val="center"/>
            </w:pPr>
          </w:p>
        </w:tc>
      </w:tr>
      <w:tr w14:paraId="2F4D0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A7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5A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75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892C">
            <w:pPr>
              <w:jc w:val="center"/>
            </w:pPr>
            <w:r>
              <w:rPr>
                <w:rFonts w:ascii="宋体" w:hAnsi="宋体" w:eastAsia="宋体"/>
                <w:sz w:val="16"/>
              </w:rPr>
              <w:t>课本按期发放率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81B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4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96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3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43C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A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C2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20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68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403A">
            <w:pPr>
              <w:jc w:val="center"/>
            </w:pPr>
          </w:p>
        </w:tc>
      </w:tr>
      <w:tr w14:paraId="3CF432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616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DC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E1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455C">
            <w:pPr>
              <w:jc w:val="center"/>
            </w:pPr>
            <w:r>
              <w:rPr>
                <w:rFonts w:ascii="宋体" w:hAnsi="宋体" w:eastAsia="宋体"/>
                <w:sz w:val="16"/>
              </w:rPr>
              <w:t>幼儿生均保障标准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A1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3FF4A">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9FDB">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D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A0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3E8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2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01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C09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68D2">
            <w:pPr>
              <w:jc w:val="center"/>
            </w:pPr>
          </w:p>
        </w:tc>
      </w:tr>
      <w:tr w14:paraId="73D1D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67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6D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BE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050A">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F2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C162">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7C4C">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80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E9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55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11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35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C2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5FAB">
            <w:pPr>
              <w:jc w:val="center"/>
            </w:pPr>
          </w:p>
        </w:tc>
      </w:tr>
      <w:tr w14:paraId="1128E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899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FAF3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874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ADAE">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12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55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678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1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72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FC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A3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48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E8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E614">
            <w:pPr>
              <w:jc w:val="center"/>
            </w:pPr>
          </w:p>
        </w:tc>
      </w:tr>
      <w:tr w14:paraId="4EAE3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75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37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7C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58E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04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7C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DD2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CD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5F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8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F9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52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AD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A9E2">
            <w:pPr>
              <w:jc w:val="center"/>
            </w:pPr>
          </w:p>
        </w:tc>
      </w:tr>
      <w:tr w14:paraId="5DA915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A0F9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D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3DE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5FBD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F96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2EFD">
            <w:pPr>
              <w:jc w:val="center"/>
            </w:pPr>
            <w:r>
              <w:rPr>
                <w:rFonts w:ascii="宋体" w:hAnsi="宋体" w:eastAsia="宋体"/>
                <w:sz w:val="16"/>
              </w:rPr>
              <w:t>97.75分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3B83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3CA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B1E9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631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3BC1C5"/>
        </w:tc>
      </w:tr>
    </w:tbl>
    <w:p w14:paraId="2C3AE92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2AF0C1F4">
        <w:tblPrEx>
          <w:tblCellMar>
            <w:top w:w="0" w:type="dxa"/>
            <w:left w:w="108" w:type="dxa"/>
            <w:bottom w:w="0" w:type="dxa"/>
            <w:right w:w="108" w:type="dxa"/>
          </w:tblCellMar>
        </w:tblPrEx>
        <w:tc>
          <w:tcPr>
            <w:tcW w:w="8848" w:type="dxa"/>
            <w:gridSpan w:val="14"/>
            <w:vAlign w:val="center"/>
          </w:tcPr>
          <w:p w14:paraId="16B59983">
            <w:pPr>
              <w:jc w:val="center"/>
            </w:pPr>
            <w:r>
              <w:rPr>
                <w:rFonts w:ascii="宋体" w:hAnsi="宋体" w:eastAsia="宋体"/>
                <w:sz w:val="24"/>
              </w:rPr>
              <w:t>项目支出绩效自评表</w:t>
            </w:r>
          </w:p>
        </w:tc>
      </w:tr>
      <w:tr w14:paraId="7683DD52">
        <w:tblPrEx>
          <w:tblCellMar>
            <w:top w:w="0" w:type="dxa"/>
            <w:left w:w="108" w:type="dxa"/>
            <w:bottom w:w="0" w:type="dxa"/>
            <w:right w:w="108" w:type="dxa"/>
          </w:tblCellMar>
        </w:tblPrEx>
        <w:tc>
          <w:tcPr>
            <w:tcW w:w="8848" w:type="dxa"/>
            <w:gridSpan w:val="14"/>
            <w:vAlign w:val="center"/>
          </w:tcPr>
          <w:p w14:paraId="13F4AF11">
            <w:pPr>
              <w:jc w:val="center"/>
            </w:pPr>
            <w:r>
              <w:rPr>
                <w:rFonts w:ascii="宋体" w:hAnsi="宋体" w:eastAsia="宋体"/>
                <w:sz w:val="24"/>
              </w:rPr>
              <w:t>(2024年度)</w:t>
            </w:r>
          </w:p>
        </w:tc>
      </w:tr>
      <w:tr w14:paraId="2BBE21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72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A2D664">
            <w:pPr>
              <w:jc w:val="center"/>
            </w:pPr>
            <w:r>
              <w:rPr>
                <w:rFonts w:ascii="宋体" w:hAnsi="宋体" w:eastAsia="宋体"/>
                <w:sz w:val="16"/>
              </w:rPr>
              <w:t>第七幼儿园农村学前三年免费教育保障经费</w:t>
            </w:r>
            <w:r>
              <w:rPr>
                <w:rFonts w:hint="eastAsia" w:ascii="宋体" w:hAnsi="宋体"/>
                <w:sz w:val="16"/>
                <w:lang w:eastAsia="zh-CN"/>
              </w:rPr>
              <w:t>－</w:t>
            </w:r>
            <w:r>
              <w:rPr>
                <w:rFonts w:ascii="宋体" w:hAnsi="宋体" w:eastAsia="宋体"/>
                <w:sz w:val="16"/>
              </w:rPr>
              <w:t>伙食补助</w:t>
            </w:r>
          </w:p>
        </w:tc>
      </w:tr>
      <w:tr w14:paraId="353D32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D0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9BF766">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5F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D0D318">
            <w:pPr>
              <w:jc w:val="center"/>
            </w:pPr>
            <w:r>
              <w:rPr>
                <w:rFonts w:ascii="宋体" w:hAnsi="宋体" w:eastAsia="宋体"/>
                <w:sz w:val="16"/>
              </w:rPr>
              <w:t>吉木萨尔县第七幼儿园</w:t>
            </w:r>
          </w:p>
        </w:tc>
      </w:tr>
      <w:tr w14:paraId="1A9F8C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CCF7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0A0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93D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72F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AA8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0B6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EEF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0A9A">
            <w:pPr>
              <w:jc w:val="center"/>
            </w:pPr>
            <w:r>
              <w:rPr>
                <w:rFonts w:ascii="宋体" w:hAnsi="宋体" w:eastAsia="宋体"/>
                <w:sz w:val="16"/>
              </w:rPr>
              <w:t>得分</w:t>
            </w:r>
          </w:p>
        </w:tc>
      </w:tr>
      <w:tr w14:paraId="6737B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D5F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026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1AD7F">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FCC67">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2DCE3">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FD7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200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DA47">
            <w:pPr>
              <w:jc w:val="center"/>
            </w:pPr>
            <w:r>
              <w:rPr>
                <w:rFonts w:ascii="宋体" w:hAnsi="宋体" w:eastAsia="宋体"/>
                <w:sz w:val="16"/>
              </w:rPr>
              <w:t>10.00</w:t>
            </w:r>
          </w:p>
        </w:tc>
      </w:tr>
      <w:tr w14:paraId="54978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56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53B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6A1A6">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935B7">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C5546">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506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E5A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158E">
            <w:pPr>
              <w:jc w:val="center"/>
            </w:pPr>
            <w:r>
              <w:rPr>
                <w:rFonts w:ascii="宋体" w:hAnsi="宋体" w:eastAsia="宋体"/>
                <w:sz w:val="16"/>
              </w:rPr>
              <w:t>—</w:t>
            </w:r>
          </w:p>
        </w:tc>
      </w:tr>
      <w:tr w14:paraId="5DA2D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49C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3B8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BA1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600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493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AF4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875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8F0E">
            <w:pPr>
              <w:jc w:val="center"/>
            </w:pPr>
            <w:r>
              <w:rPr>
                <w:rFonts w:ascii="宋体" w:hAnsi="宋体" w:eastAsia="宋体"/>
                <w:sz w:val="16"/>
              </w:rPr>
              <w:t>—</w:t>
            </w:r>
          </w:p>
        </w:tc>
      </w:tr>
      <w:tr w14:paraId="49D106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EB0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485C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B95D62">
            <w:pPr>
              <w:jc w:val="center"/>
            </w:pPr>
            <w:r>
              <w:rPr>
                <w:rFonts w:ascii="宋体" w:hAnsi="宋体" w:eastAsia="宋体"/>
                <w:sz w:val="16"/>
              </w:rPr>
              <w:t>实际完成情况</w:t>
            </w:r>
          </w:p>
        </w:tc>
      </w:tr>
      <w:tr w14:paraId="466E7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6BC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702029">
            <w:pPr>
              <w:jc w:val="both"/>
            </w:pPr>
            <w:r>
              <w:rPr>
                <w:rFonts w:ascii="宋体" w:hAnsi="宋体" w:eastAsia="宋体"/>
                <w:sz w:val="16"/>
              </w:rPr>
              <w:t>七幼农村学前三年免费教育保障经费资金6.6万元，按照幼儿在园人数及生均补助标准2800元，我校在校幼儿人数267人，保障农村幼儿接受学前三年免费教育。争取使受益家长满意度不低于90%。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D281BF">
            <w:pPr>
              <w:jc w:val="both"/>
            </w:pPr>
            <w:r>
              <w:rPr>
                <w:rFonts w:hint="eastAsia" w:ascii="宋体" w:hAnsi="宋体"/>
                <w:sz w:val="16"/>
                <w:lang w:eastAsia="zh-CN"/>
              </w:rPr>
              <w:t>截至</w:t>
            </w:r>
            <w:r>
              <w:rPr>
                <w:rFonts w:ascii="宋体" w:hAnsi="宋体" w:eastAsia="宋体"/>
                <w:sz w:val="16"/>
              </w:rPr>
              <w:t>2024年12月31日，本项目实际支出资金6.6万元，预算执行率为100%，通过实施此项目使我校307名幼儿享受到伙食补助，补助覆盖率达到了100%，保障了我校学前三年教育发展正常运转，学生、家长满意度提高。</w:t>
            </w:r>
          </w:p>
        </w:tc>
      </w:tr>
      <w:tr w14:paraId="3EC919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F9A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DB3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AC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51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3B4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4A2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DF8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B3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D5A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F7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FE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36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DC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1A13">
            <w:pPr>
              <w:jc w:val="center"/>
            </w:pPr>
            <w:r>
              <w:rPr>
                <w:rFonts w:ascii="宋体" w:hAnsi="宋体" w:eastAsia="宋体"/>
                <w:sz w:val="16"/>
              </w:rPr>
              <w:t>偏差原因分析及改进措施</w:t>
            </w:r>
          </w:p>
        </w:tc>
      </w:tr>
      <w:tr w14:paraId="30E082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277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4AAB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D5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9C91">
            <w:pPr>
              <w:jc w:val="center"/>
            </w:pPr>
            <w:r>
              <w:rPr>
                <w:rFonts w:ascii="宋体" w:hAnsi="宋体" w:eastAsia="宋体"/>
                <w:sz w:val="16"/>
              </w:rPr>
              <w:t>幼儿在校人数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0D1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7125">
            <w:pPr>
              <w:jc w:val="center"/>
            </w:pPr>
            <w:r>
              <w:rPr>
                <w:rFonts w:ascii="宋体" w:hAnsi="宋体" w:eastAsia="宋体"/>
                <w:sz w:val="16"/>
              </w:rPr>
              <w:t>&gt;=267人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E232">
            <w:pPr>
              <w:jc w:val="center"/>
            </w:pPr>
            <w:r>
              <w:rPr>
                <w:rFonts w:ascii="宋体" w:hAnsi="宋体" w:eastAsia="宋体"/>
                <w:sz w:val="16"/>
              </w:rPr>
              <w:t>=307人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B513">
            <w:pPr>
              <w:jc w:val="center"/>
            </w:pPr>
            <w:r>
              <w:rPr>
                <w:rFonts w:ascii="宋体" w:hAnsi="宋体" w:eastAsia="宋体"/>
                <w:sz w:val="16"/>
              </w:rPr>
              <w:t>114.98%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3AB3">
            <w:pPr>
              <w:jc w:val="center"/>
            </w:pPr>
            <w:r>
              <w:rPr>
                <w:rFonts w:ascii="宋体" w:hAnsi="宋体" w:eastAsia="宋体"/>
                <w:sz w:val="16"/>
              </w:rPr>
              <w:t>17.85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B4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BA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4B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EB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4DF9">
            <w:pPr>
              <w:jc w:val="center"/>
            </w:pPr>
            <w:r>
              <w:rPr>
                <w:rFonts w:ascii="宋体" w:hAnsi="宋体" w:eastAsia="宋体"/>
                <w:sz w:val="16"/>
              </w:rPr>
              <w:t>2024年上半年幼儿人数为267人，下半年为307人，</w:t>
            </w:r>
            <w:r>
              <w:rPr>
                <w:rFonts w:hint="eastAsia" w:ascii="宋体" w:hAnsi="宋体"/>
                <w:sz w:val="16"/>
                <w:lang w:eastAsia="zh-CN"/>
              </w:rPr>
              <w:t>以</w:t>
            </w:r>
            <w:r>
              <w:rPr>
                <w:rFonts w:ascii="宋体" w:hAnsi="宋体" w:eastAsia="宋体"/>
                <w:sz w:val="16"/>
              </w:rPr>
              <w:t>统计年报为准。</w:t>
            </w:r>
          </w:p>
        </w:tc>
      </w:tr>
      <w:tr w14:paraId="2F7DF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FB9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E4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C1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CD2A">
            <w:pPr>
              <w:jc w:val="center"/>
            </w:pPr>
            <w:r>
              <w:rPr>
                <w:rFonts w:ascii="宋体" w:hAnsi="宋体" w:eastAsia="宋体"/>
                <w:sz w:val="16"/>
              </w:rPr>
              <w:t>农村学前三年免费教育覆盖率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04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C6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E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6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54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7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E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71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60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979F">
            <w:pPr>
              <w:jc w:val="center"/>
            </w:pPr>
          </w:p>
        </w:tc>
      </w:tr>
      <w:tr w14:paraId="040E7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7C6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324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270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B49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BF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A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E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4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CF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3E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9A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8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E0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E391">
            <w:pPr>
              <w:jc w:val="center"/>
            </w:pPr>
          </w:p>
        </w:tc>
      </w:tr>
      <w:tr w14:paraId="7D05E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A9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DB1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DC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CCDF">
            <w:pPr>
              <w:jc w:val="center"/>
            </w:pPr>
            <w:r>
              <w:rPr>
                <w:rFonts w:ascii="宋体" w:hAnsi="宋体" w:eastAsia="宋体"/>
                <w:sz w:val="16"/>
              </w:rPr>
              <w:t>免费读本按期发放率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A43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87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2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D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914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D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90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A8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AE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5C4B">
            <w:pPr>
              <w:jc w:val="center"/>
            </w:pPr>
          </w:p>
        </w:tc>
      </w:tr>
      <w:tr w14:paraId="2BD0C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69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74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D0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EF44">
            <w:pPr>
              <w:jc w:val="center"/>
            </w:pPr>
            <w:r>
              <w:rPr>
                <w:rFonts w:ascii="宋体" w:hAnsi="宋体" w:eastAsia="宋体"/>
                <w:sz w:val="16"/>
              </w:rPr>
              <w:t>幼儿生均补助标准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C8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F1B3">
            <w:pPr>
              <w:jc w:val="center"/>
            </w:pPr>
            <w:r>
              <w:rPr>
                <w:rFonts w:ascii="宋体" w:hAnsi="宋体" w:eastAsia="宋体"/>
                <w:sz w:val="16"/>
              </w:rPr>
              <w:t>&lt;=2800元/年/人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8A42">
            <w:pPr>
              <w:jc w:val="center"/>
            </w:pPr>
            <w:r>
              <w:rPr>
                <w:rFonts w:ascii="宋体" w:hAnsi="宋体" w:eastAsia="宋体"/>
                <w:sz w:val="16"/>
              </w:rPr>
              <w:t>=2800元/年/人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4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DF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5D4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D2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4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A3D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89DE">
            <w:pPr>
              <w:jc w:val="center"/>
            </w:pPr>
          </w:p>
        </w:tc>
      </w:tr>
      <w:tr w14:paraId="70281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1A9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1C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15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201D">
            <w:pPr>
              <w:jc w:val="center"/>
            </w:pPr>
            <w:r>
              <w:rPr>
                <w:rFonts w:ascii="宋体" w:hAnsi="宋体" w:eastAsia="宋体"/>
                <w:sz w:val="16"/>
              </w:rPr>
              <w:t>保障适龄幼儿接受免费学前教育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E7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7230">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30E8">
            <w:pPr>
              <w:jc w:val="center"/>
            </w:pPr>
            <w:r>
              <w:rPr>
                <w:rFonts w:ascii="宋体" w:hAnsi="宋体" w:eastAsia="宋体"/>
                <w:sz w:val="16"/>
              </w:rPr>
              <w:tab/>
            </w: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8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50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200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85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8E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6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F5C6">
            <w:pPr>
              <w:jc w:val="center"/>
            </w:pPr>
          </w:p>
        </w:tc>
      </w:tr>
      <w:tr w14:paraId="3E369B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8B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62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D6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059E">
            <w:pPr>
              <w:jc w:val="center"/>
            </w:pPr>
            <w:r>
              <w:rPr>
                <w:rFonts w:ascii="宋体" w:hAnsi="宋体" w:eastAsia="宋体"/>
                <w:sz w:val="16"/>
              </w:rPr>
              <w:t>受益家长满意度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51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9D9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B64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8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2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617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A5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DB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2FF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B4DE">
            <w:pPr>
              <w:jc w:val="center"/>
            </w:pPr>
          </w:p>
        </w:tc>
      </w:tr>
      <w:tr w14:paraId="07750C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5FBD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4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ABD1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FAD7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C1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7423">
            <w:pPr>
              <w:jc w:val="center"/>
            </w:pPr>
            <w:r>
              <w:rPr>
                <w:rFonts w:ascii="宋体" w:hAnsi="宋体" w:eastAsia="宋体"/>
                <w:sz w:val="16"/>
              </w:rPr>
              <w:t>96.85分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958A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65EF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758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8702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6B910"/>
        </w:tc>
      </w:tr>
    </w:tbl>
    <w:p w14:paraId="16FFD2B1">
      <w:r>
        <w:br w:type="page"/>
      </w:r>
    </w:p>
    <w:p w14:paraId="0E451B4F">
      <w:pPr>
        <w:spacing w:line="640" w:lineRule="exact"/>
        <w:ind w:firstLine="640"/>
        <w:jc w:val="both"/>
        <w:outlineLvl w:val="2"/>
      </w:pPr>
      <w:r>
        <w:rPr>
          <w:rFonts w:ascii="黑体" w:hAnsi="黑体" w:eastAsia="黑体"/>
          <w:sz w:val="32"/>
        </w:rPr>
        <w:t>十二、其他需说明的事项</w:t>
      </w:r>
    </w:p>
    <w:p w14:paraId="795A9F75">
      <w:pPr>
        <w:spacing w:line="580" w:lineRule="exact"/>
        <w:ind w:firstLine="640"/>
        <w:jc w:val="both"/>
      </w:pPr>
      <w:r>
        <w:rPr>
          <w:rFonts w:ascii="仿宋_GB2312" w:hAnsi="仿宋_GB2312" w:eastAsia="仿宋_GB2312"/>
          <w:b w:val="0"/>
          <w:sz w:val="32"/>
        </w:rPr>
        <w:t>本单位无其他需说明的事项。</w:t>
      </w:r>
    </w:p>
    <w:p w14:paraId="59F47CAB">
      <w:r>
        <w:br w:type="page"/>
      </w:r>
    </w:p>
    <w:p w14:paraId="082F3735">
      <w:pPr>
        <w:spacing w:line="240" w:lineRule="auto"/>
        <w:jc w:val="center"/>
        <w:outlineLvl w:val="1"/>
      </w:pPr>
      <w:r>
        <w:rPr>
          <w:rFonts w:ascii="黑体" w:hAnsi="黑体" w:eastAsia="黑体"/>
          <w:sz w:val="32"/>
        </w:rPr>
        <w:t>第三部分 专业名词解释</w:t>
      </w:r>
    </w:p>
    <w:p w14:paraId="2983EDB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07078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813C9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B37346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3E61D4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6FA60E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DAC824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0EC830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5DB47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35A19C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FC924A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D95038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EE8133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B6821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D743AC7">
      <w:r>
        <w:br w:type="page"/>
      </w:r>
    </w:p>
    <w:p w14:paraId="3CBC9525">
      <w:pPr>
        <w:spacing w:line="240" w:lineRule="auto"/>
        <w:jc w:val="center"/>
        <w:outlineLvl w:val="1"/>
      </w:pPr>
      <w:r>
        <w:rPr>
          <w:rFonts w:ascii="黑体" w:hAnsi="黑体" w:eastAsia="黑体"/>
          <w:sz w:val="32"/>
        </w:rPr>
        <w:t>第四部分 部门决算报表（见附表）</w:t>
      </w:r>
    </w:p>
    <w:p w14:paraId="2364013D">
      <w:pPr>
        <w:spacing w:line="240" w:lineRule="auto"/>
        <w:ind w:firstLine="640"/>
        <w:jc w:val="both"/>
      </w:pPr>
      <w:r>
        <w:rPr>
          <w:rFonts w:ascii="仿宋_GB2312" w:hAnsi="仿宋_GB2312" w:eastAsia="仿宋_GB2312"/>
          <w:b w:val="0"/>
          <w:sz w:val="32"/>
        </w:rPr>
        <w:t>一、《收入支出决算总表》</w:t>
      </w:r>
    </w:p>
    <w:p w14:paraId="68813F12">
      <w:pPr>
        <w:spacing w:line="240" w:lineRule="auto"/>
        <w:ind w:firstLine="640"/>
        <w:jc w:val="both"/>
      </w:pPr>
      <w:r>
        <w:rPr>
          <w:rFonts w:ascii="仿宋_GB2312" w:hAnsi="仿宋_GB2312" w:eastAsia="仿宋_GB2312"/>
          <w:b w:val="0"/>
          <w:sz w:val="32"/>
        </w:rPr>
        <w:t>二、《收入决算表》</w:t>
      </w:r>
    </w:p>
    <w:p w14:paraId="366DD40F">
      <w:pPr>
        <w:spacing w:line="240" w:lineRule="auto"/>
        <w:ind w:firstLine="640"/>
        <w:jc w:val="both"/>
      </w:pPr>
      <w:r>
        <w:rPr>
          <w:rFonts w:ascii="仿宋_GB2312" w:hAnsi="仿宋_GB2312" w:eastAsia="仿宋_GB2312"/>
          <w:b w:val="0"/>
          <w:sz w:val="32"/>
        </w:rPr>
        <w:t>三、《支出决算表》</w:t>
      </w:r>
    </w:p>
    <w:p w14:paraId="7420D94C">
      <w:pPr>
        <w:spacing w:line="240" w:lineRule="auto"/>
        <w:ind w:firstLine="640"/>
        <w:jc w:val="both"/>
      </w:pPr>
      <w:r>
        <w:rPr>
          <w:rFonts w:ascii="仿宋_GB2312" w:hAnsi="仿宋_GB2312" w:eastAsia="仿宋_GB2312"/>
          <w:b w:val="0"/>
          <w:sz w:val="32"/>
        </w:rPr>
        <w:t>四、《财政拨款收入支出决算总表》</w:t>
      </w:r>
    </w:p>
    <w:p w14:paraId="7AEED64E">
      <w:pPr>
        <w:spacing w:line="240" w:lineRule="auto"/>
        <w:ind w:firstLine="640"/>
        <w:jc w:val="both"/>
      </w:pPr>
      <w:r>
        <w:rPr>
          <w:rFonts w:ascii="仿宋_GB2312" w:hAnsi="仿宋_GB2312" w:eastAsia="仿宋_GB2312"/>
          <w:b w:val="0"/>
          <w:sz w:val="32"/>
        </w:rPr>
        <w:t>五、《一般公共预算财政拨款支出决算表》</w:t>
      </w:r>
    </w:p>
    <w:p w14:paraId="63D42745">
      <w:pPr>
        <w:spacing w:line="240" w:lineRule="auto"/>
        <w:ind w:firstLine="640"/>
        <w:jc w:val="both"/>
      </w:pPr>
      <w:r>
        <w:rPr>
          <w:rFonts w:ascii="仿宋_GB2312" w:hAnsi="仿宋_GB2312" w:eastAsia="仿宋_GB2312"/>
          <w:b w:val="0"/>
          <w:sz w:val="32"/>
        </w:rPr>
        <w:t>六、《一般公共预算财政拨款基本支出决算表》</w:t>
      </w:r>
    </w:p>
    <w:p w14:paraId="175307E8">
      <w:pPr>
        <w:spacing w:line="240" w:lineRule="auto"/>
        <w:ind w:firstLine="640"/>
        <w:jc w:val="both"/>
      </w:pPr>
      <w:r>
        <w:rPr>
          <w:rFonts w:ascii="仿宋_GB2312" w:hAnsi="仿宋_GB2312" w:eastAsia="仿宋_GB2312"/>
          <w:b w:val="0"/>
          <w:sz w:val="32"/>
        </w:rPr>
        <w:t>七、《政府性基金预算财政拨款收入支出决算表》</w:t>
      </w:r>
    </w:p>
    <w:p w14:paraId="45EEE2EA">
      <w:pPr>
        <w:spacing w:line="240" w:lineRule="auto"/>
        <w:ind w:firstLine="640"/>
        <w:jc w:val="both"/>
      </w:pPr>
      <w:r>
        <w:rPr>
          <w:rFonts w:ascii="仿宋_GB2312" w:hAnsi="仿宋_GB2312" w:eastAsia="仿宋_GB2312"/>
          <w:b w:val="0"/>
          <w:sz w:val="32"/>
        </w:rPr>
        <w:t>八、《国有资本经营预算财政拨款收入支出决算表》</w:t>
      </w:r>
    </w:p>
    <w:p w14:paraId="7609BCA1">
      <w:pPr>
        <w:spacing w:line="240" w:lineRule="auto"/>
        <w:ind w:firstLine="640"/>
        <w:jc w:val="both"/>
      </w:pPr>
      <w:r>
        <w:rPr>
          <w:rFonts w:ascii="仿宋_GB2312" w:hAnsi="仿宋_GB2312" w:eastAsia="仿宋_GB2312"/>
          <w:b w:val="0"/>
          <w:sz w:val="32"/>
        </w:rPr>
        <w:t>九、《财政拨款“三公”经费支出决算表》</w:t>
      </w:r>
    </w:p>
    <w:p w14:paraId="454C7576">
      <w:pPr>
        <w:spacing w:line="240" w:lineRule="auto"/>
        <w:ind w:firstLine="640"/>
        <w:jc w:val="both"/>
      </w:pPr>
    </w:p>
    <w:p w14:paraId="53F21F32">
      <w:pPr>
        <w:spacing w:line="240" w:lineRule="auto"/>
        <w:ind w:firstLine="640"/>
        <w:jc w:val="both"/>
      </w:pPr>
    </w:p>
    <w:p w14:paraId="166DFFE4">
      <w:pPr>
        <w:spacing w:line="240" w:lineRule="auto"/>
        <w:ind w:firstLine="640"/>
        <w:jc w:val="both"/>
      </w:pPr>
    </w:p>
    <w:p w14:paraId="5D6E2617">
      <w:pPr>
        <w:spacing w:line="240" w:lineRule="auto"/>
        <w:ind w:firstLine="640"/>
        <w:jc w:val="both"/>
      </w:pPr>
    </w:p>
    <w:p w14:paraId="316C852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11351C0-CE01-444A-872A-6EF83B2BA27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B9729AD-F9AC-4C09-9F06-3906F3E4F167}"/>
  </w:font>
  <w:font w:name="仿宋_GB2312">
    <w:panose1 w:val="02010609030101010101"/>
    <w:charset w:val="86"/>
    <w:family w:val="modern"/>
    <w:pitch w:val="default"/>
    <w:sig w:usb0="00000001" w:usb1="080E0000" w:usb2="00000000" w:usb3="00000000" w:csb0="00040000" w:csb1="00000000"/>
    <w:embedRegular r:id="rId3" w:fontKey="{58376D71-792B-4D13-A9DE-63692EC6D3E4}"/>
  </w:font>
  <w:font w:name="楷体_GB2312">
    <w:panose1 w:val="02010609030101010101"/>
    <w:charset w:val="86"/>
    <w:family w:val="auto"/>
    <w:pitch w:val="default"/>
    <w:sig w:usb0="00000001" w:usb1="080E0000" w:usb2="00000000" w:usb3="00000000" w:csb0="00040000" w:csb1="00000000"/>
    <w:embedRegular r:id="rId4" w:fontKey="{A66E259F-716C-423B-8937-7FEE0C40672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EEE05F2"/>
    <w:rsid w:val="40834692"/>
    <w:rsid w:val="423A32B2"/>
    <w:rsid w:val="423C0CB4"/>
    <w:rsid w:val="427B5743"/>
    <w:rsid w:val="42E64542"/>
    <w:rsid w:val="464B7E04"/>
    <w:rsid w:val="464F7E64"/>
    <w:rsid w:val="46901EEE"/>
    <w:rsid w:val="469C74D2"/>
    <w:rsid w:val="46CC3EC4"/>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4603</Words>
  <Characters>5298</Characters>
  <Lines>0</Lines>
  <Paragraphs>0</Paragraphs>
  <TotalTime>7</TotalTime>
  <ScaleCrop>false</ScaleCrop>
  <LinksUpToDate>false</LinksUpToDate>
  <CharactersWithSpaces>5306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2025-10-14T02:21:20Z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