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吉木萨尔县社会保险中心2024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1CDA26">
      <w:r>
        <w:br w:type="page"/>
      </w:r>
    </w:p>
    <w:p w14:paraId="3254833E">
      <w:pPr>
        <w:spacing w:line="640" w:lineRule="exact"/>
        <w:jc w:val="center"/>
        <w:outlineLvl w:val="1"/>
      </w:pPr>
      <w:r>
        <w:rPr>
          <w:rFonts w:ascii="黑体" w:hAnsi="黑体" w:eastAsia="黑体"/>
          <w:sz w:val="32"/>
        </w:rPr>
        <w:t>第一部分 单位概况</w:t>
      </w:r>
    </w:p>
    <w:p w14:paraId="21E14091">
      <w:pPr>
        <w:spacing w:line="640" w:lineRule="exact"/>
        <w:ind w:firstLine="640"/>
        <w:jc w:val="both"/>
        <w:outlineLvl w:val="2"/>
      </w:pPr>
      <w:r>
        <w:rPr>
          <w:rFonts w:ascii="黑体" w:hAnsi="黑体" w:eastAsia="黑体"/>
          <w:sz w:val="32"/>
        </w:rPr>
        <w:t>一、主要职能</w:t>
      </w:r>
    </w:p>
    <w:p w14:paraId="5BD4695B">
      <w:pPr>
        <w:spacing w:line="580" w:lineRule="exact"/>
        <w:ind w:firstLine="640"/>
        <w:jc w:val="both"/>
      </w:pPr>
      <w:r>
        <w:rPr>
          <w:rFonts w:ascii="仿宋_GB2312" w:hAnsi="仿宋_GB2312" w:eastAsia="仿宋_GB2312"/>
          <w:sz w:val="32"/>
        </w:rPr>
        <w:t>1.贯彻执行党和国家、自治区、州关于社会保险工作的方针政策、法律法规。</w:t>
      </w:r>
    </w:p>
    <w:p w14:paraId="36FC7002">
      <w:pPr>
        <w:spacing w:line="580" w:lineRule="exact"/>
        <w:ind w:firstLine="640"/>
        <w:jc w:val="both"/>
      </w:pPr>
      <w:r>
        <w:rPr>
          <w:rFonts w:ascii="仿宋_GB2312" w:hAnsi="仿宋_GB2312" w:eastAsia="仿宋_GB2312"/>
          <w:sz w:val="32"/>
        </w:rPr>
        <w:t>2.经办全县范围内社会保险登记、个人权益记录、社会保险关系转移接续、待遇</w:t>
      </w:r>
      <w:r>
        <w:rPr>
          <w:rFonts w:hint="eastAsia" w:ascii="仿宋_GB2312" w:hAnsi="仿宋_GB2312" w:eastAsia="仿宋_GB2312"/>
          <w:sz w:val="32"/>
          <w:lang w:eastAsia="zh-CN"/>
        </w:rPr>
        <w:t>领</w:t>
      </w:r>
      <w:r>
        <w:rPr>
          <w:rFonts w:ascii="仿宋_GB2312" w:hAnsi="仿宋_GB2312" w:eastAsia="仿宋_GB2312"/>
          <w:sz w:val="32"/>
        </w:rPr>
        <w:t>取资格认证、待遇</w:t>
      </w:r>
      <w:r>
        <w:rPr>
          <w:rFonts w:hint="eastAsia" w:ascii="仿宋_GB2312" w:hAnsi="仿宋_GB2312" w:eastAsia="仿宋_GB2312"/>
          <w:sz w:val="32"/>
          <w:lang w:eastAsia="zh-CN"/>
        </w:rPr>
        <w:t>核定</w:t>
      </w:r>
      <w:r>
        <w:rPr>
          <w:rFonts w:ascii="仿宋_GB2312" w:hAnsi="仿宋_GB2312" w:eastAsia="仿宋_GB2312"/>
          <w:sz w:val="32"/>
        </w:rPr>
        <w:t>和支付等</w:t>
      </w:r>
      <w:r>
        <w:rPr>
          <w:rFonts w:hint="eastAsia" w:ascii="仿宋_GB2312" w:hAnsi="仿宋_GB2312" w:eastAsia="仿宋_GB2312"/>
          <w:sz w:val="32"/>
          <w:lang w:eastAsia="zh-CN"/>
        </w:rPr>
        <w:t>；</w:t>
      </w:r>
      <w:r>
        <w:rPr>
          <w:rFonts w:ascii="仿宋_GB2312" w:hAnsi="仿宋_GB2312" w:eastAsia="仿宋_GB2312"/>
          <w:sz w:val="32"/>
        </w:rPr>
        <w:t>指导全县社会保险业务经办工作。</w:t>
      </w:r>
    </w:p>
    <w:p w14:paraId="72895AFE">
      <w:pPr>
        <w:spacing w:line="580" w:lineRule="exact"/>
        <w:ind w:firstLine="640"/>
        <w:jc w:val="both"/>
      </w:pPr>
      <w:r>
        <w:rPr>
          <w:rFonts w:ascii="仿宋_GB2312" w:hAnsi="仿宋_GB2312" w:eastAsia="仿宋_GB2312"/>
          <w:sz w:val="32"/>
        </w:rPr>
        <w:t>3.开展社会保险统计、数据管理和分析应用工作</w:t>
      </w:r>
      <w:r>
        <w:rPr>
          <w:rFonts w:hint="eastAsia" w:ascii="仿宋_GB2312" w:hAnsi="仿宋_GB2312" w:eastAsia="仿宋_GB2312"/>
          <w:sz w:val="32"/>
          <w:lang w:eastAsia="zh-CN"/>
        </w:rPr>
        <w:t>；</w:t>
      </w:r>
      <w:r>
        <w:rPr>
          <w:rFonts w:ascii="仿宋_GB2312" w:hAnsi="仿宋_GB2312" w:eastAsia="仿宋_GB2312"/>
          <w:sz w:val="32"/>
        </w:rPr>
        <w:t>定期向社会公布社会保险基金收入、支出、结余情况。</w:t>
      </w:r>
    </w:p>
    <w:p w14:paraId="636CE635">
      <w:pPr>
        <w:spacing w:line="580" w:lineRule="exact"/>
        <w:ind w:firstLine="640"/>
        <w:jc w:val="both"/>
      </w:pPr>
      <w:r>
        <w:rPr>
          <w:rFonts w:ascii="仿宋_GB2312" w:hAnsi="仿宋_GB2312" w:eastAsia="仿宋_GB2312"/>
          <w:sz w:val="32"/>
        </w:rPr>
        <w:t>4.负责社会保险档案管理工作。</w:t>
      </w:r>
    </w:p>
    <w:p w14:paraId="6F9ABE9C">
      <w:pPr>
        <w:spacing w:line="580" w:lineRule="exact"/>
        <w:ind w:firstLine="640"/>
        <w:jc w:val="both"/>
      </w:pPr>
      <w:r>
        <w:rPr>
          <w:rFonts w:ascii="仿宋_GB2312" w:hAnsi="仿宋_GB2312" w:eastAsia="仿宋_GB2312"/>
          <w:sz w:val="32"/>
        </w:rPr>
        <w:t>5.负责建立健全社会保险业务、财务、安全和风险管理等内部控制制度</w:t>
      </w:r>
      <w:r>
        <w:rPr>
          <w:rFonts w:hint="eastAsia" w:ascii="仿宋_GB2312" w:hAnsi="仿宋_GB2312" w:eastAsia="仿宋_GB2312"/>
          <w:sz w:val="32"/>
          <w:lang w:eastAsia="zh-CN"/>
        </w:rPr>
        <w:t>；</w:t>
      </w:r>
      <w:r>
        <w:rPr>
          <w:rFonts w:ascii="仿宋_GB2312" w:hAnsi="仿宋_GB2312" w:eastAsia="仿宋_GB2312"/>
          <w:sz w:val="32"/>
        </w:rPr>
        <w:t>开展社会保险登记和待遇支付的稽核工作:建立健全稽核业务规范</w:t>
      </w:r>
      <w:r>
        <w:rPr>
          <w:rFonts w:hint="eastAsia" w:ascii="仿宋_GB2312" w:hAnsi="仿宋_GB2312" w:eastAsia="仿宋_GB2312"/>
          <w:sz w:val="32"/>
          <w:lang w:eastAsia="zh-CN"/>
        </w:rPr>
        <w:t>；</w:t>
      </w:r>
      <w:r>
        <w:rPr>
          <w:rFonts w:ascii="仿宋_GB2312" w:hAnsi="仿宋_GB2312" w:eastAsia="仿宋_GB2312"/>
          <w:sz w:val="32"/>
        </w:rPr>
        <w:t>负责反欺诈及社会保险征信等工作。</w:t>
      </w:r>
    </w:p>
    <w:p w14:paraId="6BA4CE06">
      <w:pPr>
        <w:spacing w:line="580" w:lineRule="exact"/>
        <w:ind w:firstLine="640"/>
        <w:jc w:val="both"/>
      </w:pPr>
      <w:r>
        <w:rPr>
          <w:rFonts w:ascii="仿宋_GB2312" w:hAnsi="仿宋_GB2312" w:eastAsia="仿宋_GB2312"/>
          <w:sz w:val="32"/>
        </w:rPr>
        <w:t>6.负责社会保险信息管理系统的运行维护、安全管理等工作，负责社会保障卡的管</w:t>
      </w:r>
      <w:r>
        <w:rPr>
          <w:rFonts w:hint="eastAsia" w:ascii="仿宋_GB2312" w:hAnsi="仿宋_GB2312" w:eastAsia="仿宋_GB2312"/>
          <w:sz w:val="32"/>
          <w:lang w:eastAsia="zh-CN"/>
        </w:rPr>
        <w:t>理和</w:t>
      </w:r>
      <w:r>
        <w:rPr>
          <w:rFonts w:ascii="仿宋_GB2312" w:hAnsi="仿宋_GB2312" w:eastAsia="仿宋_GB2312"/>
          <w:sz w:val="32"/>
        </w:rPr>
        <w:t>服务工作。</w:t>
      </w:r>
    </w:p>
    <w:p w14:paraId="78E08B04">
      <w:pPr>
        <w:spacing w:line="580" w:lineRule="exact"/>
        <w:ind w:firstLine="640"/>
        <w:jc w:val="both"/>
      </w:pPr>
      <w:r>
        <w:rPr>
          <w:rFonts w:ascii="仿宋_GB2312" w:hAnsi="仿宋_GB2312" w:eastAsia="仿宋_GB2312"/>
          <w:sz w:val="32"/>
        </w:rPr>
        <w:t>7.完成县人力资源和社会保障局交办的其他任务。</w:t>
      </w:r>
    </w:p>
    <w:p w14:paraId="15147DD4">
      <w:pPr>
        <w:spacing w:line="640" w:lineRule="exact"/>
        <w:ind w:firstLine="640"/>
        <w:jc w:val="both"/>
        <w:outlineLvl w:val="2"/>
      </w:pPr>
      <w:r>
        <w:rPr>
          <w:rFonts w:ascii="黑体" w:hAnsi="黑体" w:eastAsia="黑体"/>
          <w:sz w:val="32"/>
        </w:rPr>
        <w:t>二、机构设置及人员情况</w:t>
      </w:r>
    </w:p>
    <w:p w14:paraId="2FA02DCD">
      <w:pPr>
        <w:spacing w:line="580" w:lineRule="exact"/>
        <w:ind w:firstLine="640"/>
        <w:jc w:val="both"/>
      </w:pPr>
      <w:r>
        <w:rPr>
          <w:rFonts w:ascii="仿宋_GB2312" w:hAnsi="仿宋_GB2312" w:eastAsia="仿宋_GB2312"/>
          <w:sz w:val="32"/>
        </w:rPr>
        <w:t>吉木萨尔县社会保险中心2024年度，实有人数31人，其中：在职人员26人，增加1人；离休人员0人，增加0人；退休人员5人</w:t>
      </w:r>
      <w:bookmarkStart w:id="0" w:name="_GoBack"/>
      <w:r>
        <w:rPr>
          <w:rFonts w:ascii="仿宋_GB2312" w:hAnsi="仿宋_GB2312" w:eastAsia="仿宋_GB2312"/>
          <w:sz w:val="32"/>
        </w:rPr>
        <w:t>,</w:t>
      </w:r>
      <w:bookmarkEnd w:id="0"/>
      <w:r>
        <w:rPr>
          <w:rFonts w:ascii="仿宋_GB2312" w:hAnsi="仿宋_GB2312" w:eastAsia="仿宋_GB2312"/>
          <w:sz w:val="32"/>
        </w:rPr>
        <w:t>减少1人。</w:t>
      </w:r>
    </w:p>
    <w:p w14:paraId="7A518B53">
      <w:pPr>
        <w:spacing w:line="580" w:lineRule="exact"/>
        <w:ind w:firstLine="640"/>
        <w:jc w:val="both"/>
      </w:pPr>
      <w:r>
        <w:rPr>
          <w:rFonts w:ascii="仿宋_GB2312" w:hAnsi="仿宋_GB2312" w:eastAsia="仿宋_GB2312"/>
          <w:sz w:val="32"/>
        </w:rPr>
        <w:t>吉木萨尔县社会保险中心无下属预算单位，下设6个科室，分别是：综合业务股、综合柜员股、社会保险登记和关系转移股、待遇初审股、业务复核股、风控稽核股。</w:t>
      </w:r>
    </w:p>
    <w:p w14:paraId="2F505551">
      <w:r>
        <w:br w:type="page"/>
      </w:r>
    </w:p>
    <w:p w14:paraId="4E529464">
      <w:pPr>
        <w:spacing w:line="240" w:lineRule="auto"/>
        <w:jc w:val="center"/>
        <w:outlineLvl w:val="1"/>
      </w:pPr>
      <w:r>
        <w:rPr>
          <w:rFonts w:ascii="黑体" w:hAnsi="黑体" w:eastAsia="黑体"/>
          <w:sz w:val="32"/>
        </w:rPr>
        <w:t>第二部分 部门决算情况说明</w:t>
      </w:r>
    </w:p>
    <w:p w14:paraId="25AAAB1C">
      <w:pPr>
        <w:spacing w:line="640" w:lineRule="exact"/>
        <w:ind w:firstLine="640"/>
        <w:jc w:val="both"/>
        <w:outlineLvl w:val="2"/>
      </w:pPr>
      <w:r>
        <w:rPr>
          <w:rFonts w:ascii="黑体" w:hAnsi="黑体" w:eastAsia="黑体"/>
          <w:sz w:val="32"/>
        </w:rPr>
        <w:t>一、收入支出决算总体情况说明</w:t>
      </w:r>
    </w:p>
    <w:p w14:paraId="7919F131">
      <w:pPr>
        <w:spacing w:line="580" w:lineRule="exact"/>
        <w:ind w:firstLine="640"/>
        <w:jc w:val="both"/>
      </w:pPr>
      <w:r>
        <w:rPr>
          <w:rFonts w:ascii="仿宋_GB2312" w:hAnsi="仿宋_GB2312" w:eastAsia="仿宋_GB2312"/>
          <w:b/>
          <w:sz w:val="32"/>
        </w:rPr>
        <w:t>2024年度收入总计604.04万元，</w:t>
      </w:r>
      <w:r>
        <w:rPr>
          <w:rFonts w:ascii="仿宋_GB2312" w:hAnsi="仿宋_GB2312" w:eastAsia="仿宋_GB2312"/>
          <w:b w:val="0"/>
          <w:sz w:val="32"/>
        </w:rPr>
        <w:t>其中：本年收入合计599.72万元，使用非财政拨款结余（含专用结余）4.18万元，年初结转和结余0.14万元。</w:t>
      </w:r>
    </w:p>
    <w:p w14:paraId="6C72CF8E">
      <w:pPr>
        <w:spacing w:line="580" w:lineRule="exact"/>
        <w:ind w:firstLine="640"/>
        <w:jc w:val="both"/>
      </w:pPr>
      <w:r>
        <w:rPr>
          <w:rFonts w:ascii="仿宋_GB2312" w:hAnsi="仿宋_GB2312" w:eastAsia="仿宋_GB2312"/>
          <w:b/>
          <w:sz w:val="32"/>
        </w:rPr>
        <w:t>2024年度支出总计604.04万元，</w:t>
      </w:r>
      <w:r>
        <w:rPr>
          <w:rFonts w:ascii="仿宋_GB2312" w:hAnsi="仿宋_GB2312" w:eastAsia="仿宋_GB2312"/>
          <w:b w:val="0"/>
          <w:sz w:val="32"/>
        </w:rPr>
        <w:t>其中：本年支出合计604.04万元，结余分配0.00万元，年末结转和结余0.00万元。</w:t>
      </w:r>
    </w:p>
    <w:p w14:paraId="603323FB">
      <w:pPr>
        <w:spacing w:line="580" w:lineRule="exact"/>
        <w:ind w:firstLine="640"/>
        <w:jc w:val="both"/>
      </w:pPr>
      <w:r>
        <w:rPr>
          <w:rFonts w:ascii="仿宋_GB2312" w:hAnsi="仿宋_GB2312" w:eastAsia="仿宋_GB2312"/>
          <w:b w:val="0"/>
          <w:sz w:val="32"/>
        </w:rPr>
        <w:t>收入支出总体与上年相比，增加72.07万元，增长13.55%，主要原因是：本年在职人员增加，在职人员工资调增、社保、公积金基数调增，人员经费增加。本年增加2024年吉木萨尔县城乡居民基本养老保险财务凭证扫描经费项目。</w:t>
      </w:r>
    </w:p>
    <w:p w14:paraId="7FC16EB2">
      <w:pPr>
        <w:spacing w:line="640" w:lineRule="exact"/>
        <w:ind w:firstLine="640"/>
        <w:jc w:val="both"/>
        <w:outlineLvl w:val="2"/>
      </w:pPr>
      <w:r>
        <w:rPr>
          <w:rFonts w:ascii="黑体" w:hAnsi="黑体" w:eastAsia="黑体"/>
          <w:sz w:val="32"/>
        </w:rPr>
        <w:t>二、收入决算情况说明</w:t>
      </w:r>
    </w:p>
    <w:p w14:paraId="2891BE74">
      <w:pPr>
        <w:spacing w:line="580" w:lineRule="exact"/>
        <w:ind w:firstLine="640"/>
        <w:jc w:val="both"/>
      </w:pPr>
      <w:r>
        <w:rPr>
          <w:rFonts w:ascii="仿宋_GB2312" w:hAnsi="仿宋_GB2312" w:eastAsia="仿宋_GB2312"/>
          <w:b/>
          <w:sz w:val="32"/>
        </w:rPr>
        <w:t>本年收入599.72万元，</w:t>
      </w:r>
      <w:r>
        <w:rPr>
          <w:rFonts w:ascii="仿宋_GB2312" w:hAnsi="仿宋_GB2312" w:eastAsia="仿宋_GB2312"/>
          <w:b w:val="0"/>
          <w:sz w:val="32"/>
        </w:rPr>
        <w:t>其中：财政拨款收入552.09万元，占92.06%；上级补助收入0.00万元，占0.00%；事业收入0.00万元，占0.00%；经营收入0.00万元，占0.00%；附属单位上缴收入0.00万元，占0.00%；其他收入47.63万元，占7.94%。</w:t>
      </w:r>
    </w:p>
    <w:p w14:paraId="26D7A2EB">
      <w:pPr>
        <w:spacing w:line="640" w:lineRule="exact"/>
        <w:ind w:firstLine="640"/>
        <w:jc w:val="both"/>
        <w:outlineLvl w:val="2"/>
      </w:pPr>
      <w:r>
        <w:rPr>
          <w:rFonts w:ascii="黑体" w:hAnsi="黑体" w:eastAsia="黑体"/>
          <w:sz w:val="32"/>
        </w:rPr>
        <w:t>三、支出决算情况说明</w:t>
      </w:r>
    </w:p>
    <w:p w14:paraId="5FD9A5E5">
      <w:pPr>
        <w:spacing w:line="580" w:lineRule="exact"/>
        <w:ind w:firstLine="640"/>
        <w:jc w:val="both"/>
      </w:pPr>
      <w:r>
        <w:rPr>
          <w:rFonts w:ascii="仿宋_GB2312" w:hAnsi="仿宋_GB2312" w:eastAsia="仿宋_GB2312"/>
          <w:b/>
          <w:sz w:val="32"/>
        </w:rPr>
        <w:t>本年支出604.04万元，</w:t>
      </w:r>
      <w:r>
        <w:rPr>
          <w:rFonts w:ascii="仿宋_GB2312" w:hAnsi="仿宋_GB2312" w:eastAsia="仿宋_GB2312"/>
          <w:b w:val="0"/>
          <w:sz w:val="32"/>
        </w:rPr>
        <w:t>其中：基本支出583.79万元，占96.65%；项目支出20.25万元，占3.35%；上缴上级支出0.00万元，占0.00%；经营支出0.00万元，占0.00%；对附属单位补助支出0.00万元，占0.00%。</w:t>
      </w:r>
    </w:p>
    <w:p w14:paraId="11739504">
      <w:pPr>
        <w:spacing w:line="640" w:lineRule="exact"/>
        <w:ind w:firstLine="640"/>
        <w:jc w:val="both"/>
        <w:outlineLvl w:val="2"/>
      </w:pPr>
      <w:r>
        <w:rPr>
          <w:rFonts w:ascii="黑体" w:hAnsi="黑体" w:eastAsia="黑体"/>
          <w:sz w:val="32"/>
        </w:rPr>
        <w:t>四、财政拨款收入支出决算总体情况说明</w:t>
      </w:r>
    </w:p>
    <w:p w14:paraId="33BD9BBE">
      <w:pPr>
        <w:spacing w:line="580" w:lineRule="exact"/>
        <w:ind w:firstLine="640"/>
        <w:jc w:val="both"/>
      </w:pPr>
      <w:r>
        <w:rPr>
          <w:rFonts w:ascii="仿宋_GB2312" w:hAnsi="仿宋_GB2312" w:eastAsia="仿宋_GB2312"/>
          <w:b/>
          <w:sz w:val="32"/>
        </w:rPr>
        <w:t>2024年度财政拨款收入总计552.09万元，</w:t>
      </w:r>
      <w:r>
        <w:rPr>
          <w:rFonts w:ascii="仿宋_GB2312" w:hAnsi="仿宋_GB2312" w:eastAsia="仿宋_GB2312"/>
          <w:b w:val="0"/>
          <w:sz w:val="32"/>
        </w:rPr>
        <w:t>其中：年初财政拨款结转和结余0.00万元，本年财政拨款收入552.09万元。</w:t>
      </w:r>
      <w:r>
        <w:rPr>
          <w:rFonts w:ascii="仿宋_GB2312" w:hAnsi="仿宋_GB2312" w:eastAsia="仿宋_GB2312"/>
          <w:b/>
          <w:sz w:val="32"/>
        </w:rPr>
        <w:t>财政拨款支出总计552.09万元，</w:t>
      </w:r>
      <w:r>
        <w:rPr>
          <w:rFonts w:ascii="仿宋_GB2312" w:hAnsi="仿宋_GB2312" w:eastAsia="仿宋_GB2312"/>
          <w:b w:val="0"/>
          <w:sz w:val="32"/>
        </w:rPr>
        <w:t>其中：年末财政拨款结转和结余0.00万元，本年财政拨款支出552.09万元。</w:t>
      </w:r>
    </w:p>
    <w:p w14:paraId="3584DE6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增加20.75万元，增长3.91%，主要原因是：本年在职人员增加，在职人员工资调增、社保、公积金基数调增，人员经费增加。本年增加2024年吉木萨尔县城乡居民基本养老保险财务凭证扫描经费项目。</w:t>
      </w:r>
      <w:r>
        <w:rPr>
          <w:rFonts w:ascii="仿宋_GB2312" w:hAnsi="仿宋_GB2312" w:eastAsia="仿宋_GB2312"/>
          <w:b/>
          <w:sz w:val="32"/>
        </w:rPr>
        <w:t>与年初预算相比，</w:t>
      </w:r>
      <w:r>
        <w:rPr>
          <w:rFonts w:ascii="仿宋_GB2312" w:hAnsi="仿宋_GB2312" w:eastAsia="仿宋_GB2312"/>
          <w:b w:val="0"/>
          <w:sz w:val="32"/>
        </w:rPr>
        <w:t>年初预算数516.64万元，决算数552.09万元，预决算差异率6.86%，主要原因是：本年在职人员增加，年中追加人员经费及人员工资、社保、公积金基数调增部分资金，导致预决算存在差异；年中追加2024年吉木萨尔县城乡居民基本养老保险财务凭证扫描经费项目，导致预决算存在差异。</w:t>
      </w:r>
    </w:p>
    <w:p w14:paraId="47844134">
      <w:pPr>
        <w:spacing w:line="640" w:lineRule="exact"/>
        <w:ind w:firstLine="640"/>
        <w:jc w:val="both"/>
        <w:outlineLvl w:val="2"/>
      </w:pPr>
      <w:r>
        <w:rPr>
          <w:rFonts w:ascii="黑体" w:hAnsi="黑体" w:eastAsia="黑体"/>
          <w:sz w:val="32"/>
        </w:rPr>
        <w:t>五、一般公共预算财政拨款支出决算情况说明</w:t>
      </w:r>
    </w:p>
    <w:p w14:paraId="1ACE5FE6">
      <w:pPr>
        <w:spacing w:line="640" w:lineRule="exact"/>
        <w:ind w:firstLine="640"/>
        <w:jc w:val="both"/>
        <w:outlineLvl w:val="3"/>
      </w:pPr>
      <w:r>
        <w:rPr>
          <w:rFonts w:ascii="楷体_GB2312" w:hAnsi="楷体_GB2312" w:eastAsia="楷体_GB2312"/>
          <w:b/>
          <w:sz w:val="32"/>
        </w:rPr>
        <w:t>（一）一般公共预算财政拨款支出决算总体情况</w:t>
      </w:r>
    </w:p>
    <w:p w14:paraId="09D83F52">
      <w:pPr>
        <w:spacing w:line="580" w:lineRule="exact"/>
        <w:ind w:firstLine="640"/>
        <w:jc w:val="both"/>
      </w:pPr>
      <w:r>
        <w:rPr>
          <w:rFonts w:ascii="仿宋_GB2312" w:hAnsi="仿宋_GB2312" w:eastAsia="仿宋_GB2312"/>
          <w:b/>
          <w:sz w:val="32"/>
        </w:rPr>
        <w:t>2024年度一般公共预算财政拨款支出552.09万元，</w:t>
      </w:r>
      <w:r>
        <w:rPr>
          <w:rFonts w:ascii="仿宋_GB2312" w:hAnsi="仿宋_GB2312" w:eastAsia="仿宋_GB2312"/>
          <w:b w:val="0"/>
          <w:sz w:val="32"/>
        </w:rPr>
        <w:t>占本年支出合计的91.40%。</w:t>
      </w:r>
      <w:r>
        <w:rPr>
          <w:rFonts w:ascii="仿宋_GB2312" w:hAnsi="仿宋_GB2312" w:eastAsia="仿宋_GB2312"/>
          <w:b/>
          <w:sz w:val="32"/>
        </w:rPr>
        <w:t>与上年相比，</w:t>
      </w:r>
      <w:r>
        <w:rPr>
          <w:rFonts w:ascii="仿宋_GB2312" w:hAnsi="仿宋_GB2312" w:eastAsia="仿宋_GB2312"/>
          <w:b w:val="0"/>
          <w:sz w:val="32"/>
        </w:rPr>
        <w:t>增加20.75万元，增长3.91%，主要原因是：本年在职人员增加，在职人员工资调增、社保、公积金基数调增，人员经费增加。本年增加2024年吉木萨尔县城乡居民基本养老保险财务凭证扫描经费项目。</w:t>
      </w:r>
      <w:r>
        <w:rPr>
          <w:rFonts w:ascii="仿宋_GB2312" w:hAnsi="仿宋_GB2312" w:eastAsia="仿宋_GB2312"/>
          <w:b/>
          <w:sz w:val="32"/>
        </w:rPr>
        <w:t>与年初预算相比,</w:t>
      </w:r>
      <w:r>
        <w:rPr>
          <w:rFonts w:ascii="仿宋_GB2312" w:hAnsi="仿宋_GB2312" w:eastAsia="仿宋_GB2312"/>
          <w:b w:val="0"/>
          <w:sz w:val="32"/>
        </w:rPr>
        <w:t>年初预算数516.64万元，决算数552.09万元，预决算差异率6.86%，主要原因是：本年在职人员增加，年中追加人员经费及人员工资、社保、公积金基数调增部分资金，导致预决算存在差异；年中追加2024年吉木萨尔县城乡居民基本养老保险财务凭证扫描经费项目，导致预决算存在差异。</w:t>
      </w:r>
    </w:p>
    <w:p w14:paraId="44973383">
      <w:pPr>
        <w:spacing w:line="640" w:lineRule="exact"/>
        <w:ind w:firstLine="640"/>
        <w:jc w:val="both"/>
        <w:outlineLvl w:val="3"/>
      </w:pPr>
      <w:r>
        <w:rPr>
          <w:rFonts w:ascii="楷体_GB2312" w:hAnsi="楷体_GB2312" w:eastAsia="楷体_GB2312"/>
          <w:b/>
          <w:sz w:val="32"/>
        </w:rPr>
        <w:t>（二）一般公共预算财政拨款支出决算结构情况</w:t>
      </w:r>
    </w:p>
    <w:p w14:paraId="30B5BA5D">
      <w:pPr>
        <w:spacing w:line="580" w:lineRule="exact"/>
        <w:ind w:firstLine="640"/>
        <w:jc w:val="both"/>
      </w:pPr>
      <w:r>
        <w:rPr>
          <w:rFonts w:ascii="仿宋_GB2312" w:hAnsi="仿宋_GB2312" w:eastAsia="仿宋_GB2312"/>
          <w:b w:val="0"/>
          <w:sz w:val="32"/>
        </w:rPr>
        <w:t>1.科学技术支出(类)4.78万元,占0.87%。</w:t>
      </w:r>
    </w:p>
    <w:p w14:paraId="01FF2530">
      <w:pPr>
        <w:spacing w:line="580" w:lineRule="exact"/>
        <w:ind w:firstLine="640"/>
        <w:jc w:val="both"/>
      </w:pPr>
      <w:r>
        <w:rPr>
          <w:rFonts w:ascii="仿宋_GB2312" w:hAnsi="仿宋_GB2312" w:eastAsia="仿宋_GB2312"/>
          <w:b w:val="0"/>
          <w:sz w:val="32"/>
        </w:rPr>
        <w:t>2.社会保障和就业支出(类)492.38万元,占89.18%。</w:t>
      </w:r>
    </w:p>
    <w:p w14:paraId="4CB335AC">
      <w:pPr>
        <w:spacing w:line="580" w:lineRule="exact"/>
        <w:ind w:firstLine="640"/>
        <w:jc w:val="both"/>
      </w:pPr>
      <w:r>
        <w:rPr>
          <w:rFonts w:ascii="仿宋_GB2312" w:hAnsi="仿宋_GB2312" w:eastAsia="仿宋_GB2312"/>
          <w:b w:val="0"/>
          <w:sz w:val="32"/>
        </w:rPr>
        <w:t>3.卫生健康支出(类)21.82万元,占3.95%。</w:t>
      </w:r>
    </w:p>
    <w:p w14:paraId="1204855D">
      <w:pPr>
        <w:spacing w:line="580" w:lineRule="exact"/>
        <w:ind w:firstLine="640"/>
        <w:jc w:val="both"/>
      </w:pPr>
      <w:r>
        <w:rPr>
          <w:rFonts w:ascii="仿宋_GB2312" w:hAnsi="仿宋_GB2312" w:eastAsia="仿宋_GB2312"/>
          <w:b w:val="0"/>
          <w:sz w:val="32"/>
        </w:rPr>
        <w:t>4.住房保障支出(类)33.11万元,占6.00%。</w:t>
      </w:r>
    </w:p>
    <w:p w14:paraId="60FC5652">
      <w:pPr>
        <w:spacing w:line="640" w:lineRule="exact"/>
        <w:ind w:firstLine="640"/>
        <w:jc w:val="both"/>
        <w:outlineLvl w:val="3"/>
      </w:pPr>
      <w:r>
        <w:rPr>
          <w:rFonts w:ascii="楷体_GB2312" w:hAnsi="楷体_GB2312" w:eastAsia="楷体_GB2312"/>
          <w:b/>
          <w:sz w:val="32"/>
        </w:rPr>
        <w:t>（三）一般公共预算财政拨款支出决算具体情况</w:t>
      </w:r>
    </w:p>
    <w:p w14:paraId="3B36A321">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1.科学技术支出(类)科技条件与服务(款)其他科技条件与服务支出(项):支出决算数为4.78万元，比上年决算增加4.78万元，增长100.00%,主要原因是：本年购置国产电脑及打印机，经费较上年增加。</w:t>
      </w:r>
    </w:p>
    <w:p w14:paraId="6AD69EC1">
      <w:pPr>
        <w:spacing w:line="580" w:lineRule="exact"/>
        <w:ind w:firstLine="640"/>
        <w:jc w:val="both"/>
      </w:pPr>
      <w:r>
        <w:rPr>
          <w:rFonts w:ascii="仿宋_GB2312" w:hAnsi="仿宋_GB2312" w:eastAsia="仿宋_GB2312"/>
          <w:b w:val="0"/>
          <w:sz w:val="32"/>
        </w:rPr>
        <w:t>2.社会保障和就业支出(类)人力资源和社会保障管理事务(款)行政运行(项):支出决算数为0.00万元，比上年决算减少2.50万元，下降100.00%,主要原因是：本年功能科目调整，为民办实事经费由行政运行科目调整至社会保险业务管理事务科目列支，导致支出较上年减少。</w:t>
      </w:r>
    </w:p>
    <w:p w14:paraId="3866B5B3">
      <w:pPr>
        <w:spacing w:line="580" w:lineRule="exact"/>
        <w:ind w:firstLine="640"/>
        <w:jc w:val="both"/>
      </w:pPr>
      <w:r>
        <w:rPr>
          <w:rFonts w:ascii="仿宋_GB2312" w:hAnsi="仿宋_GB2312" w:eastAsia="仿宋_GB2312"/>
          <w:b w:val="0"/>
          <w:sz w:val="32"/>
        </w:rPr>
        <w:t>3.社会保障和就业支出(类)人力资源和社会保障管理事务(款)社会保险业务管理事务(项):支出决算数为6.95万元，比上年决算增加6.95万元，增长100.00%,主要原因是：本年功能科目调整，为民办实事经费由行政运行科目调整至社会保险业务管理事务科目列支，导致支出较上年减少。</w:t>
      </w:r>
    </w:p>
    <w:p w14:paraId="0002B57F">
      <w:pPr>
        <w:spacing w:line="580" w:lineRule="exact"/>
        <w:ind w:firstLine="640"/>
        <w:jc w:val="both"/>
      </w:pPr>
      <w:r>
        <w:rPr>
          <w:rFonts w:ascii="仿宋_GB2312" w:hAnsi="仿宋_GB2312" w:eastAsia="仿宋_GB2312"/>
          <w:b w:val="0"/>
          <w:sz w:val="32"/>
        </w:rPr>
        <w:t>4.社会保障和就业支出(类)人力资源和社会保障管理事务(款)社会保险经办机构(项):支出决算数为290.37万元，比上年决算增加4.13万元，增长1.44%,主要原因是：本年在职人员工资基数调增，新增在职人员，人员经费增加，导致经费较上年有所增加。</w:t>
      </w:r>
    </w:p>
    <w:p w14:paraId="01FD83D6">
      <w:pPr>
        <w:spacing w:line="580" w:lineRule="exact"/>
        <w:ind w:firstLine="640"/>
        <w:jc w:val="both"/>
      </w:pPr>
      <w:r>
        <w:rPr>
          <w:rFonts w:ascii="仿宋_GB2312" w:hAnsi="仿宋_GB2312" w:eastAsia="仿宋_GB2312"/>
          <w:b w:val="0"/>
          <w:sz w:val="32"/>
        </w:rPr>
        <w:t>5.社会保障和就业支出(类)人力资源和社会保障管理事务(款)事业运行(项):支出决算数为125.63万元，比上年决算增加0.59万元，增长0.47%,主要原因是：本年在职人员工资调增，人员经费增加，导致经费较上年有所增加。</w:t>
      </w:r>
    </w:p>
    <w:p w14:paraId="7DD5A3A1">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6.社会保障和就业支出(类)行政事业单位养老支出(款)行政单位离退休(项):支出决算数为4.11万元，比上年决算减少1.65万元，下降28.65%,主要原因是：本年退休人员自然减员，离退休经费较上年减少。</w:t>
      </w:r>
    </w:p>
    <w:p w14:paraId="1992E748">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41.07万元，比上年决算增加2.59万元，增长6.73%,主要原因是：本年在职人员增加，在职人员工资基数调增，养老缴费基数上涨，相应支出增加。</w:t>
      </w:r>
    </w:p>
    <w:p w14:paraId="47B60127">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24.24万元，比上年决算增加5.00万元，增长25.99%,主要原因是：本年新增退休人员及调出人员，职业年金缴费支出增加。</w:t>
      </w:r>
    </w:p>
    <w:p w14:paraId="40E20044">
      <w:pPr>
        <w:spacing w:line="580" w:lineRule="exact"/>
        <w:ind w:firstLine="640"/>
        <w:jc w:val="both"/>
      </w:pPr>
      <w:r>
        <w:rPr>
          <w:rFonts w:ascii="仿宋_GB2312" w:hAnsi="仿宋_GB2312" w:eastAsia="仿宋_GB2312"/>
          <w:b w:val="0"/>
          <w:sz w:val="32"/>
        </w:rPr>
        <w:t>9.卫生健康支出(类)行政事业单位医疗(款)行政单位医疗(项):支出决算数为13.94万元，比上年决算减少2.62万元，下降15.82%,主要原因是：本年在职人员调入调出，人员职级不同，缴费基数不同，导致经费支出较上年减少。</w:t>
      </w:r>
    </w:p>
    <w:p w14:paraId="58F06D0F">
      <w:pPr>
        <w:spacing w:line="580" w:lineRule="exact"/>
        <w:ind w:firstLine="640"/>
        <w:jc w:val="both"/>
      </w:pPr>
      <w:r>
        <w:rPr>
          <w:rFonts w:ascii="仿宋_GB2312" w:hAnsi="仿宋_GB2312" w:eastAsia="仿宋_GB2312"/>
          <w:b w:val="0"/>
          <w:sz w:val="32"/>
        </w:rPr>
        <w:t>10.卫生健康支出(类)行政事业单位医疗(款)事业单位医疗(项):支出决算数为6.58万元，比上年决算增加1.01万元，增长18.13%,主要原因是：本年在职人员工资基数调增，医疗缴费基数上涨，相应支出增加。</w:t>
      </w:r>
    </w:p>
    <w:p w14:paraId="7F8C0A90">
      <w:pPr>
        <w:spacing w:line="580" w:lineRule="exact"/>
        <w:ind w:firstLine="640"/>
        <w:jc w:val="both"/>
      </w:pPr>
      <w:r>
        <w:rPr>
          <w:rFonts w:ascii="仿宋_GB2312" w:hAnsi="仿宋_GB2312" w:eastAsia="仿宋_GB2312"/>
          <w:b w:val="0"/>
          <w:sz w:val="32"/>
        </w:rPr>
        <w:t>11.卫生健康支出(类)行政事业单位医疗(款)公务员医疗补助(项):支出决算数为1.30万元，比上年决算减少0.11万元，下降7.80%,主要原因是：本年在职人员调入调出，人员职级不同，缴费基数不同，导致公务员医疗补助较上年减少。</w:t>
      </w:r>
    </w:p>
    <w:p w14:paraId="65D22218">
      <w:pPr>
        <w:spacing w:line="580" w:lineRule="exact"/>
        <w:ind w:firstLine="640"/>
        <w:jc w:val="both"/>
      </w:pPr>
      <w:r>
        <w:rPr>
          <w:rFonts w:ascii="仿宋_GB2312" w:hAnsi="仿宋_GB2312" w:eastAsia="仿宋_GB2312"/>
          <w:b w:val="0"/>
          <w:sz w:val="32"/>
        </w:rPr>
        <w:t>12.住房保障支出(类)住房改革支出(款)住房公积金(项):支出决算数为33.11万元，比上年决算增加2.56万元，增长8.38%,主要原因是：本年有新增人员，在职人员工资基数调增，公积金缴费基数上涨，相应支出增加。</w:t>
      </w:r>
    </w:p>
    <w:p w14:paraId="226EE4B8">
      <w:pPr>
        <w:spacing w:line="640" w:lineRule="exact"/>
        <w:ind w:firstLine="640"/>
        <w:jc w:val="both"/>
        <w:outlineLvl w:val="2"/>
      </w:pPr>
      <w:r>
        <w:rPr>
          <w:rFonts w:ascii="黑体" w:hAnsi="黑体" w:eastAsia="黑体"/>
          <w:sz w:val="32"/>
        </w:rPr>
        <w:t>六、一般公共预算财政拨款基本支出决算情况说明</w:t>
      </w:r>
    </w:p>
    <w:p w14:paraId="4C375B32">
      <w:pPr>
        <w:spacing w:line="580" w:lineRule="exact"/>
        <w:ind w:firstLine="640"/>
        <w:jc w:val="both"/>
      </w:pPr>
      <w:r>
        <w:rPr>
          <w:rFonts w:ascii="仿宋_GB2312" w:hAnsi="仿宋_GB2312" w:eastAsia="仿宋_GB2312"/>
          <w:b w:val="0"/>
          <w:sz w:val="32"/>
        </w:rPr>
        <w:t>2024年度一般公共预算财政拨款基本支出531.84万元，其中：</w:t>
      </w:r>
      <w:r>
        <w:rPr>
          <w:rFonts w:ascii="仿宋_GB2312" w:hAnsi="仿宋_GB2312" w:eastAsia="仿宋_GB2312"/>
          <w:b/>
          <w:sz w:val="32"/>
        </w:rPr>
        <w:t>人员经费489.36万元，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4488C1C0">
      <w:pPr>
        <w:spacing w:line="580" w:lineRule="exact"/>
        <w:ind w:firstLine="640"/>
        <w:jc w:val="both"/>
      </w:pPr>
      <w:r>
        <w:rPr>
          <w:rFonts w:ascii="仿宋_GB2312" w:hAnsi="仿宋_GB2312" w:eastAsia="仿宋_GB2312"/>
          <w:b/>
          <w:sz w:val="32"/>
        </w:rPr>
        <w:t>公用经费42.48万元，</w:t>
      </w:r>
      <w:r>
        <w:rPr>
          <w:rFonts w:ascii="仿宋_GB2312" w:hAnsi="仿宋_GB2312" w:eastAsia="仿宋_GB2312"/>
          <w:b w:val="0"/>
          <w:sz w:val="32"/>
        </w:rPr>
        <w:t>包括：办公费、印刷费、邮电费、租赁费、委托业务费、工会经费、公务用车运行维护费、其他交通费用、其他商品和服务支出、办公设备购置。</w:t>
      </w:r>
    </w:p>
    <w:p w14:paraId="30BD5970">
      <w:pPr>
        <w:spacing w:line="640" w:lineRule="exact"/>
        <w:ind w:firstLine="640"/>
        <w:jc w:val="both"/>
        <w:outlineLvl w:val="2"/>
      </w:pPr>
      <w:r>
        <w:rPr>
          <w:rFonts w:ascii="黑体" w:hAnsi="黑体" w:eastAsia="黑体"/>
          <w:sz w:val="32"/>
        </w:rPr>
        <w:t>七、政府性基金预算财政拨款收入支出决算情况说明</w:t>
      </w:r>
    </w:p>
    <w:p w14:paraId="131216C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F3E3A0B">
      <w:pPr>
        <w:spacing w:line="640" w:lineRule="exact"/>
        <w:ind w:firstLine="640"/>
        <w:jc w:val="both"/>
        <w:outlineLvl w:val="2"/>
      </w:pPr>
      <w:r>
        <w:rPr>
          <w:rFonts w:ascii="黑体" w:hAnsi="黑体" w:eastAsia="黑体"/>
          <w:sz w:val="32"/>
        </w:rPr>
        <w:t>八、国有资本经营预算财政拨款收入支出决算情况说明</w:t>
      </w:r>
    </w:p>
    <w:p w14:paraId="0201403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22B3F4">
      <w:pPr>
        <w:spacing w:line="640" w:lineRule="exact"/>
        <w:ind w:firstLine="640"/>
        <w:jc w:val="both"/>
        <w:outlineLvl w:val="2"/>
      </w:pPr>
      <w:r>
        <w:rPr>
          <w:rFonts w:ascii="黑体" w:hAnsi="黑体" w:eastAsia="黑体"/>
          <w:sz w:val="32"/>
        </w:rPr>
        <w:t>九、财政拨款“三公”经费支出决算情况说明</w:t>
      </w:r>
    </w:p>
    <w:p w14:paraId="6C2E5F1C">
      <w:pPr>
        <w:spacing w:line="580" w:lineRule="exact"/>
        <w:ind w:firstLine="640"/>
        <w:jc w:val="both"/>
      </w:pPr>
      <w:r>
        <w:rPr>
          <w:rFonts w:ascii="仿宋_GB2312" w:hAnsi="仿宋_GB2312" w:eastAsia="仿宋_GB2312"/>
          <w:b/>
          <w:sz w:val="32"/>
        </w:rPr>
        <w:t>2024年度财政拨款“三公”经费支出4.00万元，</w:t>
      </w:r>
      <w:r>
        <w:rPr>
          <w:rFonts w:ascii="仿宋_GB2312" w:hAnsi="仿宋_GB2312" w:eastAsia="仿宋_GB2312"/>
          <w:b w:val="0"/>
          <w:sz w:val="32"/>
        </w:rPr>
        <w:t>比上年增加0.00万元，增长0.00%，主要原因是：我单位“三公”经费与上年一致无变化。其中：因公出国（境）费支出0.00万元，占0.00%，比上年增加0.00万元，增长0.00%，主要原因是：2023年与2024年均未安排因公出国（境）费支出。公务用车购置及运行维护费支出4.00万元，占100.00%，比上年增加0.00万元，增长0.00%，主要原因是：我单位公务用车运行维护费与上年一致无变化。公务接待费支出0.00万元，占0.00%，比上年增加0.00万元，增长0.00%，主要原因是：2023年与2024年均未安排公务接待费支出。</w:t>
      </w:r>
    </w:p>
    <w:p w14:paraId="7548FFCF">
      <w:pPr>
        <w:spacing w:line="580" w:lineRule="exact"/>
        <w:ind w:firstLine="640"/>
        <w:jc w:val="both"/>
      </w:pPr>
      <w:r>
        <w:rPr>
          <w:rFonts w:ascii="仿宋_GB2312" w:hAnsi="仿宋_GB2312" w:eastAsia="仿宋_GB2312"/>
          <w:b/>
          <w:sz w:val="32"/>
        </w:rPr>
        <w:t>具体情况如下：</w:t>
      </w:r>
    </w:p>
    <w:p w14:paraId="5E12D60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A5A73E8">
      <w:pPr>
        <w:spacing w:line="580" w:lineRule="exact"/>
        <w:ind w:firstLine="640"/>
        <w:jc w:val="both"/>
      </w:pPr>
      <w:r>
        <w:rPr>
          <w:rFonts w:ascii="仿宋_GB2312" w:hAnsi="仿宋_GB2312" w:eastAsia="仿宋_GB2312"/>
          <w:b w:val="0"/>
          <w:sz w:val="32"/>
        </w:rPr>
        <w:t>公务用车购置及运行维护费4.00万元，其中：公务用车购置费0.00万元，公务用车运行维护费4.00万元。公务用车运行维护费开支内容包括车辆加油费、维修费、保险费、过路费、充电费。公务用车购置数0辆，公务用车保有量1辆。国有资产占用情况中固定资产车辆1辆，与公务用车保有量差异原因是：本单位固定资产车辆与公务用车保有量一致无差异。</w:t>
      </w:r>
    </w:p>
    <w:p w14:paraId="1DDE4B4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BB7F30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4.00万元，决算数4.00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4.00万元，决算数4.00万元，预决算差异率0.00%，主要原因是：严格按照预算执行，预决算无差异。公务接待费全年预算数0.00万元，决算数0.00万元，预决算差异率0.00%，主要原因是：本单位无公务接待费。</w:t>
      </w:r>
    </w:p>
    <w:p w14:paraId="51697120">
      <w:pPr>
        <w:spacing w:line="640" w:lineRule="exact"/>
        <w:ind w:firstLine="640"/>
        <w:jc w:val="both"/>
        <w:outlineLvl w:val="2"/>
      </w:pPr>
      <w:r>
        <w:rPr>
          <w:rFonts w:ascii="黑体" w:hAnsi="黑体" w:eastAsia="黑体"/>
          <w:sz w:val="32"/>
        </w:rPr>
        <w:t>十、其他重要事项的情况说明</w:t>
      </w:r>
    </w:p>
    <w:p w14:paraId="2F83262F">
      <w:pPr>
        <w:spacing w:line="640" w:lineRule="exact"/>
        <w:ind w:firstLine="640"/>
        <w:jc w:val="both"/>
        <w:outlineLvl w:val="3"/>
      </w:pPr>
      <w:r>
        <w:rPr>
          <w:rFonts w:ascii="楷体_GB2312" w:hAnsi="楷体_GB2312" w:eastAsia="楷体_GB2312"/>
          <w:b/>
          <w:sz w:val="32"/>
        </w:rPr>
        <w:t>（一）机关运行经费及公用经费支出情况</w:t>
      </w:r>
    </w:p>
    <w:p w14:paraId="727CDDFA">
      <w:pPr>
        <w:spacing w:line="580" w:lineRule="exact"/>
        <w:ind w:firstLine="640"/>
        <w:jc w:val="both"/>
      </w:pPr>
      <w:r>
        <w:rPr>
          <w:rFonts w:ascii="仿宋_GB2312" w:hAnsi="仿宋_GB2312" w:eastAsia="仿宋_GB2312"/>
          <w:b w:val="0"/>
          <w:sz w:val="32"/>
        </w:rPr>
        <w:t>2024年度吉木萨尔县社会保险中心（事业单位）公用经费支出42.48万元，比上年减少10.01万元，下降19.07%，主要原因是：严格控制公用经费，合理节约办公用品，减少不必要开支。</w:t>
      </w:r>
    </w:p>
    <w:p w14:paraId="4997EFCB">
      <w:pPr>
        <w:spacing w:line="640" w:lineRule="exact"/>
        <w:ind w:firstLine="640"/>
        <w:jc w:val="both"/>
        <w:outlineLvl w:val="3"/>
      </w:pPr>
      <w:r>
        <w:rPr>
          <w:rFonts w:ascii="楷体_GB2312" w:hAnsi="楷体_GB2312" w:eastAsia="楷体_GB2312"/>
          <w:b/>
          <w:sz w:val="32"/>
        </w:rPr>
        <w:t>（二）政府采购情况</w:t>
      </w:r>
    </w:p>
    <w:p w14:paraId="2CCB1CBA">
      <w:pPr>
        <w:spacing w:line="580" w:lineRule="exact"/>
        <w:ind w:firstLine="640"/>
        <w:jc w:val="both"/>
      </w:pPr>
      <w:r>
        <w:rPr>
          <w:rFonts w:ascii="仿宋_GB2312" w:hAnsi="仿宋_GB2312" w:eastAsia="仿宋_GB2312"/>
          <w:b w:val="0"/>
          <w:sz w:val="32"/>
        </w:rPr>
        <w:t>2024年度政府采购支出总额10.01万元，其中：政府采购货物支出7.79万元、政府采购工程支出0.00万元、政府采购服务支出2.22万元。</w:t>
      </w:r>
    </w:p>
    <w:p w14:paraId="583A97EE">
      <w:pPr>
        <w:spacing w:line="580" w:lineRule="exact"/>
        <w:ind w:firstLine="640"/>
        <w:jc w:val="both"/>
      </w:pPr>
      <w:r>
        <w:rPr>
          <w:rFonts w:ascii="仿宋_GB2312" w:hAnsi="仿宋_GB2312" w:eastAsia="仿宋_GB2312"/>
          <w:b w:val="0"/>
          <w:sz w:val="32"/>
        </w:rPr>
        <w:t>授予中小企业合同金额9.75万元，占政府采购支出总额的97.40%，其中：授予小微企业合同金额9.75万元，占政府采购支出总额的97.40%。</w:t>
      </w:r>
    </w:p>
    <w:p w14:paraId="56F32DD8">
      <w:pPr>
        <w:spacing w:line="640" w:lineRule="exact"/>
        <w:ind w:firstLine="640"/>
        <w:jc w:val="both"/>
        <w:outlineLvl w:val="3"/>
      </w:pPr>
      <w:r>
        <w:rPr>
          <w:rFonts w:ascii="楷体_GB2312" w:hAnsi="楷体_GB2312" w:eastAsia="楷体_GB2312"/>
          <w:b/>
          <w:sz w:val="32"/>
        </w:rPr>
        <w:t>（三）国有资产占用情况说明</w:t>
      </w:r>
    </w:p>
    <w:p w14:paraId="640DDE9B">
      <w:pPr>
        <w:spacing w:line="580" w:lineRule="exact"/>
        <w:ind w:firstLine="640"/>
        <w:jc w:val="both"/>
      </w:pPr>
      <w:r>
        <w:rPr>
          <w:rFonts w:ascii="仿宋_GB2312" w:hAnsi="仿宋_GB2312" w:eastAsia="仿宋_GB2312"/>
          <w:b w:val="0"/>
          <w:sz w:val="32"/>
        </w:rPr>
        <w:t>截至2024年12月31日，房屋0.00平方米，价值0.00万元。车辆1辆，价值18.00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E8C1A07">
      <w:pPr>
        <w:spacing w:line="640" w:lineRule="exact"/>
        <w:ind w:firstLine="640"/>
        <w:jc w:val="both"/>
        <w:outlineLvl w:val="2"/>
      </w:pPr>
      <w:r>
        <w:rPr>
          <w:rFonts w:ascii="黑体" w:hAnsi="黑体" w:eastAsia="黑体"/>
          <w:sz w:val="32"/>
        </w:rPr>
        <w:t>十一、预算绩效的情况说明</w:t>
      </w:r>
    </w:p>
    <w:p w14:paraId="1AD64A8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599.72万元，实际执行总额599.72万元；预算绩效评价项目2个，全年预算数20.25万元，全年执行数20.25万元。预算绩效管理取得的成效：我单位2024年度部门整体支出绩效目标，围绕部门职能、中长期规划、年度工作计划、重点工作任务及要求，确定年度部门整体支出的绩效目标，按照确定的部门职责履行情况、部门运行有效情况及部门职能设置具体的指标。拟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一是政策宣传不到位。乡镇村（社区）对宣传工作不重视，参保意识不强，缴费提档人数不多。二是差错率持续存在。基层经办人员未严格按照《自治区社会保险公共服务事项办理规范》的要求规范操作流程。基层经办人员业务水平参差不齐，业务差错问题屡禁不止。下一步改进措施：一是加强社保政策宣传。开展线上线下相结合的社保政策宣讲活动，每季度至少举办1场次线上讲座，每季度在村、社区、企业等场所开展2场次现场宣传，提高民众对社保政策的知晓率。巩固全民参保计划工作成果，确保完成全县基本养老保险参保率达到从业人员的95%的工作目标。二是提升社保服务质量。优化社保业务办理流程，进一步压缩办理时间。确保常规业务办理时间在5个工作日内完成，复杂业务办理时间不超过10个工作日。三是扩大社保覆盖范围。开展社保扩面专项活动，深入企业、社区宣传社保政策，鼓励未参保人员积极参保。关注特殊群体，为残疾人、低保户等困难群体提供社保帮扶，确保应参尽参。加大对乡镇、村（社区）的督促指导力度，到实地帮助基层开展扩面工作，对符合参保条件但未参保的人员动员其积极参保。县乡联动加强宣传，分别在9个乡镇、五彩湾企业、建筑工地开展社保政策宣讲，发放宣传资料，进行政策解析，提高参保意识。具体附整体支出绩效自评表，项目支出绩效自评表。</w:t>
      </w:r>
    </w:p>
    <w:p w14:paraId="70E52C3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38527F">
        <w:tblPrEx>
          <w:tblCellMar>
            <w:top w:w="0" w:type="dxa"/>
            <w:left w:w="108" w:type="dxa"/>
            <w:bottom w:w="0" w:type="dxa"/>
            <w:right w:w="108" w:type="dxa"/>
          </w:tblCellMar>
        </w:tblPrEx>
        <w:tc>
          <w:tcPr>
            <w:tcW w:w="8847" w:type="dxa"/>
            <w:gridSpan w:val="9"/>
            <w:vAlign w:val="center"/>
          </w:tcPr>
          <w:p w14:paraId="00975BE5">
            <w:pPr>
              <w:jc w:val="center"/>
            </w:pPr>
            <w:r>
              <w:rPr>
                <w:rFonts w:ascii="宋体" w:hAnsi="宋体" w:eastAsia="宋体"/>
                <w:sz w:val="24"/>
              </w:rPr>
              <w:t>单位整体支出绩效自评表</w:t>
            </w:r>
          </w:p>
        </w:tc>
      </w:tr>
      <w:tr w14:paraId="66990DD0">
        <w:tblPrEx>
          <w:tblCellMar>
            <w:top w:w="0" w:type="dxa"/>
            <w:left w:w="108" w:type="dxa"/>
            <w:bottom w:w="0" w:type="dxa"/>
            <w:right w:w="108" w:type="dxa"/>
          </w:tblCellMar>
        </w:tblPrEx>
        <w:tc>
          <w:tcPr>
            <w:tcW w:w="8847" w:type="dxa"/>
            <w:gridSpan w:val="9"/>
            <w:vAlign w:val="center"/>
          </w:tcPr>
          <w:p w14:paraId="60D598B9">
            <w:pPr>
              <w:jc w:val="center"/>
            </w:pPr>
            <w:r>
              <w:rPr>
                <w:rFonts w:ascii="宋体" w:hAnsi="宋体" w:eastAsia="宋体"/>
                <w:sz w:val="24"/>
              </w:rPr>
              <w:t>（2024年度）</w:t>
            </w:r>
          </w:p>
        </w:tc>
      </w:tr>
      <w:tr w14:paraId="7DA5E2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8A9F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DB6770">
            <w:pPr>
              <w:jc w:val="center"/>
            </w:pPr>
            <w:r>
              <w:rPr>
                <w:rFonts w:ascii="宋体" w:hAnsi="宋体" w:eastAsia="宋体"/>
                <w:sz w:val="16"/>
              </w:rPr>
              <w:t>吉木萨尔县社会保险中心</w:t>
            </w:r>
          </w:p>
        </w:tc>
      </w:tr>
      <w:tr w14:paraId="66116C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29EB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A219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F93C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54FC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225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8F94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37FC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0DE48">
            <w:pPr>
              <w:jc w:val="center"/>
            </w:pPr>
            <w:r>
              <w:rPr>
                <w:rFonts w:ascii="宋体" w:hAnsi="宋体" w:eastAsia="宋体"/>
                <w:sz w:val="16"/>
              </w:rPr>
              <w:t>得分</w:t>
            </w:r>
          </w:p>
        </w:tc>
      </w:tr>
      <w:tr w14:paraId="563FF8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90A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2B19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795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A0D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EC4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8F8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70C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295D">
            <w:pPr>
              <w:jc w:val="center"/>
            </w:pPr>
            <w:r>
              <w:rPr>
                <w:rFonts w:ascii="宋体" w:hAnsi="宋体" w:eastAsia="宋体"/>
                <w:sz w:val="16"/>
              </w:rPr>
              <w:t>-</w:t>
            </w:r>
          </w:p>
        </w:tc>
      </w:tr>
      <w:tr w14:paraId="571508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47F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084E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3AB23">
            <w:pPr>
              <w:jc w:val="center"/>
            </w:pPr>
            <w:r>
              <w:rPr>
                <w:rFonts w:ascii="宋体" w:hAnsi="宋体" w:eastAsia="宋体"/>
                <w:sz w:val="16"/>
              </w:rPr>
              <w:t>516.64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3C204">
            <w:pPr>
              <w:jc w:val="center"/>
            </w:pPr>
            <w:r>
              <w:rPr>
                <w:rFonts w:ascii="宋体" w:hAnsi="宋体" w:eastAsia="宋体"/>
                <w:sz w:val="16"/>
              </w:rPr>
              <w:t>552.09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52E4C">
            <w:pPr>
              <w:jc w:val="center"/>
            </w:pPr>
            <w:r>
              <w:rPr>
                <w:rFonts w:ascii="宋体" w:hAnsi="宋体" w:eastAsia="宋体"/>
                <w:sz w:val="16"/>
              </w:rPr>
              <w:t>552.09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626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107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86BAB">
            <w:pPr>
              <w:jc w:val="center"/>
            </w:pPr>
            <w:r>
              <w:rPr>
                <w:rFonts w:ascii="宋体" w:hAnsi="宋体" w:eastAsia="宋体"/>
                <w:sz w:val="16"/>
              </w:rPr>
              <w:t>-</w:t>
            </w:r>
          </w:p>
        </w:tc>
      </w:tr>
      <w:tr w14:paraId="590301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41B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CD9B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919AD">
            <w:pPr>
              <w:jc w:val="center"/>
            </w:pPr>
            <w:r>
              <w:rPr>
                <w:rFonts w:ascii="宋体" w:hAnsi="宋体" w:eastAsia="宋体"/>
                <w:sz w:val="16"/>
              </w:rPr>
              <w:t>17.72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FE466">
            <w:pPr>
              <w:jc w:val="center"/>
            </w:pPr>
            <w:r>
              <w:rPr>
                <w:rFonts w:ascii="宋体" w:hAnsi="宋体" w:eastAsia="宋体"/>
                <w:sz w:val="16"/>
              </w:rPr>
              <w:t>47.63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6CE31">
            <w:pPr>
              <w:jc w:val="center"/>
            </w:pPr>
            <w:r>
              <w:rPr>
                <w:rFonts w:ascii="宋体" w:hAnsi="宋体" w:eastAsia="宋体"/>
                <w:sz w:val="16"/>
              </w:rPr>
              <w:t>47.63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F3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D04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13BBE">
            <w:pPr>
              <w:jc w:val="center"/>
            </w:pPr>
            <w:r>
              <w:rPr>
                <w:rFonts w:ascii="宋体" w:hAnsi="宋体" w:eastAsia="宋体"/>
                <w:sz w:val="16"/>
              </w:rPr>
              <w:t>-</w:t>
            </w:r>
          </w:p>
        </w:tc>
      </w:tr>
      <w:tr w14:paraId="504D7A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CA2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C60F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31368">
            <w:pPr>
              <w:jc w:val="center"/>
            </w:pPr>
            <w:r>
              <w:rPr>
                <w:rFonts w:ascii="宋体" w:hAnsi="宋体" w:eastAsia="宋体"/>
                <w:sz w:val="16"/>
              </w:rPr>
              <w:t>534.36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A0F95">
            <w:pPr>
              <w:jc w:val="center"/>
            </w:pPr>
            <w:r>
              <w:rPr>
                <w:rFonts w:ascii="宋体" w:hAnsi="宋体" w:eastAsia="宋体"/>
                <w:sz w:val="16"/>
              </w:rPr>
              <w:t>599.72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F7A90">
            <w:pPr>
              <w:jc w:val="center"/>
            </w:pPr>
            <w:r>
              <w:rPr>
                <w:rFonts w:ascii="宋体" w:hAnsi="宋体" w:eastAsia="宋体"/>
                <w:sz w:val="16"/>
              </w:rPr>
              <w:t>599.72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CF5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D6A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29E9">
            <w:pPr>
              <w:jc w:val="center"/>
            </w:pPr>
            <w:r>
              <w:rPr>
                <w:rFonts w:ascii="宋体" w:hAnsi="宋体" w:eastAsia="宋体"/>
                <w:sz w:val="16"/>
              </w:rPr>
              <w:t>10</w:t>
            </w:r>
          </w:p>
        </w:tc>
      </w:tr>
      <w:tr w14:paraId="653BA6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B577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97502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6EDEF9">
            <w:pPr>
              <w:jc w:val="center"/>
            </w:pPr>
            <w:r>
              <w:rPr>
                <w:rFonts w:ascii="宋体" w:hAnsi="宋体" w:eastAsia="宋体"/>
                <w:sz w:val="16"/>
              </w:rPr>
              <w:t>实际完成情况</w:t>
            </w:r>
          </w:p>
        </w:tc>
      </w:tr>
      <w:tr w14:paraId="3B1C03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AA41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B4C71D">
            <w:pPr>
              <w:jc w:val="both"/>
            </w:pPr>
            <w:r>
              <w:rPr>
                <w:rFonts w:hint="eastAsia" w:ascii="宋体" w:hAnsi="宋体"/>
                <w:sz w:val="16"/>
                <w:lang w:eastAsia="zh-CN"/>
              </w:rPr>
              <w:t>1.</w:t>
            </w:r>
            <w:r>
              <w:rPr>
                <w:rFonts w:ascii="宋体" w:hAnsi="宋体" w:eastAsia="宋体"/>
                <w:sz w:val="16"/>
              </w:rPr>
              <w:t>人员经费保障在职职工25名、政府购买</w:t>
            </w:r>
            <w:r>
              <w:rPr>
                <w:rFonts w:hint="eastAsia" w:ascii="宋体" w:hAnsi="宋体"/>
                <w:sz w:val="16"/>
                <w:lang w:eastAsia="zh-CN"/>
              </w:rPr>
              <w:t>岗位</w:t>
            </w:r>
            <w:r>
              <w:rPr>
                <w:rFonts w:ascii="宋体" w:hAnsi="宋体" w:eastAsia="宋体"/>
                <w:sz w:val="16"/>
              </w:rPr>
              <w:t>7名的工资、社保、住房公积金等经费保障,稳定社保干部队伍。公用经费及时支付各类公用经费，保证各项工作顺利开展。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2、项目经费保障单位推进全面参保，持续加大扩面；加大稽核力度，规范基金管理；扎实做好资格认证，防止新增违规待遇发放；抓好基金风险防控，确保基金安全等各项工作正常开展。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3、精准落实待遇发放，确保应享尽享，提升服务质量，打造群众满意的社保窗口。</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5280A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全年预算数为599.72万元，全年执行数为599.72万元，主要完成任务如下:1.实际完成在职职工26名（包括新入职2</w:t>
            </w:r>
            <w:r>
              <w:rPr>
                <w:rFonts w:hint="eastAsia" w:ascii="宋体" w:hAnsi="宋体"/>
                <w:sz w:val="16"/>
                <w:lang w:eastAsia="zh-CN"/>
              </w:rPr>
              <w:t>名</w:t>
            </w:r>
            <w:r>
              <w:rPr>
                <w:rFonts w:ascii="宋体" w:hAnsi="宋体" w:eastAsia="宋体"/>
                <w:sz w:val="16"/>
              </w:rPr>
              <w:t>职工）、政府购买岗5名职工的工资、社保、住房公积金等发放工作。稳定社保干部队伍。2.使用公用经费及时支付各类公用经费，保证各项工作顺利开展。3.开展推进全面参保，持续加大扩面；加大稽核力度，规范基金管理；扎实做好资格认证，防止新增违规待遇发放；抓好基金风险防控，确保基金安全等工作。精准落实待遇发放，确保应享尽享，提升服务质量，打造群众满意的社保窗口。</w:t>
            </w:r>
          </w:p>
        </w:tc>
      </w:tr>
      <w:tr w14:paraId="2B10D6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3EF0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F049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043E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4C89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1EDC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FD94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7C0D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EF0BF">
            <w:pPr>
              <w:jc w:val="center"/>
            </w:pPr>
            <w:r>
              <w:rPr>
                <w:rFonts w:ascii="宋体" w:hAnsi="宋体" w:eastAsia="宋体"/>
                <w:sz w:val="16"/>
              </w:rPr>
              <w:t>得分</w:t>
            </w:r>
          </w:p>
        </w:tc>
      </w:tr>
      <w:tr w14:paraId="5B74DA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7E03B">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070E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71476">
            <w:pPr>
              <w:jc w:val="center"/>
            </w:pPr>
            <w:r>
              <w:rPr>
                <w:rFonts w:ascii="宋体" w:hAnsi="宋体" w:eastAsia="宋体"/>
                <w:sz w:val="16"/>
              </w:rPr>
              <w:t>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87A5B">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8AFCB">
            <w:pPr>
              <w:jc w:val="center"/>
            </w:pPr>
            <w:r>
              <w:rPr>
                <w:rFonts w:ascii="宋体" w:hAnsi="宋体" w:eastAsia="宋体"/>
                <w:sz w:val="16"/>
              </w:rPr>
              <w:t>2023年决算报表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46E4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F35D7">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E989D">
            <w:pPr>
              <w:jc w:val="center"/>
            </w:pPr>
            <w:r>
              <w:rPr>
                <w:rFonts w:ascii="宋体" w:hAnsi="宋体" w:eastAsia="宋体"/>
                <w:sz w:val="16"/>
              </w:rPr>
              <w:t>15</w:t>
            </w:r>
          </w:p>
        </w:tc>
      </w:tr>
      <w:tr w14:paraId="0D5554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CB9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090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636D4">
            <w:pPr>
              <w:jc w:val="center"/>
            </w:pPr>
            <w:r>
              <w:rPr>
                <w:rFonts w:ascii="宋体" w:hAnsi="宋体" w:eastAsia="宋体"/>
                <w:sz w:val="16"/>
              </w:rPr>
              <w:t>在编在岗人数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2C173">
            <w:pPr>
              <w:jc w:val="center"/>
            </w:pPr>
            <w:r>
              <w:rPr>
                <w:rFonts w:ascii="宋体" w:hAnsi="宋体" w:eastAsia="宋体"/>
                <w:sz w:val="16"/>
              </w:rPr>
              <w:t>&lt;=25人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D00E">
            <w:pPr>
              <w:jc w:val="center"/>
            </w:pPr>
            <w:r>
              <w:rPr>
                <w:rFonts w:ascii="宋体" w:hAnsi="宋体" w:eastAsia="宋体"/>
                <w:sz w:val="16"/>
              </w:rPr>
              <w:t>2023年决算报表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89A9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B2E5F">
            <w:pPr>
              <w:jc w:val="center"/>
            </w:pPr>
            <w:r>
              <w:rPr>
                <w:rFonts w:ascii="宋体" w:hAnsi="宋体" w:eastAsia="宋体"/>
                <w:sz w:val="16"/>
              </w:rPr>
              <w:t>=26人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00D12">
            <w:pPr>
              <w:jc w:val="center"/>
            </w:pPr>
            <w:r>
              <w:rPr>
                <w:rFonts w:ascii="宋体" w:hAnsi="宋体" w:eastAsia="宋体"/>
                <w:sz w:val="16"/>
              </w:rPr>
              <w:t>15</w:t>
            </w:r>
          </w:p>
        </w:tc>
      </w:tr>
      <w:tr w14:paraId="025C82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6CF97">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F24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00C0D">
            <w:pPr>
              <w:jc w:val="center"/>
            </w:pPr>
            <w:r>
              <w:rPr>
                <w:rFonts w:ascii="宋体" w:hAnsi="宋体" w:eastAsia="宋体"/>
                <w:sz w:val="16"/>
              </w:rPr>
              <w:t>基本养老保险参保率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9059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D47EF">
            <w:pPr>
              <w:jc w:val="center"/>
            </w:pPr>
            <w:r>
              <w:rPr>
                <w:rFonts w:ascii="宋体" w:hAnsi="宋体" w:eastAsia="宋体"/>
                <w:sz w:val="16"/>
              </w:rPr>
              <w:t>社会保险中心2023年工作总结及2024年工作计划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ED1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EB16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7B63D">
            <w:pPr>
              <w:jc w:val="center"/>
            </w:pPr>
            <w:r>
              <w:rPr>
                <w:rFonts w:ascii="宋体" w:hAnsi="宋体" w:eastAsia="宋体"/>
                <w:sz w:val="16"/>
              </w:rPr>
              <w:t>20</w:t>
            </w:r>
          </w:p>
        </w:tc>
      </w:tr>
      <w:tr w14:paraId="489EB9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72F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15A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0F55">
            <w:pPr>
              <w:jc w:val="center"/>
            </w:pPr>
            <w:r>
              <w:rPr>
                <w:rFonts w:ascii="宋体" w:hAnsi="宋体" w:eastAsia="宋体"/>
                <w:sz w:val="16"/>
              </w:rPr>
              <w:t>窗口群众的社保业务好评率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CF5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0D1E1">
            <w:pPr>
              <w:jc w:val="center"/>
            </w:pPr>
            <w:r>
              <w:rPr>
                <w:rFonts w:ascii="宋体" w:hAnsi="宋体" w:eastAsia="宋体"/>
                <w:sz w:val="16"/>
              </w:rPr>
              <w:t>社会保险中心2023年工作总结及2024年工作计划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4D17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6E69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C6A89">
            <w:pPr>
              <w:jc w:val="center"/>
            </w:pPr>
            <w:r>
              <w:rPr>
                <w:rFonts w:ascii="宋体" w:hAnsi="宋体" w:eastAsia="宋体"/>
                <w:sz w:val="16"/>
              </w:rPr>
              <w:t>11.4</w:t>
            </w:r>
          </w:p>
        </w:tc>
      </w:tr>
      <w:tr w14:paraId="7E660D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423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750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455A8">
            <w:pPr>
              <w:jc w:val="center"/>
            </w:pPr>
            <w:r>
              <w:rPr>
                <w:rFonts w:ascii="宋体" w:hAnsi="宋体" w:eastAsia="宋体"/>
                <w:sz w:val="16"/>
              </w:rPr>
              <w:t>参保人数达到人次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CD2A2">
            <w:pPr>
              <w:jc w:val="center"/>
            </w:pPr>
            <w:r>
              <w:rPr>
                <w:rFonts w:ascii="宋体" w:hAnsi="宋体" w:eastAsia="宋体"/>
                <w:sz w:val="16"/>
              </w:rPr>
              <w:t>&gt;=189089人次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2865">
            <w:pPr>
              <w:jc w:val="center"/>
            </w:pPr>
            <w:r>
              <w:rPr>
                <w:rFonts w:ascii="宋体" w:hAnsi="宋体" w:eastAsia="宋体"/>
                <w:sz w:val="16"/>
              </w:rPr>
              <w:t>社会保险中心2023年工作总结及2024年工作计划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54E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CB872">
            <w:pPr>
              <w:jc w:val="center"/>
            </w:pPr>
            <w:r>
              <w:rPr>
                <w:rFonts w:ascii="宋体" w:hAnsi="宋体" w:eastAsia="宋体"/>
                <w:sz w:val="16"/>
              </w:rPr>
              <w:t>=221200人次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0BD07">
            <w:pPr>
              <w:jc w:val="center"/>
            </w:pPr>
            <w:r>
              <w:rPr>
                <w:rFonts w:ascii="宋体" w:hAnsi="宋体" w:eastAsia="宋体"/>
                <w:sz w:val="16"/>
              </w:rPr>
              <w:t>20</w:t>
            </w:r>
          </w:p>
        </w:tc>
      </w:tr>
      <w:tr w14:paraId="301E60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B4B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7074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D5727">
            <w:pPr>
              <w:jc w:val="center"/>
            </w:pPr>
            <w:r>
              <w:rPr>
                <w:rFonts w:ascii="宋体" w:hAnsi="宋体" w:eastAsia="宋体"/>
                <w:sz w:val="16"/>
              </w:rPr>
              <w:t>培训会议次数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4522E">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65A0A">
            <w:pPr>
              <w:jc w:val="center"/>
            </w:pPr>
            <w:r>
              <w:rPr>
                <w:rFonts w:ascii="宋体" w:hAnsi="宋体" w:eastAsia="宋体"/>
                <w:sz w:val="16"/>
              </w:rPr>
              <w:t>社会保险中心2023年工作总结及2024年工作计划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E7C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7195">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7D8AE">
            <w:pPr>
              <w:jc w:val="center"/>
            </w:pPr>
            <w:r>
              <w:rPr>
                <w:rFonts w:ascii="宋体" w:hAnsi="宋体" w:eastAsia="宋体"/>
                <w:sz w:val="16"/>
              </w:rPr>
              <w:t>8</w:t>
            </w:r>
          </w:p>
        </w:tc>
      </w:tr>
    </w:tbl>
    <w:p w14:paraId="43679FB6">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776"/>
        <w:gridCol w:w="626"/>
        <w:gridCol w:w="696"/>
        <w:gridCol w:w="615"/>
        <w:gridCol w:w="615"/>
        <w:gridCol w:w="615"/>
        <w:gridCol w:w="620"/>
        <w:gridCol w:w="631"/>
      </w:tblGrid>
      <w:tr w14:paraId="0B84F15E">
        <w:tblPrEx>
          <w:tblCellMar>
            <w:top w:w="0" w:type="dxa"/>
            <w:left w:w="108" w:type="dxa"/>
            <w:bottom w:w="0" w:type="dxa"/>
            <w:right w:w="108" w:type="dxa"/>
          </w:tblCellMar>
        </w:tblPrEx>
        <w:tc>
          <w:tcPr>
            <w:tcW w:w="8848" w:type="dxa"/>
            <w:gridSpan w:val="14"/>
            <w:vAlign w:val="center"/>
          </w:tcPr>
          <w:p w14:paraId="4794BF64">
            <w:pPr>
              <w:jc w:val="center"/>
            </w:pPr>
            <w:r>
              <w:rPr>
                <w:rFonts w:ascii="宋体" w:hAnsi="宋体" w:eastAsia="宋体"/>
                <w:sz w:val="24"/>
              </w:rPr>
              <w:t>项目支出绩效自评表</w:t>
            </w:r>
          </w:p>
        </w:tc>
      </w:tr>
      <w:tr w14:paraId="13D594EA">
        <w:tblPrEx>
          <w:tblCellMar>
            <w:top w:w="0" w:type="dxa"/>
            <w:left w:w="108" w:type="dxa"/>
            <w:bottom w:w="0" w:type="dxa"/>
            <w:right w:w="108" w:type="dxa"/>
          </w:tblCellMar>
        </w:tblPrEx>
        <w:tc>
          <w:tcPr>
            <w:tcW w:w="8848" w:type="dxa"/>
            <w:gridSpan w:val="14"/>
            <w:vAlign w:val="center"/>
          </w:tcPr>
          <w:p w14:paraId="3D93BDE7">
            <w:pPr>
              <w:jc w:val="center"/>
            </w:pPr>
            <w:r>
              <w:rPr>
                <w:rFonts w:ascii="宋体" w:hAnsi="宋体" w:eastAsia="宋体"/>
                <w:sz w:val="24"/>
              </w:rPr>
              <w:t>(2024年度)</w:t>
            </w:r>
          </w:p>
        </w:tc>
      </w:tr>
      <w:tr w14:paraId="5AD364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F6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27C9EE">
            <w:pPr>
              <w:jc w:val="center"/>
            </w:pPr>
            <w:r>
              <w:rPr>
                <w:rFonts w:ascii="宋体" w:hAnsi="宋体" w:eastAsia="宋体"/>
                <w:sz w:val="16"/>
              </w:rPr>
              <w:t>2024年吉木萨尔县城乡居民基本养老保险财务凭证扫描经费</w:t>
            </w:r>
          </w:p>
        </w:tc>
      </w:tr>
      <w:tr w14:paraId="6D2475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34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7C3488">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6D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5945B1">
            <w:pPr>
              <w:jc w:val="center"/>
            </w:pPr>
            <w:r>
              <w:rPr>
                <w:rFonts w:ascii="宋体" w:hAnsi="宋体" w:eastAsia="宋体"/>
                <w:sz w:val="16"/>
              </w:rPr>
              <w:t>吉木萨尔县社会保险中心</w:t>
            </w:r>
          </w:p>
        </w:tc>
      </w:tr>
      <w:tr w14:paraId="1CD5B7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23C4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474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F98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2C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ADC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48B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6F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F0EF">
            <w:pPr>
              <w:jc w:val="center"/>
            </w:pPr>
            <w:r>
              <w:rPr>
                <w:rFonts w:ascii="宋体" w:hAnsi="宋体" w:eastAsia="宋体"/>
                <w:sz w:val="16"/>
              </w:rPr>
              <w:t>得分</w:t>
            </w:r>
          </w:p>
        </w:tc>
      </w:tr>
      <w:tr w14:paraId="5E9B7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4EC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53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15799">
            <w:pPr>
              <w:jc w:val="center"/>
            </w:pPr>
            <w:r>
              <w:rPr>
                <w:rFonts w:ascii="宋体" w:hAnsi="宋体" w:eastAsia="宋体"/>
                <w:sz w:val="16"/>
              </w:rPr>
              <w:t>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8F60F">
            <w:pPr>
              <w:jc w:val="center"/>
            </w:pPr>
            <w:r>
              <w:rPr>
                <w:rFonts w:ascii="宋体" w:hAnsi="宋体" w:eastAsia="宋体"/>
                <w:sz w:val="16"/>
              </w:rPr>
              <w:t>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2F46A">
            <w:pPr>
              <w:jc w:val="center"/>
            </w:pPr>
            <w:r>
              <w:rPr>
                <w:rFonts w:ascii="宋体" w:hAnsi="宋体" w:eastAsia="宋体"/>
                <w:sz w:val="16"/>
              </w:rPr>
              <w:t>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D93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DFEF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FAF4">
            <w:pPr>
              <w:jc w:val="center"/>
            </w:pPr>
            <w:r>
              <w:rPr>
                <w:rFonts w:ascii="宋体" w:hAnsi="宋体" w:eastAsia="宋体"/>
                <w:sz w:val="16"/>
              </w:rPr>
              <w:t>10.00</w:t>
            </w:r>
          </w:p>
        </w:tc>
      </w:tr>
      <w:tr w14:paraId="0D5CC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6D7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CF8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49B01">
            <w:pPr>
              <w:jc w:val="center"/>
            </w:pPr>
            <w:r>
              <w:rPr>
                <w:rFonts w:ascii="宋体" w:hAnsi="宋体" w:eastAsia="宋体"/>
                <w:sz w:val="16"/>
              </w:rPr>
              <w:t>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E26B">
            <w:pPr>
              <w:jc w:val="center"/>
            </w:pPr>
            <w:r>
              <w:rPr>
                <w:rFonts w:ascii="宋体" w:hAnsi="宋体" w:eastAsia="宋体"/>
                <w:sz w:val="16"/>
              </w:rPr>
              <w:t>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E17B5">
            <w:pPr>
              <w:jc w:val="center"/>
            </w:pPr>
            <w:r>
              <w:rPr>
                <w:rFonts w:ascii="宋体" w:hAnsi="宋体" w:eastAsia="宋体"/>
                <w:sz w:val="16"/>
              </w:rPr>
              <w:t>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3AC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D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C6B6">
            <w:pPr>
              <w:jc w:val="center"/>
            </w:pPr>
            <w:r>
              <w:rPr>
                <w:rFonts w:ascii="宋体" w:hAnsi="宋体" w:eastAsia="宋体"/>
                <w:sz w:val="16"/>
              </w:rPr>
              <w:t>—</w:t>
            </w:r>
          </w:p>
        </w:tc>
      </w:tr>
      <w:tr w14:paraId="29AC5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EE2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CDA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59F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6DC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E2A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DC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FF9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E3AF">
            <w:pPr>
              <w:jc w:val="center"/>
            </w:pPr>
            <w:r>
              <w:rPr>
                <w:rFonts w:ascii="宋体" w:hAnsi="宋体" w:eastAsia="宋体"/>
                <w:sz w:val="16"/>
              </w:rPr>
              <w:t>—</w:t>
            </w:r>
          </w:p>
        </w:tc>
      </w:tr>
      <w:tr w14:paraId="24ED50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BDA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5C0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78419">
            <w:pPr>
              <w:jc w:val="center"/>
            </w:pPr>
            <w:r>
              <w:rPr>
                <w:rFonts w:ascii="宋体" w:hAnsi="宋体" w:eastAsia="宋体"/>
                <w:sz w:val="16"/>
              </w:rPr>
              <w:t>实际完成情况</w:t>
            </w:r>
          </w:p>
        </w:tc>
      </w:tr>
      <w:tr w14:paraId="31F83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A74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30DDF">
            <w:pPr>
              <w:jc w:val="both"/>
            </w:pPr>
            <w:r>
              <w:rPr>
                <w:rFonts w:ascii="宋体" w:hAnsi="宋体" w:eastAsia="宋体"/>
                <w:sz w:val="16"/>
              </w:rPr>
              <w:t>扫描2009</w:t>
            </w:r>
            <w:r>
              <w:rPr>
                <w:rFonts w:hint="eastAsia" w:ascii="宋体" w:hAnsi="宋体"/>
                <w:sz w:val="16"/>
                <w:lang w:eastAsia="zh-CN"/>
              </w:rPr>
              <w:t>—</w:t>
            </w:r>
            <w:r>
              <w:rPr>
                <w:rFonts w:ascii="宋体" w:hAnsi="宋体" w:eastAsia="宋体"/>
                <w:sz w:val="16"/>
              </w:rPr>
              <w:t>2019年吉木萨尔县城乡居民社会养老保险财务凭证并建立电子档案，项目费用6.95万元，确保财务凭证档案的完整性，保证参保群众的社保权益和社保基金不受损失。争取使受益群众满意度不低于90%。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6A14D">
            <w:pPr>
              <w:jc w:val="both"/>
            </w:pPr>
            <w:r>
              <w:rPr>
                <w:rFonts w:hint="eastAsia" w:ascii="宋体" w:hAnsi="宋体"/>
                <w:sz w:val="16"/>
                <w:lang w:eastAsia="zh-CN"/>
              </w:rPr>
              <w:t>截至2024</w:t>
            </w:r>
            <w:r>
              <w:rPr>
                <w:rFonts w:ascii="宋体" w:hAnsi="宋体" w:eastAsia="宋体"/>
                <w:sz w:val="16"/>
              </w:rPr>
              <w:t>年12月31日，本项目实际支出资金6.95万元，预算执行率为100%，通过实施本项目，扫描2009</w:t>
            </w:r>
            <w:r>
              <w:rPr>
                <w:rFonts w:hint="eastAsia" w:ascii="宋体" w:hAnsi="宋体"/>
                <w:sz w:val="16"/>
                <w:lang w:eastAsia="zh-CN"/>
              </w:rPr>
              <w:t>—</w:t>
            </w:r>
            <w:r>
              <w:rPr>
                <w:rFonts w:ascii="宋体" w:hAnsi="宋体" w:eastAsia="宋体"/>
                <w:sz w:val="16"/>
              </w:rPr>
              <w:t>2019年吉木萨尔县城乡居民社会养老保险财务凭证并建立电子档案，项目费用6.95万元，确保财务凭证档案的完整性，保证参保群众的社保权益和社保基金不受损失。使受益群众满意度达到95%。</w:t>
            </w:r>
          </w:p>
        </w:tc>
      </w:tr>
      <w:tr w14:paraId="54FA95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A8E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E7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74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7F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2C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B17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437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D6B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B29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76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38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8E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DA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ED59">
            <w:pPr>
              <w:jc w:val="center"/>
            </w:pPr>
            <w:r>
              <w:rPr>
                <w:rFonts w:ascii="宋体" w:hAnsi="宋体" w:eastAsia="宋体"/>
                <w:sz w:val="16"/>
              </w:rPr>
              <w:t>偏差原因分析及改进措施</w:t>
            </w:r>
          </w:p>
        </w:tc>
      </w:tr>
      <w:tr w14:paraId="71DD4E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B53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DA1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675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9061">
            <w:pPr>
              <w:jc w:val="center"/>
            </w:pPr>
            <w:r>
              <w:rPr>
                <w:rFonts w:ascii="宋体" w:hAnsi="宋体" w:eastAsia="宋体"/>
                <w:sz w:val="16"/>
              </w:rPr>
              <w:t>扫描财务凭证页数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8B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8EE2">
            <w:pPr>
              <w:jc w:val="center"/>
            </w:pPr>
            <w:r>
              <w:rPr>
                <w:rFonts w:ascii="宋体" w:hAnsi="宋体" w:eastAsia="宋体"/>
                <w:sz w:val="16"/>
              </w:rPr>
              <w:t>=139090页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2E5C">
            <w:pPr>
              <w:jc w:val="center"/>
            </w:pPr>
            <w:r>
              <w:rPr>
                <w:rFonts w:ascii="宋体" w:hAnsi="宋体" w:eastAsia="宋体"/>
                <w:sz w:val="16"/>
              </w:rPr>
              <w:t>=139090页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B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94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0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9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4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F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AC8F">
            <w:pPr>
              <w:jc w:val="center"/>
            </w:pPr>
          </w:p>
        </w:tc>
      </w:tr>
      <w:tr w14:paraId="1CF7D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B3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D7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32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F6CF">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B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461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F8F9">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D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2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7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2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0D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D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F9DD">
            <w:pPr>
              <w:jc w:val="center"/>
            </w:pPr>
          </w:p>
        </w:tc>
      </w:tr>
      <w:tr w14:paraId="317CE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FA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0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7E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CAFA">
            <w:pPr>
              <w:jc w:val="center"/>
            </w:pPr>
            <w:r>
              <w:rPr>
                <w:rFonts w:ascii="宋体" w:hAnsi="宋体" w:eastAsia="宋体"/>
                <w:sz w:val="16"/>
              </w:rPr>
              <w:t>电子档案建立完成率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E8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E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A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0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97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1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4A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A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E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E052">
            <w:pPr>
              <w:jc w:val="center"/>
            </w:pPr>
          </w:p>
        </w:tc>
      </w:tr>
      <w:tr w14:paraId="611C6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0F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D4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94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73F4">
            <w:pPr>
              <w:jc w:val="center"/>
            </w:pPr>
            <w:r>
              <w:rPr>
                <w:rFonts w:ascii="宋体" w:hAnsi="宋体" w:eastAsia="宋体"/>
                <w:sz w:val="16"/>
              </w:rPr>
              <w:t>纸质档案电子化转化及时性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F6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F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4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4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4A3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4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5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0C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E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59CC">
            <w:pPr>
              <w:jc w:val="center"/>
            </w:pPr>
          </w:p>
        </w:tc>
      </w:tr>
      <w:tr w14:paraId="0AD54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70A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DC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AD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AA2D">
            <w:pPr>
              <w:jc w:val="center"/>
            </w:pPr>
            <w:r>
              <w:rPr>
                <w:rFonts w:ascii="宋体" w:hAnsi="宋体" w:eastAsia="宋体"/>
                <w:sz w:val="16"/>
              </w:rPr>
              <w:t>扫描费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37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7D1D">
            <w:pPr>
              <w:jc w:val="center"/>
            </w:pPr>
            <w:r>
              <w:rPr>
                <w:rFonts w:ascii="宋体" w:hAnsi="宋体" w:eastAsia="宋体"/>
                <w:sz w:val="16"/>
              </w:rPr>
              <w:t>=6.95万元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7650">
            <w:pPr>
              <w:jc w:val="center"/>
            </w:pPr>
            <w:r>
              <w:rPr>
                <w:rFonts w:ascii="宋体" w:hAnsi="宋体" w:eastAsia="宋体"/>
                <w:sz w:val="16"/>
              </w:rPr>
              <w:t>=6.95万元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4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4E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7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C3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F6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AFC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3C5A">
            <w:pPr>
              <w:jc w:val="center"/>
            </w:pPr>
          </w:p>
        </w:tc>
      </w:tr>
      <w:tr w14:paraId="69714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97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B9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3A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697A">
            <w:pPr>
              <w:jc w:val="center"/>
            </w:pPr>
            <w:r>
              <w:rPr>
                <w:rFonts w:ascii="宋体" w:hAnsi="宋体" w:eastAsia="宋体"/>
                <w:sz w:val="16"/>
              </w:rPr>
              <w:t>提高业务办事效率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70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2EE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FF8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D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0F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9A4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9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7A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7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C822">
            <w:pPr>
              <w:jc w:val="center"/>
            </w:pPr>
          </w:p>
        </w:tc>
      </w:tr>
      <w:tr w14:paraId="78172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8B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37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9C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83A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0B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43A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AC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0C0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67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2D6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C1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92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6B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BE6F">
            <w:pPr>
              <w:jc w:val="center"/>
            </w:pPr>
            <w:r>
              <w:rPr>
                <w:rFonts w:ascii="宋体" w:hAnsi="宋体" w:eastAsia="宋体"/>
                <w:sz w:val="16"/>
              </w:rPr>
              <w:t>通过调研问卷，群众满意度达到95%。</w:t>
            </w:r>
          </w:p>
        </w:tc>
      </w:tr>
      <w:tr w14:paraId="1AB0FF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B978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9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9C8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FFC9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FA9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4A3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803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262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7DA1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B3A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8DB2E"/>
        </w:tc>
      </w:tr>
    </w:tbl>
    <w:p w14:paraId="7166B7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BD3B3C0">
        <w:tblPrEx>
          <w:tblCellMar>
            <w:top w:w="0" w:type="dxa"/>
            <w:left w:w="108" w:type="dxa"/>
            <w:bottom w:w="0" w:type="dxa"/>
            <w:right w:w="108" w:type="dxa"/>
          </w:tblCellMar>
        </w:tblPrEx>
        <w:tc>
          <w:tcPr>
            <w:tcW w:w="8848" w:type="dxa"/>
            <w:gridSpan w:val="14"/>
            <w:vAlign w:val="center"/>
          </w:tcPr>
          <w:p w14:paraId="356C2372">
            <w:pPr>
              <w:jc w:val="center"/>
            </w:pPr>
            <w:r>
              <w:rPr>
                <w:rFonts w:ascii="宋体" w:hAnsi="宋体" w:eastAsia="宋体"/>
                <w:sz w:val="24"/>
              </w:rPr>
              <w:t>项目支出绩效自评表</w:t>
            </w:r>
          </w:p>
        </w:tc>
      </w:tr>
      <w:tr w14:paraId="7F17D243">
        <w:tblPrEx>
          <w:tblCellMar>
            <w:top w:w="0" w:type="dxa"/>
            <w:left w:w="108" w:type="dxa"/>
            <w:bottom w:w="0" w:type="dxa"/>
            <w:right w:w="108" w:type="dxa"/>
          </w:tblCellMar>
        </w:tblPrEx>
        <w:tc>
          <w:tcPr>
            <w:tcW w:w="8848" w:type="dxa"/>
            <w:gridSpan w:val="14"/>
            <w:vAlign w:val="center"/>
          </w:tcPr>
          <w:p w14:paraId="68F9DCD1">
            <w:pPr>
              <w:jc w:val="center"/>
            </w:pPr>
            <w:r>
              <w:rPr>
                <w:rFonts w:ascii="宋体" w:hAnsi="宋体" w:eastAsia="宋体"/>
                <w:sz w:val="24"/>
              </w:rPr>
              <w:t>(2024年度)</w:t>
            </w:r>
          </w:p>
        </w:tc>
      </w:tr>
      <w:tr w14:paraId="69A81A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03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0B21CA">
            <w:pPr>
              <w:jc w:val="center"/>
            </w:pPr>
            <w:r>
              <w:rPr>
                <w:rFonts w:ascii="宋体" w:hAnsi="宋体" w:eastAsia="宋体"/>
                <w:sz w:val="16"/>
              </w:rPr>
              <w:t>2024年自治区财政社保经办机构业务补助经费</w:t>
            </w:r>
          </w:p>
        </w:tc>
      </w:tr>
      <w:tr w14:paraId="0AEEED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C8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E90920">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19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BB74E">
            <w:pPr>
              <w:jc w:val="center"/>
            </w:pPr>
            <w:r>
              <w:rPr>
                <w:rFonts w:ascii="宋体" w:hAnsi="宋体" w:eastAsia="宋体"/>
                <w:sz w:val="16"/>
              </w:rPr>
              <w:t>吉木萨尔县社会保险中心</w:t>
            </w:r>
          </w:p>
        </w:tc>
      </w:tr>
      <w:tr w14:paraId="0070FF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20DF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685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820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4F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CB8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F2C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9EF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8FFD">
            <w:pPr>
              <w:jc w:val="center"/>
            </w:pPr>
            <w:r>
              <w:rPr>
                <w:rFonts w:ascii="宋体" w:hAnsi="宋体" w:eastAsia="宋体"/>
                <w:sz w:val="16"/>
              </w:rPr>
              <w:t>得分</w:t>
            </w:r>
          </w:p>
        </w:tc>
      </w:tr>
      <w:tr w14:paraId="3C028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409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E40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2C50C">
            <w:pPr>
              <w:jc w:val="center"/>
            </w:pPr>
            <w:r>
              <w:rPr>
                <w:rFonts w:ascii="宋体" w:hAnsi="宋体" w:eastAsia="宋体"/>
                <w:sz w:val="16"/>
              </w:rPr>
              <w:t>13.30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29743">
            <w:pPr>
              <w:jc w:val="center"/>
            </w:pPr>
            <w:r>
              <w:rPr>
                <w:rFonts w:ascii="宋体" w:hAnsi="宋体" w:eastAsia="宋体"/>
                <w:sz w:val="16"/>
              </w:rPr>
              <w:t>13.30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1E42B">
            <w:pPr>
              <w:jc w:val="center"/>
            </w:pPr>
            <w:r>
              <w:rPr>
                <w:rFonts w:ascii="宋体" w:hAnsi="宋体" w:eastAsia="宋体"/>
                <w:sz w:val="16"/>
              </w:rPr>
              <w:t>13.30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C9B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4EA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E1AB">
            <w:pPr>
              <w:jc w:val="center"/>
            </w:pPr>
            <w:r>
              <w:rPr>
                <w:rFonts w:ascii="宋体" w:hAnsi="宋体" w:eastAsia="宋体"/>
                <w:sz w:val="16"/>
              </w:rPr>
              <w:t>10.00</w:t>
            </w:r>
          </w:p>
        </w:tc>
      </w:tr>
      <w:tr w14:paraId="65FBE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E3C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6A6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705C">
            <w:pPr>
              <w:jc w:val="center"/>
            </w:pPr>
            <w:r>
              <w:rPr>
                <w:rFonts w:ascii="宋体" w:hAnsi="宋体" w:eastAsia="宋体"/>
                <w:sz w:val="16"/>
              </w:rPr>
              <w:t>13.30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4E48">
            <w:pPr>
              <w:jc w:val="center"/>
            </w:pPr>
            <w:r>
              <w:rPr>
                <w:rFonts w:ascii="宋体" w:hAnsi="宋体" w:eastAsia="宋体"/>
                <w:sz w:val="16"/>
              </w:rPr>
              <w:t>13.30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37C23">
            <w:pPr>
              <w:jc w:val="center"/>
            </w:pPr>
            <w:r>
              <w:rPr>
                <w:rFonts w:ascii="宋体" w:hAnsi="宋体" w:eastAsia="宋体"/>
                <w:sz w:val="16"/>
              </w:rPr>
              <w:t>13.30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F47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AF1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407B">
            <w:pPr>
              <w:jc w:val="center"/>
            </w:pPr>
            <w:r>
              <w:rPr>
                <w:rFonts w:ascii="宋体" w:hAnsi="宋体" w:eastAsia="宋体"/>
                <w:sz w:val="16"/>
              </w:rPr>
              <w:t>—</w:t>
            </w:r>
          </w:p>
        </w:tc>
      </w:tr>
      <w:tr w14:paraId="5BEF8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3E8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3DB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160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45C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AB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11C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D6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0241">
            <w:pPr>
              <w:jc w:val="center"/>
            </w:pPr>
            <w:r>
              <w:rPr>
                <w:rFonts w:ascii="宋体" w:hAnsi="宋体" w:eastAsia="宋体"/>
                <w:sz w:val="16"/>
              </w:rPr>
              <w:t>—</w:t>
            </w:r>
          </w:p>
        </w:tc>
      </w:tr>
      <w:tr w14:paraId="650894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EF0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E6F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519B8D">
            <w:pPr>
              <w:jc w:val="center"/>
            </w:pPr>
            <w:r>
              <w:rPr>
                <w:rFonts w:ascii="宋体" w:hAnsi="宋体" w:eastAsia="宋体"/>
                <w:sz w:val="16"/>
              </w:rPr>
              <w:t>实际完成情况</w:t>
            </w:r>
          </w:p>
        </w:tc>
      </w:tr>
      <w:tr w14:paraId="6D8D3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85C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8CB991">
            <w:pPr>
              <w:jc w:val="both"/>
            </w:pPr>
            <w:r>
              <w:rPr>
                <w:rFonts w:ascii="宋体" w:hAnsi="宋体" w:eastAsia="宋体"/>
                <w:sz w:val="16"/>
              </w:rPr>
              <w:t>拨付13.3万元，代办员每人补助750元，补助时间为12个月，资金支付及时率为100%，有效推进社保经办机构相关业务开展，提高工作人员积极性，使全民参保和扩面征缴取得成效，群众满意度达85%以上。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818CEF">
            <w:pPr>
              <w:jc w:val="both"/>
            </w:pPr>
            <w:r>
              <w:rPr>
                <w:rFonts w:hint="eastAsia" w:ascii="宋体" w:hAnsi="宋体"/>
                <w:sz w:val="16"/>
                <w:lang w:eastAsia="zh-CN"/>
              </w:rPr>
              <w:t>截至2024</w:t>
            </w:r>
            <w:r>
              <w:rPr>
                <w:rFonts w:ascii="宋体" w:hAnsi="宋体" w:eastAsia="宋体"/>
                <w:sz w:val="16"/>
              </w:rPr>
              <w:t>年12月31日，本项目实际支出资金13.3万元，预算执行率为100%，通过实施本项目，有效推进社保经办机构相关业务开展，提高工作人员积极性，使全民参保和扩面征缴取得成效，群众满意度达到95%。</w:t>
            </w:r>
          </w:p>
        </w:tc>
      </w:tr>
      <w:tr w14:paraId="51CD88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7D6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62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A3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BC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25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CC2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CFB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A6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806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BC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79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F9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2C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9014">
            <w:pPr>
              <w:jc w:val="center"/>
            </w:pPr>
            <w:r>
              <w:rPr>
                <w:rFonts w:ascii="宋体" w:hAnsi="宋体" w:eastAsia="宋体"/>
                <w:sz w:val="16"/>
              </w:rPr>
              <w:t>偏差原因分析及改进措施</w:t>
            </w:r>
          </w:p>
        </w:tc>
      </w:tr>
      <w:tr w14:paraId="56FAD2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07C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4089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8D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F50B">
            <w:pPr>
              <w:jc w:val="center"/>
            </w:pPr>
            <w:r>
              <w:rPr>
                <w:rFonts w:ascii="宋体" w:hAnsi="宋体" w:eastAsia="宋体"/>
                <w:sz w:val="16"/>
              </w:rPr>
              <w:t>补助代办员人数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415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43C5">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B3A4">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0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A82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3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5F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9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C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D933">
            <w:pPr>
              <w:jc w:val="center"/>
            </w:pPr>
          </w:p>
        </w:tc>
      </w:tr>
      <w:tr w14:paraId="62C38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23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3B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46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337F">
            <w:pPr>
              <w:jc w:val="center"/>
            </w:pPr>
            <w:r>
              <w:rPr>
                <w:rFonts w:ascii="宋体" w:hAnsi="宋体" w:eastAsia="宋体"/>
                <w:sz w:val="16"/>
              </w:rPr>
              <w:t>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D33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8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6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8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694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2A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4F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5E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9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820A">
            <w:pPr>
              <w:jc w:val="center"/>
            </w:pPr>
          </w:p>
        </w:tc>
      </w:tr>
      <w:tr w14:paraId="53F05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71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0B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F3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9E00">
            <w:pPr>
              <w:jc w:val="center"/>
            </w:pPr>
            <w:r>
              <w:rPr>
                <w:rFonts w:ascii="宋体" w:hAnsi="宋体" w:eastAsia="宋体"/>
                <w:sz w:val="16"/>
              </w:rPr>
              <w:t>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BF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C85B">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443A">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0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3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18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7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8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2C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7A0E">
            <w:pPr>
              <w:jc w:val="center"/>
            </w:pPr>
          </w:p>
        </w:tc>
      </w:tr>
      <w:tr w14:paraId="1D245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D8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950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ED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358C">
            <w:pPr>
              <w:jc w:val="center"/>
            </w:pPr>
            <w:r>
              <w:rPr>
                <w:rFonts w:ascii="宋体" w:hAnsi="宋体" w:eastAsia="宋体"/>
                <w:sz w:val="16"/>
              </w:rPr>
              <w:t>每人每月补助标准金额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6F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CE4C">
            <w:pPr>
              <w:jc w:val="center"/>
            </w:pPr>
            <w:r>
              <w:rPr>
                <w:rFonts w:ascii="宋体" w:hAnsi="宋体" w:eastAsia="宋体"/>
                <w:sz w:val="16"/>
              </w:rPr>
              <w:t>=750元/人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8F33">
            <w:pPr>
              <w:jc w:val="center"/>
            </w:pPr>
            <w:r>
              <w:rPr>
                <w:rFonts w:ascii="宋体" w:hAnsi="宋体" w:eastAsia="宋体"/>
                <w:sz w:val="16"/>
              </w:rPr>
              <w:t>=750元/人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5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64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0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EB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3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14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9B85">
            <w:pPr>
              <w:jc w:val="center"/>
            </w:pPr>
          </w:p>
        </w:tc>
      </w:tr>
      <w:tr w14:paraId="1D634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FD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62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20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1611">
            <w:pPr>
              <w:jc w:val="center"/>
            </w:pPr>
            <w:r>
              <w:rPr>
                <w:rFonts w:ascii="宋体" w:hAnsi="宋体" w:eastAsia="宋体"/>
                <w:sz w:val="16"/>
              </w:rPr>
              <w:t>提升社会保险覆盖面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60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A3A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CBE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6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F8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F85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1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0F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7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1BD7">
            <w:pPr>
              <w:jc w:val="center"/>
            </w:pPr>
          </w:p>
        </w:tc>
      </w:tr>
      <w:tr w14:paraId="6ED09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2FD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FAB4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741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4AF3">
            <w:pPr>
              <w:jc w:val="center"/>
            </w:pPr>
            <w:r>
              <w:rPr>
                <w:rFonts w:ascii="宋体" w:hAnsi="宋体" w:eastAsia="宋体"/>
                <w:sz w:val="16"/>
              </w:rPr>
              <w:t>办理业务群众满意度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D0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77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0D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41C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80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458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46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43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1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4F89">
            <w:pPr>
              <w:jc w:val="center"/>
            </w:pPr>
            <w:r>
              <w:rPr>
                <w:rFonts w:ascii="宋体" w:hAnsi="宋体" w:eastAsia="宋体"/>
                <w:sz w:val="16"/>
              </w:rPr>
              <w:t>通过调研问卷，办理业务群众满意度达到95%。</w:t>
            </w:r>
          </w:p>
        </w:tc>
      </w:tr>
      <w:tr w14:paraId="6A924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84F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4B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979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3483">
            <w:pPr>
              <w:jc w:val="center"/>
            </w:pPr>
            <w:r>
              <w:rPr>
                <w:rFonts w:ascii="宋体" w:hAnsi="宋体" w:eastAsia="宋体"/>
                <w:sz w:val="16"/>
              </w:rPr>
              <w:t>代办员满意度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EE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A1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61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AF4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C9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B5F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BF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D0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2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89F8">
            <w:pPr>
              <w:jc w:val="center"/>
            </w:pPr>
            <w:r>
              <w:rPr>
                <w:rFonts w:ascii="宋体" w:hAnsi="宋体" w:eastAsia="宋体"/>
                <w:sz w:val="16"/>
              </w:rPr>
              <w:t>通过调研问卷，代办人员满意度达到95%。</w:t>
            </w:r>
          </w:p>
        </w:tc>
      </w:tr>
      <w:tr w14:paraId="6CEFA4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643C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5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7B1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FC8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4E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D13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663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535A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CB5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914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404B1"/>
        </w:tc>
      </w:tr>
    </w:tbl>
    <w:p w14:paraId="2EFE988F">
      <w:r>
        <w:br w:type="page"/>
      </w:r>
    </w:p>
    <w:p w14:paraId="1E65BF4A">
      <w:pPr>
        <w:spacing w:line="640" w:lineRule="exact"/>
        <w:ind w:firstLine="640"/>
        <w:jc w:val="both"/>
        <w:outlineLvl w:val="2"/>
      </w:pPr>
      <w:r>
        <w:rPr>
          <w:rFonts w:ascii="黑体" w:hAnsi="黑体" w:eastAsia="黑体"/>
          <w:sz w:val="32"/>
        </w:rPr>
        <w:t>十二、其他需说明的事项</w:t>
      </w:r>
    </w:p>
    <w:p w14:paraId="448AF2A9">
      <w:pPr>
        <w:spacing w:line="580" w:lineRule="exact"/>
        <w:ind w:firstLine="640"/>
        <w:jc w:val="both"/>
      </w:pPr>
      <w:r>
        <w:rPr>
          <w:rFonts w:ascii="仿宋_GB2312" w:hAnsi="仿宋_GB2312" w:eastAsia="仿宋_GB2312"/>
          <w:b w:val="0"/>
          <w:sz w:val="32"/>
        </w:rPr>
        <w:t>本单位无其他需说明的事项。</w:t>
      </w:r>
    </w:p>
    <w:p w14:paraId="19C2B956">
      <w:r>
        <w:br w:type="page"/>
      </w:r>
    </w:p>
    <w:p w14:paraId="3950BFB8">
      <w:pPr>
        <w:spacing w:line="240" w:lineRule="auto"/>
        <w:jc w:val="center"/>
        <w:outlineLvl w:val="1"/>
      </w:pPr>
      <w:r>
        <w:rPr>
          <w:rFonts w:ascii="黑体" w:hAnsi="黑体" w:eastAsia="黑体"/>
          <w:sz w:val="32"/>
        </w:rPr>
        <w:t>第三部分 专业名词解释</w:t>
      </w:r>
    </w:p>
    <w:p w14:paraId="63D7078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A9B221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4812F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1D65B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6E12E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DBAC44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FFF08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3DB5D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576A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572A8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FEF9D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396194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4206A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B061B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40B996">
      <w:r>
        <w:br w:type="page"/>
      </w:r>
    </w:p>
    <w:p w14:paraId="05CC7F78">
      <w:pPr>
        <w:spacing w:line="240" w:lineRule="auto"/>
        <w:jc w:val="center"/>
        <w:outlineLvl w:val="1"/>
      </w:pPr>
      <w:r>
        <w:rPr>
          <w:rFonts w:ascii="黑体" w:hAnsi="黑体" w:eastAsia="黑体"/>
          <w:sz w:val="32"/>
        </w:rPr>
        <w:t>第四部分 部门决算报表（见附表）</w:t>
      </w:r>
    </w:p>
    <w:p w14:paraId="37217460">
      <w:pPr>
        <w:spacing w:line="240" w:lineRule="auto"/>
        <w:ind w:firstLine="640"/>
        <w:jc w:val="both"/>
      </w:pPr>
      <w:r>
        <w:rPr>
          <w:rFonts w:ascii="仿宋_GB2312" w:hAnsi="仿宋_GB2312" w:eastAsia="仿宋_GB2312"/>
          <w:b w:val="0"/>
          <w:sz w:val="32"/>
        </w:rPr>
        <w:t>一、《收入支出决算总表》</w:t>
      </w:r>
    </w:p>
    <w:p w14:paraId="5C47A8E2">
      <w:pPr>
        <w:spacing w:line="240" w:lineRule="auto"/>
        <w:ind w:firstLine="640"/>
        <w:jc w:val="both"/>
      </w:pPr>
      <w:r>
        <w:rPr>
          <w:rFonts w:ascii="仿宋_GB2312" w:hAnsi="仿宋_GB2312" w:eastAsia="仿宋_GB2312"/>
          <w:b w:val="0"/>
          <w:sz w:val="32"/>
        </w:rPr>
        <w:t>二、《收入决算表》</w:t>
      </w:r>
    </w:p>
    <w:p w14:paraId="45F6E549">
      <w:pPr>
        <w:spacing w:line="240" w:lineRule="auto"/>
        <w:ind w:firstLine="640"/>
        <w:jc w:val="both"/>
      </w:pPr>
      <w:r>
        <w:rPr>
          <w:rFonts w:ascii="仿宋_GB2312" w:hAnsi="仿宋_GB2312" w:eastAsia="仿宋_GB2312"/>
          <w:b w:val="0"/>
          <w:sz w:val="32"/>
        </w:rPr>
        <w:t>三、《支出决算表》</w:t>
      </w:r>
    </w:p>
    <w:p w14:paraId="27E2DE01">
      <w:pPr>
        <w:spacing w:line="240" w:lineRule="auto"/>
        <w:ind w:firstLine="640"/>
        <w:jc w:val="both"/>
      </w:pPr>
      <w:r>
        <w:rPr>
          <w:rFonts w:ascii="仿宋_GB2312" w:hAnsi="仿宋_GB2312" w:eastAsia="仿宋_GB2312"/>
          <w:b w:val="0"/>
          <w:sz w:val="32"/>
        </w:rPr>
        <w:t>四、《财政拨款收入支出决算总表》</w:t>
      </w:r>
    </w:p>
    <w:p w14:paraId="5BDF30C3">
      <w:pPr>
        <w:spacing w:line="240" w:lineRule="auto"/>
        <w:ind w:firstLine="640"/>
        <w:jc w:val="both"/>
      </w:pPr>
      <w:r>
        <w:rPr>
          <w:rFonts w:ascii="仿宋_GB2312" w:hAnsi="仿宋_GB2312" w:eastAsia="仿宋_GB2312"/>
          <w:b w:val="0"/>
          <w:sz w:val="32"/>
        </w:rPr>
        <w:t>五、《一般公共预算财政拨款支出决算表》</w:t>
      </w:r>
    </w:p>
    <w:p w14:paraId="16C972B4">
      <w:pPr>
        <w:spacing w:line="240" w:lineRule="auto"/>
        <w:ind w:firstLine="640"/>
        <w:jc w:val="both"/>
      </w:pPr>
      <w:r>
        <w:rPr>
          <w:rFonts w:ascii="仿宋_GB2312" w:hAnsi="仿宋_GB2312" w:eastAsia="仿宋_GB2312"/>
          <w:b w:val="0"/>
          <w:sz w:val="32"/>
        </w:rPr>
        <w:t>六、《一般公共预算财政拨款基本支出决算表》</w:t>
      </w:r>
    </w:p>
    <w:p w14:paraId="2B5828A4">
      <w:pPr>
        <w:spacing w:line="240" w:lineRule="auto"/>
        <w:ind w:firstLine="640"/>
        <w:jc w:val="both"/>
      </w:pPr>
      <w:r>
        <w:rPr>
          <w:rFonts w:ascii="仿宋_GB2312" w:hAnsi="仿宋_GB2312" w:eastAsia="仿宋_GB2312"/>
          <w:b w:val="0"/>
          <w:sz w:val="32"/>
        </w:rPr>
        <w:t>七、《政府性基金预算财政拨款收入支出决算表》</w:t>
      </w:r>
    </w:p>
    <w:p w14:paraId="64A644CA">
      <w:pPr>
        <w:spacing w:line="240" w:lineRule="auto"/>
        <w:ind w:firstLine="640"/>
        <w:jc w:val="both"/>
      </w:pPr>
      <w:r>
        <w:rPr>
          <w:rFonts w:ascii="仿宋_GB2312" w:hAnsi="仿宋_GB2312" w:eastAsia="仿宋_GB2312"/>
          <w:b w:val="0"/>
          <w:sz w:val="32"/>
        </w:rPr>
        <w:t>八、《国有资本经营预算财政拨款收入支出决算表》</w:t>
      </w:r>
    </w:p>
    <w:p w14:paraId="65F5351D">
      <w:pPr>
        <w:spacing w:line="240" w:lineRule="auto"/>
        <w:ind w:firstLine="640"/>
        <w:jc w:val="both"/>
      </w:pPr>
      <w:r>
        <w:rPr>
          <w:rFonts w:ascii="仿宋_GB2312" w:hAnsi="仿宋_GB2312" w:eastAsia="仿宋_GB2312"/>
          <w:b w:val="0"/>
          <w:sz w:val="32"/>
        </w:rPr>
        <w:t>九、《财政拨款“三公”经费支出决算表》</w:t>
      </w:r>
    </w:p>
    <w:p w14:paraId="2F442375">
      <w:pPr>
        <w:spacing w:line="240" w:lineRule="auto"/>
        <w:ind w:firstLine="640"/>
        <w:jc w:val="both"/>
      </w:pPr>
    </w:p>
    <w:p w14:paraId="532E929F">
      <w:pPr>
        <w:spacing w:line="240" w:lineRule="auto"/>
        <w:ind w:firstLine="640"/>
        <w:jc w:val="both"/>
      </w:pPr>
    </w:p>
    <w:p w14:paraId="293AF7BF">
      <w:pPr>
        <w:spacing w:line="240" w:lineRule="auto"/>
        <w:ind w:firstLine="640"/>
        <w:jc w:val="both"/>
      </w:pPr>
    </w:p>
    <w:p w14:paraId="76FB28A0">
      <w:pPr>
        <w:spacing w:line="240" w:lineRule="auto"/>
        <w:ind w:firstLine="640"/>
        <w:jc w:val="both"/>
      </w:pPr>
    </w:p>
    <w:p w14:paraId="22C4C6E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A2783A"/>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A07A2C"/>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8987</Words>
  <Characters>10182</Characters>
  <Lines>0</Lines>
  <Paragraphs>0</Paragraphs>
  <TotalTime>17</TotalTime>
  <ScaleCrop>false</ScaleCrop>
  <LinksUpToDate>false</LinksUpToDate>
  <CharactersWithSpaces>10196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2025-10-14T03:43:12Z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