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吉木萨尔县疾病预防控制中心2024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64F08F2">
      <w:r>
        <w:br w:type="page"/>
      </w:r>
    </w:p>
    <w:p w14:paraId="6E40707F">
      <w:pPr>
        <w:spacing w:line="640" w:lineRule="exact"/>
        <w:jc w:val="center"/>
        <w:outlineLvl w:val="1"/>
      </w:pPr>
      <w:r>
        <w:rPr>
          <w:rFonts w:ascii="黑体" w:hAnsi="黑体" w:eastAsia="黑体"/>
          <w:sz w:val="32"/>
        </w:rPr>
        <w:t>第一部分 单位概况</w:t>
      </w:r>
    </w:p>
    <w:p w14:paraId="2D81DB49">
      <w:pPr>
        <w:spacing w:line="640" w:lineRule="exact"/>
        <w:ind w:firstLine="640"/>
        <w:jc w:val="both"/>
        <w:outlineLvl w:val="2"/>
      </w:pPr>
      <w:r>
        <w:rPr>
          <w:rFonts w:ascii="黑体" w:hAnsi="黑体" w:eastAsia="黑体"/>
          <w:sz w:val="32"/>
        </w:rPr>
        <w:t>一、主要职能</w:t>
      </w:r>
    </w:p>
    <w:p w14:paraId="0EA816C6">
      <w:pPr>
        <w:spacing w:line="580" w:lineRule="exact"/>
        <w:ind w:firstLine="640"/>
        <w:jc w:val="both"/>
      </w:pPr>
      <w:r>
        <w:rPr>
          <w:rFonts w:ascii="仿宋_GB2312" w:hAnsi="仿宋_GB2312" w:eastAsia="仿宋_GB2312"/>
          <w:sz w:val="32"/>
        </w:rPr>
        <w:t>为人民身体健康提供防疫保障，具体包括结核病防治、包虫病防治、地方病防治、</w:t>
      </w:r>
      <w:r>
        <w:rPr>
          <w:rFonts w:hint="eastAsia" w:ascii="仿宋_GB2312" w:hAnsi="仿宋_GB2312" w:eastAsia="仿宋_GB2312"/>
          <w:sz w:val="32"/>
          <w:lang w:eastAsia="zh-CN"/>
        </w:rPr>
        <w:t>AZB</w:t>
      </w:r>
      <w:r>
        <w:rPr>
          <w:rFonts w:ascii="仿宋_GB2312" w:hAnsi="仿宋_GB2312" w:eastAsia="仿宋_GB2312"/>
          <w:sz w:val="32"/>
        </w:rPr>
        <w:t>防治、农村饮用水监测、免疫规划等基本公共卫生。</w:t>
      </w:r>
    </w:p>
    <w:p w14:paraId="45905D8F">
      <w:pPr>
        <w:spacing w:line="640" w:lineRule="exact"/>
        <w:ind w:firstLine="640"/>
        <w:jc w:val="both"/>
        <w:outlineLvl w:val="2"/>
      </w:pPr>
      <w:r>
        <w:rPr>
          <w:rFonts w:ascii="黑体" w:hAnsi="黑体" w:eastAsia="黑体"/>
          <w:sz w:val="32"/>
        </w:rPr>
        <w:t>二、机构设置及人员情况</w:t>
      </w:r>
    </w:p>
    <w:p w14:paraId="46F25BAE">
      <w:pPr>
        <w:spacing w:line="580" w:lineRule="exact"/>
        <w:ind w:firstLine="640"/>
        <w:jc w:val="both"/>
      </w:pPr>
      <w:r>
        <w:rPr>
          <w:rFonts w:ascii="仿宋_GB2312" w:hAnsi="仿宋_GB2312" w:eastAsia="仿宋_GB2312"/>
          <w:sz w:val="32"/>
        </w:rPr>
        <w:t>吉木萨尔县疾病预防控制中心2024年度，实有人数60人，其中：在职人员34人，增加4人；离休人员0人，增加0人；退休人员26人,增加7人。</w:t>
      </w:r>
    </w:p>
    <w:p w14:paraId="55891E48">
      <w:pPr>
        <w:spacing w:line="580" w:lineRule="exact"/>
        <w:ind w:firstLine="640"/>
        <w:jc w:val="both"/>
      </w:pPr>
      <w:r>
        <w:rPr>
          <w:rFonts w:ascii="仿宋_GB2312" w:hAnsi="仿宋_GB2312" w:eastAsia="仿宋_GB2312"/>
          <w:sz w:val="32"/>
        </w:rPr>
        <w:t>吉木萨尔县疾病预防控制中心无下属预算单位，下设10个科室，分别是：疾控科、结防科、</w:t>
      </w:r>
      <w:r>
        <w:rPr>
          <w:rFonts w:hint="eastAsia" w:ascii="仿宋_GB2312" w:hAnsi="仿宋_GB2312" w:eastAsia="仿宋_GB2312"/>
          <w:sz w:val="32"/>
          <w:lang w:eastAsia="zh-CN"/>
        </w:rPr>
        <w:t>AZB</w:t>
      </w:r>
      <w:r>
        <w:rPr>
          <w:rFonts w:ascii="仿宋_GB2312" w:hAnsi="仿宋_GB2312" w:eastAsia="仿宋_GB2312"/>
          <w:sz w:val="32"/>
        </w:rPr>
        <w:t>科、地方病科、检验科、行政办、财务室、质管办、医疗卫生监督科、公共卫生监督科。</w:t>
      </w:r>
    </w:p>
    <w:p w14:paraId="6F5F49DC">
      <w:r>
        <w:br w:type="page"/>
      </w:r>
    </w:p>
    <w:p w14:paraId="5B6DF0AF">
      <w:pPr>
        <w:spacing w:line="240" w:lineRule="auto"/>
        <w:jc w:val="center"/>
        <w:outlineLvl w:val="1"/>
      </w:pPr>
      <w:r>
        <w:rPr>
          <w:rFonts w:ascii="黑体" w:hAnsi="黑体" w:eastAsia="黑体"/>
          <w:sz w:val="32"/>
        </w:rPr>
        <w:t>第二部分 部门决算情况说明</w:t>
      </w:r>
    </w:p>
    <w:p w14:paraId="35949702">
      <w:pPr>
        <w:spacing w:line="640" w:lineRule="exact"/>
        <w:ind w:firstLine="640"/>
        <w:jc w:val="both"/>
        <w:outlineLvl w:val="2"/>
      </w:pPr>
      <w:r>
        <w:rPr>
          <w:rFonts w:ascii="黑体" w:hAnsi="黑体" w:eastAsia="黑体"/>
          <w:sz w:val="32"/>
        </w:rPr>
        <w:t>一、收入支出决算总体情况说明</w:t>
      </w:r>
    </w:p>
    <w:p w14:paraId="615B3BBA">
      <w:pPr>
        <w:spacing w:line="580" w:lineRule="exact"/>
        <w:ind w:firstLine="640"/>
        <w:jc w:val="both"/>
      </w:pPr>
      <w:r>
        <w:rPr>
          <w:rFonts w:ascii="仿宋_GB2312" w:hAnsi="仿宋_GB2312" w:eastAsia="仿宋_GB2312"/>
          <w:b/>
          <w:sz w:val="32"/>
        </w:rPr>
        <w:t>2024年度收入总计1,073.63万元，</w:t>
      </w:r>
      <w:r>
        <w:rPr>
          <w:rFonts w:ascii="仿宋_GB2312" w:hAnsi="仿宋_GB2312" w:eastAsia="仿宋_GB2312"/>
          <w:b w:val="0"/>
          <w:sz w:val="32"/>
        </w:rPr>
        <w:t>其中：本年收入合计1,035.51万元，使用非财政拨款结余（含专用结余）0.00万元，年初结转和结余38.12万元。</w:t>
      </w:r>
    </w:p>
    <w:p w14:paraId="346B0398">
      <w:pPr>
        <w:spacing w:line="580" w:lineRule="exact"/>
        <w:ind w:firstLine="640"/>
        <w:jc w:val="both"/>
      </w:pPr>
      <w:r>
        <w:rPr>
          <w:rFonts w:ascii="仿宋_GB2312" w:hAnsi="仿宋_GB2312" w:eastAsia="仿宋_GB2312"/>
          <w:b/>
          <w:sz w:val="32"/>
        </w:rPr>
        <w:t>2024年度支出总计1,073.63万元，</w:t>
      </w:r>
      <w:r>
        <w:rPr>
          <w:rFonts w:ascii="仿宋_GB2312" w:hAnsi="仿宋_GB2312" w:eastAsia="仿宋_GB2312"/>
          <w:b w:val="0"/>
          <w:sz w:val="32"/>
        </w:rPr>
        <w:t>其中：本年支出合计</w:t>
      </w:r>
      <w:r>
        <w:rPr>
          <w:rFonts w:ascii="仿宋_GB2312" w:hAnsi="仿宋_GB2312" w:eastAsia="仿宋_GB2312"/>
          <w:b w:val="0"/>
          <w:spacing w:val="-6"/>
          <w:sz w:val="32"/>
        </w:rPr>
        <w:t>1,038.23万元，结余分配0.00万元，年末结转和结余35.40万元。</w:t>
      </w:r>
    </w:p>
    <w:p w14:paraId="107C5089">
      <w:pPr>
        <w:spacing w:line="580" w:lineRule="exact"/>
        <w:ind w:firstLine="640"/>
        <w:jc w:val="both"/>
      </w:pPr>
      <w:r>
        <w:rPr>
          <w:rFonts w:ascii="仿宋_GB2312" w:hAnsi="仿宋_GB2312" w:eastAsia="仿宋_GB2312"/>
          <w:b w:val="0"/>
          <w:sz w:val="32"/>
        </w:rPr>
        <w:t>收入支出总体与上年相比，减少1,638.50万元，下降60.41%，主要原因是：本年减少PCR实验室设备及改建，导致经费较上年减少。</w:t>
      </w:r>
    </w:p>
    <w:p w14:paraId="6AD5D8A9">
      <w:pPr>
        <w:spacing w:line="640" w:lineRule="exact"/>
        <w:ind w:firstLine="640"/>
        <w:jc w:val="both"/>
        <w:outlineLvl w:val="2"/>
      </w:pPr>
      <w:r>
        <w:rPr>
          <w:rFonts w:ascii="黑体" w:hAnsi="黑体" w:eastAsia="黑体"/>
          <w:sz w:val="32"/>
        </w:rPr>
        <w:t>二、收入决算情况说明</w:t>
      </w:r>
    </w:p>
    <w:p w14:paraId="4A9323FC">
      <w:pPr>
        <w:spacing w:line="580" w:lineRule="exact"/>
        <w:ind w:firstLine="640"/>
        <w:jc w:val="both"/>
      </w:pPr>
      <w:r>
        <w:rPr>
          <w:rFonts w:ascii="仿宋_GB2312" w:hAnsi="仿宋_GB2312" w:eastAsia="仿宋_GB2312"/>
          <w:b/>
          <w:sz w:val="32"/>
        </w:rPr>
        <w:t>本年收入1,035.51万元，</w:t>
      </w:r>
      <w:r>
        <w:rPr>
          <w:rFonts w:ascii="仿宋_GB2312" w:hAnsi="仿宋_GB2312" w:eastAsia="仿宋_GB2312"/>
          <w:b w:val="0"/>
          <w:sz w:val="32"/>
        </w:rPr>
        <w:t>其中：财政拨款收入1,035.05万元，占99.96%；上级补助收入0.00万元，占0.00%；事业收入0.00万元，占0.00%；经营收入0.00万元，占0.00%；附属单位上缴收入0.00万元，占0.00%；其他收入0.46万元，占0.04%。</w:t>
      </w:r>
    </w:p>
    <w:p w14:paraId="59399985">
      <w:pPr>
        <w:spacing w:line="640" w:lineRule="exact"/>
        <w:ind w:firstLine="640"/>
        <w:jc w:val="both"/>
        <w:outlineLvl w:val="2"/>
      </w:pPr>
      <w:r>
        <w:rPr>
          <w:rFonts w:ascii="黑体" w:hAnsi="黑体" w:eastAsia="黑体"/>
          <w:sz w:val="32"/>
        </w:rPr>
        <w:t>三、支出决算情况说明</w:t>
      </w:r>
    </w:p>
    <w:p w14:paraId="21E03675">
      <w:pPr>
        <w:spacing w:line="580" w:lineRule="exact"/>
        <w:ind w:firstLine="640"/>
        <w:jc w:val="both"/>
      </w:pPr>
      <w:r>
        <w:rPr>
          <w:rFonts w:ascii="仿宋_GB2312" w:hAnsi="仿宋_GB2312" w:eastAsia="仿宋_GB2312"/>
          <w:b/>
          <w:sz w:val="32"/>
        </w:rPr>
        <w:t>本年支出1,038.23万元，</w:t>
      </w:r>
      <w:r>
        <w:rPr>
          <w:rFonts w:ascii="仿宋_GB2312" w:hAnsi="仿宋_GB2312" w:eastAsia="仿宋_GB2312"/>
          <w:b w:val="0"/>
          <w:sz w:val="32"/>
        </w:rPr>
        <w:t>其中：基本支出701.46万元，占67.56%；项目支出336.77万元，占32.44%；上缴上级支出0.00万元，占0.00%；经营支出0.00万元，占0.00%；对附属单位补助支出0.00万元，占0.00%。</w:t>
      </w:r>
    </w:p>
    <w:p w14:paraId="6747ED7E">
      <w:pPr>
        <w:spacing w:line="640" w:lineRule="exact"/>
        <w:ind w:firstLine="640"/>
        <w:jc w:val="both"/>
        <w:outlineLvl w:val="2"/>
      </w:pPr>
      <w:r>
        <w:rPr>
          <w:rFonts w:ascii="黑体" w:hAnsi="黑体" w:eastAsia="黑体"/>
          <w:sz w:val="32"/>
        </w:rPr>
        <w:t>四、财政拨款收入支出决算总体情况说明</w:t>
      </w:r>
    </w:p>
    <w:p w14:paraId="15CB85D2">
      <w:pPr>
        <w:spacing w:line="580" w:lineRule="exact"/>
        <w:ind w:firstLine="640"/>
        <w:jc w:val="both"/>
      </w:pPr>
      <w:r>
        <w:rPr>
          <w:rFonts w:ascii="仿宋_GB2312" w:hAnsi="仿宋_GB2312" w:eastAsia="仿宋_GB2312"/>
          <w:b/>
          <w:sz w:val="32"/>
        </w:rPr>
        <w:t>2024年度财政拨款收入总计1,035.05万元，</w:t>
      </w:r>
      <w:r>
        <w:rPr>
          <w:rFonts w:ascii="仿宋_GB2312" w:hAnsi="仿宋_GB2312" w:eastAsia="仿宋_GB2312"/>
          <w:b w:val="0"/>
          <w:sz w:val="32"/>
        </w:rPr>
        <w:t>其中：年初财政拨款结转和结余0.00万元，本年财政拨款收入1,035.05万元。</w:t>
      </w:r>
      <w:r>
        <w:rPr>
          <w:rFonts w:ascii="仿宋_GB2312" w:hAnsi="仿宋_GB2312" w:eastAsia="仿宋_GB2312"/>
          <w:b/>
          <w:sz w:val="32"/>
        </w:rPr>
        <w:t>财政拨款支出总计1,035.05万元，</w:t>
      </w:r>
      <w:r>
        <w:rPr>
          <w:rFonts w:ascii="仿宋_GB2312" w:hAnsi="仿宋_GB2312" w:eastAsia="仿宋_GB2312"/>
          <w:b w:val="0"/>
          <w:sz w:val="32"/>
        </w:rPr>
        <w:t>其中：年末财政拨款结转和结余0.00万元，本年财政拨款支出1,035.05万元。</w:t>
      </w:r>
    </w:p>
    <w:p w14:paraId="4DDAC90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减少1,640.60万元，下降61.32%，主要原因是：本年减少PCR实验室设备及改建，导致经费较上年减少。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年初预算数671.27万元，决算数1,035.05万元，预决算差异率54.19%，主要原因是：年中追加</w:t>
      </w:r>
      <w:r>
        <w:rPr>
          <w:rFonts w:hint="eastAsia" w:ascii="仿宋_GB2312" w:hAnsi="仿宋_GB2312" w:eastAsia="仿宋_GB2312"/>
          <w:b w:val="0"/>
          <w:sz w:val="32"/>
        </w:rPr>
        <w:t>2024年中央重大传染病</w:t>
      </w:r>
      <w:r>
        <w:rPr>
          <w:rFonts w:ascii="仿宋_GB2312" w:hAnsi="仿宋_GB2312" w:eastAsia="仿宋_GB2312"/>
          <w:b w:val="0"/>
          <w:sz w:val="32"/>
        </w:rPr>
        <w:t>项目经费，</w:t>
      </w:r>
      <w:r>
        <w:rPr>
          <w:rFonts w:hint="eastAsia" w:ascii="仿宋_GB2312" w:hAnsi="仿宋_GB2312" w:eastAsia="仿宋_GB2312"/>
          <w:b w:val="0"/>
          <w:sz w:val="32"/>
          <w:lang w:val="en-US" w:eastAsia="zh-CN"/>
        </w:rPr>
        <w:t>在职人员工资调薪部分资金等预算，</w:t>
      </w:r>
      <w:r>
        <w:rPr>
          <w:rFonts w:ascii="仿宋_GB2312" w:hAnsi="仿宋_GB2312" w:eastAsia="仿宋_GB2312"/>
          <w:b w:val="0"/>
          <w:sz w:val="32"/>
        </w:rPr>
        <w:t>导致预决算存在差异。</w:t>
      </w:r>
    </w:p>
    <w:p w14:paraId="705B0616">
      <w:pPr>
        <w:spacing w:line="640" w:lineRule="exact"/>
        <w:ind w:firstLine="640"/>
        <w:jc w:val="both"/>
        <w:outlineLvl w:val="2"/>
      </w:pPr>
      <w:r>
        <w:rPr>
          <w:rFonts w:ascii="黑体" w:hAnsi="黑体" w:eastAsia="黑体"/>
          <w:sz w:val="32"/>
        </w:rPr>
        <w:t>五、一般公共预算财政拨款支出决算情况说明</w:t>
      </w:r>
    </w:p>
    <w:p w14:paraId="3F4EB235">
      <w:pPr>
        <w:spacing w:line="640" w:lineRule="exact"/>
        <w:ind w:firstLine="640"/>
        <w:jc w:val="both"/>
        <w:outlineLvl w:val="3"/>
      </w:pPr>
      <w:r>
        <w:rPr>
          <w:rFonts w:ascii="楷体_GB2312" w:hAnsi="楷体_GB2312" w:eastAsia="楷体_GB2312"/>
          <w:b/>
          <w:sz w:val="32"/>
        </w:rPr>
        <w:t>（一）一般公共预算财政拨款支出决算总体情况</w:t>
      </w:r>
    </w:p>
    <w:p w14:paraId="16BF0DC9">
      <w:pPr>
        <w:spacing w:line="580" w:lineRule="exact"/>
        <w:ind w:firstLine="640"/>
        <w:jc w:val="both"/>
      </w:pPr>
      <w:r>
        <w:rPr>
          <w:rFonts w:ascii="仿宋_GB2312" w:hAnsi="仿宋_GB2312" w:eastAsia="仿宋_GB2312"/>
          <w:b/>
          <w:sz w:val="32"/>
        </w:rPr>
        <w:t>2024年度一般公共预算财政拨款支出1,035.05万元，</w:t>
      </w:r>
      <w:r>
        <w:rPr>
          <w:rFonts w:ascii="仿宋_GB2312" w:hAnsi="仿宋_GB2312" w:eastAsia="仿宋_GB2312"/>
          <w:b w:val="0"/>
          <w:sz w:val="32"/>
        </w:rPr>
        <w:t>占本年支出合计的99.69%。</w:t>
      </w:r>
      <w:r>
        <w:rPr>
          <w:rFonts w:ascii="仿宋_GB2312" w:hAnsi="仿宋_GB2312" w:eastAsia="仿宋_GB2312"/>
          <w:b/>
          <w:sz w:val="32"/>
        </w:rPr>
        <w:t>与上年相比，</w:t>
      </w:r>
      <w:r>
        <w:rPr>
          <w:rFonts w:ascii="仿宋_GB2312" w:hAnsi="仿宋_GB2312" w:eastAsia="仿宋_GB2312"/>
          <w:b w:val="0"/>
          <w:sz w:val="32"/>
        </w:rPr>
        <w:t>减少1,640.60万元，下降61.32%，主要原因是：本年减少PCR实验室设备及改建，导致经费较上年减少。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年初预算数671.27万元，决算数1,035.05万元，预决算差异率54.19%，主要原因是：年中追加</w:t>
      </w:r>
      <w:r>
        <w:rPr>
          <w:rFonts w:hint="eastAsia" w:ascii="仿宋_GB2312" w:hAnsi="仿宋_GB2312" w:eastAsia="仿宋_GB2312"/>
          <w:b w:val="0"/>
          <w:sz w:val="32"/>
        </w:rPr>
        <w:t>2024年中央重大传染病</w:t>
      </w:r>
      <w:r>
        <w:rPr>
          <w:rFonts w:ascii="仿宋_GB2312" w:hAnsi="仿宋_GB2312" w:eastAsia="仿宋_GB2312"/>
          <w:b w:val="0"/>
          <w:sz w:val="32"/>
        </w:rPr>
        <w:t>项目经费，</w:t>
      </w:r>
      <w:r>
        <w:rPr>
          <w:rFonts w:hint="eastAsia" w:ascii="仿宋_GB2312" w:hAnsi="仿宋_GB2312" w:eastAsia="仿宋_GB2312"/>
          <w:b w:val="0"/>
          <w:sz w:val="32"/>
          <w:lang w:val="en-US" w:eastAsia="zh-CN"/>
        </w:rPr>
        <w:t>在职人员工资调薪部分资金等预算，</w:t>
      </w:r>
      <w:r>
        <w:rPr>
          <w:rFonts w:ascii="仿宋_GB2312" w:hAnsi="仿宋_GB2312" w:eastAsia="仿宋_GB2312"/>
          <w:b w:val="0"/>
          <w:sz w:val="32"/>
        </w:rPr>
        <w:t>导致预决算存在差异。</w:t>
      </w:r>
    </w:p>
    <w:p w14:paraId="7C4B3D39">
      <w:pPr>
        <w:spacing w:line="640" w:lineRule="exact"/>
        <w:ind w:firstLine="640"/>
        <w:jc w:val="both"/>
        <w:outlineLvl w:val="3"/>
      </w:pPr>
      <w:r>
        <w:rPr>
          <w:rFonts w:ascii="楷体_GB2312" w:hAnsi="楷体_GB2312" w:eastAsia="楷体_GB2312"/>
          <w:b/>
          <w:sz w:val="32"/>
        </w:rPr>
        <w:t>（二）一般公共预算财政拨款支出决算结构情况</w:t>
      </w:r>
    </w:p>
    <w:p w14:paraId="389B4F6B">
      <w:pPr>
        <w:spacing w:line="580" w:lineRule="exact"/>
        <w:ind w:firstLine="640"/>
        <w:jc w:val="both"/>
      </w:pPr>
      <w:r>
        <w:rPr>
          <w:rFonts w:ascii="仿宋_GB2312" w:hAnsi="仿宋_GB2312" w:eastAsia="仿宋_GB2312"/>
          <w:b w:val="0"/>
          <w:sz w:val="32"/>
        </w:rPr>
        <w:t>1.社会保障和就业支出(类)107.44万元,占10.38%。</w:t>
      </w:r>
    </w:p>
    <w:p w14:paraId="60CC8B83">
      <w:pPr>
        <w:spacing w:line="580" w:lineRule="exact"/>
        <w:ind w:firstLine="640"/>
        <w:jc w:val="both"/>
      </w:pPr>
      <w:r>
        <w:rPr>
          <w:rFonts w:ascii="仿宋_GB2312" w:hAnsi="仿宋_GB2312" w:eastAsia="仿宋_GB2312"/>
          <w:b w:val="0"/>
          <w:sz w:val="32"/>
        </w:rPr>
        <w:t>2.卫生健康支出(类)881.24万元,占85.14%。</w:t>
      </w:r>
    </w:p>
    <w:p w14:paraId="6D82B4BF">
      <w:pPr>
        <w:spacing w:line="580" w:lineRule="exact"/>
        <w:ind w:firstLine="640"/>
        <w:jc w:val="both"/>
      </w:pPr>
      <w:r>
        <w:rPr>
          <w:rFonts w:ascii="仿宋_GB2312" w:hAnsi="仿宋_GB2312" w:eastAsia="仿宋_GB2312"/>
          <w:b w:val="0"/>
          <w:sz w:val="32"/>
        </w:rPr>
        <w:t>3.住房保障支出(类)46.37万元,占4.48%。</w:t>
      </w:r>
    </w:p>
    <w:p w14:paraId="3C75F90A">
      <w:pPr>
        <w:spacing w:line="640" w:lineRule="exact"/>
        <w:ind w:firstLine="640"/>
        <w:jc w:val="both"/>
        <w:outlineLvl w:val="3"/>
      </w:pPr>
      <w:r>
        <w:rPr>
          <w:rFonts w:ascii="楷体_GB2312" w:hAnsi="楷体_GB2312" w:eastAsia="楷体_GB2312"/>
          <w:b/>
          <w:sz w:val="32"/>
        </w:rPr>
        <w:t>（三）一般公共预算财政拨款支出决算具体情况</w:t>
      </w:r>
    </w:p>
    <w:p w14:paraId="69D7D897">
      <w:pPr>
        <w:spacing w:line="580" w:lineRule="exact"/>
        <w:ind w:firstLine="640"/>
        <w:jc w:val="both"/>
      </w:pPr>
      <w:r>
        <w:rPr>
          <w:rFonts w:ascii="仿宋_GB2312" w:hAnsi="仿宋_GB2312" w:eastAsia="仿宋_GB2312"/>
          <w:b w:val="0"/>
          <w:sz w:val="32"/>
        </w:rPr>
        <w:t>1.科学技术支出(类)科学技术管理事务(款)其他科学技术管理事务支出(项):支出决算数为0.00万元，比上年决算减少200.00万元，下降100.00%,主要原因是：</w:t>
      </w:r>
      <w:r>
        <w:rPr>
          <w:rFonts w:hint="eastAsia" w:ascii="仿宋_GB2312" w:hAnsi="仿宋_GB2312" w:eastAsia="仿宋_GB2312"/>
          <w:b w:val="0"/>
          <w:sz w:val="32"/>
          <w:lang w:val="en-US" w:eastAsia="zh-CN"/>
        </w:rPr>
        <w:t>本年减少</w:t>
      </w:r>
      <w:r>
        <w:rPr>
          <w:rFonts w:ascii="仿宋_GB2312" w:hAnsi="仿宋_GB2312" w:eastAsia="仿宋_GB2312"/>
          <w:b w:val="0"/>
          <w:sz w:val="32"/>
        </w:rPr>
        <w:t>2022年</w:t>
      </w:r>
      <w:r>
        <w:rPr>
          <w:rFonts w:hint="eastAsia" w:ascii="仿宋_GB2312" w:hAnsi="仿宋_GB2312" w:eastAsia="仿宋_GB2312"/>
          <w:b w:val="0"/>
          <w:sz w:val="32"/>
          <w:lang w:eastAsia="zh-CN"/>
        </w:rPr>
        <w:t>防疫</w:t>
      </w:r>
      <w:r>
        <w:rPr>
          <w:rFonts w:ascii="仿宋_GB2312" w:hAnsi="仿宋_GB2312" w:eastAsia="仿宋_GB2312"/>
          <w:b w:val="0"/>
          <w:sz w:val="32"/>
        </w:rPr>
        <w:t>期间核酸检测费用</w:t>
      </w:r>
      <w:r>
        <w:rPr>
          <w:rFonts w:hint="eastAsia" w:ascii="仿宋_GB2312" w:hAnsi="仿宋_GB2312" w:eastAsia="仿宋_GB2312"/>
          <w:b w:val="0"/>
          <w:sz w:val="32"/>
          <w:lang w:val="en-US" w:eastAsia="zh-CN"/>
        </w:rPr>
        <w:t>支出</w:t>
      </w:r>
      <w:r>
        <w:rPr>
          <w:rFonts w:ascii="仿宋_GB2312" w:hAnsi="仿宋_GB2312" w:eastAsia="仿宋_GB2312"/>
          <w:b w:val="0"/>
          <w:sz w:val="32"/>
        </w:rPr>
        <w:t>。</w:t>
      </w:r>
    </w:p>
    <w:p w14:paraId="6B3C5CFC">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2.社会保障和就业支出(类)行政事业单位养老支出(款)事业单位离退休(项):支出决算数为14.94万元，比上年决算增加10.12万元，增长209.96%,主要原因是：本年</w:t>
      </w:r>
      <w:r>
        <w:rPr>
          <w:rFonts w:hint="eastAsia" w:ascii="仿宋_GB2312" w:hAnsi="仿宋_GB2312" w:eastAsia="仿宋_GB2312"/>
          <w:b w:val="0"/>
          <w:sz w:val="32"/>
          <w:lang w:val="en-US" w:eastAsia="zh-CN"/>
        </w:rPr>
        <w:t>退休人员增加</w:t>
      </w:r>
      <w:r>
        <w:rPr>
          <w:rFonts w:ascii="仿宋_GB2312" w:hAnsi="仿宋_GB2312" w:eastAsia="仿宋_GB2312"/>
          <w:b w:val="0"/>
          <w:sz w:val="32"/>
        </w:rPr>
        <w:t>，退休费支出增加。</w:t>
      </w:r>
    </w:p>
    <w:p w14:paraId="1A44743E">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58.15万元，比上年决算增加10.26万元，增长21.42%,主要原因是：（1）本年在职人员工资基数调增，养老缴费基数上涨，相应支出增加。（2）</w:t>
      </w:r>
      <w:r>
        <w:rPr>
          <w:rFonts w:hint="eastAsia" w:ascii="仿宋_GB2312" w:hAnsi="仿宋_GB2312" w:eastAsia="仿宋_GB2312"/>
          <w:b w:val="0"/>
          <w:sz w:val="32"/>
          <w:lang w:val="en-US" w:eastAsia="zh-CN"/>
        </w:rPr>
        <w:t>卫生监督所</w:t>
      </w:r>
      <w:r>
        <w:rPr>
          <w:rFonts w:ascii="仿宋_GB2312" w:hAnsi="仿宋_GB2312" w:eastAsia="仿宋_GB2312"/>
          <w:b w:val="0"/>
          <w:sz w:val="32"/>
        </w:rPr>
        <w:t>人员</w:t>
      </w:r>
      <w:r>
        <w:rPr>
          <w:rFonts w:hint="eastAsia" w:ascii="仿宋_GB2312" w:hAnsi="仿宋_GB2312" w:eastAsia="仿宋_GB2312"/>
          <w:b w:val="0"/>
          <w:sz w:val="32"/>
          <w:lang w:val="en-US" w:eastAsia="zh-CN"/>
        </w:rPr>
        <w:t>并入，导致</w:t>
      </w:r>
      <w:r>
        <w:rPr>
          <w:rFonts w:ascii="仿宋_GB2312" w:hAnsi="仿宋_GB2312" w:eastAsia="仿宋_GB2312"/>
          <w:b w:val="0"/>
          <w:sz w:val="32"/>
        </w:rPr>
        <w:t>养老保险缴费较上年增加。</w:t>
      </w:r>
    </w:p>
    <w:p w14:paraId="5CDDA362">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34.35万元，比上年决算增加10.09万元，增长41.59%,主要原因是：（1）本年在职人员工资基数调增，职业年金基数上涨，相应支出增加。（2）</w:t>
      </w:r>
      <w:r>
        <w:rPr>
          <w:rFonts w:hint="eastAsia" w:ascii="仿宋_GB2312" w:hAnsi="仿宋_GB2312" w:eastAsia="仿宋_GB2312"/>
          <w:b w:val="0"/>
          <w:sz w:val="32"/>
          <w:lang w:val="en-US" w:eastAsia="zh-CN"/>
        </w:rPr>
        <w:t>卫生监督所</w:t>
      </w:r>
      <w:r>
        <w:rPr>
          <w:rFonts w:ascii="仿宋_GB2312" w:hAnsi="仿宋_GB2312" w:eastAsia="仿宋_GB2312"/>
          <w:b w:val="0"/>
          <w:sz w:val="32"/>
        </w:rPr>
        <w:t>人员</w:t>
      </w:r>
      <w:r>
        <w:rPr>
          <w:rFonts w:hint="eastAsia" w:ascii="仿宋_GB2312" w:hAnsi="仿宋_GB2312" w:eastAsia="仿宋_GB2312"/>
          <w:b w:val="0"/>
          <w:sz w:val="32"/>
          <w:lang w:val="en-US" w:eastAsia="zh-CN"/>
        </w:rPr>
        <w:t>并入</w:t>
      </w:r>
      <w:r>
        <w:rPr>
          <w:rFonts w:ascii="仿宋_GB2312" w:hAnsi="仿宋_GB2312" w:eastAsia="仿宋_GB2312"/>
          <w:b w:val="0"/>
          <w:sz w:val="32"/>
        </w:rPr>
        <w:t>，</w:t>
      </w:r>
      <w:r>
        <w:rPr>
          <w:rFonts w:hint="eastAsia" w:ascii="仿宋_GB2312" w:hAnsi="仿宋_GB2312" w:eastAsia="仿宋_GB2312"/>
          <w:b w:val="0"/>
          <w:sz w:val="32"/>
          <w:lang w:val="en-US" w:eastAsia="zh-CN"/>
        </w:rPr>
        <w:t>导致</w:t>
      </w:r>
      <w:r>
        <w:rPr>
          <w:rFonts w:ascii="仿宋_GB2312" w:hAnsi="仿宋_GB2312" w:eastAsia="仿宋_GB2312"/>
          <w:b w:val="0"/>
          <w:sz w:val="32"/>
        </w:rPr>
        <w:t>职业年金缴费较上年增加。</w:t>
      </w:r>
    </w:p>
    <w:p w14:paraId="523FC1AD">
      <w:pPr>
        <w:spacing w:line="580" w:lineRule="exact"/>
        <w:ind w:firstLine="640"/>
        <w:jc w:val="both"/>
      </w:pPr>
      <w:r>
        <w:rPr>
          <w:rFonts w:ascii="仿宋_GB2312" w:hAnsi="仿宋_GB2312" w:eastAsia="仿宋_GB2312"/>
          <w:b w:val="0"/>
          <w:sz w:val="32"/>
        </w:rPr>
        <w:t>5.卫生健康支出(类)公共卫生(款)疾病预防控制机构(项):支出决算数为474.17万元，比上年决算减少218.96万元，下降31.59%,主要原因是：</w:t>
      </w:r>
      <w:r>
        <w:rPr>
          <w:rFonts w:hint="eastAsia" w:ascii="仿宋_GB2312" w:hAnsi="仿宋_GB2312" w:eastAsia="仿宋_GB2312"/>
          <w:b w:val="0"/>
          <w:sz w:val="32"/>
          <w:lang w:val="en-US" w:eastAsia="zh-CN"/>
        </w:rPr>
        <w:t>本年编外人员减少，其他工资福利支出大幅减少</w:t>
      </w:r>
      <w:r>
        <w:rPr>
          <w:rFonts w:ascii="仿宋_GB2312" w:hAnsi="仿宋_GB2312" w:eastAsia="仿宋_GB2312"/>
          <w:b w:val="0"/>
          <w:sz w:val="32"/>
        </w:rPr>
        <w:t>。</w:t>
      </w:r>
    </w:p>
    <w:p w14:paraId="741466F2">
      <w:pPr>
        <w:spacing w:line="580" w:lineRule="exact"/>
        <w:ind w:firstLine="640"/>
        <w:jc w:val="both"/>
      </w:pPr>
      <w:r>
        <w:rPr>
          <w:rFonts w:ascii="仿宋_GB2312" w:hAnsi="仿宋_GB2312" w:eastAsia="仿宋_GB2312"/>
          <w:b w:val="0"/>
          <w:sz w:val="32"/>
        </w:rPr>
        <w:t>6.卫生健康支出(类)公共卫生(款)卫生监督机构(项):支出决算数为39.81万元，比上年决算增加39.81万元，增长100.00%,主要原因是：</w:t>
      </w:r>
      <w:r>
        <w:rPr>
          <w:rFonts w:hint="eastAsia" w:ascii="仿宋_GB2312" w:hAnsi="仿宋_GB2312" w:eastAsia="仿宋_GB2312"/>
          <w:b w:val="0"/>
          <w:sz w:val="32"/>
          <w:lang w:val="en-US" w:eastAsia="zh-CN"/>
        </w:rPr>
        <w:t>本年卫生监督所</w:t>
      </w:r>
      <w:r>
        <w:rPr>
          <w:rFonts w:ascii="仿宋_GB2312" w:hAnsi="仿宋_GB2312" w:eastAsia="仿宋_GB2312"/>
          <w:b w:val="0"/>
          <w:sz w:val="32"/>
        </w:rPr>
        <w:t>人员</w:t>
      </w:r>
      <w:r>
        <w:rPr>
          <w:rFonts w:hint="eastAsia" w:ascii="仿宋_GB2312" w:hAnsi="仿宋_GB2312" w:eastAsia="仿宋_GB2312"/>
          <w:b w:val="0"/>
          <w:sz w:val="32"/>
          <w:lang w:val="en-US" w:eastAsia="zh-CN"/>
        </w:rPr>
        <w:t>并入本单位，导致此科目</w:t>
      </w:r>
      <w:r>
        <w:rPr>
          <w:rFonts w:ascii="仿宋_GB2312" w:hAnsi="仿宋_GB2312" w:eastAsia="仿宋_GB2312"/>
          <w:b w:val="0"/>
          <w:sz w:val="32"/>
        </w:rPr>
        <w:t>相关经费</w:t>
      </w:r>
      <w:r>
        <w:rPr>
          <w:rFonts w:hint="eastAsia" w:ascii="仿宋_GB2312" w:hAnsi="仿宋_GB2312" w:eastAsia="仿宋_GB2312"/>
          <w:b w:val="0"/>
          <w:sz w:val="32"/>
          <w:lang w:val="en-US" w:eastAsia="zh-CN"/>
        </w:rPr>
        <w:t>增加</w:t>
      </w:r>
      <w:r>
        <w:rPr>
          <w:rFonts w:ascii="仿宋_GB2312" w:hAnsi="仿宋_GB2312" w:eastAsia="仿宋_GB2312"/>
          <w:b w:val="0"/>
          <w:sz w:val="32"/>
        </w:rPr>
        <w:t>。</w:t>
      </w:r>
    </w:p>
    <w:p w14:paraId="481E14A5">
      <w:pPr>
        <w:spacing w:line="580" w:lineRule="exact"/>
        <w:ind w:firstLine="640"/>
        <w:jc w:val="both"/>
      </w:pPr>
      <w:r>
        <w:rPr>
          <w:rFonts w:ascii="仿宋_GB2312" w:hAnsi="仿宋_GB2312" w:eastAsia="仿宋_GB2312"/>
          <w:b w:val="0"/>
          <w:sz w:val="32"/>
        </w:rPr>
        <w:t>7.卫生健康支出(类)公共卫生(款)基本公共卫生服务(项):支出决算数为68.96万元，比上年决算增加3.89万元，增长5.98%,</w:t>
      </w:r>
      <w:r>
        <w:rPr>
          <w:rFonts w:ascii="仿宋_GB2312" w:hAnsi="仿宋_GB2312" w:eastAsia="仿宋_GB2312"/>
          <w:b w:val="0"/>
          <w:spacing w:val="-6"/>
          <w:sz w:val="32"/>
        </w:rPr>
        <w:t>主要原因是：本年增加结核病营养早餐</w:t>
      </w:r>
      <w:r>
        <w:rPr>
          <w:rFonts w:hint="eastAsia" w:ascii="仿宋_GB2312" w:hAnsi="仿宋_GB2312" w:eastAsia="仿宋_GB2312"/>
          <w:b w:val="0"/>
          <w:spacing w:val="-6"/>
          <w:sz w:val="32"/>
          <w:lang w:val="en-US" w:eastAsia="zh-CN"/>
        </w:rPr>
        <w:t>项目</w:t>
      </w:r>
      <w:r>
        <w:rPr>
          <w:rFonts w:ascii="仿宋_GB2312" w:hAnsi="仿宋_GB2312" w:eastAsia="仿宋_GB2312"/>
          <w:b w:val="0"/>
          <w:spacing w:val="-6"/>
          <w:sz w:val="32"/>
        </w:rPr>
        <w:t>，导致经费较上年增加。</w:t>
      </w:r>
    </w:p>
    <w:p w14:paraId="4EC5C4C7">
      <w:pPr>
        <w:spacing w:line="580" w:lineRule="exact"/>
        <w:ind w:firstLine="640"/>
        <w:jc w:val="both"/>
      </w:pPr>
      <w:r>
        <w:rPr>
          <w:rFonts w:ascii="仿宋_GB2312" w:hAnsi="仿宋_GB2312" w:eastAsia="仿宋_GB2312"/>
          <w:b w:val="0"/>
          <w:sz w:val="32"/>
        </w:rPr>
        <w:t>8.卫生健康支出(类)公共卫生(款)重大公共卫生服务(项):支出决算数为191.45万元，比上年决算减少18.99万元，下降9.02%,主要原因是：本年减少重大传染病项目，导致经费较上年减少。</w:t>
      </w:r>
    </w:p>
    <w:p w14:paraId="3438A40A">
      <w:pPr>
        <w:spacing w:line="580" w:lineRule="exact"/>
        <w:ind w:firstLine="640"/>
        <w:jc w:val="both"/>
      </w:pPr>
      <w:r>
        <w:rPr>
          <w:rFonts w:ascii="仿宋_GB2312" w:hAnsi="仿宋_GB2312" w:eastAsia="仿宋_GB2312"/>
          <w:b w:val="0"/>
          <w:sz w:val="32"/>
        </w:rPr>
        <w:t>9.卫生健康支出(类)公共卫生(款)突发公共卫生事件应急处理(项):支出决算数为0.00万元，比上年决算减少62.62万元，下降100.00%,主要原因是：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上级专项拨款</w:t>
      </w:r>
      <w:r>
        <w:rPr>
          <w:rFonts w:hint="eastAsia" w:ascii="仿宋_GB2312" w:hAnsi="仿宋_GB2312" w:eastAsia="仿宋_GB2312"/>
          <w:b w:val="0"/>
          <w:sz w:val="32"/>
          <w:lang w:val="en-US" w:eastAsia="zh-CN"/>
        </w:rPr>
        <w:t>防疫资金</w:t>
      </w:r>
      <w:r>
        <w:rPr>
          <w:rFonts w:ascii="仿宋_GB2312" w:hAnsi="仿宋_GB2312" w:eastAsia="仿宋_GB2312"/>
          <w:b w:val="0"/>
          <w:sz w:val="32"/>
        </w:rPr>
        <w:t>减少，导致经费较上年减少。</w:t>
      </w:r>
    </w:p>
    <w:p w14:paraId="0138F7B6">
      <w:pPr>
        <w:spacing w:line="580" w:lineRule="exact"/>
        <w:ind w:firstLine="640"/>
        <w:jc w:val="both"/>
      </w:pPr>
      <w:r>
        <w:rPr>
          <w:rFonts w:ascii="仿宋_GB2312" w:hAnsi="仿宋_GB2312" w:eastAsia="仿宋_GB2312"/>
          <w:b w:val="0"/>
          <w:sz w:val="32"/>
        </w:rPr>
        <w:t>10.卫生健康支出(类)公共卫生(款)其他公共卫生支出(项):支出决算数为76.35万元，比上年决算增加62.77万元，增长462.22%,主要原因是：本年增加疾控中心卫生健康运转经费、基础设施维护费，导致经费较上年增加。</w:t>
      </w:r>
    </w:p>
    <w:p w14:paraId="28130DFC">
      <w:pPr>
        <w:spacing w:line="580" w:lineRule="exact"/>
        <w:ind w:firstLine="640"/>
        <w:jc w:val="both"/>
      </w:pPr>
      <w:r>
        <w:rPr>
          <w:rFonts w:ascii="仿宋_GB2312" w:hAnsi="仿宋_GB2312" w:eastAsia="仿宋_GB2312"/>
          <w:b w:val="0"/>
          <w:sz w:val="32"/>
        </w:rPr>
        <w:t>11.卫生健康支出(类)行政事业单位医疗(款)事业单位医疗(项):支出决算数为28.67万元，比上年决算减少2.69万元，下降8.58%,主要原因是：因退休人员医疗保险制度改革，退休人员基本医疗不再由单位缴纳，导致经费较上年减少。</w:t>
      </w:r>
    </w:p>
    <w:p w14:paraId="090BDAFA">
      <w:pPr>
        <w:spacing w:line="580" w:lineRule="exact"/>
        <w:ind w:firstLine="640"/>
        <w:jc w:val="both"/>
      </w:pPr>
      <w:r>
        <w:rPr>
          <w:rFonts w:ascii="仿宋_GB2312" w:hAnsi="仿宋_GB2312" w:eastAsia="仿宋_GB2312"/>
          <w:b w:val="0"/>
          <w:sz w:val="32"/>
        </w:rPr>
        <w:t>12.卫生健康支出(类)行政事业单位医疗(款)公务员医疗补助(项):支出决算数为1.83万元，比上年决算增加0.45万元，增长32.61%,主要原因是：（1）本年在职人员工资基数调增，医疗缴费基数上涨，相应支出增加。（2）本年在职人员增加，公务员医疗补助较上年增加。</w:t>
      </w:r>
    </w:p>
    <w:p w14:paraId="61068925">
      <w:pPr>
        <w:spacing w:line="580" w:lineRule="exact"/>
        <w:ind w:firstLine="640"/>
        <w:jc w:val="both"/>
      </w:pPr>
      <w:r>
        <w:rPr>
          <w:rFonts w:ascii="仿宋_GB2312" w:hAnsi="仿宋_GB2312" w:eastAsia="仿宋_GB2312"/>
          <w:b w:val="0"/>
          <w:sz w:val="32"/>
        </w:rPr>
        <w:t>13.卫生健康支出(类)其他卫生健康支出(款)其他卫生健康支出(项):支出决算数为0.00万元，比上年决算减少1,282.19万元，下降100.00%,主要原因是：本年减少PCR实验室设备及改建，导致经费较上年减少。</w:t>
      </w:r>
    </w:p>
    <w:p w14:paraId="14A0FE52">
      <w:pPr>
        <w:spacing w:line="580" w:lineRule="exact"/>
        <w:ind w:firstLine="640"/>
        <w:jc w:val="both"/>
      </w:pPr>
      <w:r>
        <w:rPr>
          <w:rFonts w:ascii="仿宋_GB2312" w:hAnsi="仿宋_GB2312" w:eastAsia="仿宋_GB2312"/>
          <w:b w:val="0"/>
          <w:sz w:val="32"/>
        </w:rPr>
        <w:t>14.住房保障支出(类)住房改革支出(款)住房公积金(项):支出决算数为46.37万元，比上年决算增加7.47万元，增长19.20%,主要原因是：（1）本年在职人员工资基数调增，公积金缴费基数上涨，相应支出增加。（2）本年在职人员增加，住房公积金支出较上年增加。</w:t>
      </w:r>
    </w:p>
    <w:p w14:paraId="7B1D302E">
      <w:pPr>
        <w:spacing w:line="640" w:lineRule="exact"/>
        <w:ind w:firstLine="640"/>
        <w:jc w:val="both"/>
        <w:outlineLvl w:val="2"/>
      </w:pPr>
      <w:r>
        <w:rPr>
          <w:rFonts w:ascii="黑体" w:hAnsi="黑体" w:eastAsia="黑体"/>
          <w:sz w:val="32"/>
        </w:rPr>
        <w:t>六、一般公共预算财政拨款基本支出决算情况说明</w:t>
      </w:r>
    </w:p>
    <w:p w14:paraId="10FA90F6">
      <w:pPr>
        <w:spacing w:line="580" w:lineRule="exact"/>
        <w:ind w:firstLine="640"/>
        <w:jc w:val="both"/>
      </w:pPr>
      <w:r>
        <w:rPr>
          <w:rFonts w:ascii="仿宋_GB2312" w:hAnsi="仿宋_GB2312" w:eastAsia="仿宋_GB2312"/>
          <w:b w:val="0"/>
          <w:sz w:val="32"/>
        </w:rPr>
        <w:t>2024年度一般公共预算财政拨款基本支出698.28万元，其中：</w:t>
      </w:r>
      <w:r>
        <w:rPr>
          <w:rFonts w:ascii="仿宋_GB2312" w:hAnsi="仿宋_GB2312" w:eastAsia="仿宋_GB2312"/>
          <w:b/>
          <w:sz w:val="32"/>
        </w:rPr>
        <w:t>人员经费631.42万元，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奖励金。</w:t>
      </w:r>
    </w:p>
    <w:p w14:paraId="00FDC76C">
      <w:pPr>
        <w:spacing w:line="580" w:lineRule="exact"/>
        <w:ind w:firstLine="640"/>
        <w:jc w:val="both"/>
      </w:pPr>
      <w:r>
        <w:rPr>
          <w:rFonts w:ascii="仿宋_GB2312" w:hAnsi="仿宋_GB2312" w:eastAsia="仿宋_GB2312"/>
          <w:b/>
          <w:sz w:val="32"/>
        </w:rPr>
        <w:t>公用经费66.85万元，</w:t>
      </w:r>
      <w:r>
        <w:rPr>
          <w:rFonts w:ascii="仿宋_GB2312" w:hAnsi="仿宋_GB2312" w:eastAsia="仿宋_GB2312"/>
          <w:b w:val="0"/>
          <w:sz w:val="32"/>
        </w:rPr>
        <w:t>包括：办公费、取暖费、工会经费、公务用车运行维护费。</w:t>
      </w:r>
    </w:p>
    <w:p w14:paraId="18EE377B">
      <w:pPr>
        <w:spacing w:line="640" w:lineRule="exact"/>
        <w:ind w:firstLine="640"/>
        <w:jc w:val="both"/>
        <w:outlineLvl w:val="2"/>
      </w:pPr>
      <w:r>
        <w:rPr>
          <w:rFonts w:ascii="黑体" w:hAnsi="黑体" w:eastAsia="黑体"/>
          <w:sz w:val="32"/>
        </w:rPr>
        <w:t>七、政府性基金预算财政拨款收入支出决算情况说明</w:t>
      </w:r>
    </w:p>
    <w:p w14:paraId="4A58B5F8">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E88E500">
      <w:pPr>
        <w:spacing w:line="640" w:lineRule="exact"/>
        <w:ind w:firstLine="640"/>
        <w:jc w:val="both"/>
        <w:outlineLvl w:val="2"/>
      </w:pPr>
      <w:r>
        <w:rPr>
          <w:rFonts w:ascii="黑体" w:hAnsi="黑体" w:eastAsia="黑体"/>
          <w:sz w:val="32"/>
        </w:rPr>
        <w:t>八、国有资本经营预算财政拨款收入支出决算情况说明</w:t>
      </w:r>
    </w:p>
    <w:p w14:paraId="7F813DA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0E425D2">
      <w:pPr>
        <w:spacing w:line="640" w:lineRule="exact"/>
        <w:ind w:firstLine="640"/>
        <w:jc w:val="both"/>
        <w:outlineLvl w:val="2"/>
      </w:pPr>
      <w:r>
        <w:rPr>
          <w:rFonts w:ascii="黑体" w:hAnsi="黑体" w:eastAsia="黑体"/>
          <w:sz w:val="32"/>
        </w:rPr>
        <w:t>九、财政拨款“三公”经费支出决算情况说明</w:t>
      </w:r>
    </w:p>
    <w:p w14:paraId="4D2B0876">
      <w:pPr>
        <w:spacing w:line="580" w:lineRule="exact"/>
        <w:ind w:firstLine="640"/>
        <w:jc w:val="both"/>
      </w:pPr>
      <w:r>
        <w:rPr>
          <w:rFonts w:ascii="仿宋_GB2312" w:hAnsi="仿宋_GB2312" w:eastAsia="仿宋_GB2312"/>
          <w:b/>
          <w:sz w:val="32"/>
        </w:rPr>
        <w:t>2024年度财政拨款“三公”经费支出8.00万元，</w:t>
      </w:r>
      <w:r>
        <w:rPr>
          <w:rFonts w:ascii="仿宋_GB2312" w:hAnsi="仿宋_GB2312" w:eastAsia="仿宋_GB2312"/>
          <w:b w:val="0"/>
          <w:sz w:val="32"/>
        </w:rPr>
        <w:t>比上年增加6.08万元，增长316.67%，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8.00万元，占100.00%，比上年增加6.08万元，增长316.67%，主要原因是：本年因业务需求，用车次数增加，燃油费增加，导致公务用车运行维护费较上年增加。公务接待费支出0.00万元，占0.00%，比上年增加0.00万元，增长0.00%，主要原因是：2023年与2024年均未安排公务接待费支出。</w:t>
      </w:r>
    </w:p>
    <w:p w14:paraId="2C893755">
      <w:pPr>
        <w:spacing w:line="580" w:lineRule="exact"/>
        <w:ind w:firstLine="640"/>
        <w:jc w:val="both"/>
      </w:pPr>
      <w:r>
        <w:rPr>
          <w:rFonts w:ascii="仿宋_GB2312" w:hAnsi="仿宋_GB2312" w:eastAsia="仿宋_GB2312"/>
          <w:b/>
          <w:sz w:val="32"/>
        </w:rPr>
        <w:t>具体情况如下：</w:t>
      </w:r>
    </w:p>
    <w:p w14:paraId="23B70BF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3381584">
      <w:pPr>
        <w:spacing w:line="580" w:lineRule="exact"/>
        <w:ind w:firstLine="640"/>
        <w:jc w:val="both"/>
      </w:pPr>
      <w:r>
        <w:rPr>
          <w:rFonts w:ascii="仿宋_GB2312" w:hAnsi="仿宋_GB2312" w:eastAsia="仿宋_GB2312"/>
          <w:b w:val="0"/>
          <w:sz w:val="32"/>
        </w:rPr>
        <w:t>公务用车购置及运行维护费8.00万元，其中：公务用车购置费0.00万元，公务用车运行维护费8.00万元。公务用车运行维护费开支内容包括车辆加油费、维修费、保险费、审车费、过路费等。公务用车购置数0辆，公务用车保有量4辆。国有资产占用情况中固定资产车辆6辆，与公务用车保有量差异原因是：单位业务用车，车辆费用未使用财政拨款公务用车运行维护费支付</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使用单位事业收入经费维护</w:t>
      </w:r>
      <w:r>
        <w:rPr>
          <w:rFonts w:ascii="仿宋_GB2312" w:hAnsi="仿宋_GB2312" w:eastAsia="仿宋_GB2312"/>
          <w:b w:val="0"/>
          <w:sz w:val="32"/>
        </w:rPr>
        <w:t>。</w:t>
      </w:r>
    </w:p>
    <w:p w14:paraId="41D0E96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F54201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8.00万元，决算数8.00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8.00万元，决算数8.00万元，预决算差异率0.00%，主要原因是：严格按照预算执行，预决算无差异。公务接待费全年预算数0.00万元，决算数0.00万元，预决算差异率0.00%，主要原因是：本单位无公务接待费。</w:t>
      </w:r>
    </w:p>
    <w:p w14:paraId="2C9C8A83">
      <w:pPr>
        <w:spacing w:line="640" w:lineRule="exact"/>
        <w:ind w:firstLine="640"/>
        <w:jc w:val="both"/>
        <w:outlineLvl w:val="2"/>
      </w:pPr>
      <w:r>
        <w:rPr>
          <w:rFonts w:ascii="黑体" w:hAnsi="黑体" w:eastAsia="黑体"/>
          <w:sz w:val="32"/>
        </w:rPr>
        <w:t>十、其他重要事项的情况说明</w:t>
      </w:r>
    </w:p>
    <w:p w14:paraId="6C710602">
      <w:pPr>
        <w:spacing w:line="640" w:lineRule="exact"/>
        <w:ind w:firstLine="640"/>
        <w:jc w:val="both"/>
        <w:outlineLvl w:val="3"/>
      </w:pPr>
      <w:r>
        <w:rPr>
          <w:rFonts w:ascii="楷体_GB2312" w:hAnsi="楷体_GB2312" w:eastAsia="楷体_GB2312"/>
          <w:b/>
          <w:sz w:val="32"/>
        </w:rPr>
        <w:t>（一）机关运行经费及公用经费支出情况</w:t>
      </w:r>
    </w:p>
    <w:p w14:paraId="39EFC466">
      <w:pPr>
        <w:spacing w:line="580" w:lineRule="exact"/>
        <w:ind w:firstLine="640"/>
        <w:jc w:val="both"/>
      </w:pPr>
      <w:r>
        <w:rPr>
          <w:rFonts w:ascii="仿宋_GB2312" w:hAnsi="仿宋_GB2312" w:eastAsia="仿宋_GB2312"/>
          <w:b w:val="0"/>
          <w:sz w:val="32"/>
        </w:rPr>
        <w:t>2024年度吉木萨尔县疾病预防控制中心（事业单位）公用经费支出66.85万元，比上年增加0.93万元，增长1.41%，主要原因是：本年更新、维护补充办公用品，导致公用经费较上年增加。</w:t>
      </w:r>
    </w:p>
    <w:p w14:paraId="609E220F">
      <w:pPr>
        <w:spacing w:line="640" w:lineRule="exact"/>
        <w:ind w:firstLine="640"/>
        <w:jc w:val="both"/>
        <w:outlineLvl w:val="3"/>
      </w:pPr>
      <w:r>
        <w:rPr>
          <w:rFonts w:ascii="楷体_GB2312" w:hAnsi="楷体_GB2312" w:eastAsia="楷体_GB2312"/>
          <w:b/>
          <w:sz w:val="32"/>
        </w:rPr>
        <w:t>（二）政府采购情况</w:t>
      </w:r>
    </w:p>
    <w:p w14:paraId="52F7EDD7">
      <w:pPr>
        <w:spacing w:line="580" w:lineRule="exact"/>
        <w:ind w:firstLine="640"/>
        <w:jc w:val="both"/>
      </w:pPr>
      <w:r>
        <w:rPr>
          <w:rFonts w:ascii="仿宋_GB2312" w:hAnsi="仿宋_GB2312" w:eastAsia="仿宋_GB2312"/>
          <w:b w:val="0"/>
          <w:sz w:val="32"/>
        </w:rPr>
        <w:t>2024年度政府采购支出总额12.60万元，其中：政府采购货物支出5.18万元、政府采购工程支出0.00万元、政府采购服务支出7.42万元。</w:t>
      </w:r>
    </w:p>
    <w:p w14:paraId="0C26F8FF">
      <w:pPr>
        <w:spacing w:line="580" w:lineRule="exact"/>
        <w:ind w:firstLine="640"/>
        <w:jc w:val="both"/>
      </w:pPr>
      <w:r>
        <w:rPr>
          <w:rFonts w:ascii="仿宋_GB2312" w:hAnsi="仿宋_GB2312" w:eastAsia="仿宋_GB2312"/>
          <w:b w:val="0"/>
          <w:sz w:val="32"/>
        </w:rPr>
        <w:t>授予中小企业合同金额10.46万元，占政府采购支出总额的83.02%，其中：授予小微企业合同金额10.46万元，占政府采购支出总额的83.02%。</w:t>
      </w:r>
    </w:p>
    <w:p w14:paraId="5DD95283">
      <w:pPr>
        <w:spacing w:line="640" w:lineRule="exact"/>
        <w:ind w:firstLine="640"/>
        <w:jc w:val="both"/>
        <w:outlineLvl w:val="3"/>
      </w:pPr>
      <w:r>
        <w:rPr>
          <w:rFonts w:ascii="楷体_GB2312" w:hAnsi="楷体_GB2312" w:eastAsia="楷体_GB2312"/>
          <w:b/>
          <w:sz w:val="32"/>
        </w:rPr>
        <w:t>（三）国有资产占用情况说明</w:t>
      </w:r>
    </w:p>
    <w:p w14:paraId="1BE985F7">
      <w:pPr>
        <w:spacing w:line="580" w:lineRule="exact"/>
        <w:ind w:firstLine="640"/>
        <w:jc w:val="both"/>
      </w:pPr>
      <w:r>
        <w:rPr>
          <w:rFonts w:ascii="仿宋_GB2312" w:hAnsi="仿宋_GB2312" w:eastAsia="仿宋_GB2312"/>
          <w:b w:val="0"/>
          <w:sz w:val="32"/>
        </w:rPr>
        <w:t>截至2024年12月31日，房屋5,757.02平方米，价值444.85万元。车辆6辆，价值144.75万元，其中：副部（省）级及以上领导用车0辆、主要负责人用车0辆、机要通信用车0辆、应急保障用车0辆、执法执勤用车1辆、特种专业技术用车0辆、离退休干部服务用车0辆、其他用车5辆，其他用车主要是：一般公务用车和单位业务用车。单价100万元（含）以上设备（不含车辆）0台（套）。</w:t>
      </w:r>
    </w:p>
    <w:p w14:paraId="33B8F689">
      <w:pPr>
        <w:spacing w:line="640" w:lineRule="exact"/>
        <w:ind w:firstLine="640"/>
        <w:jc w:val="both"/>
        <w:outlineLvl w:val="2"/>
      </w:pPr>
      <w:r>
        <w:rPr>
          <w:rFonts w:ascii="黑体" w:hAnsi="黑体" w:eastAsia="黑体"/>
          <w:sz w:val="32"/>
        </w:rPr>
        <w:t>十一、预算绩效的情况说明</w:t>
      </w:r>
    </w:p>
    <w:p w14:paraId="58BF13D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1,073.63万元，实际执行总额1,038.23万元；预算绩效评价项目9个，全年预算数293.94万元，全年执行数293.94万元。预算绩效管理取得的成效：在项目组织方面，本项目实施主体吉木萨尔县疾病预防控制中心建立了专门的项目管理团队，明确各成员职责分工，确保项目推进有序。项目负责人对整体工作进行统筹规划和监督，各科室负责人和业务骨干积极协作，形成了一套高效的工作机制。在项目管理上，制定了详细的项目实施方案，将各项工作任务细化分解，明确时间节点和质量要求，通过定期召开项目进度会，及时掌握项目进展情况，协调解决出现的问题，有力保障了项目按计划顺利实施。在资金管理方面，严格按照国家财经法规和相关资金管理办法，建立规范的财务审批流程，对项目资金实行专款专用，定期对资金使用情况进行自查自纠，确保资金安全高效使用，有效避免了资金浪费和滥用现象的发生。同时，注重与当地医疗机构、社区等合作，整合资源，形成合力，共同推进传染病防治工作，如联合开展健康教育宣传活动、培训基层医务人员等，提高了项目实施效果和资源利用效率。在绩效管理方面，依据相关政策文件要求，科学合理地设定绩效目标和指标体系，将绩效目标贯穿于项目实施全过程，并定期对绩效目标完成情况进行跟踪评估，及时发现问题并采取针对性措施加以改进，有效发挥了绩效管理对项目实施的引导和约束作用，提升了项目的整体绩效水平。发现的问题及原因：一是在实际工作中，部分患者及家属对疾病认知不足，对治疗和管理的配合度较低，导致一些患者未能按照要求接受规范的管理和治疗。同时，基层精神卫生服务能力相对薄弱，专业技术人员短缺，难以满足日益增长的患者服务需求，影响了整体的规范</w:t>
      </w:r>
      <w:r>
        <w:rPr>
          <w:rFonts w:hint="eastAsia" w:ascii="仿宋_GB2312" w:hAnsi="仿宋_GB2312" w:eastAsia="仿宋_GB2312"/>
          <w:b w:val="0"/>
          <w:sz w:val="32"/>
          <w:lang w:eastAsia="zh-CN"/>
        </w:rPr>
        <w:t>管理</w:t>
      </w:r>
      <w:r>
        <w:rPr>
          <w:rFonts w:ascii="仿宋_GB2312" w:hAnsi="仿宋_GB2312" w:eastAsia="仿宋_GB2312"/>
          <w:b w:val="0"/>
          <w:sz w:val="32"/>
        </w:rPr>
        <w:t>。此外，患者流动频繁、家庭住址不固定等因素，也给患者的随访管理和服药监督等工作带来了较大困难，导致在一定程度上未能达到预期的绩效目标。二是项目资料归档不及时。在项目实施过程中，由于工作人员业务繁忙，对资料整理和归档工作的重视程度不够，没有养成及时归档的习惯，导致部分项目资料未能在规定时间内归档。这不仅影响了项目管理的规范性和完整性，而且在一定程度上给后续的项目检查、评估等工作带来了不便。下一步改进措施：建议进一步加强宣传教育工作，提高患者及家属对疾病的认识和重视程度，增强其主动配合治疗和管理的意识。同时，加大对基层精神卫生服务的投入，充实专业技术人员队伍，提升基层医疗机构的服务能力和水平。此外，建立完善的信息共享机制，加强与公安、民政等部门的协作，及时掌握患者动态信息，提高患者随访管理的效率和质量，从而有效提升严重精神障碍患者规范管理率。对于项目资料归档不及时的问题，建议加强对项目管理人员的培训教育，提高其对资料归档工作重要性的认识，明确资料归档的责任人和时间节点要求。同时，建立健全资料归档管理制度，将资料归档工作纳入项目管理人员的绩效考核范畴，对未按时完成归档任务的人员进行相应的处罚，以强化制度的执行力和约束力，确保项目资料能够及时、完整、规范地归档。具体附整体支出绩效自评表，项目支出绩效自评表和评价报告。</w:t>
      </w:r>
    </w:p>
    <w:p w14:paraId="75AF419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0BBE27B">
        <w:tblPrEx>
          <w:tblCellMar>
            <w:top w:w="0" w:type="dxa"/>
            <w:left w:w="108" w:type="dxa"/>
            <w:bottom w:w="0" w:type="dxa"/>
            <w:right w:w="108" w:type="dxa"/>
          </w:tblCellMar>
        </w:tblPrEx>
        <w:tc>
          <w:tcPr>
            <w:tcW w:w="8847" w:type="dxa"/>
            <w:gridSpan w:val="9"/>
            <w:vAlign w:val="center"/>
          </w:tcPr>
          <w:p w14:paraId="311A7ADA">
            <w:pPr>
              <w:jc w:val="center"/>
            </w:pPr>
            <w:r>
              <w:rPr>
                <w:rFonts w:ascii="宋体" w:hAnsi="宋体" w:eastAsia="宋体"/>
                <w:sz w:val="24"/>
              </w:rPr>
              <w:t>单位整体支出绩效自评表</w:t>
            </w:r>
          </w:p>
        </w:tc>
      </w:tr>
      <w:tr w14:paraId="7C764D40">
        <w:tblPrEx>
          <w:tblCellMar>
            <w:top w:w="0" w:type="dxa"/>
            <w:left w:w="108" w:type="dxa"/>
            <w:bottom w:w="0" w:type="dxa"/>
            <w:right w:w="108" w:type="dxa"/>
          </w:tblCellMar>
        </w:tblPrEx>
        <w:tc>
          <w:tcPr>
            <w:tcW w:w="8847" w:type="dxa"/>
            <w:gridSpan w:val="9"/>
            <w:vAlign w:val="center"/>
          </w:tcPr>
          <w:p w14:paraId="64FDB93B">
            <w:pPr>
              <w:jc w:val="center"/>
            </w:pPr>
            <w:r>
              <w:rPr>
                <w:rFonts w:ascii="宋体" w:hAnsi="宋体" w:eastAsia="宋体"/>
                <w:sz w:val="24"/>
              </w:rPr>
              <w:t>（2024年度）</w:t>
            </w:r>
          </w:p>
        </w:tc>
      </w:tr>
      <w:tr w14:paraId="10727DC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D4646">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D8D527C">
            <w:pPr>
              <w:jc w:val="center"/>
            </w:pPr>
            <w:r>
              <w:rPr>
                <w:rFonts w:ascii="宋体" w:hAnsi="宋体" w:eastAsia="宋体"/>
                <w:sz w:val="16"/>
              </w:rPr>
              <w:t>吉木萨尔县疾病预防控制中心</w:t>
            </w:r>
          </w:p>
        </w:tc>
      </w:tr>
      <w:tr w14:paraId="4CE8B0E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11AA41">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5498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AF2E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202F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4E60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9C9B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6A9B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F071B">
            <w:pPr>
              <w:jc w:val="center"/>
            </w:pPr>
            <w:r>
              <w:rPr>
                <w:rFonts w:ascii="宋体" w:hAnsi="宋体" w:eastAsia="宋体"/>
                <w:sz w:val="16"/>
              </w:rPr>
              <w:t>得分</w:t>
            </w:r>
          </w:p>
        </w:tc>
      </w:tr>
      <w:tr w14:paraId="20B04E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F284B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6B162">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16122">
            <w:pPr>
              <w:jc w:val="center"/>
            </w:pPr>
            <w:r>
              <w:rPr>
                <w:rFonts w:ascii="宋体" w:hAnsi="宋体" w:eastAsia="宋体"/>
                <w:sz w:val="16"/>
              </w:rPr>
              <w:t>25.19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D75F1">
            <w:pPr>
              <w:jc w:val="center"/>
            </w:pPr>
            <w:r>
              <w:rPr>
                <w:rFonts w:ascii="宋体" w:hAnsi="宋体" w:eastAsia="宋体"/>
                <w:sz w:val="16"/>
              </w:rPr>
              <w:t>232.18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C3346">
            <w:pPr>
              <w:jc w:val="center"/>
            </w:pPr>
            <w:r>
              <w:rPr>
                <w:rFonts w:ascii="宋体" w:hAnsi="宋体" w:eastAsia="宋体"/>
                <w:sz w:val="16"/>
              </w:rPr>
              <w:t>224.37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8C90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871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61168">
            <w:pPr>
              <w:jc w:val="center"/>
            </w:pPr>
            <w:r>
              <w:rPr>
                <w:rFonts w:ascii="宋体" w:hAnsi="宋体" w:eastAsia="宋体"/>
                <w:sz w:val="16"/>
              </w:rPr>
              <w:t>-</w:t>
            </w:r>
          </w:p>
        </w:tc>
      </w:tr>
      <w:tr w14:paraId="351901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D8037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B015D">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4B3D6">
            <w:pPr>
              <w:jc w:val="center"/>
            </w:pPr>
            <w:r>
              <w:rPr>
                <w:rFonts w:ascii="宋体" w:hAnsi="宋体" w:eastAsia="宋体"/>
                <w:sz w:val="16"/>
              </w:rPr>
              <w:t>646.08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631BA">
            <w:pPr>
              <w:jc w:val="center"/>
            </w:pPr>
            <w:r>
              <w:rPr>
                <w:rFonts w:ascii="宋体" w:hAnsi="宋体" w:eastAsia="宋体"/>
                <w:sz w:val="16"/>
              </w:rPr>
              <w:t>841.45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9FBA6">
            <w:pPr>
              <w:jc w:val="center"/>
            </w:pPr>
            <w:r>
              <w:rPr>
                <w:rFonts w:ascii="宋体" w:hAnsi="宋体" w:eastAsia="宋体"/>
                <w:sz w:val="16"/>
              </w:rPr>
              <w:t>813.86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FC2E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E495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17869">
            <w:pPr>
              <w:jc w:val="center"/>
            </w:pPr>
            <w:r>
              <w:rPr>
                <w:rFonts w:ascii="宋体" w:hAnsi="宋体" w:eastAsia="宋体"/>
                <w:sz w:val="16"/>
              </w:rPr>
              <w:t>-</w:t>
            </w:r>
          </w:p>
        </w:tc>
      </w:tr>
      <w:tr w14:paraId="0EF204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F05E2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0A6C9">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FDF60">
            <w:pPr>
              <w:jc w:val="center"/>
            </w:pPr>
            <w:r>
              <w:rPr>
                <w:rFonts w:ascii="宋体" w:hAnsi="宋体" w:eastAsia="宋体"/>
                <w:sz w:val="16"/>
              </w:rPr>
              <w:t>147.34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6DD8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A037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0147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8607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3B46D">
            <w:pPr>
              <w:jc w:val="center"/>
            </w:pPr>
            <w:r>
              <w:rPr>
                <w:rFonts w:ascii="宋体" w:hAnsi="宋体" w:eastAsia="宋体"/>
                <w:sz w:val="16"/>
              </w:rPr>
              <w:t>-</w:t>
            </w:r>
          </w:p>
        </w:tc>
      </w:tr>
      <w:tr w14:paraId="0D257D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1326D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01734">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A3201">
            <w:pPr>
              <w:jc w:val="center"/>
            </w:pPr>
            <w:r>
              <w:rPr>
                <w:rFonts w:ascii="宋体" w:hAnsi="宋体" w:eastAsia="宋体"/>
                <w:sz w:val="16"/>
              </w:rPr>
              <w:t>818.61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B03BC">
            <w:pPr>
              <w:jc w:val="center"/>
            </w:pPr>
            <w:r>
              <w:rPr>
                <w:rFonts w:ascii="宋体" w:hAnsi="宋体" w:eastAsia="宋体"/>
                <w:sz w:val="16"/>
              </w:rPr>
              <w:t>1,073.63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817A3">
            <w:pPr>
              <w:jc w:val="center"/>
            </w:pPr>
            <w:r>
              <w:rPr>
                <w:rFonts w:ascii="宋体" w:hAnsi="宋体" w:eastAsia="宋体"/>
                <w:sz w:val="16"/>
              </w:rPr>
              <w:t>1,038.23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FAA3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030E4">
            <w:pPr>
              <w:jc w:val="center"/>
            </w:pPr>
            <w:r>
              <w:rPr>
                <w:rFonts w:ascii="宋体" w:hAnsi="宋体" w:eastAsia="宋体"/>
                <w:sz w:val="16"/>
              </w:rPr>
              <w:t>96.7%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3D843">
            <w:pPr>
              <w:jc w:val="center"/>
            </w:pPr>
            <w:r>
              <w:rPr>
                <w:rFonts w:ascii="宋体" w:hAnsi="宋体" w:eastAsia="宋体"/>
                <w:sz w:val="16"/>
              </w:rPr>
              <w:t>9.67</w:t>
            </w:r>
          </w:p>
        </w:tc>
      </w:tr>
      <w:tr w14:paraId="30717F3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69F4E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79C0B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311185">
            <w:pPr>
              <w:jc w:val="center"/>
            </w:pPr>
            <w:r>
              <w:rPr>
                <w:rFonts w:ascii="宋体" w:hAnsi="宋体" w:eastAsia="宋体"/>
                <w:sz w:val="16"/>
              </w:rPr>
              <w:t>实际完成情况</w:t>
            </w:r>
          </w:p>
        </w:tc>
      </w:tr>
      <w:tr w14:paraId="42EA91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E5818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D7306F">
            <w:pPr>
              <w:jc w:val="both"/>
            </w:pPr>
            <w:r>
              <w:rPr>
                <w:rFonts w:ascii="宋体" w:hAnsi="宋体" w:eastAsia="宋体"/>
                <w:sz w:val="16"/>
              </w:rPr>
              <w:t xml:space="preserve">目标1.保障疾病预防控制中心1-12月人员经费和办公经费 。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目标2.围绕目标任务，提高疾控能力，充分发挥职能作用。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目标3.加大指导力度，强化工作职能。</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DCE593">
            <w:pPr>
              <w:jc w:val="both"/>
            </w:pPr>
            <w:r>
              <w:rPr>
                <w:rFonts w:ascii="宋体" w:hAnsi="宋体" w:eastAsia="宋体"/>
                <w:sz w:val="16"/>
              </w:rPr>
              <w:t>预算数为1073.63万元，全年实际支出资金1038.23万元，预算执行率为96.70%，其中：基本支出全年预算数为736.86万元，实际支出资金701.46万元；项目支出全年预算数为336.77万元，实际支出资金336.77万元。实际已完成</w:t>
            </w:r>
            <w:r>
              <w:rPr>
                <w:rFonts w:hint="eastAsia" w:ascii="宋体" w:hAnsi="宋体"/>
                <w:sz w:val="16"/>
                <w:lang w:eastAsia="zh-CN"/>
              </w:rPr>
              <w:t>AZB</w:t>
            </w:r>
            <w:r>
              <w:rPr>
                <w:rFonts w:ascii="宋体" w:hAnsi="宋体" w:eastAsia="宋体"/>
                <w:sz w:val="16"/>
              </w:rPr>
              <w:t>治疗覆盖率95.870%；儿童免疫规划疫苗接种率98%；结核病成功治疗率90.27%；布病患者个案调查率、跟踪随访率100%；各类传染病宣传次数38次。</w:t>
            </w:r>
          </w:p>
        </w:tc>
      </w:tr>
      <w:tr w14:paraId="6CCA59D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BD68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40A67">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9837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49876">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6CDDF">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EAB0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3B57F">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F4140">
            <w:pPr>
              <w:jc w:val="center"/>
            </w:pPr>
            <w:r>
              <w:rPr>
                <w:rFonts w:ascii="宋体" w:hAnsi="宋体" w:eastAsia="宋体"/>
                <w:sz w:val="16"/>
              </w:rPr>
              <w:t>得分</w:t>
            </w:r>
          </w:p>
        </w:tc>
      </w:tr>
      <w:tr w14:paraId="067BE5B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A6C19">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CCBCA6">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F6B15">
            <w:pPr>
              <w:jc w:val="center"/>
            </w:pPr>
            <w:r>
              <w:rPr>
                <w:rFonts w:ascii="宋体" w:hAnsi="宋体" w:eastAsia="宋体"/>
                <w:sz w:val="16"/>
              </w:rPr>
              <w:t>在职人员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5DA5A">
            <w:pPr>
              <w:jc w:val="center"/>
            </w:pPr>
            <w:r>
              <w:rPr>
                <w:rFonts w:ascii="宋体" w:hAnsi="宋体" w:eastAsia="宋体"/>
                <w:sz w:val="16"/>
              </w:rPr>
              <w:t>=30人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AF9DF">
            <w:pPr>
              <w:jc w:val="center"/>
            </w:pPr>
            <w:r>
              <w:rPr>
                <w:rFonts w:ascii="宋体" w:hAnsi="宋体" w:eastAsia="宋体"/>
                <w:sz w:val="16"/>
              </w:rPr>
              <w:t>年初预算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EF05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C57FF">
            <w:pPr>
              <w:jc w:val="center"/>
            </w:pPr>
            <w:r>
              <w:rPr>
                <w:rFonts w:ascii="宋体" w:hAnsi="宋体" w:eastAsia="宋体"/>
                <w:sz w:val="16"/>
              </w:rPr>
              <w:t>=35人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935D3">
            <w:pPr>
              <w:jc w:val="center"/>
            </w:pPr>
            <w:r>
              <w:rPr>
                <w:rFonts w:ascii="宋体" w:hAnsi="宋体" w:eastAsia="宋体"/>
                <w:sz w:val="16"/>
              </w:rPr>
              <w:t>10</w:t>
            </w:r>
          </w:p>
        </w:tc>
      </w:tr>
      <w:tr w14:paraId="6048ADE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B8477E">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71E45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C565E">
            <w:pPr>
              <w:jc w:val="center"/>
            </w:pPr>
            <w:r>
              <w:rPr>
                <w:rFonts w:hint="eastAsia" w:ascii="宋体" w:hAnsi="宋体"/>
                <w:sz w:val="16"/>
                <w:lang w:eastAsia="zh-CN"/>
              </w:rPr>
              <w:t>AZB</w:t>
            </w:r>
            <w:r>
              <w:rPr>
                <w:rFonts w:ascii="宋体" w:hAnsi="宋体" w:eastAsia="宋体"/>
                <w:sz w:val="16"/>
              </w:rPr>
              <w:t>治疗覆盖率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777DD">
            <w:pPr>
              <w:jc w:val="center"/>
            </w:pPr>
            <w:r>
              <w:rPr>
                <w:rFonts w:ascii="宋体" w:hAnsi="宋体" w:eastAsia="宋体"/>
                <w:sz w:val="16"/>
              </w:rPr>
              <w:t>&gt;=100%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AC700">
            <w:pPr>
              <w:jc w:val="center"/>
            </w:pPr>
            <w:r>
              <w:rPr>
                <w:rFonts w:ascii="宋体" w:hAnsi="宋体" w:eastAsia="宋体"/>
                <w:sz w:val="16"/>
              </w:rPr>
              <w:t>吉木萨尔县疾病预防中心2023年工作总结及2024年工作计划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3277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183EF">
            <w:pPr>
              <w:jc w:val="center"/>
            </w:pPr>
            <w:r>
              <w:rPr>
                <w:rFonts w:ascii="宋体" w:hAnsi="宋体" w:eastAsia="宋体"/>
                <w:sz w:val="16"/>
              </w:rPr>
              <w:t>=95.87%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A3734">
            <w:pPr>
              <w:jc w:val="center"/>
            </w:pPr>
            <w:r>
              <w:rPr>
                <w:rFonts w:ascii="宋体" w:hAnsi="宋体" w:eastAsia="宋体"/>
                <w:sz w:val="16"/>
              </w:rPr>
              <w:t>14.38</w:t>
            </w:r>
          </w:p>
        </w:tc>
      </w:tr>
      <w:tr w14:paraId="3C95E5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2E729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3025F3">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09F4F">
            <w:pPr>
              <w:jc w:val="center"/>
            </w:pPr>
            <w:r>
              <w:rPr>
                <w:rFonts w:ascii="宋体" w:hAnsi="宋体" w:eastAsia="宋体"/>
                <w:sz w:val="16"/>
              </w:rPr>
              <w:t>儿童免疫规划疫苗接种率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0EE6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B5280">
            <w:pPr>
              <w:jc w:val="center"/>
            </w:pPr>
            <w:r>
              <w:rPr>
                <w:rFonts w:ascii="宋体" w:hAnsi="宋体" w:eastAsia="宋体"/>
                <w:sz w:val="16"/>
              </w:rPr>
              <w:t>吉木萨尔县疾病预防中心2023年工作总结及2024年工作计划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96252">
            <w:pPr>
              <w:jc w:val="center"/>
            </w:pPr>
            <w:r>
              <w:rPr>
                <w:rFonts w:ascii="宋体" w:hAnsi="宋体" w:eastAsia="宋体"/>
                <w:sz w:val="16"/>
              </w:rPr>
              <w:t>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6BFC7">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FA3C8">
            <w:pPr>
              <w:jc w:val="center"/>
            </w:pPr>
            <w:r>
              <w:rPr>
                <w:rFonts w:ascii="宋体" w:hAnsi="宋体" w:eastAsia="宋体"/>
                <w:sz w:val="16"/>
              </w:rPr>
              <w:t>22</w:t>
            </w:r>
          </w:p>
        </w:tc>
      </w:tr>
      <w:tr w14:paraId="211DC0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72A3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66E4A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F5837">
            <w:pPr>
              <w:jc w:val="center"/>
            </w:pPr>
            <w:r>
              <w:rPr>
                <w:rFonts w:ascii="宋体" w:hAnsi="宋体" w:eastAsia="宋体"/>
                <w:sz w:val="16"/>
              </w:rPr>
              <w:t>结核病成功治疗率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2C013">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E7717">
            <w:pPr>
              <w:jc w:val="center"/>
            </w:pPr>
            <w:r>
              <w:rPr>
                <w:rFonts w:ascii="宋体" w:hAnsi="宋体" w:eastAsia="宋体"/>
                <w:sz w:val="16"/>
              </w:rPr>
              <w:t>吉木萨尔县疾病预防中心2023年工作总结及2024年工作计划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E4679">
            <w:pPr>
              <w:jc w:val="center"/>
            </w:pPr>
            <w:r>
              <w:rPr>
                <w:rFonts w:ascii="宋体" w:hAnsi="宋体" w:eastAsia="宋体"/>
                <w:sz w:val="16"/>
              </w:rPr>
              <w:t>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612EB">
            <w:pPr>
              <w:jc w:val="center"/>
            </w:pPr>
            <w:r>
              <w:rPr>
                <w:rFonts w:ascii="宋体" w:hAnsi="宋体" w:eastAsia="宋体"/>
                <w:sz w:val="16"/>
              </w:rPr>
              <w:t>=90.27%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5CA64">
            <w:pPr>
              <w:jc w:val="center"/>
            </w:pPr>
            <w:r>
              <w:rPr>
                <w:rFonts w:ascii="宋体" w:hAnsi="宋体" w:eastAsia="宋体"/>
                <w:sz w:val="16"/>
              </w:rPr>
              <w:t>17</w:t>
            </w:r>
          </w:p>
        </w:tc>
      </w:tr>
      <w:tr w14:paraId="6C9F86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BC9ED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0767A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71FFA">
            <w:pPr>
              <w:jc w:val="center"/>
            </w:pPr>
            <w:r>
              <w:rPr>
                <w:rFonts w:ascii="宋体" w:hAnsi="宋体" w:eastAsia="宋体"/>
                <w:sz w:val="16"/>
              </w:rPr>
              <w:t>布病患者个案调查率、跟踪随访率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78E2A">
            <w:pPr>
              <w:jc w:val="center"/>
            </w:pPr>
            <w:r>
              <w:rPr>
                <w:rFonts w:ascii="宋体" w:hAnsi="宋体" w:eastAsia="宋体"/>
                <w:sz w:val="16"/>
              </w:rPr>
              <w:t>&gt;=85%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447BF">
            <w:pPr>
              <w:jc w:val="center"/>
            </w:pPr>
            <w:r>
              <w:rPr>
                <w:rFonts w:ascii="宋体" w:hAnsi="宋体" w:eastAsia="宋体"/>
                <w:sz w:val="16"/>
              </w:rPr>
              <w:t>吉木萨尔县疾病预防中心2023年工作总结及2024年工作计划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3F9B6">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5A5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C4911">
            <w:pPr>
              <w:jc w:val="center"/>
            </w:pPr>
            <w:r>
              <w:rPr>
                <w:rFonts w:ascii="宋体" w:hAnsi="宋体" w:eastAsia="宋体"/>
                <w:sz w:val="16"/>
              </w:rPr>
              <w:t>18</w:t>
            </w:r>
          </w:p>
        </w:tc>
      </w:tr>
      <w:tr w14:paraId="247B70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09A94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BD36E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C8CF3">
            <w:pPr>
              <w:jc w:val="center"/>
            </w:pPr>
            <w:r>
              <w:rPr>
                <w:rFonts w:ascii="宋体" w:hAnsi="宋体" w:eastAsia="宋体"/>
                <w:sz w:val="16"/>
              </w:rPr>
              <w:t>各类传染病宣传次数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8B002">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EE612">
            <w:pPr>
              <w:jc w:val="center"/>
            </w:pPr>
            <w:r>
              <w:rPr>
                <w:rFonts w:ascii="宋体" w:hAnsi="宋体" w:eastAsia="宋体"/>
                <w:sz w:val="16"/>
              </w:rPr>
              <w:t>吉木萨尔县疾病预防中心2023年工作总结及2024年工作计划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99F9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EB631">
            <w:pPr>
              <w:jc w:val="center"/>
            </w:pPr>
            <w:r>
              <w:rPr>
                <w:rFonts w:ascii="宋体" w:hAnsi="宋体" w:eastAsia="宋体"/>
                <w:sz w:val="16"/>
              </w:rPr>
              <w:t>=38次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86EC0">
            <w:pPr>
              <w:jc w:val="center"/>
            </w:pPr>
            <w:r>
              <w:rPr>
                <w:rFonts w:ascii="宋体" w:hAnsi="宋体" w:eastAsia="宋体"/>
                <w:sz w:val="16"/>
              </w:rPr>
              <w:t>8</w:t>
            </w:r>
          </w:p>
        </w:tc>
      </w:tr>
    </w:tbl>
    <w:p w14:paraId="18EBE1E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3200463E">
        <w:tblPrEx>
          <w:tblCellMar>
            <w:top w:w="0" w:type="dxa"/>
            <w:left w:w="108" w:type="dxa"/>
            <w:bottom w:w="0" w:type="dxa"/>
            <w:right w:w="108" w:type="dxa"/>
          </w:tblCellMar>
        </w:tblPrEx>
        <w:tc>
          <w:tcPr>
            <w:tcW w:w="8848" w:type="dxa"/>
            <w:gridSpan w:val="14"/>
            <w:vAlign w:val="center"/>
          </w:tcPr>
          <w:p w14:paraId="4D27C0C0">
            <w:pPr>
              <w:jc w:val="center"/>
            </w:pPr>
            <w:r>
              <w:rPr>
                <w:rFonts w:ascii="宋体" w:hAnsi="宋体" w:eastAsia="宋体"/>
                <w:sz w:val="24"/>
              </w:rPr>
              <w:t>项目支出绩效自评表</w:t>
            </w:r>
          </w:p>
        </w:tc>
      </w:tr>
      <w:tr w14:paraId="7CD27E5A">
        <w:tblPrEx>
          <w:tblCellMar>
            <w:top w:w="0" w:type="dxa"/>
            <w:left w:w="108" w:type="dxa"/>
            <w:bottom w:w="0" w:type="dxa"/>
            <w:right w:w="108" w:type="dxa"/>
          </w:tblCellMar>
        </w:tblPrEx>
        <w:tc>
          <w:tcPr>
            <w:tcW w:w="8848" w:type="dxa"/>
            <w:gridSpan w:val="14"/>
            <w:vAlign w:val="center"/>
          </w:tcPr>
          <w:p w14:paraId="5E90773E">
            <w:pPr>
              <w:jc w:val="center"/>
            </w:pPr>
            <w:r>
              <w:rPr>
                <w:rFonts w:ascii="宋体" w:hAnsi="宋体" w:eastAsia="宋体"/>
                <w:sz w:val="24"/>
              </w:rPr>
              <w:t>(2024年度)</w:t>
            </w:r>
          </w:p>
        </w:tc>
      </w:tr>
      <w:tr w14:paraId="3D587A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A79F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3EE658">
            <w:pPr>
              <w:jc w:val="center"/>
            </w:pPr>
            <w:r>
              <w:rPr>
                <w:rFonts w:ascii="宋体" w:hAnsi="宋体" w:eastAsia="宋体"/>
                <w:sz w:val="16"/>
              </w:rPr>
              <w:t>(卫生监督所）国家随机监督抽查项目</w:t>
            </w:r>
          </w:p>
        </w:tc>
      </w:tr>
      <w:tr w14:paraId="15681B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184B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1250D1">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E20D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486ECF">
            <w:pPr>
              <w:jc w:val="center"/>
            </w:pPr>
            <w:r>
              <w:rPr>
                <w:rFonts w:ascii="宋体" w:hAnsi="宋体" w:eastAsia="宋体"/>
                <w:sz w:val="16"/>
              </w:rPr>
              <w:t>吉木萨尔县疾病预防控制中心</w:t>
            </w:r>
          </w:p>
        </w:tc>
      </w:tr>
      <w:tr w14:paraId="5DEA12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F921D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AD00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F153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2C2B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7528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3763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CF60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0F9B9">
            <w:pPr>
              <w:jc w:val="center"/>
            </w:pPr>
            <w:r>
              <w:rPr>
                <w:rFonts w:ascii="宋体" w:hAnsi="宋体" w:eastAsia="宋体"/>
                <w:sz w:val="16"/>
              </w:rPr>
              <w:t>得分</w:t>
            </w:r>
          </w:p>
        </w:tc>
      </w:tr>
      <w:tr w14:paraId="41958C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8C8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FF8A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EB2D4">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B78B8">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EBB39">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892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4243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D90F0">
            <w:pPr>
              <w:jc w:val="center"/>
            </w:pPr>
            <w:r>
              <w:rPr>
                <w:rFonts w:ascii="宋体" w:hAnsi="宋体" w:eastAsia="宋体"/>
                <w:sz w:val="16"/>
              </w:rPr>
              <w:t>10.00</w:t>
            </w:r>
          </w:p>
        </w:tc>
      </w:tr>
      <w:tr w14:paraId="593825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334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72F7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86DAF">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CDA58">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607DD">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E0A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6BE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27C5A">
            <w:pPr>
              <w:jc w:val="center"/>
            </w:pPr>
            <w:r>
              <w:rPr>
                <w:rFonts w:ascii="宋体" w:hAnsi="宋体" w:eastAsia="宋体"/>
                <w:sz w:val="16"/>
              </w:rPr>
              <w:t>—</w:t>
            </w:r>
          </w:p>
        </w:tc>
      </w:tr>
      <w:tr w14:paraId="6078BD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ACF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A150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228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8E7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103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76E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574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40878">
            <w:pPr>
              <w:jc w:val="center"/>
            </w:pPr>
            <w:r>
              <w:rPr>
                <w:rFonts w:ascii="宋体" w:hAnsi="宋体" w:eastAsia="宋体"/>
                <w:sz w:val="16"/>
              </w:rPr>
              <w:t>—</w:t>
            </w:r>
          </w:p>
        </w:tc>
      </w:tr>
      <w:tr w14:paraId="075390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DD1A6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C5B28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380C4F">
            <w:pPr>
              <w:jc w:val="center"/>
            </w:pPr>
            <w:r>
              <w:rPr>
                <w:rFonts w:ascii="宋体" w:hAnsi="宋体" w:eastAsia="宋体"/>
                <w:sz w:val="16"/>
              </w:rPr>
              <w:t>实际完成情况</w:t>
            </w:r>
          </w:p>
        </w:tc>
      </w:tr>
      <w:tr w14:paraId="063644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9F1F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AFB993">
            <w:pPr>
              <w:jc w:val="both"/>
            </w:pPr>
            <w:r>
              <w:rPr>
                <w:rFonts w:ascii="宋体" w:hAnsi="宋体" w:eastAsia="宋体"/>
                <w:sz w:val="16"/>
              </w:rPr>
              <w:t>依据《2024年度部门联合双随机抽查计划》，结合日常监督和专项整治等工作，实现部门内部针对相同检查对象的不同检查事项的内部联合抽查事项全覆盖。抽检单位数量31家，抽检项目7项，共计项目经费1万元。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3629F0">
            <w:pPr>
              <w:jc w:val="both"/>
            </w:pPr>
            <w:r>
              <w:rPr>
                <w:rFonts w:hint="eastAsia" w:ascii="宋体" w:hAnsi="宋体"/>
                <w:sz w:val="16"/>
                <w:lang w:eastAsia="zh-CN"/>
              </w:rPr>
              <w:t>截至2024</w:t>
            </w:r>
            <w:r>
              <w:rPr>
                <w:rFonts w:ascii="宋体" w:hAnsi="宋体" w:eastAsia="宋体"/>
                <w:sz w:val="16"/>
              </w:rPr>
              <w:t>年12月31日，本项目实际支出资金1万元，预算执行率100%，实际已完成抽检单位数量31家，抽检项目7项，通过实施本项目，结合日常监督和专项整治等工作，实现部门内部针对相同检查对象的不同检查事项的内部联合抽查事项全覆盖。</w:t>
            </w:r>
          </w:p>
        </w:tc>
      </w:tr>
      <w:tr w14:paraId="7EBA54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AC5E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4A0F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D329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53F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28FC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20BE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BEDE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541D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B2E1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393A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5BE5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8DC3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725C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2A69E">
            <w:pPr>
              <w:jc w:val="center"/>
            </w:pPr>
            <w:r>
              <w:rPr>
                <w:rFonts w:ascii="宋体" w:hAnsi="宋体" w:eastAsia="宋体"/>
                <w:sz w:val="16"/>
              </w:rPr>
              <w:t>偏差原因分析及改进措施</w:t>
            </w:r>
          </w:p>
        </w:tc>
      </w:tr>
      <w:tr w14:paraId="2EAA88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287D1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D60BD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688F0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32912">
            <w:pPr>
              <w:jc w:val="center"/>
            </w:pPr>
            <w:r>
              <w:rPr>
                <w:rFonts w:ascii="宋体" w:hAnsi="宋体" w:eastAsia="宋体"/>
                <w:sz w:val="16"/>
              </w:rPr>
              <w:t>抽检单位数量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46A16">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5B9F1">
            <w:pPr>
              <w:jc w:val="center"/>
            </w:pPr>
            <w:r>
              <w:rPr>
                <w:rFonts w:ascii="宋体" w:hAnsi="宋体" w:eastAsia="宋体"/>
                <w:sz w:val="16"/>
              </w:rPr>
              <w:t>=31家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A0C9C">
            <w:pPr>
              <w:jc w:val="center"/>
            </w:pPr>
            <w:r>
              <w:rPr>
                <w:rFonts w:ascii="宋体" w:hAnsi="宋体" w:eastAsia="宋体"/>
                <w:sz w:val="16"/>
              </w:rPr>
              <w:t>=31家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763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E34B5">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C20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4C8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F8B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ABB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604B8">
            <w:pPr>
              <w:jc w:val="center"/>
            </w:pPr>
          </w:p>
        </w:tc>
      </w:tr>
      <w:tr w14:paraId="41B82C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652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CEC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22E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E7DC0">
            <w:pPr>
              <w:jc w:val="center"/>
            </w:pPr>
            <w:r>
              <w:rPr>
                <w:rFonts w:ascii="宋体" w:hAnsi="宋体" w:eastAsia="宋体"/>
                <w:sz w:val="16"/>
              </w:rPr>
              <w:t>抽检项目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FA6E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894DE">
            <w:pPr>
              <w:jc w:val="center"/>
            </w:pPr>
            <w:r>
              <w:rPr>
                <w:rFonts w:ascii="宋体" w:hAnsi="宋体" w:eastAsia="宋体"/>
                <w:sz w:val="16"/>
              </w:rPr>
              <w:t>&gt;=7项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9C51B">
            <w:pPr>
              <w:jc w:val="center"/>
            </w:pPr>
            <w:r>
              <w:rPr>
                <w:rFonts w:ascii="宋体" w:hAnsi="宋体" w:eastAsia="宋体"/>
                <w:sz w:val="16"/>
              </w:rPr>
              <w:t>=7项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040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96BB1">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5AF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D1F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2C4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3D4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60DC1">
            <w:pPr>
              <w:jc w:val="center"/>
            </w:pPr>
          </w:p>
        </w:tc>
      </w:tr>
      <w:tr w14:paraId="22300B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0AA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029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3980B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C3254">
            <w:pPr>
              <w:jc w:val="center"/>
            </w:pPr>
            <w:r>
              <w:rPr>
                <w:rFonts w:ascii="宋体" w:hAnsi="宋体" w:eastAsia="宋体"/>
                <w:sz w:val="16"/>
              </w:rPr>
              <w:t>公共场所抽检率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0B24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ACC89">
            <w:pPr>
              <w:jc w:val="center"/>
            </w:pPr>
            <w:r>
              <w:rPr>
                <w:rFonts w:ascii="宋体" w:hAnsi="宋体" w:eastAsia="宋体"/>
                <w:sz w:val="16"/>
              </w:rPr>
              <w:t>&gt;=20%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BF8F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0D1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0BA6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CDC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B0C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1C1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04F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EB50D">
            <w:pPr>
              <w:jc w:val="center"/>
            </w:pPr>
          </w:p>
        </w:tc>
      </w:tr>
      <w:tr w14:paraId="2C4E87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3FF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42E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A92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E913D">
            <w:pPr>
              <w:jc w:val="center"/>
            </w:pPr>
            <w:r>
              <w:rPr>
                <w:rFonts w:ascii="宋体" w:hAnsi="宋体" w:eastAsia="宋体"/>
                <w:sz w:val="16"/>
              </w:rPr>
              <w:t>抽检合格率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D4F6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EA2F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576F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744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AA39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B7A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0C1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AF3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AF6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EF103">
            <w:pPr>
              <w:jc w:val="center"/>
            </w:pPr>
          </w:p>
        </w:tc>
      </w:tr>
      <w:tr w14:paraId="26D679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706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416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EF9F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A2707">
            <w:pPr>
              <w:jc w:val="center"/>
            </w:pPr>
            <w:r>
              <w:rPr>
                <w:rFonts w:ascii="宋体" w:hAnsi="宋体" w:eastAsia="宋体"/>
                <w:sz w:val="16"/>
              </w:rPr>
              <w:t>抽查项目按时完成率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E36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BE6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0D9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1F1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A17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1DA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4E1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1CC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FEF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C053F">
            <w:pPr>
              <w:jc w:val="center"/>
            </w:pPr>
          </w:p>
        </w:tc>
      </w:tr>
      <w:tr w14:paraId="2F0E5D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B2D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F69B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2849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4FA98">
            <w:pPr>
              <w:jc w:val="center"/>
            </w:pPr>
            <w:r>
              <w:rPr>
                <w:rFonts w:ascii="宋体" w:hAnsi="宋体" w:eastAsia="宋体"/>
                <w:sz w:val="16"/>
              </w:rPr>
              <w:t>项目经费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C846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83D37">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C44DF">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647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8AA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FE1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318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4F4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B2232">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A251E">
            <w:pPr>
              <w:jc w:val="center"/>
            </w:pPr>
          </w:p>
        </w:tc>
      </w:tr>
      <w:tr w14:paraId="30005D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B1A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53AF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87AC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17D1B">
            <w:pPr>
              <w:jc w:val="center"/>
            </w:pPr>
            <w:r>
              <w:rPr>
                <w:rFonts w:ascii="宋体" w:hAnsi="宋体" w:eastAsia="宋体"/>
                <w:sz w:val="16"/>
              </w:rPr>
              <w:t>提升联合双随机抽查工作效率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D480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E326D">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958C6">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697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1033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519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E3D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33B5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59A8C">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64EF9">
            <w:pPr>
              <w:jc w:val="center"/>
            </w:pPr>
          </w:p>
        </w:tc>
      </w:tr>
      <w:tr w14:paraId="3143A5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4B1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D7F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5C7F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30F0F">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CC3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C36F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0B4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02F6B">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0BC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ABF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558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25FD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9A3B3">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2D2EF">
            <w:pPr>
              <w:jc w:val="center"/>
            </w:pPr>
            <w:r>
              <w:rPr>
                <w:rFonts w:ascii="宋体" w:hAnsi="宋体" w:eastAsia="宋体"/>
                <w:sz w:val="16"/>
              </w:rPr>
              <w:t>通过调研问卷，受益群众满意度达到100%。</w:t>
            </w:r>
          </w:p>
        </w:tc>
      </w:tr>
      <w:tr w14:paraId="2A3A4D2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E1059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A70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C09C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3F93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C1FE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872B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A515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761A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897F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7CC6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E4F7D0"/>
        </w:tc>
      </w:tr>
    </w:tbl>
    <w:p w14:paraId="3E480707">
      <w:r>
        <w:br w:type="page"/>
      </w:r>
    </w:p>
    <w:tbl>
      <w:tblPr>
        <w:tblStyle w:val="9"/>
        <w:tblW w:w="0" w:type="auto"/>
        <w:tblInd w:w="0" w:type="dxa"/>
        <w:tblLayout w:type="autofit"/>
        <w:tblCellMar>
          <w:top w:w="0" w:type="dxa"/>
          <w:left w:w="108" w:type="dxa"/>
          <w:bottom w:w="0" w:type="dxa"/>
          <w:right w:w="108" w:type="dxa"/>
        </w:tblCellMar>
      </w:tblPr>
      <w:tblGrid>
        <w:gridCol w:w="621"/>
        <w:gridCol w:w="602"/>
        <w:gridCol w:w="602"/>
        <w:gridCol w:w="630"/>
        <w:gridCol w:w="612"/>
        <w:gridCol w:w="776"/>
        <w:gridCol w:w="776"/>
        <w:gridCol w:w="696"/>
        <w:gridCol w:w="630"/>
        <w:gridCol w:w="602"/>
        <w:gridCol w:w="602"/>
        <w:gridCol w:w="602"/>
        <w:gridCol w:w="612"/>
        <w:gridCol w:w="697"/>
      </w:tblGrid>
      <w:tr w14:paraId="67F3C941">
        <w:tc>
          <w:tcPr>
            <w:tcW w:w="8848" w:type="dxa"/>
            <w:gridSpan w:val="14"/>
            <w:vAlign w:val="center"/>
          </w:tcPr>
          <w:p w14:paraId="7DC3D17F">
            <w:pPr>
              <w:jc w:val="center"/>
            </w:pPr>
            <w:r>
              <w:rPr>
                <w:rFonts w:ascii="宋体" w:hAnsi="宋体" w:eastAsia="宋体"/>
                <w:sz w:val="24"/>
              </w:rPr>
              <w:t>项目支出绩效自评表</w:t>
            </w:r>
          </w:p>
        </w:tc>
      </w:tr>
      <w:tr w14:paraId="68EBD785">
        <w:tblPrEx>
          <w:tblCellMar>
            <w:top w:w="0" w:type="dxa"/>
            <w:left w:w="108" w:type="dxa"/>
            <w:bottom w:w="0" w:type="dxa"/>
            <w:right w:w="108" w:type="dxa"/>
          </w:tblCellMar>
        </w:tblPrEx>
        <w:tc>
          <w:tcPr>
            <w:tcW w:w="8848" w:type="dxa"/>
            <w:gridSpan w:val="14"/>
            <w:vAlign w:val="center"/>
          </w:tcPr>
          <w:p w14:paraId="2885A63C">
            <w:pPr>
              <w:jc w:val="center"/>
            </w:pPr>
            <w:r>
              <w:rPr>
                <w:rFonts w:ascii="宋体" w:hAnsi="宋体" w:eastAsia="宋体"/>
                <w:sz w:val="24"/>
              </w:rPr>
              <w:t>(2024年度)</w:t>
            </w:r>
          </w:p>
        </w:tc>
      </w:tr>
      <w:tr w14:paraId="225BB0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AA13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BCCE79">
            <w:pPr>
              <w:jc w:val="center"/>
            </w:pPr>
            <w:r>
              <w:rPr>
                <w:rFonts w:ascii="宋体" w:hAnsi="宋体" w:eastAsia="宋体"/>
                <w:sz w:val="16"/>
              </w:rPr>
              <w:t>2024年全民健康体检项目</w:t>
            </w:r>
          </w:p>
        </w:tc>
      </w:tr>
      <w:tr w14:paraId="06463A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1507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7F0CB5">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7217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114648">
            <w:pPr>
              <w:jc w:val="center"/>
            </w:pPr>
            <w:r>
              <w:rPr>
                <w:rFonts w:ascii="宋体" w:hAnsi="宋体" w:eastAsia="宋体"/>
                <w:sz w:val="16"/>
              </w:rPr>
              <w:t>吉木萨尔县疾病预防控制中心</w:t>
            </w:r>
          </w:p>
        </w:tc>
      </w:tr>
      <w:tr w14:paraId="78ED9E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1B915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4911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FBA1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C5FC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F2CC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F7E3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182E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BC6B5">
            <w:pPr>
              <w:jc w:val="center"/>
            </w:pPr>
            <w:r>
              <w:rPr>
                <w:rFonts w:ascii="宋体" w:hAnsi="宋体" w:eastAsia="宋体"/>
                <w:sz w:val="16"/>
              </w:rPr>
              <w:t>得分</w:t>
            </w:r>
          </w:p>
        </w:tc>
      </w:tr>
      <w:tr w14:paraId="0C51D0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19A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AC5C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455C4">
            <w:pPr>
              <w:jc w:val="center"/>
            </w:pPr>
            <w:r>
              <w:rPr>
                <w:rFonts w:ascii="宋体" w:hAnsi="宋体" w:eastAsia="宋体"/>
                <w:sz w:val="16"/>
              </w:rPr>
              <w:t>40.21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EDF08">
            <w:pPr>
              <w:jc w:val="center"/>
            </w:pPr>
            <w:r>
              <w:rPr>
                <w:rFonts w:ascii="宋体" w:hAnsi="宋体" w:eastAsia="宋体"/>
                <w:sz w:val="16"/>
              </w:rPr>
              <w:t>40.21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420BD">
            <w:pPr>
              <w:jc w:val="center"/>
            </w:pPr>
            <w:r>
              <w:rPr>
                <w:rFonts w:ascii="宋体" w:hAnsi="宋体" w:eastAsia="宋体"/>
                <w:sz w:val="16"/>
              </w:rPr>
              <w:t>40.21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874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3268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BFA3C">
            <w:pPr>
              <w:jc w:val="center"/>
            </w:pPr>
            <w:r>
              <w:rPr>
                <w:rFonts w:ascii="宋体" w:hAnsi="宋体" w:eastAsia="宋体"/>
                <w:sz w:val="16"/>
              </w:rPr>
              <w:t>10.00</w:t>
            </w:r>
          </w:p>
        </w:tc>
      </w:tr>
      <w:tr w14:paraId="36FE6C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587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0304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EE5CE">
            <w:pPr>
              <w:jc w:val="center"/>
            </w:pPr>
            <w:r>
              <w:rPr>
                <w:rFonts w:ascii="宋体" w:hAnsi="宋体" w:eastAsia="宋体"/>
                <w:sz w:val="16"/>
              </w:rPr>
              <w:t>40.21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4A877">
            <w:pPr>
              <w:jc w:val="center"/>
            </w:pPr>
            <w:r>
              <w:rPr>
                <w:rFonts w:ascii="宋体" w:hAnsi="宋体" w:eastAsia="宋体"/>
                <w:sz w:val="16"/>
              </w:rPr>
              <w:t>40.21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49F7A">
            <w:pPr>
              <w:jc w:val="center"/>
            </w:pPr>
            <w:r>
              <w:rPr>
                <w:rFonts w:ascii="宋体" w:hAnsi="宋体" w:eastAsia="宋体"/>
                <w:sz w:val="16"/>
              </w:rPr>
              <w:t>40.21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1EE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E1C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3CAFA">
            <w:pPr>
              <w:jc w:val="center"/>
            </w:pPr>
            <w:r>
              <w:rPr>
                <w:rFonts w:ascii="宋体" w:hAnsi="宋体" w:eastAsia="宋体"/>
                <w:sz w:val="16"/>
              </w:rPr>
              <w:t>—</w:t>
            </w:r>
          </w:p>
        </w:tc>
      </w:tr>
      <w:tr w14:paraId="7DD407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D0B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B731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716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BFF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426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059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57B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0449F">
            <w:pPr>
              <w:jc w:val="center"/>
            </w:pPr>
            <w:r>
              <w:rPr>
                <w:rFonts w:ascii="宋体" w:hAnsi="宋体" w:eastAsia="宋体"/>
                <w:sz w:val="16"/>
              </w:rPr>
              <w:t>—</w:t>
            </w:r>
          </w:p>
        </w:tc>
      </w:tr>
      <w:tr w14:paraId="0340EF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03442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DD68C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2E9483">
            <w:pPr>
              <w:jc w:val="center"/>
            </w:pPr>
            <w:r>
              <w:rPr>
                <w:rFonts w:ascii="宋体" w:hAnsi="宋体" w:eastAsia="宋体"/>
                <w:sz w:val="16"/>
              </w:rPr>
              <w:t>实际完成情况</w:t>
            </w:r>
          </w:p>
        </w:tc>
      </w:tr>
      <w:tr w14:paraId="0C00AB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1F8A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501FAA">
            <w:pPr>
              <w:jc w:val="both"/>
            </w:pPr>
            <w:r>
              <w:rPr>
                <w:rFonts w:ascii="宋体" w:hAnsi="宋体" w:eastAsia="宋体"/>
                <w:sz w:val="16"/>
              </w:rPr>
              <w:t>2024年疾控中心对中小学生进行健康体检，学生体检人数13800人，体检人员录入次数13800人，人均体检标准为33元/生，通过身高、视力、心肺复苏等多项检查内容，全面覆盖，精准检测，及时发现健康问题，为学生健康保驾护航。争取使受益学生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2490E9">
            <w:pPr>
              <w:jc w:val="both"/>
            </w:pPr>
            <w:r>
              <w:rPr>
                <w:rFonts w:hint="eastAsia" w:ascii="宋体" w:hAnsi="宋体"/>
                <w:sz w:val="16"/>
                <w:lang w:eastAsia="zh-CN"/>
              </w:rPr>
              <w:t>截至</w:t>
            </w:r>
            <w:r>
              <w:rPr>
                <w:rFonts w:ascii="宋体" w:hAnsi="宋体" w:eastAsia="宋体"/>
                <w:sz w:val="16"/>
              </w:rPr>
              <w:t>2024年12月31日，本项目实际支出资金40.21万元，预算执行率100%,实际已完成100%，通过实施本项目检查学生身高、视力、心肺复苏等多项检查内容，全面覆盖，精准检测，及时发现健康问题，为学生健康保驾护航。</w:t>
            </w:r>
          </w:p>
        </w:tc>
      </w:tr>
      <w:tr w14:paraId="70F1E3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1982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1C8F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B9FC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2869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4178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9CDE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FDB9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A497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5414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089C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8635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EE95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DDB8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352EE">
            <w:pPr>
              <w:jc w:val="center"/>
            </w:pPr>
            <w:r>
              <w:rPr>
                <w:rFonts w:ascii="宋体" w:hAnsi="宋体" w:eastAsia="宋体"/>
                <w:sz w:val="16"/>
              </w:rPr>
              <w:t>偏差原因分析及改进措施</w:t>
            </w:r>
          </w:p>
        </w:tc>
      </w:tr>
      <w:tr w14:paraId="261888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8ECEF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887A3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C00DA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A4ACC">
            <w:pPr>
              <w:jc w:val="center"/>
            </w:pPr>
            <w:r>
              <w:rPr>
                <w:rFonts w:ascii="宋体" w:hAnsi="宋体" w:eastAsia="宋体"/>
                <w:sz w:val="16"/>
              </w:rPr>
              <w:t>学生体检人数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B11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764A7">
            <w:pPr>
              <w:jc w:val="center"/>
            </w:pPr>
            <w:r>
              <w:rPr>
                <w:rFonts w:ascii="宋体" w:hAnsi="宋体" w:eastAsia="宋体"/>
                <w:sz w:val="16"/>
              </w:rPr>
              <w:t>&gt;=13800人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3D960">
            <w:pPr>
              <w:jc w:val="center"/>
            </w:pPr>
            <w:r>
              <w:rPr>
                <w:rFonts w:ascii="宋体" w:hAnsi="宋体" w:eastAsia="宋体"/>
                <w:sz w:val="16"/>
              </w:rPr>
              <w:t>=14114人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BBCAD">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C265C">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9CC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6F7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1F7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EA3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70EFC">
            <w:pPr>
              <w:jc w:val="center"/>
            </w:pPr>
            <w:r>
              <w:rPr>
                <w:rFonts w:ascii="宋体" w:hAnsi="宋体" w:eastAsia="宋体"/>
                <w:sz w:val="16"/>
              </w:rPr>
              <w:t>按照要求超额</w:t>
            </w:r>
            <w:r>
              <w:rPr>
                <w:rFonts w:hint="eastAsia" w:ascii="宋体" w:hAnsi="宋体"/>
                <w:sz w:val="16"/>
                <w:lang w:eastAsia="zh-CN"/>
              </w:rPr>
              <w:t>完成</w:t>
            </w:r>
            <w:r>
              <w:rPr>
                <w:rFonts w:ascii="宋体" w:hAnsi="宋体" w:eastAsia="宋体"/>
                <w:sz w:val="16"/>
              </w:rPr>
              <w:t>任务。</w:t>
            </w:r>
          </w:p>
        </w:tc>
      </w:tr>
      <w:tr w14:paraId="33436F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B83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947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EA2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362B8">
            <w:pPr>
              <w:jc w:val="center"/>
            </w:pPr>
            <w:r>
              <w:rPr>
                <w:rFonts w:ascii="宋体" w:hAnsi="宋体" w:eastAsia="宋体"/>
                <w:sz w:val="16"/>
              </w:rPr>
              <w:t>体检人员录入次数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9B9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1F4C6">
            <w:pPr>
              <w:jc w:val="center"/>
            </w:pPr>
            <w:r>
              <w:rPr>
                <w:rFonts w:ascii="宋体" w:hAnsi="宋体" w:eastAsia="宋体"/>
                <w:sz w:val="16"/>
              </w:rPr>
              <w:t>&gt;=13800人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00CFE">
            <w:pPr>
              <w:jc w:val="center"/>
            </w:pPr>
            <w:r>
              <w:rPr>
                <w:rFonts w:ascii="宋体" w:hAnsi="宋体" w:eastAsia="宋体"/>
                <w:sz w:val="16"/>
              </w:rPr>
              <w:t>=14114人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26E7D">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DADBF">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595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F3C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2EE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CF5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82444">
            <w:pPr>
              <w:jc w:val="center"/>
            </w:pPr>
            <w:r>
              <w:rPr>
                <w:rFonts w:ascii="宋体" w:hAnsi="宋体" w:eastAsia="宋体"/>
                <w:sz w:val="16"/>
              </w:rPr>
              <w:t>按照要求超额</w:t>
            </w:r>
            <w:r>
              <w:rPr>
                <w:rFonts w:hint="eastAsia" w:ascii="宋体" w:hAnsi="宋体"/>
                <w:sz w:val="16"/>
                <w:lang w:eastAsia="zh-CN"/>
              </w:rPr>
              <w:t>完成</w:t>
            </w:r>
            <w:r>
              <w:rPr>
                <w:rFonts w:ascii="宋体" w:hAnsi="宋体" w:eastAsia="宋体"/>
                <w:sz w:val="16"/>
              </w:rPr>
              <w:t>任务。</w:t>
            </w:r>
          </w:p>
        </w:tc>
      </w:tr>
      <w:tr w14:paraId="0B4719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D5D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9A0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676B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44EF0">
            <w:pPr>
              <w:jc w:val="center"/>
            </w:pPr>
            <w:r>
              <w:rPr>
                <w:rFonts w:ascii="宋体" w:hAnsi="宋体" w:eastAsia="宋体"/>
                <w:sz w:val="16"/>
              </w:rPr>
              <w:t>学生体检覆盖率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144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DD4E5">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F49B">
            <w:pPr>
              <w:jc w:val="center"/>
            </w:pPr>
            <w:r>
              <w:rPr>
                <w:rFonts w:ascii="宋体" w:hAnsi="宋体" w:eastAsia="宋体"/>
                <w:sz w:val="16"/>
              </w:rPr>
              <w:t>=97.84%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A5276">
            <w:pPr>
              <w:jc w:val="center"/>
            </w:pPr>
            <w:r>
              <w:rPr>
                <w:rFonts w:ascii="宋体" w:hAnsi="宋体" w:eastAsia="宋体"/>
                <w:sz w:val="16"/>
              </w:rPr>
              <w:t>99.84%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9648F">
            <w:pPr>
              <w:jc w:val="center"/>
            </w:pPr>
            <w:r>
              <w:rPr>
                <w:rFonts w:ascii="宋体" w:hAnsi="宋体" w:eastAsia="宋体"/>
                <w:sz w:val="16"/>
              </w:rPr>
              <w:t>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E39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63A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391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163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F696E">
            <w:pPr>
              <w:jc w:val="center"/>
            </w:pPr>
            <w:r>
              <w:rPr>
                <w:rFonts w:ascii="宋体" w:hAnsi="宋体" w:eastAsia="宋体"/>
                <w:sz w:val="16"/>
              </w:rPr>
              <w:t>存在学生转学等情况未及时将数据删除。</w:t>
            </w:r>
          </w:p>
        </w:tc>
      </w:tr>
      <w:tr w14:paraId="075E53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8CB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3A5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A86B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7DD5E">
            <w:pPr>
              <w:jc w:val="center"/>
            </w:pPr>
            <w:r>
              <w:rPr>
                <w:rFonts w:ascii="宋体" w:hAnsi="宋体" w:eastAsia="宋体"/>
                <w:sz w:val="16"/>
              </w:rPr>
              <w:t>学生体检任务按时完成率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8BB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D2F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A0A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158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53D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F0D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684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00F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239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AC4F6">
            <w:pPr>
              <w:jc w:val="center"/>
            </w:pPr>
          </w:p>
        </w:tc>
      </w:tr>
      <w:tr w14:paraId="69FFD4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EED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2A62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FCF2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557EC">
            <w:pPr>
              <w:jc w:val="center"/>
            </w:pPr>
            <w:r>
              <w:rPr>
                <w:rFonts w:ascii="宋体" w:hAnsi="宋体" w:eastAsia="宋体"/>
                <w:sz w:val="16"/>
              </w:rPr>
              <w:t>学生体检补贴标准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1E2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EF2D5">
            <w:pPr>
              <w:jc w:val="center"/>
            </w:pPr>
            <w:r>
              <w:rPr>
                <w:rFonts w:ascii="宋体" w:hAnsi="宋体" w:eastAsia="宋体"/>
                <w:sz w:val="16"/>
              </w:rPr>
              <w:t>=33元/生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C0718">
            <w:pPr>
              <w:jc w:val="center"/>
            </w:pPr>
            <w:r>
              <w:rPr>
                <w:rFonts w:ascii="宋体" w:hAnsi="宋体" w:eastAsia="宋体"/>
                <w:sz w:val="16"/>
              </w:rPr>
              <w:t>=33元/生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5F6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EB38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514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9CF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394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0106C">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7EF03">
            <w:pPr>
              <w:jc w:val="center"/>
            </w:pPr>
          </w:p>
        </w:tc>
      </w:tr>
      <w:tr w14:paraId="31DB27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ECC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02E7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A23C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79922">
            <w:pPr>
              <w:jc w:val="center"/>
            </w:pPr>
            <w:r>
              <w:rPr>
                <w:rFonts w:ascii="宋体" w:hAnsi="宋体" w:eastAsia="宋体"/>
                <w:sz w:val="16"/>
              </w:rPr>
              <w:t>保障在校学生身体健康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0017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5BE10">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87CB9">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D76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3DAD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E4D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03A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D7C1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E46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27051">
            <w:pPr>
              <w:jc w:val="center"/>
            </w:pPr>
          </w:p>
        </w:tc>
      </w:tr>
      <w:tr w14:paraId="3CF451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DA2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F8F6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7189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A37C">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042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0258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42A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57B46">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AED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920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70C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0D8F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7A7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2A9CE">
            <w:pPr>
              <w:jc w:val="center"/>
            </w:pPr>
            <w:r>
              <w:rPr>
                <w:rFonts w:ascii="宋体" w:hAnsi="宋体" w:eastAsia="宋体"/>
                <w:sz w:val="16"/>
              </w:rPr>
              <w:t>通过调研问卷，及时开展学生体检任务，使得学生满意度达到100%。</w:t>
            </w:r>
          </w:p>
        </w:tc>
      </w:tr>
      <w:tr w14:paraId="4773F41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E5B2F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9A0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E01B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D81C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2720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63FBB">
            <w:pPr>
              <w:jc w:val="center"/>
            </w:pPr>
            <w:r>
              <w:rPr>
                <w:rFonts w:ascii="宋体" w:hAnsi="宋体" w:eastAsia="宋体"/>
                <w:sz w:val="16"/>
              </w:rPr>
              <w:t>99.56分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B7E2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94C5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4B74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B073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18521B"/>
        </w:tc>
      </w:tr>
    </w:tbl>
    <w:p w14:paraId="3A6F6C82">
      <w:r>
        <w:br w:type="page"/>
      </w:r>
    </w:p>
    <w:tbl>
      <w:tblPr>
        <w:tblStyle w:val="9"/>
        <w:tblW w:w="0" w:type="auto"/>
        <w:tblInd w:w="0" w:type="dxa"/>
        <w:tblLayout w:type="autofit"/>
        <w:tblCellMar>
          <w:top w:w="0" w:type="dxa"/>
          <w:left w:w="108" w:type="dxa"/>
          <w:bottom w:w="0" w:type="dxa"/>
          <w:right w:w="108" w:type="dxa"/>
        </w:tblCellMar>
      </w:tblPr>
      <w:tblGrid>
        <w:gridCol w:w="617"/>
        <w:gridCol w:w="592"/>
        <w:gridCol w:w="592"/>
        <w:gridCol w:w="696"/>
        <w:gridCol w:w="605"/>
        <w:gridCol w:w="776"/>
        <w:gridCol w:w="696"/>
        <w:gridCol w:w="617"/>
        <w:gridCol w:w="630"/>
        <w:gridCol w:w="592"/>
        <w:gridCol w:w="592"/>
        <w:gridCol w:w="592"/>
        <w:gridCol w:w="606"/>
        <w:gridCol w:w="857"/>
      </w:tblGrid>
      <w:tr w14:paraId="1842D429">
        <w:tblPrEx>
          <w:tblCellMar>
            <w:top w:w="0" w:type="dxa"/>
            <w:left w:w="108" w:type="dxa"/>
            <w:bottom w:w="0" w:type="dxa"/>
            <w:right w:w="108" w:type="dxa"/>
          </w:tblCellMar>
        </w:tblPrEx>
        <w:tc>
          <w:tcPr>
            <w:tcW w:w="8848" w:type="dxa"/>
            <w:gridSpan w:val="14"/>
            <w:vAlign w:val="center"/>
          </w:tcPr>
          <w:p w14:paraId="20068509">
            <w:pPr>
              <w:jc w:val="center"/>
            </w:pPr>
            <w:r>
              <w:rPr>
                <w:rFonts w:ascii="宋体" w:hAnsi="宋体" w:eastAsia="宋体"/>
                <w:sz w:val="24"/>
              </w:rPr>
              <w:t>项目支出绩效自评表</w:t>
            </w:r>
          </w:p>
        </w:tc>
      </w:tr>
      <w:tr w14:paraId="224C040B">
        <w:tblPrEx>
          <w:tblCellMar>
            <w:top w:w="0" w:type="dxa"/>
            <w:left w:w="108" w:type="dxa"/>
            <w:bottom w:w="0" w:type="dxa"/>
            <w:right w:w="108" w:type="dxa"/>
          </w:tblCellMar>
        </w:tblPrEx>
        <w:tc>
          <w:tcPr>
            <w:tcW w:w="8848" w:type="dxa"/>
            <w:gridSpan w:val="14"/>
            <w:vAlign w:val="center"/>
          </w:tcPr>
          <w:p w14:paraId="29713829">
            <w:pPr>
              <w:jc w:val="center"/>
            </w:pPr>
            <w:r>
              <w:rPr>
                <w:rFonts w:ascii="宋体" w:hAnsi="宋体" w:eastAsia="宋体"/>
                <w:sz w:val="24"/>
              </w:rPr>
              <w:t>(2024年度)</w:t>
            </w:r>
          </w:p>
        </w:tc>
      </w:tr>
      <w:tr w14:paraId="2B6F3B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689D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7F69D0D">
            <w:pPr>
              <w:jc w:val="center"/>
            </w:pPr>
            <w:r>
              <w:rPr>
                <w:rFonts w:ascii="宋体" w:hAnsi="宋体" w:eastAsia="宋体"/>
                <w:sz w:val="16"/>
              </w:rPr>
              <w:t>2024年提前下达中央基本公共卫生服务补助资金</w:t>
            </w:r>
          </w:p>
        </w:tc>
      </w:tr>
      <w:tr w14:paraId="252099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0964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E10B1B">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F1DF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3C51D0">
            <w:pPr>
              <w:jc w:val="center"/>
            </w:pPr>
            <w:r>
              <w:rPr>
                <w:rFonts w:ascii="宋体" w:hAnsi="宋体" w:eastAsia="宋体"/>
                <w:sz w:val="16"/>
              </w:rPr>
              <w:t>吉木萨尔县疾病预防控制中心</w:t>
            </w:r>
          </w:p>
        </w:tc>
      </w:tr>
      <w:tr w14:paraId="0C3124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576C5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C798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DAB3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42D7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D32F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9A78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D22B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44E82">
            <w:pPr>
              <w:jc w:val="center"/>
            </w:pPr>
            <w:r>
              <w:rPr>
                <w:rFonts w:ascii="宋体" w:hAnsi="宋体" w:eastAsia="宋体"/>
                <w:sz w:val="16"/>
              </w:rPr>
              <w:t>得分</w:t>
            </w:r>
          </w:p>
        </w:tc>
      </w:tr>
      <w:tr w14:paraId="3D156E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23D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A2C1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7D87F">
            <w:pPr>
              <w:jc w:val="center"/>
            </w:pPr>
            <w:r>
              <w:rPr>
                <w:rFonts w:ascii="宋体" w:hAnsi="宋体" w:eastAsia="宋体"/>
                <w:sz w:val="16"/>
              </w:rPr>
              <w:t>64.96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76308">
            <w:pPr>
              <w:jc w:val="center"/>
            </w:pPr>
            <w:r>
              <w:rPr>
                <w:rFonts w:ascii="宋体" w:hAnsi="宋体" w:eastAsia="宋体"/>
                <w:sz w:val="16"/>
              </w:rPr>
              <w:t>64.96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0C5A2">
            <w:pPr>
              <w:jc w:val="center"/>
            </w:pPr>
            <w:r>
              <w:rPr>
                <w:rFonts w:ascii="宋体" w:hAnsi="宋体" w:eastAsia="宋体"/>
                <w:sz w:val="16"/>
              </w:rPr>
              <w:t>64.96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EDB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249E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F84F7">
            <w:pPr>
              <w:jc w:val="center"/>
            </w:pPr>
            <w:r>
              <w:rPr>
                <w:rFonts w:ascii="宋体" w:hAnsi="宋体" w:eastAsia="宋体"/>
                <w:sz w:val="16"/>
              </w:rPr>
              <w:t>10.00</w:t>
            </w:r>
          </w:p>
        </w:tc>
      </w:tr>
      <w:tr w14:paraId="625875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020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32F2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15B90">
            <w:pPr>
              <w:jc w:val="center"/>
            </w:pPr>
            <w:r>
              <w:rPr>
                <w:rFonts w:ascii="宋体" w:hAnsi="宋体" w:eastAsia="宋体"/>
                <w:sz w:val="16"/>
              </w:rPr>
              <w:t>64.96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2831E">
            <w:pPr>
              <w:jc w:val="center"/>
            </w:pPr>
            <w:r>
              <w:rPr>
                <w:rFonts w:ascii="宋体" w:hAnsi="宋体" w:eastAsia="宋体"/>
                <w:sz w:val="16"/>
              </w:rPr>
              <w:t>64.96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839C8">
            <w:pPr>
              <w:jc w:val="center"/>
            </w:pPr>
            <w:r>
              <w:rPr>
                <w:rFonts w:ascii="宋体" w:hAnsi="宋体" w:eastAsia="宋体"/>
                <w:sz w:val="16"/>
              </w:rPr>
              <w:t>64.96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25C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E1C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D4D76">
            <w:pPr>
              <w:jc w:val="center"/>
            </w:pPr>
            <w:r>
              <w:rPr>
                <w:rFonts w:ascii="宋体" w:hAnsi="宋体" w:eastAsia="宋体"/>
                <w:sz w:val="16"/>
              </w:rPr>
              <w:t>—</w:t>
            </w:r>
          </w:p>
        </w:tc>
      </w:tr>
      <w:tr w14:paraId="6AE7D6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A24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465D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FB4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48B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C07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FA6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B22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7DEEE">
            <w:pPr>
              <w:jc w:val="center"/>
            </w:pPr>
            <w:r>
              <w:rPr>
                <w:rFonts w:ascii="宋体" w:hAnsi="宋体" w:eastAsia="宋体"/>
                <w:sz w:val="16"/>
              </w:rPr>
              <w:t>—</w:t>
            </w:r>
          </w:p>
        </w:tc>
      </w:tr>
      <w:tr w14:paraId="5822D1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9E21A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750B0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7BE3B4">
            <w:pPr>
              <w:jc w:val="center"/>
            </w:pPr>
            <w:r>
              <w:rPr>
                <w:rFonts w:ascii="宋体" w:hAnsi="宋体" w:eastAsia="宋体"/>
                <w:sz w:val="16"/>
              </w:rPr>
              <w:t>实际完成情况</w:t>
            </w:r>
          </w:p>
        </w:tc>
      </w:tr>
      <w:tr w14:paraId="0D57C7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951F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8A7D2F">
            <w:pPr>
              <w:jc w:val="both"/>
            </w:pPr>
            <w:r>
              <w:rPr>
                <w:rFonts w:ascii="宋体" w:hAnsi="宋体" w:eastAsia="宋体"/>
                <w:sz w:val="16"/>
              </w:rPr>
              <w:t>根据国家卫生健康委相关工作要求，开展我县职业病防治项目工作，完成卫生监测和放射卫生监测任务，有效落实《地方病防治巩固提升行动方案》，全面开展地方病防治工作，开展季节性鼠疫监测工作；完成春秋两季鼠疫监测；完成丰水期、枯水期水质监测任务；完成44</w:t>
            </w:r>
            <w:r>
              <w:rPr>
                <w:rFonts w:hint="eastAsia" w:ascii="宋体" w:hAnsi="宋体"/>
                <w:sz w:val="16"/>
                <w:lang w:eastAsia="zh-CN"/>
              </w:rPr>
              <w:t>种</w:t>
            </w:r>
            <w:r>
              <w:rPr>
                <w:rFonts w:ascii="宋体" w:hAnsi="宋体" w:eastAsia="宋体"/>
                <w:sz w:val="16"/>
              </w:rPr>
              <w:t>职业病监测，提高人民群众对环境卫生保护意识；按照区、州、县的结核病防治工作要求，认真落实防治措施，肺结核可疑症状者结核病检查率等工作指标。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A3610A">
            <w:pPr>
              <w:jc w:val="both"/>
            </w:pPr>
            <w:r>
              <w:rPr>
                <w:rFonts w:hint="eastAsia" w:ascii="宋体" w:hAnsi="宋体"/>
                <w:sz w:val="16"/>
                <w:lang w:eastAsia="zh-CN"/>
              </w:rPr>
              <w:t>截至</w:t>
            </w:r>
            <w:r>
              <w:rPr>
                <w:rFonts w:ascii="宋体" w:hAnsi="宋体" w:eastAsia="宋体"/>
                <w:sz w:val="16"/>
              </w:rPr>
              <w:t>2024年12月31日。项目实际支出64.96万元，预算执行率为100%。开展我县职业病防治项目工作，完成卫生监测和放射卫生监测任务，有效落实《地方病防治巩固提升行动方案》，全面开展地方病防治工作，开展季节性鼠疫监测工作；完成春秋两季鼠疫监测；完成丰水期、枯水期水质监测任务；完成44</w:t>
            </w:r>
            <w:r>
              <w:rPr>
                <w:rFonts w:hint="eastAsia" w:ascii="宋体" w:hAnsi="宋体"/>
                <w:sz w:val="16"/>
                <w:lang w:eastAsia="zh-CN"/>
              </w:rPr>
              <w:t>种</w:t>
            </w:r>
            <w:r>
              <w:rPr>
                <w:rFonts w:ascii="宋体" w:hAnsi="宋体" w:eastAsia="宋体"/>
                <w:sz w:val="16"/>
              </w:rPr>
              <w:t>职业病监测，提高人民群众对环境卫生保护意识；按照区、州、县的结核病防治工作要求，认真落实防治措施，肺结核可疑症状者结核病检查率等工作指标。</w:t>
            </w:r>
          </w:p>
        </w:tc>
      </w:tr>
      <w:tr w14:paraId="5D5828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9D8B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30D8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60B6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1CCB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DCE7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2918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3CDD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97E4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E260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E1B8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EDAA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8016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11A1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43BC1">
            <w:pPr>
              <w:jc w:val="center"/>
            </w:pPr>
            <w:r>
              <w:rPr>
                <w:rFonts w:ascii="宋体" w:hAnsi="宋体" w:eastAsia="宋体"/>
                <w:sz w:val="16"/>
              </w:rPr>
              <w:t>偏差原因分析及改进措施</w:t>
            </w:r>
          </w:p>
        </w:tc>
      </w:tr>
      <w:tr w14:paraId="1B18AD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A6099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73209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39B0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1B7EF">
            <w:pPr>
              <w:jc w:val="center"/>
            </w:pPr>
            <w:r>
              <w:rPr>
                <w:rFonts w:ascii="宋体" w:hAnsi="宋体" w:eastAsia="宋体"/>
                <w:sz w:val="16"/>
              </w:rPr>
              <w:t>城乡饮用水监测点数量（个）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8D9A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B7CEC">
            <w:pPr>
              <w:jc w:val="center"/>
            </w:pPr>
            <w:r>
              <w:rPr>
                <w:rFonts w:ascii="宋体" w:hAnsi="宋体" w:eastAsia="宋体"/>
                <w:sz w:val="16"/>
              </w:rPr>
              <w:t>&gt;=32个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7EEDF">
            <w:pPr>
              <w:jc w:val="center"/>
            </w:pPr>
            <w:r>
              <w:rPr>
                <w:rFonts w:ascii="宋体" w:hAnsi="宋体" w:eastAsia="宋体"/>
                <w:sz w:val="16"/>
              </w:rPr>
              <w:t>=41个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BA79F">
            <w:pPr>
              <w:jc w:val="center"/>
            </w:pPr>
            <w:r>
              <w:rPr>
                <w:rFonts w:ascii="宋体" w:hAnsi="宋体" w:eastAsia="宋体"/>
                <w:sz w:val="16"/>
              </w:rPr>
              <w:t>128%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2EEFB">
            <w:pPr>
              <w:jc w:val="center"/>
            </w:pPr>
            <w:r>
              <w:rPr>
                <w:rFonts w:ascii="宋体" w:hAnsi="宋体" w:eastAsia="宋体"/>
                <w:sz w:val="16"/>
              </w:rPr>
              <w:t>5.76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94F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E10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650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0A3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83615">
            <w:pPr>
              <w:jc w:val="center"/>
            </w:pPr>
            <w:r>
              <w:rPr>
                <w:rFonts w:ascii="宋体" w:hAnsi="宋体" w:eastAsia="宋体"/>
                <w:sz w:val="16"/>
              </w:rPr>
              <w:t>城乡饮用水卫生监测丰水期城市6个监测点，乡镇35个监测点，共监测水样41份，目前已完成丰水期41份水样采集及检测工作，所有数据已录入，并通过自治区疾控中心审核及提交。</w:t>
            </w:r>
          </w:p>
        </w:tc>
      </w:tr>
      <w:tr w14:paraId="2B7A21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32B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87C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BA8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EAA52">
            <w:pPr>
              <w:jc w:val="center"/>
            </w:pPr>
            <w:r>
              <w:rPr>
                <w:rFonts w:ascii="宋体" w:hAnsi="宋体" w:eastAsia="宋体"/>
                <w:sz w:val="16"/>
              </w:rPr>
              <w:t>捕获大沙鼠数量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A0C7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4FB33">
            <w:pPr>
              <w:jc w:val="center"/>
            </w:pPr>
            <w:r>
              <w:rPr>
                <w:rFonts w:ascii="宋体" w:hAnsi="宋体" w:eastAsia="宋体"/>
                <w:sz w:val="16"/>
              </w:rPr>
              <w:t>&gt;=100只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3E2D1">
            <w:pPr>
              <w:jc w:val="center"/>
            </w:pPr>
            <w:r>
              <w:rPr>
                <w:rFonts w:ascii="宋体" w:hAnsi="宋体" w:eastAsia="宋体"/>
                <w:sz w:val="16"/>
              </w:rPr>
              <w:t>=222只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C4B28">
            <w:pPr>
              <w:jc w:val="center"/>
            </w:pPr>
            <w:r>
              <w:rPr>
                <w:rFonts w:ascii="宋体" w:hAnsi="宋体" w:eastAsia="宋体"/>
                <w:sz w:val="16"/>
              </w:rPr>
              <w:t>222%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109A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F12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378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246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D93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86442">
            <w:pPr>
              <w:jc w:val="center"/>
            </w:pPr>
            <w:r>
              <w:rPr>
                <w:rFonts w:ascii="宋体" w:hAnsi="宋体" w:eastAsia="宋体"/>
                <w:sz w:val="16"/>
              </w:rPr>
              <w:t>项目执行进度与计划不符，实施过程中存在部分环节未能按计划推进，导致出现偏差。</w:t>
            </w:r>
          </w:p>
        </w:tc>
      </w:tr>
      <w:tr w14:paraId="505B8B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A0C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518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434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D8CE5">
            <w:pPr>
              <w:jc w:val="center"/>
            </w:pPr>
            <w:r>
              <w:rPr>
                <w:rFonts w:ascii="宋体" w:hAnsi="宋体" w:eastAsia="宋体"/>
                <w:sz w:val="16"/>
              </w:rPr>
              <w:t>肺结核患者营养早餐使用人数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D638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3E018">
            <w:pPr>
              <w:jc w:val="center"/>
            </w:pPr>
            <w:r>
              <w:rPr>
                <w:rFonts w:ascii="宋体" w:hAnsi="宋体" w:eastAsia="宋体"/>
                <w:sz w:val="16"/>
              </w:rPr>
              <w:t>&gt;=70人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B9A99">
            <w:pPr>
              <w:jc w:val="center"/>
            </w:pPr>
            <w:r>
              <w:rPr>
                <w:rFonts w:ascii="宋体" w:hAnsi="宋体" w:eastAsia="宋体"/>
                <w:sz w:val="16"/>
              </w:rPr>
              <w:t>=58人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69A2B">
            <w:pPr>
              <w:jc w:val="center"/>
            </w:pPr>
            <w:r>
              <w:rPr>
                <w:rFonts w:ascii="宋体" w:hAnsi="宋体" w:eastAsia="宋体"/>
                <w:sz w:val="16"/>
              </w:rPr>
              <w:t>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ED1C9">
            <w:pPr>
              <w:jc w:val="center"/>
            </w:pPr>
            <w:r>
              <w:rPr>
                <w:rFonts w:ascii="宋体" w:hAnsi="宋体" w:eastAsia="宋体"/>
                <w:sz w:val="16"/>
              </w:rPr>
              <w:t>5.17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3AD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84E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D9E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F88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1F3EF">
            <w:pPr>
              <w:jc w:val="center"/>
            </w:pPr>
            <w:r>
              <w:rPr>
                <w:rFonts w:hint="eastAsia" w:ascii="宋体" w:hAnsi="宋体"/>
                <w:sz w:val="16"/>
                <w:lang w:eastAsia="zh-CN"/>
              </w:rPr>
              <w:t>截至</w:t>
            </w:r>
            <w:r>
              <w:rPr>
                <w:rFonts w:ascii="宋体" w:hAnsi="宋体" w:eastAsia="宋体"/>
                <w:sz w:val="16"/>
              </w:rPr>
              <w:t>2024年12月31日，共收治</w:t>
            </w:r>
            <w:r>
              <w:rPr>
                <w:rFonts w:hint="eastAsia" w:ascii="宋体" w:hAnsi="宋体"/>
                <w:sz w:val="16"/>
                <w:lang w:eastAsia="zh-CN"/>
              </w:rPr>
              <w:t>：</w:t>
            </w:r>
            <w:r>
              <w:rPr>
                <w:rFonts w:ascii="宋体" w:hAnsi="宋体" w:eastAsia="宋体"/>
                <w:sz w:val="16"/>
              </w:rPr>
              <w:t>58人（包括转入的2人，杨建军和哈布多拉·黑扎提）。其中病原学阳性有31人，病原学阴性有19人，单纯的结核性胸膜炎3人，肺外结核：5人，肺结核管理率98.59%,成功治疗率90.54%。</w:t>
            </w:r>
          </w:p>
        </w:tc>
      </w:tr>
      <w:tr w14:paraId="7E8A1D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CEE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F23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F55A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E9893">
            <w:pPr>
              <w:jc w:val="center"/>
            </w:pPr>
            <w:r>
              <w:rPr>
                <w:rFonts w:ascii="宋体" w:hAnsi="宋体" w:eastAsia="宋体"/>
                <w:sz w:val="16"/>
              </w:rPr>
              <w:t>肺结核可疑症状者结核病检查率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9C42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D900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8B3C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01E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3290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B15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236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18A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097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EAD94">
            <w:pPr>
              <w:jc w:val="center"/>
            </w:pPr>
          </w:p>
        </w:tc>
      </w:tr>
      <w:tr w14:paraId="02881A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DE5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0D4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65A3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AD323">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8A10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512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0F7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881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9B7C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C61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D95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12F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1EC39">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B8F65">
            <w:pPr>
              <w:jc w:val="center"/>
            </w:pPr>
          </w:p>
        </w:tc>
      </w:tr>
      <w:tr w14:paraId="52AA09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BA2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EB24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3029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1F1AD">
            <w:pPr>
              <w:jc w:val="center"/>
            </w:pPr>
            <w:r>
              <w:rPr>
                <w:rFonts w:ascii="宋体" w:hAnsi="宋体" w:eastAsia="宋体"/>
                <w:sz w:val="16"/>
              </w:rPr>
              <w:t>中央基本公共卫生服务补助资金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F51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AB11E">
            <w:pPr>
              <w:jc w:val="center"/>
            </w:pPr>
            <w:r>
              <w:rPr>
                <w:rFonts w:ascii="宋体" w:hAnsi="宋体" w:eastAsia="宋体"/>
                <w:sz w:val="16"/>
              </w:rPr>
              <w:t>&lt;=64.96万元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19EFE">
            <w:pPr>
              <w:jc w:val="center"/>
            </w:pPr>
            <w:r>
              <w:rPr>
                <w:rFonts w:ascii="宋体" w:hAnsi="宋体" w:eastAsia="宋体"/>
                <w:sz w:val="16"/>
              </w:rPr>
              <w:t>=64.96万元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227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82DE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7E5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16E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95C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EF83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56B15">
            <w:pPr>
              <w:jc w:val="center"/>
            </w:pPr>
          </w:p>
        </w:tc>
      </w:tr>
      <w:tr w14:paraId="3C026F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656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CE97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5F99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F2DF7">
            <w:pPr>
              <w:jc w:val="center"/>
            </w:pPr>
            <w:r>
              <w:rPr>
                <w:rFonts w:ascii="宋体" w:hAnsi="宋体" w:eastAsia="宋体"/>
                <w:sz w:val="16"/>
              </w:rPr>
              <w:t>提升预防和控制主要传染病能力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923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27BF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27BA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E24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21D4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85BA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49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886B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BAF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6672A">
            <w:pPr>
              <w:jc w:val="center"/>
            </w:pPr>
          </w:p>
        </w:tc>
      </w:tr>
      <w:tr w14:paraId="696181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8B6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A34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5EA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7508D">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F11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E5F6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D4E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78671">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89C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7B75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FD8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7937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A31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E2556">
            <w:pPr>
              <w:jc w:val="center"/>
            </w:pPr>
            <w:r>
              <w:rPr>
                <w:rFonts w:ascii="宋体" w:hAnsi="宋体" w:eastAsia="宋体"/>
                <w:sz w:val="16"/>
              </w:rPr>
              <w:t>积极开展基本公共卫生服务项目，使得受益群众满意度达到100%。</w:t>
            </w:r>
          </w:p>
        </w:tc>
      </w:tr>
      <w:tr w14:paraId="4B8A9B5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6B1BB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7BA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7186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2EBA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B6FE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C545C">
            <w:pPr>
              <w:jc w:val="center"/>
            </w:pPr>
            <w:r>
              <w:rPr>
                <w:rFonts w:ascii="宋体" w:hAnsi="宋体" w:eastAsia="宋体"/>
                <w:sz w:val="16"/>
              </w:rPr>
              <w:t>84.93分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E38B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C7F6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AE8C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D9C4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DDBC26"/>
        </w:tc>
      </w:tr>
    </w:tbl>
    <w:p w14:paraId="781AA3EB">
      <w:r>
        <w:br w:type="page"/>
      </w:r>
    </w:p>
    <w:tbl>
      <w:tblPr>
        <w:tblStyle w:val="9"/>
        <w:tblW w:w="0" w:type="auto"/>
        <w:tblInd w:w="0" w:type="dxa"/>
        <w:tblLayout w:type="autofit"/>
        <w:tblCellMar>
          <w:top w:w="0" w:type="dxa"/>
          <w:left w:w="108" w:type="dxa"/>
          <w:bottom w:w="0" w:type="dxa"/>
          <w:right w:w="108" w:type="dxa"/>
        </w:tblCellMar>
      </w:tblPr>
      <w:tblGrid>
        <w:gridCol w:w="620"/>
        <w:gridCol w:w="601"/>
        <w:gridCol w:w="602"/>
        <w:gridCol w:w="630"/>
        <w:gridCol w:w="611"/>
        <w:gridCol w:w="856"/>
        <w:gridCol w:w="776"/>
        <w:gridCol w:w="621"/>
        <w:gridCol w:w="630"/>
        <w:gridCol w:w="602"/>
        <w:gridCol w:w="602"/>
        <w:gridCol w:w="602"/>
        <w:gridCol w:w="611"/>
        <w:gridCol w:w="696"/>
      </w:tblGrid>
      <w:tr w14:paraId="6B39DA08">
        <w:tblPrEx>
          <w:tblCellMar>
            <w:top w:w="0" w:type="dxa"/>
            <w:left w:w="108" w:type="dxa"/>
            <w:bottom w:w="0" w:type="dxa"/>
            <w:right w:w="108" w:type="dxa"/>
          </w:tblCellMar>
        </w:tblPrEx>
        <w:tc>
          <w:tcPr>
            <w:tcW w:w="8848" w:type="dxa"/>
            <w:gridSpan w:val="14"/>
            <w:vAlign w:val="center"/>
          </w:tcPr>
          <w:p w14:paraId="42F5C9B6">
            <w:pPr>
              <w:jc w:val="center"/>
            </w:pPr>
            <w:r>
              <w:rPr>
                <w:rFonts w:ascii="宋体" w:hAnsi="宋体" w:eastAsia="宋体"/>
                <w:sz w:val="24"/>
              </w:rPr>
              <w:t>项目支出绩效自评表</w:t>
            </w:r>
          </w:p>
        </w:tc>
      </w:tr>
      <w:tr w14:paraId="2DE8B725">
        <w:tblPrEx>
          <w:tblCellMar>
            <w:top w:w="0" w:type="dxa"/>
            <w:left w:w="108" w:type="dxa"/>
            <w:bottom w:w="0" w:type="dxa"/>
            <w:right w:w="108" w:type="dxa"/>
          </w:tblCellMar>
        </w:tblPrEx>
        <w:tc>
          <w:tcPr>
            <w:tcW w:w="8848" w:type="dxa"/>
            <w:gridSpan w:val="14"/>
            <w:vAlign w:val="center"/>
          </w:tcPr>
          <w:p w14:paraId="6E6C2A27">
            <w:pPr>
              <w:jc w:val="center"/>
            </w:pPr>
            <w:r>
              <w:rPr>
                <w:rFonts w:ascii="宋体" w:hAnsi="宋体" w:eastAsia="宋体"/>
                <w:sz w:val="24"/>
              </w:rPr>
              <w:t>(2024年度)</w:t>
            </w:r>
          </w:p>
        </w:tc>
      </w:tr>
      <w:tr w14:paraId="08EE66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2AB1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7C5516">
            <w:pPr>
              <w:jc w:val="center"/>
            </w:pPr>
            <w:r>
              <w:rPr>
                <w:rFonts w:ascii="宋体" w:hAnsi="宋体" w:eastAsia="宋体"/>
                <w:sz w:val="16"/>
              </w:rPr>
              <w:t>2024年提前下达中央重大传染病补助资金</w:t>
            </w:r>
          </w:p>
        </w:tc>
      </w:tr>
      <w:tr w14:paraId="4E19F0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8912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4D64F2">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F8C1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F7ED4C">
            <w:pPr>
              <w:jc w:val="center"/>
            </w:pPr>
            <w:r>
              <w:rPr>
                <w:rFonts w:ascii="宋体" w:hAnsi="宋体" w:eastAsia="宋体"/>
                <w:sz w:val="16"/>
              </w:rPr>
              <w:t>吉木萨尔县疾病预防控制中心</w:t>
            </w:r>
          </w:p>
        </w:tc>
      </w:tr>
      <w:tr w14:paraId="4DBF17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68105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ECAA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8984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3080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D1D4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B75B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B46A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21E4F">
            <w:pPr>
              <w:jc w:val="center"/>
            </w:pPr>
            <w:r>
              <w:rPr>
                <w:rFonts w:ascii="宋体" w:hAnsi="宋体" w:eastAsia="宋体"/>
                <w:sz w:val="16"/>
              </w:rPr>
              <w:t>得分</w:t>
            </w:r>
          </w:p>
        </w:tc>
      </w:tr>
      <w:tr w14:paraId="476BD9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16D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9C99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31783">
            <w:pPr>
              <w:jc w:val="center"/>
            </w:pPr>
            <w:r>
              <w:rPr>
                <w:rFonts w:ascii="宋体" w:hAnsi="宋体" w:eastAsia="宋体"/>
                <w:sz w:val="16"/>
              </w:rPr>
              <w:t>106.23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7411E">
            <w:pPr>
              <w:jc w:val="center"/>
            </w:pPr>
            <w:r>
              <w:rPr>
                <w:rFonts w:ascii="宋体" w:hAnsi="宋体" w:eastAsia="宋体"/>
                <w:sz w:val="16"/>
              </w:rPr>
              <w:t>106.23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3DFF8">
            <w:pPr>
              <w:jc w:val="center"/>
            </w:pPr>
            <w:r>
              <w:rPr>
                <w:rFonts w:ascii="宋体" w:hAnsi="宋体" w:eastAsia="宋体"/>
                <w:sz w:val="16"/>
              </w:rPr>
              <w:t>106.23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2BA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2B17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04C8C">
            <w:pPr>
              <w:jc w:val="center"/>
            </w:pPr>
            <w:r>
              <w:rPr>
                <w:rFonts w:ascii="宋体" w:hAnsi="宋体" w:eastAsia="宋体"/>
                <w:sz w:val="16"/>
              </w:rPr>
              <w:t>10.00</w:t>
            </w:r>
          </w:p>
        </w:tc>
      </w:tr>
      <w:tr w14:paraId="6BA1B5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2C3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F2A4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CC45A">
            <w:pPr>
              <w:jc w:val="center"/>
            </w:pPr>
            <w:r>
              <w:rPr>
                <w:rFonts w:ascii="宋体" w:hAnsi="宋体" w:eastAsia="宋体"/>
                <w:sz w:val="16"/>
              </w:rPr>
              <w:t>106.23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F3935">
            <w:pPr>
              <w:jc w:val="center"/>
            </w:pPr>
            <w:r>
              <w:rPr>
                <w:rFonts w:ascii="宋体" w:hAnsi="宋体" w:eastAsia="宋体"/>
                <w:sz w:val="16"/>
              </w:rPr>
              <w:t>106.23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50C7A">
            <w:pPr>
              <w:jc w:val="center"/>
            </w:pPr>
            <w:r>
              <w:rPr>
                <w:rFonts w:ascii="宋体" w:hAnsi="宋体" w:eastAsia="宋体"/>
                <w:sz w:val="16"/>
              </w:rPr>
              <w:t>106.23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D6D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2CC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B41CE">
            <w:pPr>
              <w:jc w:val="center"/>
            </w:pPr>
            <w:r>
              <w:rPr>
                <w:rFonts w:ascii="宋体" w:hAnsi="宋体" w:eastAsia="宋体"/>
                <w:sz w:val="16"/>
              </w:rPr>
              <w:t>—</w:t>
            </w:r>
          </w:p>
        </w:tc>
      </w:tr>
      <w:tr w14:paraId="1EB0E7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2EB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24F9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DF7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968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AFA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E8D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40C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9951F">
            <w:pPr>
              <w:jc w:val="center"/>
            </w:pPr>
            <w:r>
              <w:rPr>
                <w:rFonts w:ascii="宋体" w:hAnsi="宋体" w:eastAsia="宋体"/>
                <w:sz w:val="16"/>
              </w:rPr>
              <w:t>—</w:t>
            </w:r>
          </w:p>
        </w:tc>
      </w:tr>
      <w:tr w14:paraId="5F6930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76B60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76A0B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950650">
            <w:pPr>
              <w:jc w:val="center"/>
            </w:pPr>
            <w:r>
              <w:rPr>
                <w:rFonts w:ascii="宋体" w:hAnsi="宋体" w:eastAsia="宋体"/>
                <w:sz w:val="16"/>
              </w:rPr>
              <w:t>实际完成情况</w:t>
            </w:r>
          </w:p>
        </w:tc>
      </w:tr>
      <w:tr w14:paraId="0D06D7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149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ABFE86">
            <w:pPr>
              <w:jc w:val="both"/>
            </w:pPr>
            <w:r>
              <w:rPr>
                <w:rFonts w:ascii="宋体" w:hAnsi="宋体" w:eastAsia="宋体"/>
                <w:sz w:val="16"/>
              </w:rPr>
              <w:t>2024年主要完成以下工作：1.开展布病流行病学调查、人群血清学检测及行为干预、个案调查、病人随访管理等综合防治工作；2.全县各个乡镇由县疾控中心配发检测试剂，乡镇卫生院开展初筛和患者随访管理，县级医疗机构开展布病诊断和治疗，县级疾控中心对当年确诊病例进行个案流行病学调查；3.医防结合。按照《新疆布鲁氏菌病医防结合综合防治》实施方案，开展布病诊断、治疗、管理三位一体综合防治工作；4.开展布病健康教育，提高群众防病意识；5.开展人群查病及包虫病，努力做好包虫病防治工作；6.围绕全区</w:t>
            </w:r>
            <w:r>
              <w:rPr>
                <w:rFonts w:hint="eastAsia" w:ascii="宋体" w:hAnsi="宋体"/>
                <w:sz w:val="16"/>
                <w:lang w:eastAsia="zh-CN"/>
              </w:rPr>
              <w:t>AZB</w:t>
            </w:r>
            <w:r>
              <w:rPr>
                <w:rFonts w:ascii="宋体" w:hAnsi="宋体" w:eastAsia="宋体"/>
                <w:sz w:val="16"/>
              </w:rPr>
              <w:t>防治综合措施的实施与关键指标的落实，扩大HIV检测，保持</w:t>
            </w:r>
            <w:r>
              <w:rPr>
                <w:rFonts w:hint="eastAsia" w:ascii="宋体" w:hAnsi="宋体"/>
                <w:sz w:val="16"/>
                <w:lang w:eastAsia="zh-CN"/>
              </w:rPr>
              <w:t>防疫</w:t>
            </w:r>
            <w:r>
              <w:rPr>
                <w:rFonts w:ascii="宋体" w:hAnsi="宋体" w:eastAsia="宋体"/>
                <w:sz w:val="16"/>
              </w:rPr>
              <w:t>稳定；7.提升结核病防治工作质量，进一步减少传染病感染、患病和死亡。聚焦精准诊断、精准报告、全程规范诊疗、提高治愈率；8.开展丰水期、枯水期常规水质检测任务；9.加强严重精神障碍患者筛查、登记报告和随访服务，开展社会心理服务体系建设试点，进一步提高患者治疗率和全人口的健康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A47D19">
            <w:pPr>
              <w:jc w:val="both"/>
            </w:pPr>
            <w:r>
              <w:rPr>
                <w:rFonts w:hint="eastAsia" w:ascii="宋体" w:hAnsi="宋体"/>
                <w:sz w:val="16"/>
                <w:lang w:eastAsia="zh-CN"/>
              </w:rPr>
              <w:t>截至2024</w:t>
            </w:r>
            <w:r>
              <w:rPr>
                <w:rFonts w:ascii="宋体" w:hAnsi="宋体" w:eastAsia="宋体"/>
                <w:sz w:val="16"/>
              </w:rPr>
              <w:t>年12月31日，本项目实际支出106.23万元，预算执行率100%，通过实施本项目：1.开展布病流行病学调查、人群血清学检测及行为干预、个案调查、病人随访管理等综合防治工作；2.全县各个乡镇由县疾控中心配发检测试剂，乡镇卫生院开展初筛和患者随访管理，县级医疗机构开展布病诊断和治疗，县级疾控中心对当年确诊病例进行个案流行病学调查；3.医防结合。按照《新疆布鲁氏菌病医防结合综合防治》实施方案，开展布病诊断、治疗、管理三位一体综合防治工作；4.开展布病健康教育，提高群众防病意识；5.开展人群查病及包虫病，努力做好包虫病防治工作；6.围绕全区</w:t>
            </w:r>
            <w:r>
              <w:rPr>
                <w:rFonts w:hint="eastAsia" w:ascii="宋体" w:hAnsi="宋体"/>
                <w:sz w:val="16"/>
                <w:lang w:eastAsia="zh-CN"/>
              </w:rPr>
              <w:t>AZB</w:t>
            </w:r>
            <w:r>
              <w:rPr>
                <w:rFonts w:ascii="宋体" w:hAnsi="宋体" w:eastAsia="宋体"/>
                <w:sz w:val="16"/>
              </w:rPr>
              <w:t>防治综合措施的实施与关键指标的落实，扩大HIV检测，保持</w:t>
            </w:r>
            <w:r>
              <w:rPr>
                <w:rFonts w:hint="eastAsia" w:ascii="宋体" w:hAnsi="宋体"/>
                <w:sz w:val="16"/>
                <w:lang w:eastAsia="zh-CN"/>
              </w:rPr>
              <w:t>防疫</w:t>
            </w:r>
            <w:r>
              <w:rPr>
                <w:rFonts w:ascii="宋体" w:hAnsi="宋体" w:eastAsia="宋体"/>
                <w:sz w:val="16"/>
              </w:rPr>
              <w:t>稳定；7.提升结核病防治工作质量，进一步减少传染病感染、患病和死亡。聚焦精准诊断、精准报告、全程规范诊疗、提高治愈率；8.开展丰水期、枯水期常规水质检测任务；9.加强严重精神障碍患者筛查、登记报告和随访服务，开展社会心理服务体系建设试点，进一步提高患者治疗率和全人口的健康水平。</w:t>
            </w:r>
          </w:p>
        </w:tc>
      </w:tr>
      <w:tr w14:paraId="752EE7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C2A7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68C6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4CD7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9C29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CBC6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DA9C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2899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F4AA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AF9A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2D4B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63E9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B260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72B7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11A07">
            <w:pPr>
              <w:jc w:val="center"/>
            </w:pPr>
            <w:r>
              <w:rPr>
                <w:rFonts w:ascii="宋体" w:hAnsi="宋体" w:eastAsia="宋体"/>
                <w:sz w:val="16"/>
              </w:rPr>
              <w:t>偏差原因分析及改进措施</w:t>
            </w:r>
          </w:p>
        </w:tc>
      </w:tr>
      <w:tr w14:paraId="70D5F4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F54C5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084CF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64E19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87CA4">
            <w:pPr>
              <w:jc w:val="center"/>
            </w:pPr>
            <w:r>
              <w:rPr>
                <w:rFonts w:ascii="宋体" w:hAnsi="宋体" w:eastAsia="宋体"/>
                <w:sz w:val="16"/>
              </w:rPr>
              <w:t>慢性病规范管理率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F53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EA668">
            <w:pPr>
              <w:jc w:val="center"/>
            </w:pPr>
            <w:r>
              <w:rPr>
                <w:rFonts w:ascii="宋体" w:hAnsi="宋体" w:eastAsia="宋体"/>
                <w:sz w:val="16"/>
              </w:rPr>
              <w:t>&gt;=60%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6D449">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77C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121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769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DF0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491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473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6F75C">
            <w:pPr>
              <w:jc w:val="center"/>
            </w:pPr>
          </w:p>
        </w:tc>
      </w:tr>
      <w:tr w14:paraId="7E192C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D53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758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3BC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0ADC4">
            <w:pPr>
              <w:jc w:val="center"/>
            </w:pPr>
            <w:r>
              <w:rPr>
                <w:rFonts w:ascii="宋体" w:hAnsi="宋体" w:eastAsia="宋体"/>
                <w:sz w:val="16"/>
              </w:rPr>
              <w:t>结核病患者督导次数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8CF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E6E43">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3D54B">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AB8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CAD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D9C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EA7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3D1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96C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7E4F9">
            <w:pPr>
              <w:jc w:val="center"/>
            </w:pPr>
          </w:p>
        </w:tc>
      </w:tr>
      <w:tr w14:paraId="4662A4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C5E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9AA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AC2DA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9B97C">
            <w:pPr>
              <w:jc w:val="center"/>
            </w:pPr>
            <w:r>
              <w:rPr>
                <w:rFonts w:ascii="宋体" w:hAnsi="宋体" w:eastAsia="宋体"/>
                <w:sz w:val="16"/>
              </w:rPr>
              <w:t>包虫病病人登记管理率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FD75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9E75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A77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80507">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FA55A">
            <w:pPr>
              <w:jc w:val="center"/>
            </w:pPr>
            <w:r>
              <w:rPr>
                <w:rFonts w:ascii="宋体" w:hAnsi="宋体" w:eastAsia="宋体"/>
                <w:sz w:val="16"/>
              </w:rPr>
              <w:t>4.45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6F6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695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43C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004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2C247">
            <w:pPr>
              <w:jc w:val="center"/>
            </w:pPr>
            <w:r>
              <w:rPr>
                <w:rFonts w:ascii="宋体" w:hAnsi="宋体" w:eastAsia="宋体"/>
                <w:sz w:val="16"/>
              </w:rPr>
              <w:t>包虫病病人登记管理率达到100%</w:t>
            </w:r>
          </w:p>
        </w:tc>
      </w:tr>
      <w:tr w14:paraId="21E0AF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96A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892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C7C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6B62C">
            <w:pPr>
              <w:jc w:val="center"/>
            </w:pPr>
            <w:r>
              <w:rPr>
                <w:rFonts w:ascii="宋体" w:hAnsi="宋体" w:eastAsia="宋体"/>
                <w:sz w:val="16"/>
              </w:rPr>
              <w:t>实验室检测网络报告率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38C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0002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652B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24C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063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919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E58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739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EFF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B7F66">
            <w:pPr>
              <w:jc w:val="center"/>
            </w:pPr>
          </w:p>
        </w:tc>
      </w:tr>
      <w:tr w14:paraId="06F1E8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B9D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FB8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9B6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CFAD0">
            <w:pPr>
              <w:jc w:val="center"/>
            </w:pPr>
            <w:r>
              <w:rPr>
                <w:rFonts w:ascii="宋体" w:hAnsi="宋体" w:eastAsia="宋体"/>
                <w:sz w:val="16"/>
              </w:rPr>
              <w:t>肺结核患者成功治疗率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4EF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BE90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C23F7">
            <w:pPr>
              <w:jc w:val="center"/>
            </w:pPr>
            <w:r>
              <w:rPr>
                <w:rFonts w:ascii="宋体" w:hAnsi="宋体" w:eastAsia="宋体"/>
                <w:sz w:val="16"/>
              </w:rPr>
              <w:t>=90.54%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29E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F1F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7EC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CEA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F7D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9F4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497AE">
            <w:pPr>
              <w:jc w:val="center"/>
            </w:pPr>
          </w:p>
        </w:tc>
      </w:tr>
      <w:tr w14:paraId="7EE612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DAC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723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D87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01595">
            <w:pPr>
              <w:jc w:val="center"/>
            </w:pPr>
            <w:r>
              <w:rPr>
                <w:rFonts w:ascii="宋体" w:hAnsi="宋体" w:eastAsia="宋体"/>
                <w:sz w:val="16"/>
              </w:rPr>
              <w:t>8-10岁儿童尿碘、盐碘筛查完成率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04F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E25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20F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FEF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699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F4F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18B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1BC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203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32B79">
            <w:pPr>
              <w:jc w:val="center"/>
            </w:pPr>
          </w:p>
        </w:tc>
      </w:tr>
      <w:tr w14:paraId="26B528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D63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D0C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E25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EE21C">
            <w:pPr>
              <w:jc w:val="center"/>
            </w:pPr>
            <w:r>
              <w:rPr>
                <w:rFonts w:ascii="宋体" w:hAnsi="宋体" w:eastAsia="宋体"/>
                <w:sz w:val="16"/>
              </w:rPr>
              <w:t>登记在册的严重精神障碍患者规范管理率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F04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96E5A">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49B0C">
            <w:pPr>
              <w:jc w:val="center"/>
            </w:pPr>
            <w:r>
              <w:rPr>
                <w:rFonts w:ascii="宋体" w:hAnsi="宋体" w:eastAsia="宋体"/>
                <w:sz w:val="16"/>
              </w:rPr>
              <w:t>=83.17%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BF1FE">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B2DA8">
            <w:pPr>
              <w:jc w:val="center"/>
            </w:pPr>
            <w:r>
              <w:rPr>
                <w:rFonts w:ascii="宋体" w:hAnsi="宋体" w:eastAsia="宋体"/>
                <w:sz w:val="16"/>
              </w:rPr>
              <w:t>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54E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9A5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9B4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293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36E06">
            <w:pPr>
              <w:jc w:val="center"/>
            </w:pPr>
            <w:r>
              <w:rPr>
                <w:rFonts w:ascii="宋体" w:hAnsi="宋体" w:eastAsia="宋体"/>
                <w:sz w:val="16"/>
              </w:rPr>
              <w:t>登记在册的严重精神障碍患者规范管理率83.17%</w:t>
            </w:r>
          </w:p>
        </w:tc>
      </w:tr>
      <w:tr w14:paraId="3FC178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C8C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7A0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D3E8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4A06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412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92E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85C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889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6D1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775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A3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F54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5B18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D9214">
            <w:pPr>
              <w:jc w:val="center"/>
            </w:pPr>
          </w:p>
        </w:tc>
      </w:tr>
      <w:tr w14:paraId="6775C6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A95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8D62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0F32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2984D">
            <w:pPr>
              <w:jc w:val="center"/>
            </w:pPr>
            <w:r>
              <w:rPr>
                <w:rFonts w:ascii="宋体" w:hAnsi="宋体" w:eastAsia="宋体"/>
                <w:sz w:val="16"/>
              </w:rPr>
              <w:t>补助资金经费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E0C4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53E84">
            <w:pPr>
              <w:jc w:val="center"/>
            </w:pPr>
            <w:r>
              <w:rPr>
                <w:rFonts w:ascii="宋体" w:hAnsi="宋体" w:eastAsia="宋体"/>
                <w:sz w:val="16"/>
              </w:rPr>
              <w:t>&lt;=106.23万元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F1954">
            <w:pPr>
              <w:jc w:val="center"/>
            </w:pPr>
            <w:r>
              <w:rPr>
                <w:rFonts w:ascii="宋体" w:hAnsi="宋体" w:eastAsia="宋体"/>
                <w:sz w:val="16"/>
              </w:rPr>
              <w:t>=106.32万元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575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C448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09A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634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33A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742CE">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47618">
            <w:pPr>
              <w:jc w:val="center"/>
            </w:pPr>
          </w:p>
        </w:tc>
      </w:tr>
      <w:tr w14:paraId="25C717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F35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9810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E0D4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8E3F2">
            <w:pPr>
              <w:jc w:val="center"/>
            </w:pPr>
            <w:r>
              <w:rPr>
                <w:rFonts w:ascii="宋体" w:hAnsi="宋体" w:eastAsia="宋体"/>
                <w:sz w:val="16"/>
              </w:rPr>
              <w:t>提升预防和控制主要传染病能力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A624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F92A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B91F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02F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AC48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1392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C74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80F0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0E3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9486A">
            <w:pPr>
              <w:jc w:val="center"/>
            </w:pPr>
          </w:p>
        </w:tc>
      </w:tr>
      <w:tr w14:paraId="243E61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C08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100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9D3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DD5F2">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ADD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834F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C14F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80E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A29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E344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D8F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CCBA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FFA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8ED99">
            <w:pPr>
              <w:jc w:val="center"/>
            </w:pPr>
          </w:p>
        </w:tc>
      </w:tr>
      <w:tr w14:paraId="62A1798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0D082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292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1563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AC24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F35C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C8E53">
            <w:pPr>
              <w:jc w:val="center"/>
            </w:pPr>
            <w:r>
              <w:rPr>
                <w:rFonts w:ascii="宋体" w:hAnsi="宋体" w:eastAsia="宋体"/>
                <w:sz w:val="16"/>
              </w:rPr>
              <w:t>99.25分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C122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68E6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C231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0148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BD8D7B"/>
        </w:tc>
      </w:tr>
    </w:tbl>
    <w:p w14:paraId="7FF1587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96"/>
      </w:tblGrid>
      <w:tr w14:paraId="0C28A920">
        <w:tblPrEx>
          <w:tblCellMar>
            <w:top w:w="0" w:type="dxa"/>
            <w:left w:w="108" w:type="dxa"/>
            <w:bottom w:w="0" w:type="dxa"/>
            <w:right w:w="108" w:type="dxa"/>
          </w:tblCellMar>
        </w:tblPrEx>
        <w:tc>
          <w:tcPr>
            <w:tcW w:w="8848" w:type="dxa"/>
            <w:gridSpan w:val="14"/>
            <w:vAlign w:val="center"/>
          </w:tcPr>
          <w:p w14:paraId="7E4365EF">
            <w:pPr>
              <w:jc w:val="center"/>
            </w:pPr>
            <w:r>
              <w:rPr>
                <w:rFonts w:ascii="宋体" w:hAnsi="宋体" w:eastAsia="宋体"/>
                <w:sz w:val="24"/>
              </w:rPr>
              <w:t>项目支出绩效自评表</w:t>
            </w:r>
          </w:p>
        </w:tc>
      </w:tr>
      <w:tr w14:paraId="73A73657">
        <w:tblPrEx>
          <w:tblCellMar>
            <w:top w:w="0" w:type="dxa"/>
            <w:left w:w="108" w:type="dxa"/>
            <w:bottom w:w="0" w:type="dxa"/>
            <w:right w:w="108" w:type="dxa"/>
          </w:tblCellMar>
        </w:tblPrEx>
        <w:tc>
          <w:tcPr>
            <w:tcW w:w="8848" w:type="dxa"/>
            <w:gridSpan w:val="14"/>
            <w:vAlign w:val="center"/>
          </w:tcPr>
          <w:p w14:paraId="22F6EEDA">
            <w:pPr>
              <w:jc w:val="center"/>
            </w:pPr>
            <w:r>
              <w:rPr>
                <w:rFonts w:ascii="宋体" w:hAnsi="宋体" w:eastAsia="宋体"/>
                <w:sz w:val="24"/>
              </w:rPr>
              <w:t>(2024年度)</w:t>
            </w:r>
          </w:p>
        </w:tc>
      </w:tr>
      <w:tr w14:paraId="183D4F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309F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DA72DA">
            <w:pPr>
              <w:jc w:val="center"/>
            </w:pPr>
            <w:r>
              <w:rPr>
                <w:rFonts w:ascii="宋体" w:hAnsi="宋体" w:eastAsia="宋体"/>
                <w:sz w:val="16"/>
              </w:rPr>
              <w:t>2024年自治区公共卫生服务（地方公共卫生服务）补助资金</w:t>
            </w:r>
          </w:p>
        </w:tc>
      </w:tr>
      <w:tr w14:paraId="61D90A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C66E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58240C">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2D06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1C1D2B">
            <w:pPr>
              <w:jc w:val="center"/>
            </w:pPr>
            <w:r>
              <w:rPr>
                <w:rFonts w:ascii="宋体" w:hAnsi="宋体" w:eastAsia="宋体"/>
                <w:sz w:val="16"/>
              </w:rPr>
              <w:t>吉木萨尔县疾病预防控制中心</w:t>
            </w:r>
          </w:p>
        </w:tc>
      </w:tr>
      <w:tr w14:paraId="16AEC4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5C084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A5B1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521C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723C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5305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B134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4AB0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CD5FB">
            <w:pPr>
              <w:jc w:val="center"/>
            </w:pPr>
            <w:r>
              <w:rPr>
                <w:rFonts w:ascii="宋体" w:hAnsi="宋体" w:eastAsia="宋体"/>
                <w:sz w:val="16"/>
              </w:rPr>
              <w:t>得分</w:t>
            </w:r>
          </w:p>
        </w:tc>
      </w:tr>
      <w:tr w14:paraId="7CA233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39E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3D08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394A3">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D8871">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7E24B">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43E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5E7E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E30EE">
            <w:pPr>
              <w:jc w:val="center"/>
            </w:pPr>
            <w:r>
              <w:rPr>
                <w:rFonts w:ascii="宋体" w:hAnsi="宋体" w:eastAsia="宋体"/>
                <w:sz w:val="16"/>
              </w:rPr>
              <w:t>10.00</w:t>
            </w:r>
          </w:p>
        </w:tc>
      </w:tr>
      <w:tr w14:paraId="4A9E65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AFC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76C2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E75B8">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0A631">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3BABA">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152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8C0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48A9E">
            <w:pPr>
              <w:jc w:val="center"/>
            </w:pPr>
            <w:r>
              <w:rPr>
                <w:rFonts w:ascii="宋体" w:hAnsi="宋体" w:eastAsia="宋体"/>
                <w:sz w:val="16"/>
              </w:rPr>
              <w:t>—</w:t>
            </w:r>
          </w:p>
        </w:tc>
      </w:tr>
      <w:tr w14:paraId="03E9F6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86A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9DE5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9C5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B54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55C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6D9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498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01A55">
            <w:pPr>
              <w:jc w:val="center"/>
            </w:pPr>
            <w:r>
              <w:rPr>
                <w:rFonts w:ascii="宋体" w:hAnsi="宋体" w:eastAsia="宋体"/>
                <w:sz w:val="16"/>
              </w:rPr>
              <w:t>—</w:t>
            </w:r>
          </w:p>
        </w:tc>
      </w:tr>
      <w:tr w14:paraId="66ED5F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A24D9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B82F7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26C4A8">
            <w:pPr>
              <w:jc w:val="center"/>
            </w:pPr>
            <w:r>
              <w:rPr>
                <w:rFonts w:ascii="宋体" w:hAnsi="宋体" w:eastAsia="宋体"/>
                <w:sz w:val="16"/>
              </w:rPr>
              <w:t>实际完成情况</w:t>
            </w:r>
          </w:p>
        </w:tc>
      </w:tr>
      <w:tr w14:paraId="270888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0C8D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B42E96">
            <w:pPr>
              <w:jc w:val="both"/>
            </w:pPr>
            <w:r>
              <w:rPr>
                <w:rFonts w:ascii="宋体" w:hAnsi="宋体" w:eastAsia="宋体"/>
                <w:sz w:val="16"/>
              </w:rPr>
              <w:t>对前期吉木萨尔县鼠防生活区修缮工程尾款支付6万元，保障鼠疫监测站的正常运行。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3C8DEF">
            <w:pPr>
              <w:jc w:val="both"/>
            </w:pPr>
            <w:r>
              <w:rPr>
                <w:rFonts w:hint="eastAsia" w:ascii="宋体" w:hAnsi="宋体"/>
                <w:sz w:val="16"/>
                <w:lang w:eastAsia="zh-CN"/>
              </w:rPr>
              <w:t>截至2024</w:t>
            </w:r>
            <w:r>
              <w:rPr>
                <w:rFonts w:ascii="宋体" w:hAnsi="宋体" w:eastAsia="宋体"/>
                <w:sz w:val="16"/>
              </w:rPr>
              <w:t>年12月31日，本项目实际支出资金6万元，预算执行率100%，实际已完成100%，通过实施本项目已完成吉木萨尔县鼠防生活区修缮工程尾款支付6万元。</w:t>
            </w:r>
          </w:p>
        </w:tc>
      </w:tr>
      <w:tr w14:paraId="211DF4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9502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06CB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1760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0A8B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8C72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56C4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8454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C17F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3441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052C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C41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FD40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C49D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2C958">
            <w:pPr>
              <w:jc w:val="center"/>
            </w:pPr>
            <w:r>
              <w:rPr>
                <w:rFonts w:ascii="宋体" w:hAnsi="宋体" w:eastAsia="宋体"/>
                <w:sz w:val="16"/>
              </w:rPr>
              <w:t>偏差原因分析及改进措施</w:t>
            </w:r>
          </w:p>
        </w:tc>
      </w:tr>
      <w:tr w14:paraId="672CC8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71195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61088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C98A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3ED58">
            <w:pPr>
              <w:jc w:val="center"/>
            </w:pPr>
            <w:r>
              <w:rPr>
                <w:rFonts w:ascii="宋体" w:hAnsi="宋体" w:eastAsia="宋体"/>
                <w:sz w:val="16"/>
              </w:rPr>
              <w:t>修缮工程数量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A563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E274E">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0A816">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130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86E0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EA4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7F7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EE6F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C09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1F35D">
            <w:pPr>
              <w:jc w:val="center"/>
            </w:pPr>
          </w:p>
        </w:tc>
      </w:tr>
      <w:tr w14:paraId="54055F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32F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898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698AE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B9293">
            <w:pPr>
              <w:jc w:val="center"/>
            </w:pPr>
            <w:r>
              <w:rPr>
                <w:rFonts w:ascii="宋体" w:hAnsi="宋体" w:eastAsia="宋体"/>
                <w:sz w:val="16"/>
              </w:rPr>
              <w:t>项目完工率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8149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507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DCC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06A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D8E1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ADB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573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BE3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AE7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B934C">
            <w:pPr>
              <w:jc w:val="center"/>
            </w:pPr>
          </w:p>
        </w:tc>
      </w:tr>
      <w:tr w14:paraId="174936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F74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77F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065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95CB5">
            <w:pPr>
              <w:jc w:val="center"/>
            </w:pPr>
            <w:r>
              <w:rPr>
                <w:rFonts w:ascii="宋体" w:hAnsi="宋体" w:eastAsia="宋体"/>
                <w:sz w:val="16"/>
              </w:rPr>
              <w:t>项目达到竣工验收标准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0E4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C74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228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1CB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527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367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9E0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F62D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340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A411C">
            <w:pPr>
              <w:jc w:val="center"/>
            </w:pPr>
          </w:p>
        </w:tc>
      </w:tr>
      <w:tr w14:paraId="268275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3E9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7E1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A234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8ED81">
            <w:pPr>
              <w:jc w:val="center"/>
            </w:pPr>
            <w:r>
              <w:rPr>
                <w:rFonts w:ascii="宋体" w:hAnsi="宋体" w:eastAsia="宋体"/>
                <w:sz w:val="16"/>
              </w:rPr>
              <w:t>资金支付截止时间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970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B876C">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DC9ED">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876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196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438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C8C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6981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7C94E">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85B65">
            <w:pPr>
              <w:jc w:val="center"/>
            </w:pPr>
          </w:p>
        </w:tc>
      </w:tr>
      <w:tr w14:paraId="792A4F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4B8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7687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D67E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E4899">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6F80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4AB9A">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1FD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344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33B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DF8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503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DE39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DD0F6">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25F1A">
            <w:pPr>
              <w:jc w:val="center"/>
            </w:pPr>
          </w:p>
        </w:tc>
      </w:tr>
      <w:tr w14:paraId="08AB07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84F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4F6A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46C6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C6079">
            <w:pPr>
              <w:jc w:val="center"/>
            </w:pPr>
            <w:r>
              <w:rPr>
                <w:rFonts w:ascii="宋体" w:hAnsi="宋体" w:eastAsia="宋体"/>
                <w:sz w:val="16"/>
              </w:rPr>
              <w:t>鼠防站生活环境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601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86FF7">
            <w:pPr>
              <w:jc w:val="center"/>
            </w:pPr>
            <w:r>
              <w:rPr>
                <w:rFonts w:ascii="宋体" w:hAnsi="宋体" w:eastAsia="宋体"/>
                <w:sz w:val="16"/>
              </w:rPr>
              <w:t>明显改善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3AF33">
            <w:pPr>
              <w:jc w:val="center"/>
            </w:pPr>
            <w:r>
              <w:rPr>
                <w:rFonts w:ascii="宋体" w:hAnsi="宋体" w:eastAsia="宋体"/>
                <w:sz w:val="16"/>
              </w:rPr>
              <w:t>明显改善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328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1986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5B7C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9CA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B9FD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057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A3AFF">
            <w:pPr>
              <w:jc w:val="center"/>
            </w:pPr>
          </w:p>
        </w:tc>
      </w:tr>
      <w:tr w14:paraId="132E90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E90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BF6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92D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67544">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53D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99D3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404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3A3ED">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0AB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1E28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B60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07B6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1C8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E4B58">
            <w:pPr>
              <w:jc w:val="center"/>
            </w:pPr>
            <w:r>
              <w:rPr>
                <w:rFonts w:ascii="宋体" w:hAnsi="宋体" w:eastAsia="宋体"/>
                <w:sz w:val="16"/>
              </w:rPr>
              <w:t>通过维修鼠防站，使得受益工作人员满意度达到100%。</w:t>
            </w:r>
          </w:p>
        </w:tc>
      </w:tr>
      <w:tr w14:paraId="69F8FF6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6628E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B8C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7E8E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D57A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79D2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E038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F9A4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EC5D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37C0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0517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79613C"/>
        </w:tc>
      </w:tr>
    </w:tbl>
    <w:p w14:paraId="26F3427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6AAA2E6F">
        <w:tblPrEx>
          <w:tblCellMar>
            <w:top w:w="0" w:type="dxa"/>
            <w:left w:w="108" w:type="dxa"/>
            <w:bottom w:w="0" w:type="dxa"/>
            <w:right w:w="108" w:type="dxa"/>
          </w:tblCellMar>
        </w:tblPrEx>
        <w:tc>
          <w:tcPr>
            <w:tcW w:w="8848" w:type="dxa"/>
            <w:gridSpan w:val="14"/>
            <w:vAlign w:val="center"/>
          </w:tcPr>
          <w:p w14:paraId="2632BD2A">
            <w:pPr>
              <w:jc w:val="center"/>
            </w:pPr>
            <w:r>
              <w:rPr>
                <w:rFonts w:ascii="宋体" w:hAnsi="宋体" w:eastAsia="宋体"/>
                <w:sz w:val="24"/>
              </w:rPr>
              <w:t>项目支出绩效自评表</w:t>
            </w:r>
          </w:p>
        </w:tc>
      </w:tr>
      <w:tr w14:paraId="0A7AC23F">
        <w:tblPrEx>
          <w:tblCellMar>
            <w:top w:w="0" w:type="dxa"/>
            <w:left w:w="108" w:type="dxa"/>
            <w:bottom w:w="0" w:type="dxa"/>
            <w:right w:w="108" w:type="dxa"/>
          </w:tblCellMar>
        </w:tblPrEx>
        <w:tc>
          <w:tcPr>
            <w:tcW w:w="8848" w:type="dxa"/>
            <w:gridSpan w:val="14"/>
            <w:vAlign w:val="center"/>
          </w:tcPr>
          <w:p w14:paraId="3F04C633">
            <w:pPr>
              <w:jc w:val="center"/>
            </w:pPr>
            <w:r>
              <w:rPr>
                <w:rFonts w:ascii="宋体" w:hAnsi="宋体" w:eastAsia="宋体"/>
                <w:sz w:val="24"/>
              </w:rPr>
              <w:t>(2024年度)</w:t>
            </w:r>
          </w:p>
        </w:tc>
      </w:tr>
      <w:tr w14:paraId="6B7FCE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FBDC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A99DE32">
            <w:pPr>
              <w:jc w:val="center"/>
            </w:pPr>
            <w:r>
              <w:rPr>
                <w:rFonts w:ascii="宋体" w:hAnsi="宋体" w:eastAsia="宋体"/>
                <w:sz w:val="16"/>
              </w:rPr>
              <w:t>中央基本公共卫生项目资金</w:t>
            </w:r>
          </w:p>
        </w:tc>
      </w:tr>
      <w:tr w14:paraId="2ED5FF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A23C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57495B">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48A0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2DB52A">
            <w:pPr>
              <w:jc w:val="center"/>
            </w:pPr>
            <w:r>
              <w:rPr>
                <w:rFonts w:ascii="宋体" w:hAnsi="宋体" w:eastAsia="宋体"/>
                <w:sz w:val="16"/>
              </w:rPr>
              <w:t>吉木萨尔县疾病预防控制中心</w:t>
            </w:r>
          </w:p>
        </w:tc>
      </w:tr>
      <w:tr w14:paraId="50415E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F642A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357A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46E2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8F08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8039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43D7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B7AB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38CC1">
            <w:pPr>
              <w:jc w:val="center"/>
            </w:pPr>
            <w:r>
              <w:rPr>
                <w:rFonts w:ascii="宋体" w:hAnsi="宋体" w:eastAsia="宋体"/>
                <w:sz w:val="16"/>
              </w:rPr>
              <w:t>得分</w:t>
            </w:r>
          </w:p>
        </w:tc>
      </w:tr>
      <w:tr w14:paraId="164EFC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A2A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CB34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7BE3F">
            <w:pPr>
              <w:jc w:val="center"/>
            </w:pPr>
            <w:r>
              <w:rPr>
                <w:rFonts w:ascii="宋体" w:hAnsi="宋体" w:eastAsia="宋体"/>
                <w:sz w:val="16"/>
              </w:rPr>
              <w:t>7.97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47715">
            <w:pPr>
              <w:jc w:val="center"/>
            </w:pPr>
            <w:r>
              <w:rPr>
                <w:rFonts w:ascii="宋体" w:hAnsi="宋体" w:eastAsia="宋体"/>
                <w:sz w:val="16"/>
              </w:rPr>
              <w:t>7.97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F8A20">
            <w:pPr>
              <w:jc w:val="center"/>
            </w:pPr>
            <w:r>
              <w:rPr>
                <w:rFonts w:ascii="宋体" w:hAnsi="宋体" w:eastAsia="宋体"/>
                <w:sz w:val="16"/>
              </w:rPr>
              <w:t>7.97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96A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ADED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D0D1B">
            <w:pPr>
              <w:jc w:val="center"/>
            </w:pPr>
            <w:r>
              <w:rPr>
                <w:rFonts w:ascii="宋体" w:hAnsi="宋体" w:eastAsia="宋体"/>
                <w:sz w:val="16"/>
              </w:rPr>
              <w:t>10.00</w:t>
            </w:r>
          </w:p>
        </w:tc>
      </w:tr>
      <w:tr w14:paraId="531B28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DAA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E0A4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1AE08">
            <w:pPr>
              <w:jc w:val="center"/>
            </w:pPr>
            <w:r>
              <w:rPr>
                <w:rFonts w:ascii="宋体" w:hAnsi="宋体" w:eastAsia="宋体"/>
                <w:sz w:val="16"/>
              </w:rPr>
              <w:t>7.97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4C683">
            <w:pPr>
              <w:jc w:val="center"/>
            </w:pPr>
            <w:r>
              <w:rPr>
                <w:rFonts w:ascii="宋体" w:hAnsi="宋体" w:eastAsia="宋体"/>
                <w:sz w:val="16"/>
              </w:rPr>
              <w:t>7.97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6125F">
            <w:pPr>
              <w:jc w:val="center"/>
            </w:pPr>
            <w:r>
              <w:rPr>
                <w:rFonts w:ascii="宋体" w:hAnsi="宋体" w:eastAsia="宋体"/>
                <w:sz w:val="16"/>
              </w:rPr>
              <w:t>7.97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933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305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7CC3E">
            <w:pPr>
              <w:jc w:val="center"/>
            </w:pPr>
            <w:r>
              <w:rPr>
                <w:rFonts w:ascii="宋体" w:hAnsi="宋体" w:eastAsia="宋体"/>
                <w:sz w:val="16"/>
              </w:rPr>
              <w:t>—</w:t>
            </w:r>
          </w:p>
        </w:tc>
      </w:tr>
      <w:tr w14:paraId="10A0EF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CF0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A261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B94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9B7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C3F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15F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C4A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B6682">
            <w:pPr>
              <w:jc w:val="center"/>
            </w:pPr>
            <w:r>
              <w:rPr>
                <w:rFonts w:ascii="宋体" w:hAnsi="宋体" w:eastAsia="宋体"/>
                <w:sz w:val="16"/>
              </w:rPr>
              <w:t>—</w:t>
            </w:r>
          </w:p>
        </w:tc>
      </w:tr>
      <w:tr w14:paraId="5C9931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EF09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01E83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1EDB69">
            <w:pPr>
              <w:jc w:val="center"/>
            </w:pPr>
            <w:r>
              <w:rPr>
                <w:rFonts w:ascii="宋体" w:hAnsi="宋体" w:eastAsia="宋体"/>
                <w:sz w:val="16"/>
              </w:rPr>
              <w:t>实际完成情况</w:t>
            </w:r>
          </w:p>
        </w:tc>
      </w:tr>
      <w:tr w14:paraId="537D4E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9A9A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EAEDD6">
            <w:pPr>
              <w:jc w:val="both"/>
            </w:pPr>
            <w:r>
              <w:rPr>
                <w:rFonts w:ascii="宋体" w:hAnsi="宋体" w:eastAsia="宋体"/>
                <w:sz w:val="16"/>
              </w:rPr>
              <w:t>完成营养早餐发放，提高结核病防治能力。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8B7DAC">
            <w:pPr>
              <w:jc w:val="both"/>
            </w:pPr>
            <w:r>
              <w:rPr>
                <w:rFonts w:hint="eastAsia" w:ascii="宋体" w:hAnsi="宋体"/>
                <w:sz w:val="16"/>
                <w:lang w:eastAsia="zh-CN"/>
              </w:rPr>
              <w:t>截至2024</w:t>
            </w:r>
            <w:r>
              <w:rPr>
                <w:rFonts w:ascii="宋体" w:hAnsi="宋体" w:eastAsia="宋体"/>
                <w:sz w:val="16"/>
              </w:rPr>
              <w:t>年12月31日，本项目实际支出资金7.97万元，预算执行率100%，通过实施本项目完成营养早餐发放，提高结核病防治能力。</w:t>
            </w:r>
          </w:p>
        </w:tc>
      </w:tr>
      <w:tr w14:paraId="06E23D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9C16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ECD0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8568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D4AA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0E7C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55A4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E136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733A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EB6B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3B55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3A97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B865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AB8F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F4ECA">
            <w:pPr>
              <w:jc w:val="center"/>
            </w:pPr>
            <w:r>
              <w:rPr>
                <w:rFonts w:ascii="宋体" w:hAnsi="宋体" w:eastAsia="宋体"/>
                <w:sz w:val="16"/>
              </w:rPr>
              <w:t>偏差原因分析及改进措施</w:t>
            </w:r>
          </w:p>
        </w:tc>
      </w:tr>
      <w:tr w14:paraId="694427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4532C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9D6B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DF13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1CA71">
            <w:pPr>
              <w:jc w:val="center"/>
            </w:pPr>
            <w:r>
              <w:rPr>
                <w:rFonts w:ascii="宋体" w:hAnsi="宋体" w:eastAsia="宋体"/>
                <w:sz w:val="16"/>
              </w:rPr>
              <w:t>结核病管理人数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4249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07B3E">
            <w:pPr>
              <w:jc w:val="center"/>
            </w:pPr>
            <w:r>
              <w:rPr>
                <w:rFonts w:ascii="宋体" w:hAnsi="宋体" w:eastAsia="宋体"/>
                <w:sz w:val="16"/>
              </w:rPr>
              <w:t>&gt;=47人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20985">
            <w:pPr>
              <w:jc w:val="center"/>
            </w:pPr>
            <w:r>
              <w:rPr>
                <w:rFonts w:ascii="宋体" w:hAnsi="宋体" w:eastAsia="宋体"/>
                <w:sz w:val="16"/>
              </w:rPr>
              <w:t>=57人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D1B48">
            <w:pPr>
              <w:jc w:val="center"/>
            </w:pPr>
            <w:r>
              <w:rPr>
                <w:rFonts w:ascii="宋体" w:hAnsi="宋体" w:eastAsia="宋体"/>
                <w:sz w:val="16"/>
              </w:rPr>
              <w:t>121%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6FB4D">
            <w:pPr>
              <w:jc w:val="center"/>
            </w:pPr>
            <w:r>
              <w:rPr>
                <w:rFonts w:ascii="宋体" w:hAnsi="宋体" w:eastAsia="宋体"/>
                <w:sz w:val="16"/>
              </w:rPr>
              <w:t>15.8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445E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B68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200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BAF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9D42C">
            <w:pPr>
              <w:jc w:val="center"/>
            </w:pPr>
            <w:r>
              <w:rPr>
                <w:rFonts w:ascii="宋体" w:hAnsi="宋体" w:eastAsia="宋体"/>
                <w:sz w:val="16"/>
              </w:rPr>
              <w:t>2024年新增10人，实际完成结核病管理人数57人。</w:t>
            </w:r>
          </w:p>
        </w:tc>
      </w:tr>
      <w:tr w14:paraId="0DEFEC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40B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162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918F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ACF27">
            <w:pPr>
              <w:jc w:val="center"/>
            </w:pPr>
            <w:r>
              <w:rPr>
                <w:rFonts w:ascii="宋体" w:hAnsi="宋体" w:eastAsia="宋体"/>
                <w:sz w:val="16"/>
              </w:rPr>
              <w:t>结核病治疗率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E5C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6F0F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5E89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F63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FD8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D6F1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31C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F9F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037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53615">
            <w:pPr>
              <w:jc w:val="center"/>
            </w:pPr>
          </w:p>
        </w:tc>
      </w:tr>
      <w:tr w14:paraId="028A7F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392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BA1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B5F1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CFC56">
            <w:pPr>
              <w:jc w:val="center"/>
            </w:pPr>
            <w:r>
              <w:rPr>
                <w:rFonts w:ascii="宋体" w:hAnsi="宋体" w:eastAsia="宋体"/>
                <w:sz w:val="16"/>
              </w:rPr>
              <w:t>结核病防治工作完成率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FA5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728C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C683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7E5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D95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976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133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1ED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6F2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9911A">
            <w:pPr>
              <w:jc w:val="center"/>
            </w:pPr>
          </w:p>
        </w:tc>
      </w:tr>
      <w:tr w14:paraId="2443CC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54F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126E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B997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6493E">
            <w:pPr>
              <w:jc w:val="center"/>
            </w:pPr>
            <w:r>
              <w:rPr>
                <w:rFonts w:ascii="宋体" w:hAnsi="宋体" w:eastAsia="宋体"/>
                <w:sz w:val="16"/>
              </w:rPr>
              <w:t>防治经费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032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4A31A">
            <w:pPr>
              <w:jc w:val="center"/>
            </w:pPr>
            <w:r>
              <w:rPr>
                <w:rFonts w:ascii="宋体" w:hAnsi="宋体" w:eastAsia="宋体"/>
                <w:sz w:val="16"/>
              </w:rPr>
              <w:t>&lt;=7.97万元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A3950">
            <w:pPr>
              <w:jc w:val="center"/>
            </w:pPr>
            <w:r>
              <w:rPr>
                <w:rFonts w:ascii="宋体" w:hAnsi="宋体" w:eastAsia="宋体"/>
                <w:sz w:val="16"/>
              </w:rPr>
              <w:t>=7.97万元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C46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C894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477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9FE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895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E497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89E55">
            <w:pPr>
              <w:jc w:val="center"/>
            </w:pPr>
          </w:p>
        </w:tc>
      </w:tr>
      <w:tr w14:paraId="23E973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5E7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8D160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03BD5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388C2">
            <w:pPr>
              <w:jc w:val="center"/>
            </w:pPr>
            <w:r>
              <w:rPr>
                <w:rFonts w:ascii="宋体" w:hAnsi="宋体" w:eastAsia="宋体"/>
                <w:sz w:val="16"/>
              </w:rPr>
              <w:t>提升预防和控制职业病或地方病的传染能力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097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3226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B545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237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F45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F4C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576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7EAB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A47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A7090">
            <w:pPr>
              <w:jc w:val="center"/>
            </w:pPr>
          </w:p>
        </w:tc>
      </w:tr>
      <w:tr w14:paraId="55BDBE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8B6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6B6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517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98E68">
            <w:pPr>
              <w:jc w:val="center"/>
            </w:pPr>
            <w:r>
              <w:rPr>
                <w:rFonts w:ascii="宋体" w:hAnsi="宋体" w:eastAsia="宋体"/>
                <w:sz w:val="16"/>
              </w:rPr>
              <w:t>随访率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0AB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AEF46">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50441">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7BA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9FC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AE0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A62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3D8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4D1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EF67C">
            <w:pPr>
              <w:jc w:val="center"/>
            </w:pPr>
          </w:p>
        </w:tc>
      </w:tr>
      <w:tr w14:paraId="404897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DCD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5D3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890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98896">
            <w:pPr>
              <w:jc w:val="center"/>
            </w:pPr>
            <w:r>
              <w:rPr>
                <w:rFonts w:ascii="宋体" w:hAnsi="宋体" w:eastAsia="宋体"/>
                <w:sz w:val="16"/>
              </w:rPr>
              <w:t>受益结核病群众满意度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342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A970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425F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5A0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1B8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706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6E5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CA9B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B4E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2B92F">
            <w:pPr>
              <w:jc w:val="center"/>
            </w:pPr>
          </w:p>
        </w:tc>
      </w:tr>
      <w:tr w14:paraId="4CF8ED4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B6070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DAB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AC6F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6E0E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00DE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C81DF">
            <w:pPr>
              <w:jc w:val="center"/>
            </w:pPr>
            <w:r>
              <w:rPr>
                <w:rFonts w:ascii="宋体" w:hAnsi="宋体" w:eastAsia="宋体"/>
                <w:sz w:val="16"/>
              </w:rPr>
              <w:t>95.80分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E136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AAF5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9780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7949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0BF152"/>
        </w:tc>
      </w:tr>
    </w:tbl>
    <w:p w14:paraId="3F4F42B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4681F1FC">
        <w:tblPrEx>
          <w:tblCellMar>
            <w:top w:w="0" w:type="dxa"/>
            <w:left w:w="108" w:type="dxa"/>
            <w:bottom w:w="0" w:type="dxa"/>
            <w:right w:w="108" w:type="dxa"/>
          </w:tblCellMar>
        </w:tblPrEx>
        <w:tc>
          <w:tcPr>
            <w:tcW w:w="8848" w:type="dxa"/>
            <w:gridSpan w:val="14"/>
            <w:vAlign w:val="center"/>
          </w:tcPr>
          <w:p w14:paraId="5D83CDEF">
            <w:pPr>
              <w:jc w:val="center"/>
            </w:pPr>
            <w:r>
              <w:rPr>
                <w:rFonts w:ascii="宋体" w:hAnsi="宋体" w:eastAsia="宋体"/>
                <w:sz w:val="24"/>
              </w:rPr>
              <w:t>项目支出绩效自评表</w:t>
            </w:r>
          </w:p>
        </w:tc>
      </w:tr>
      <w:tr w14:paraId="76D40AAE">
        <w:tblPrEx>
          <w:tblCellMar>
            <w:top w:w="0" w:type="dxa"/>
            <w:left w:w="108" w:type="dxa"/>
            <w:bottom w:w="0" w:type="dxa"/>
            <w:right w:w="108" w:type="dxa"/>
          </w:tblCellMar>
        </w:tblPrEx>
        <w:tc>
          <w:tcPr>
            <w:tcW w:w="8848" w:type="dxa"/>
            <w:gridSpan w:val="14"/>
            <w:vAlign w:val="center"/>
          </w:tcPr>
          <w:p w14:paraId="195314BA">
            <w:pPr>
              <w:jc w:val="center"/>
            </w:pPr>
            <w:r>
              <w:rPr>
                <w:rFonts w:ascii="宋体" w:hAnsi="宋体" w:eastAsia="宋体"/>
                <w:sz w:val="24"/>
              </w:rPr>
              <w:t>(2024年度)</w:t>
            </w:r>
          </w:p>
        </w:tc>
      </w:tr>
      <w:tr w14:paraId="240F59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0B13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CDFA32">
            <w:pPr>
              <w:jc w:val="center"/>
            </w:pPr>
            <w:r>
              <w:rPr>
                <w:rFonts w:ascii="宋体" w:hAnsi="宋体" w:eastAsia="宋体"/>
                <w:sz w:val="16"/>
              </w:rPr>
              <w:t>中央财政重大传染病防控经费</w:t>
            </w:r>
          </w:p>
        </w:tc>
      </w:tr>
      <w:tr w14:paraId="410A3A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ACBD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8199F8">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687D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8A04B1">
            <w:pPr>
              <w:jc w:val="center"/>
            </w:pPr>
            <w:r>
              <w:rPr>
                <w:rFonts w:ascii="宋体" w:hAnsi="宋体" w:eastAsia="宋体"/>
                <w:sz w:val="16"/>
              </w:rPr>
              <w:t>吉木萨尔县疾病预防控制中心</w:t>
            </w:r>
          </w:p>
        </w:tc>
      </w:tr>
      <w:tr w14:paraId="0387C2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D7522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DA53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8FAB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3390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AD66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20F9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37AD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4F57C">
            <w:pPr>
              <w:jc w:val="center"/>
            </w:pPr>
            <w:r>
              <w:rPr>
                <w:rFonts w:ascii="宋体" w:hAnsi="宋体" w:eastAsia="宋体"/>
                <w:sz w:val="16"/>
              </w:rPr>
              <w:t>得分</w:t>
            </w:r>
          </w:p>
        </w:tc>
      </w:tr>
      <w:tr w14:paraId="17175F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BD2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514F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BAD23">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46CC0">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A7484">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B13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4DA6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B4230">
            <w:pPr>
              <w:jc w:val="center"/>
            </w:pPr>
            <w:r>
              <w:rPr>
                <w:rFonts w:ascii="宋体" w:hAnsi="宋体" w:eastAsia="宋体"/>
                <w:sz w:val="16"/>
              </w:rPr>
              <w:t>10.00</w:t>
            </w:r>
          </w:p>
        </w:tc>
      </w:tr>
      <w:tr w14:paraId="0811AB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489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9A8A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567BE">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6D5A7">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D5153">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02E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C11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E0841">
            <w:pPr>
              <w:jc w:val="center"/>
            </w:pPr>
            <w:r>
              <w:rPr>
                <w:rFonts w:ascii="宋体" w:hAnsi="宋体" w:eastAsia="宋体"/>
                <w:sz w:val="16"/>
              </w:rPr>
              <w:t>—</w:t>
            </w:r>
          </w:p>
        </w:tc>
      </w:tr>
      <w:tr w14:paraId="6729CF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4DD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D014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08C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9A3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245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828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47E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D183D">
            <w:pPr>
              <w:jc w:val="center"/>
            </w:pPr>
            <w:r>
              <w:rPr>
                <w:rFonts w:ascii="宋体" w:hAnsi="宋体" w:eastAsia="宋体"/>
                <w:sz w:val="16"/>
              </w:rPr>
              <w:t>—</w:t>
            </w:r>
          </w:p>
        </w:tc>
      </w:tr>
      <w:tr w14:paraId="45CCD5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9B22C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64C8D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787E4C">
            <w:pPr>
              <w:jc w:val="center"/>
            </w:pPr>
            <w:r>
              <w:rPr>
                <w:rFonts w:ascii="宋体" w:hAnsi="宋体" w:eastAsia="宋体"/>
                <w:sz w:val="16"/>
              </w:rPr>
              <w:t>实际完成情况</w:t>
            </w:r>
          </w:p>
        </w:tc>
      </w:tr>
      <w:tr w14:paraId="617ED0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3590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1C77E3">
            <w:pPr>
              <w:jc w:val="both"/>
            </w:pPr>
            <w:r>
              <w:rPr>
                <w:rFonts w:ascii="宋体" w:hAnsi="宋体" w:eastAsia="宋体"/>
                <w:sz w:val="16"/>
              </w:rPr>
              <w:t>指标1：购置实验室检验设备3台及应急设备1台，提高常规实验室检验检测能力，为实验室资质认证提供必要的保障；                                                                                      指标2：加强实验室检测能力，开展相应检测、监测技术的培训，确保项目尽快发挥效能，提升服务能力和业务水平；                                                                                                  指标3：继续完善鼠疫监测实验室基础设施建设，促进鼠防站的规范化、科学化和现代化建设，全面提升其鼠疫防控能力。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586F65">
            <w:pPr>
              <w:jc w:val="both"/>
            </w:pPr>
            <w:r>
              <w:rPr>
                <w:rFonts w:hint="eastAsia" w:ascii="宋体" w:hAnsi="宋体"/>
                <w:sz w:val="16"/>
                <w:lang w:eastAsia="zh-CN"/>
              </w:rPr>
              <w:t>截至2024</w:t>
            </w:r>
            <w:r>
              <w:rPr>
                <w:rFonts w:ascii="宋体" w:hAnsi="宋体" w:eastAsia="宋体"/>
                <w:sz w:val="16"/>
              </w:rPr>
              <w:t>年12月31日，本项目实际支出资金22万元，预算执行率为100%、实际已完成3台检验检测设备及UPS电源设备的购置，通过实施本项目做好实验室检测能力，开展相应检测、监测技术的培训及实验室资质认证培训；完善鼠疫监测实验室基础设施建设，促进鼠防站的规范化、科学化和现代化建设，全面提升其鼠疫防控能力。</w:t>
            </w:r>
          </w:p>
        </w:tc>
      </w:tr>
      <w:tr w14:paraId="54C479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FF37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75F2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4288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F2E1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55AA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DAE2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115D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CABD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5784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2E56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61D0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CD1F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41B6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89D4A">
            <w:pPr>
              <w:jc w:val="center"/>
            </w:pPr>
            <w:r>
              <w:rPr>
                <w:rFonts w:ascii="宋体" w:hAnsi="宋体" w:eastAsia="宋体"/>
                <w:sz w:val="16"/>
              </w:rPr>
              <w:t>偏差原因分析及改进措施</w:t>
            </w:r>
          </w:p>
        </w:tc>
      </w:tr>
      <w:tr w14:paraId="03CD88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F7288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3D7A5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DA2AC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FF6EE">
            <w:pPr>
              <w:jc w:val="center"/>
            </w:pPr>
            <w:r>
              <w:rPr>
                <w:rFonts w:ascii="宋体" w:hAnsi="宋体" w:eastAsia="宋体"/>
                <w:sz w:val="16"/>
              </w:rPr>
              <w:t>设备实验室及应急购置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1C23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43D2D">
            <w:pPr>
              <w:jc w:val="center"/>
            </w:pPr>
            <w:r>
              <w:rPr>
                <w:rFonts w:ascii="宋体" w:hAnsi="宋体" w:eastAsia="宋体"/>
                <w:sz w:val="16"/>
              </w:rPr>
              <w: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91A56">
            <w:pPr>
              <w:jc w:val="center"/>
            </w:pPr>
            <w:r>
              <w:rPr>
                <w:rFonts w:ascii="宋体" w:hAnsi="宋体" w:eastAsia="宋体"/>
                <w:sz w:val="16"/>
              </w:rPr>
              <w: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DB9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1E04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E1F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667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4AA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597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BD734">
            <w:pPr>
              <w:jc w:val="center"/>
            </w:pPr>
          </w:p>
        </w:tc>
      </w:tr>
      <w:tr w14:paraId="5813A8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FA3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551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032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18267">
            <w:pPr>
              <w:jc w:val="center"/>
            </w:pPr>
            <w:r>
              <w:rPr>
                <w:rFonts w:ascii="宋体" w:hAnsi="宋体" w:eastAsia="宋体"/>
                <w:sz w:val="16"/>
              </w:rPr>
              <w:t>实验室相关检测、监测培训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4B30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7C5BA">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E44A0">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4AD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3E95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35A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E60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806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F2E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A7346">
            <w:pPr>
              <w:jc w:val="center"/>
            </w:pPr>
          </w:p>
        </w:tc>
      </w:tr>
      <w:tr w14:paraId="732DF8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458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A06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C80EB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3AB69">
            <w:pPr>
              <w:jc w:val="center"/>
            </w:pPr>
            <w:r>
              <w:rPr>
                <w:rFonts w:ascii="宋体" w:hAnsi="宋体" w:eastAsia="宋体"/>
                <w:sz w:val="16"/>
              </w:rPr>
              <w:t>工程质量检查合格率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EBBC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D25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D7F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FF1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96C5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9BD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7B1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6DAC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698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1EDB8">
            <w:pPr>
              <w:jc w:val="center"/>
            </w:pPr>
          </w:p>
        </w:tc>
      </w:tr>
      <w:tr w14:paraId="1915A4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8B6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0DC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7F3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CCAD6">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A694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3BE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C2E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DC5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B7B2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0F5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B37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0D68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21B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08F5F">
            <w:pPr>
              <w:jc w:val="center"/>
            </w:pPr>
          </w:p>
        </w:tc>
      </w:tr>
      <w:tr w14:paraId="253B70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868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A97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0839A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AEE62">
            <w:pPr>
              <w:jc w:val="center"/>
            </w:pPr>
            <w:r>
              <w:rPr>
                <w:rFonts w:ascii="宋体" w:hAnsi="宋体" w:eastAsia="宋体"/>
                <w:sz w:val="16"/>
              </w:rPr>
              <w:t>项目建设期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38A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91699">
            <w:pPr>
              <w:jc w:val="center"/>
            </w:pPr>
            <w:r>
              <w:rPr>
                <w:rFonts w:ascii="宋体" w:hAnsi="宋体" w:eastAsia="宋体"/>
                <w:sz w:val="16"/>
              </w:rPr>
              <w:t>&lt;=1年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3FEC1">
            <w:pPr>
              <w:jc w:val="center"/>
            </w:pPr>
            <w:r>
              <w:rPr>
                <w:rFonts w:ascii="宋体" w:hAnsi="宋体" w:eastAsia="宋体"/>
                <w:sz w:val="16"/>
              </w:rPr>
              <w:t>=0.5年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1ED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2442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6B7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0BD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453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B88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7102D">
            <w:pPr>
              <w:jc w:val="center"/>
            </w:pPr>
          </w:p>
        </w:tc>
      </w:tr>
      <w:tr w14:paraId="1ECEE6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E91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63B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63C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345BA">
            <w:pPr>
              <w:jc w:val="center"/>
            </w:pPr>
            <w:r>
              <w:rPr>
                <w:rFonts w:ascii="宋体" w:hAnsi="宋体" w:eastAsia="宋体"/>
                <w:sz w:val="16"/>
              </w:rPr>
              <w:t>设备采购期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26E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7087B">
            <w:pPr>
              <w:jc w:val="center"/>
            </w:pPr>
            <w:r>
              <w:rPr>
                <w:rFonts w:ascii="宋体" w:hAnsi="宋体" w:eastAsia="宋体"/>
                <w:sz w:val="16"/>
              </w:rPr>
              <w:t>&lt;=1年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E6B5A">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636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E91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B0A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1D3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F34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299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492C9">
            <w:pPr>
              <w:jc w:val="center"/>
            </w:pPr>
          </w:p>
        </w:tc>
      </w:tr>
      <w:tr w14:paraId="5C37FA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3CE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CA82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B5E8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9ED36">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39C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A3A79">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72C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066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DBF4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CDE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9C6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D7A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B5398">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113C3">
            <w:pPr>
              <w:jc w:val="center"/>
            </w:pPr>
          </w:p>
        </w:tc>
      </w:tr>
      <w:tr w14:paraId="748DDF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D5D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5CAA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CCDB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1C4D6">
            <w:pPr>
              <w:jc w:val="center"/>
            </w:pPr>
            <w:r>
              <w:rPr>
                <w:rFonts w:ascii="宋体" w:hAnsi="宋体" w:eastAsia="宋体"/>
                <w:sz w:val="16"/>
              </w:rPr>
              <w:t>实验室检验检测能力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58E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882C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636C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D76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653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0E6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F72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7503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AE4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6F2BD">
            <w:pPr>
              <w:jc w:val="center"/>
            </w:pPr>
          </w:p>
        </w:tc>
      </w:tr>
      <w:tr w14:paraId="703F41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7D2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0A4F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CE1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B010A">
            <w:pPr>
              <w:jc w:val="center"/>
            </w:pPr>
            <w:r>
              <w:rPr>
                <w:rFonts w:ascii="宋体" w:hAnsi="宋体" w:eastAsia="宋体"/>
                <w:sz w:val="16"/>
              </w:rPr>
              <w:t>群众对工作的满意程度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81F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DCBB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DC96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B69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758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46B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5DB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23AA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B45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85D20">
            <w:pPr>
              <w:jc w:val="center"/>
            </w:pPr>
          </w:p>
        </w:tc>
      </w:tr>
      <w:tr w14:paraId="347BC7A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2F54A6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59F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6411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64CB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CB2C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E969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76E3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98BD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9D44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A59A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10267B"/>
        </w:tc>
      </w:tr>
    </w:tbl>
    <w:p w14:paraId="091D99C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33CD26F1">
        <w:tblPrEx>
          <w:tblCellMar>
            <w:top w:w="0" w:type="dxa"/>
            <w:left w:w="108" w:type="dxa"/>
            <w:bottom w:w="0" w:type="dxa"/>
            <w:right w:w="108" w:type="dxa"/>
          </w:tblCellMar>
        </w:tblPrEx>
        <w:tc>
          <w:tcPr>
            <w:tcW w:w="8848" w:type="dxa"/>
            <w:gridSpan w:val="14"/>
            <w:vAlign w:val="center"/>
          </w:tcPr>
          <w:p w14:paraId="6D30A447">
            <w:pPr>
              <w:jc w:val="center"/>
            </w:pPr>
            <w:r>
              <w:rPr>
                <w:rFonts w:ascii="宋体" w:hAnsi="宋体" w:eastAsia="宋体"/>
                <w:sz w:val="24"/>
              </w:rPr>
              <w:t>项目支出绩效自评表</w:t>
            </w:r>
          </w:p>
        </w:tc>
      </w:tr>
      <w:tr w14:paraId="35657804">
        <w:tblPrEx>
          <w:tblCellMar>
            <w:top w:w="0" w:type="dxa"/>
            <w:left w:w="108" w:type="dxa"/>
            <w:bottom w:w="0" w:type="dxa"/>
            <w:right w:w="108" w:type="dxa"/>
          </w:tblCellMar>
        </w:tblPrEx>
        <w:tc>
          <w:tcPr>
            <w:tcW w:w="8848" w:type="dxa"/>
            <w:gridSpan w:val="14"/>
            <w:vAlign w:val="center"/>
          </w:tcPr>
          <w:p w14:paraId="6E128536">
            <w:pPr>
              <w:jc w:val="center"/>
            </w:pPr>
            <w:r>
              <w:rPr>
                <w:rFonts w:ascii="宋体" w:hAnsi="宋体" w:eastAsia="宋体"/>
                <w:sz w:val="24"/>
              </w:rPr>
              <w:t>(2024年度)</w:t>
            </w:r>
          </w:p>
        </w:tc>
      </w:tr>
      <w:tr w14:paraId="70FEDB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7538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171481">
            <w:pPr>
              <w:jc w:val="center"/>
            </w:pPr>
            <w:r>
              <w:rPr>
                <w:rFonts w:ascii="宋体" w:hAnsi="宋体" w:eastAsia="宋体"/>
                <w:sz w:val="16"/>
              </w:rPr>
              <w:t>合建楼围墙及大门设施项目</w:t>
            </w:r>
          </w:p>
        </w:tc>
      </w:tr>
      <w:tr w14:paraId="7E904B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9C96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6AB1E2">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488E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57393B">
            <w:pPr>
              <w:jc w:val="center"/>
            </w:pPr>
            <w:r>
              <w:rPr>
                <w:rFonts w:ascii="宋体" w:hAnsi="宋体" w:eastAsia="宋体"/>
                <w:sz w:val="16"/>
              </w:rPr>
              <w:t>吉木萨尔县疾病预防控制中心</w:t>
            </w:r>
          </w:p>
        </w:tc>
      </w:tr>
      <w:tr w14:paraId="49610E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253DF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1D31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F79C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EAA0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C9B9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884C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97CB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E7A2B">
            <w:pPr>
              <w:jc w:val="center"/>
            </w:pPr>
            <w:r>
              <w:rPr>
                <w:rFonts w:ascii="宋体" w:hAnsi="宋体" w:eastAsia="宋体"/>
                <w:sz w:val="16"/>
              </w:rPr>
              <w:t>得分</w:t>
            </w:r>
          </w:p>
        </w:tc>
      </w:tr>
      <w:tr w14:paraId="7E9C39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C91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8162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920DC">
            <w:pPr>
              <w:jc w:val="center"/>
            </w:pPr>
            <w:r>
              <w:rPr>
                <w:rFonts w:ascii="宋体" w:hAnsi="宋体" w:eastAsia="宋体"/>
                <w:sz w:val="16"/>
              </w:rPr>
              <w:t>28.35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F87BE">
            <w:pPr>
              <w:jc w:val="center"/>
            </w:pPr>
            <w:r>
              <w:rPr>
                <w:rFonts w:ascii="宋体" w:hAnsi="宋体" w:eastAsia="宋体"/>
                <w:sz w:val="16"/>
              </w:rPr>
              <w:t>28.35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5A596">
            <w:pPr>
              <w:jc w:val="center"/>
            </w:pPr>
            <w:r>
              <w:rPr>
                <w:rFonts w:ascii="宋体" w:hAnsi="宋体" w:eastAsia="宋体"/>
                <w:sz w:val="16"/>
              </w:rPr>
              <w:t>28.35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276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B302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F7C66">
            <w:pPr>
              <w:jc w:val="center"/>
            </w:pPr>
            <w:r>
              <w:rPr>
                <w:rFonts w:ascii="宋体" w:hAnsi="宋体" w:eastAsia="宋体"/>
                <w:sz w:val="16"/>
              </w:rPr>
              <w:t>10.00</w:t>
            </w:r>
          </w:p>
        </w:tc>
      </w:tr>
      <w:tr w14:paraId="35DAF8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13A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A266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B50A4">
            <w:pPr>
              <w:jc w:val="center"/>
            </w:pPr>
            <w:r>
              <w:rPr>
                <w:rFonts w:ascii="宋体" w:hAnsi="宋体" w:eastAsia="宋体"/>
                <w:sz w:val="16"/>
              </w:rPr>
              <w:t>28.35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FE619">
            <w:pPr>
              <w:jc w:val="center"/>
            </w:pPr>
            <w:r>
              <w:rPr>
                <w:rFonts w:ascii="宋体" w:hAnsi="宋体" w:eastAsia="宋体"/>
                <w:sz w:val="16"/>
              </w:rPr>
              <w:t>28.35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B0AA8">
            <w:pPr>
              <w:jc w:val="center"/>
            </w:pPr>
            <w:r>
              <w:rPr>
                <w:rFonts w:ascii="宋体" w:hAnsi="宋体" w:eastAsia="宋体"/>
                <w:sz w:val="16"/>
              </w:rPr>
              <w:t>28.35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C32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F8C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8CF74">
            <w:pPr>
              <w:jc w:val="center"/>
            </w:pPr>
            <w:r>
              <w:rPr>
                <w:rFonts w:ascii="宋体" w:hAnsi="宋体" w:eastAsia="宋体"/>
                <w:sz w:val="16"/>
              </w:rPr>
              <w:t>—</w:t>
            </w:r>
          </w:p>
        </w:tc>
      </w:tr>
      <w:tr w14:paraId="5CF56A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96B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D790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0AE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8E2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532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DAC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AD2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BE617">
            <w:pPr>
              <w:jc w:val="center"/>
            </w:pPr>
            <w:r>
              <w:rPr>
                <w:rFonts w:ascii="宋体" w:hAnsi="宋体" w:eastAsia="宋体"/>
                <w:sz w:val="16"/>
              </w:rPr>
              <w:t>—</w:t>
            </w:r>
          </w:p>
        </w:tc>
      </w:tr>
      <w:tr w14:paraId="265C19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E5278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AE8A9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77D54D">
            <w:pPr>
              <w:jc w:val="center"/>
            </w:pPr>
            <w:r>
              <w:rPr>
                <w:rFonts w:ascii="宋体" w:hAnsi="宋体" w:eastAsia="宋体"/>
                <w:sz w:val="16"/>
              </w:rPr>
              <w:t>实际完成情况</w:t>
            </w:r>
          </w:p>
        </w:tc>
      </w:tr>
      <w:tr w14:paraId="672897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161D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731BE2">
            <w:pPr>
              <w:jc w:val="left"/>
            </w:pPr>
            <w:r>
              <w:rPr>
                <w:rFonts w:ascii="宋体" w:hAnsi="宋体" w:eastAsia="宋体"/>
                <w:sz w:val="16"/>
              </w:rPr>
              <w:t>指标1：修建围墙300米，安装大门3樘，围墙、大门及附属设施的质量符合相关标准和设计要求，无质量问题或安全隐患；                                                                                      指标2：项目完成后，能够有效防止外部不安全因素侵入，保障内部安全；                                                                                               指标3：项目实际投资控制在预算范围内，无超支现象。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5BAA2F">
            <w:pPr>
              <w:jc w:val="both"/>
            </w:pPr>
            <w:r>
              <w:rPr>
                <w:rFonts w:hint="eastAsia" w:ascii="宋体" w:hAnsi="宋体"/>
                <w:sz w:val="16"/>
                <w:lang w:eastAsia="zh-CN"/>
              </w:rPr>
              <w:t>截至2024</w:t>
            </w:r>
            <w:r>
              <w:rPr>
                <w:rFonts w:ascii="宋体" w:hAnsi="宋体" w:eastAsia="宋体"/>
                <w:sz w:val="16"/>
              </w:rPr>
              <w:t>年12月31日，本项目实际支出资金28.35万元，预算执行率为100%，通过实施本项目已完成修建围墙300米，安装大门3樘，围墙、大门及附属设施的质量符合相关标准和设计要求，无质量问题或安全隐患。</w:t>
            </w:r>
          </w:p>
        </w:tc>
      </w:tr>
      <w:tr w14:paraId="1F477F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33D7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D89E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81E9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3168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9EB6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8A9A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F17A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1EAC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452C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A6F4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8D44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CF18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955D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02829">
            <w:pPr>
              <w:jc w:val="center"/>
            </w:pPr>
            <w:r>
              <w:rPr>
                <w:rFonts w:ascii="宋体" w:hAnsi="宋体" w:eastAsia="宋体"/>
                <w:sz w:val="16"/>
              </w:rPr>
              <w:t>偏差原因分析及改进措施</w:t>
            </w:r>
          </w:p>
        </w:tc>
      </w:tr>
      <w:tr w14:paraId="2B8524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0BD21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CB9BC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02B8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3B37F">
            <w:pPr>
              <w:jc w:val="center"/>
            </w:pPr>
            <w:r>
              <w:rPr>
                <w:rFonts w:ascii="宋体" w:hAnsi="宋体" w:eastAsia="宋体"/>
                <w:sz w:val="16"/>
              </w:rPr>
              <w:t>围墙建设总长度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F616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74BD5">
            <w:pPr>
              <w:jc w:val="center"/>
            </w:pPr>
            <w:r>
              <w:rPr>
                <w:rFonts w:ascii="宋体" w:hAnsi="宋体" w:eastAsia="宋体"/>
                <w:sz w:val="16"/>
              </w:rPr>
              <w:t>&lt;=300米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A9A1D">
            <w:pPr>
              <w:jc w:val="center"/>
            </w:pPr>
            <w:r>
              <w:rPr>
                <w:rFonts w:ascii="宋体" w:hAnsi="宋体" w:eastAsia="宋体"/>
                <w:sz w:val="16"/>
              </w:rPr>
              <w:t>=330米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139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716F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A48D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094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3C53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309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70B09">
            <w:pPr>
              <w:jc w:val="center"/>
            </w:pPr>
          </w:p>
        </w:tc>
      </w:tr>
      <w:tr w14:paraId="369EB3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552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47D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EC8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0DA45">
            <w:pPr>
              <w:jc w:val="center"/>
            </w:pPr>
            <w:r>
              <w:rPr>
                <w:rFonts w:ascii="宋体" w:hAnsi="宋体" w:eastAsia="宋体"/>
                <w:sz w:val="16"/>
              </w:rPr>
              <w:t>大门数量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5917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76CD9">
            <w:pPr>
              <w:jc w:val="center"/>
            </w:pPr>
            <w:r>
              <w:rPr>
                <w:rFonts w:ascii="宋体" w:hAnsi="宋体" w:eastAsia="宋体"/>
                <w:sz w:val="16"/>
              </w:rPr>
              <w:t>=3樘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5B39A">
            <w:pPr>
              <w:jc w:val="center"/>
            </w:pPr>
            <w:r>
              <w:rPr>
                <w:rFonts w:ascii="宋体" w:hAnsi="宋体" w:eastAsia="宋体"/>
                <w:sz w:val="16"/>
              </w:rPr>
              <w:t>=3樘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F02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5434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4C7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0E6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E69B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783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75EC8">
            <w:pPr>
              <w:jc w:val="center"/>
            </w:pPr>
          </w:p>
        </w:tc>
      </w:tr>
      <w:tr w14:paraId="27DE57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852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28A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4BC9F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47C83">
            <w:pPr>
              <w:jc w:val="center"/>
            </w:pPr>
            <w:r>
              <w:rPr>
                <w:rFonts w:ascii="宋体" w:hAnsi="宋体" w:eastAsia="宋体"/>
                <w:sz w:val="16"/>
              </w:rPr>
              <w:t>施工企业资质合规率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DECE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DF1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B34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E3F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C3D7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260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726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DF5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BC8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568DD">
            <w:pPr>
              <w:jc w:val="center"/>
            </w:pPr>
          </w:p>
        </w:tc>
      </w:tr>
      <w:tr w14:paraId="57D96D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56A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561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7DD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EE1D2">
            <w:pPr>
              <w:jc w:val="center"/>
            </w:pPr>
            <w:r>
              <w:rPr>
                <w:rFonts w:ascii="宋体" w:hAnsi="宋体" w:eastAsia="宋体"/>
                <w:sz w:val="16"/>
              </w:rPr>
              <w:t>工程质量检查合格率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5F20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FBA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D66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58B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C953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DCA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7DD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04CC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425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EAF2D">
            <w:pPr>
              <w:jc w:val="center"/>
            </w:pPr>
          </w:p>
        </w:tc>
      </w:tr>
      <w:tr w14:paraId="4E0258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651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C28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68A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25D25">
            <w:pPr>
              <w:jc w:val="center"/>
            </w:pPr>
            <w:r>
              <w:rPr>
                <w:rFonts w:ascii="宋体" w:hAnsi="宋体" w:eastAsia="宋体"/>
                <w:sz w:val="16"/>
              </w:rPr>
              <w:t>设施功能完备性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B266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304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87E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3E1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FDA4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1BD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247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A566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8E9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33225">
            <w:pPr>
              <w:jc w:val="center"/>
            </w:pPr>
          </w:p>
        </w:tc>
      </w:tr>
      <w:tr w14:paraId="144B1A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FDD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04C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B5EE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2FAFF">
            <w:pPr>
              <w:jc w:val="center"/>
            </w:pPr>
            <w:r>
              <w:rPr>
                <w:rFonts w:ascii="宋体" w:hAnsi="宋体" w:eastAsia="宋体"/>
                <w:sz w:val="16"/>
              </w:rPr>
              <w:t>项目周期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34D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2E847">
            <w:pPr>
              <w:jc w:val="center"/>
            </w:pPr>
            <w:r>
              <w:rPr>
                <w:rFonts w:ascii="宋体" w:hAnsi="宋体" w:eastAsia="宋体"/>
                <w:sz w:val="16"/>
              </w:rPr>
              <w:t>&lt;=10天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19A8C">
            <w:pPr>
              <w:jc w:val="center"/>
            </w:pPr>
            <w:r>
              <w:rPr>
                <w:rFonts w:ascii="宋体" w:hAnsi="宋体" w:eastAsia="宋体"/>
                <w:sz w:val="16"/>
              </w:rPr>
              <w:t>=9天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F7B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235A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8B6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FCE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FF7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A39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E500E">
            <w:pPr>
              <w:jc w:val="center"/>
            </w:pPr>
          </w:p>
        </w:tc>
      </w:tr>
      <w:tr w14:paraId="39D06E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B59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8B63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8979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68B0F">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6898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233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18F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2C5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E14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FB2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221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59D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DAE9A">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318D7">
            <w:pPr>
              <w:jc w:val="center"/>
            </w:pPr>
          </w:p>
        </w:tc>
      </w:tr>
      <w:tr w14:paraId="44DB9F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E2D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3AB1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A2FD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9293C">
            <w:pPr>
              <w:jc w:val="center"/>
            </w:pPr>
            <w:r>
              <w:rPr>
                <w:rFonts w:ascii="宋体" w:hAnsi="宋体" w:eastAsia="宋体"/>
                <w:sz w:val="16"/>
              </w:rPr>
              <w:t>外部不安全因素侵入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A22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F56ED">
            <w:pPr>
              <w:jc w:val="center"/>
            </w:pPr>
            <w:r>
              <w:rPr>
                <w:rFonts w:ascii="宋体" w:hAnsi="宋体" w:eastAsia="宋体"/>
                <w:sz w:val="16"/>
              </w:rPr>
              <w:t>有效防止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5DED5">
            <w:pPr>
              <w:jc w:val="center"/>
            </w:pPr>
            <w:r>
              <w:rPr>
                <w:rFonts w:ascii="宋体" w:hAnsi="宋体" w:eastAsia="宋体"/>
                <w:sz w:val="16"/>
              </w:rPr>
              <w:t>有效防止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538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8B50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95EA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987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A337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77F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B06D2">
            <w:pPr>
              <w:jc w:val="center"/>
            </w:pPr>
          </w:p>
        </w:tc>
      </w:tr>
      <w:tr w14:paraId="7DBCFF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67E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1DA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AEE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BA47D">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CC1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2BBD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B9B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2B3FF">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F8A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376D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925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FFF3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73C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81BBA">
            <w:pPr>
              <w:jc w:val="center"/>
            </w:pPr>
            <w:r>
              <w:rPr>
                <w:rFonts w:ascii="宋体" w:hAnsi="宋体" w:eastAsia="宋体"/>
                <w:sz w:val="16"/>
              </w:rPr>
              <w:t>主要是因为通过调研问卷，受益群众对改善了单位环境，非常满意。</w:t>
            </w:r>
          </w:p>
        </w:tc>
      </w:tr>
      <w:tr w14:paraId="3CE70EF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11F4E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9DF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65B6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BA84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441E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9478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0049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74DD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3CAD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ED90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72DB0E"/>
        </w:tc>
      </w:tr>
    </w:tbl>
    <w:p w14:paraId="75F771A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96"/>
        <w:gridCol w:w="632"/>
        <w:gridCol w:w="632"/>
        <w:gridCol w:w="632"/>
        <w:gridCol w:w="632"/>
        <w:gridCol w:w="632"/>
        <w:gridCol w:w="632"/>
        <w:gridCol w:w="632"/>
      </w:tblGrid>
      <w:tr w14:paraId="3D18517C">
        <w:tblPrEx>
          <w:tblCellMar>
            <w:top w:w="0" w:type="dxa"/>
            <w:left w:w="108" w:type="dxa"/>
            <w:bottom w:w="0" w:type="dxa"/>
            <w:right w:w="108" w:type="dxa"/>
          </w:tblCellMar>
        </w:tblPrEx>
        <w:tc>
          <w:tcPr>
            <w:tcW w:w="9056" w:type="dxa"/>
            <w:gridSpan w:val="14"/>
            <w:vAlign w:val="center"/>
          </w:tcPr>
          <w:p w14:paraId="0AE48E10">
            <w:pPr>
              <w:jc w:val="center"/>
            </w:pPr>
            <w:r>
              <w:rPr>
                <w:rFonts w:ascii="宋体" w:hAnsi="宋体" w:eastAsia="宋体"/>
                <w:sz w:val="24"/>
              </w:rPr>
              <w:t>项目支出绩效自评表</w:t>
            </w:r>
          </w:p>
        </w:tc>
      </w:tr>
      <w:tr w14:paraId="790CBA2C">
        <w:tblPrEx>
          <w:tblCellMar>
            <w:top w:w="0" w:type="dxa"/>
            <w:left w:w="108" w:type="dxa"/>
            <w:bottom w:w="0" w:type="dxa"/>
            <w:right w:w="108" w:type="dxa"/>
          </w:tblCellMar>
        </w:tblPrEx>
        <w:tc>
          <w:tcPr>
            <w:tcW w:w="9056" w:type="dxa"/>
            <w:gridSpan w:val="14"/>
            <w:vAlign w:val="center"/>
          </w:tcPr>
          <w:p w14:paraId="5375FE31">
            <w:pPr>
              <w:jc w:val="center"/>
            </w:pPr>
            <w:r>
              <w:rPr>
                <w:rFonts w:ascii="宋体" w:hAnsi="宋体" w:eastAsia="宋体"/>
                <w:sz w:val="24"/>
              </w:rPr>
              <w:t>(2024年度)</w:t>
            </w:r>
          </w:p>
        </w:tc>
      </w:tr>
      <w:tr w14:paraId="34FC3B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8B4A5">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A64805C">
            <w:pPr>
              <w:jc w:val="center"/>
            </w:pPr>
            <w:r>
              <w:rPr>
                <w:rFonts w:ascii="宋体" w:hAnsi="宋体" w:eastAsia="宋体"/>
                <w:sz w:val="16"/>
              </w:rPr>
              <w:t>重大传染病防控资金</w:t>
            </w:r>
          </w:p>
        </w:tc>
      </w:tr>
      <w:tr w14:paraId="367674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FD165">
            <w:pPr>
              <w:jc w:val="center"/>
            </w:pPr>
            <w:r>
              <w:rPr>
                <w:rFonts w:ascii="宋体" w:hAnsi="宋体" w:eastAsia="宋体"/>
                <w:sz w:val="16"/>
              </w:rPr>
              <w:t>主管部门</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C79798">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41D0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33075E">
            <w:pPr>
              <w:jc w:val="center"/>
            </w:pPr>
            <w:r>
              <w:rPr>
                <w:rFonts w:ascii="宋体" w:hAnsi="宋体" w:eastAsia="宋体"/>
                <w:sz w:val="16"/>
              </w:rPr>
              <w:t>吉木萨尔县疾病预防控制中心</w:t>
            </w:r>
          </w:p>
        </w:tc>
      </w:tr>
      <w:tr w14:paraId="50BC47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C0607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274B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6A043">
            <w:pPr>
              <w:jc w:val="center"/>
            </w:pPr>
            <w:r>
              <w:rPr>
                <w:rFonts w:ascii="宋体" w:hAnsi="宋体" w:eastAsia="宋体"/>
                <w:sz w:val="16"/>
              </w:rPr>
              <w:t>年初预算数</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054B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448C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5744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5658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8A561">
            <w:pPr>
              <w:jc w:val="center"/>
            </w:pPr>
            <w:r>
              <w:rPr>
                <w:rFonts w:ascii="宋体" w:hAnsi="宋体" w:eastAsia="宋体"/>
                <w:sz w:val="16"/>
              </w:rPr>
              <w:t>得分</w:t>
            </w:r>
          </w:p>
        </w:tc>
      </w:tr>
      <w:tr w14:paraId="1206D0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48A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2351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B1FAB">
            <w:pPr>
              <w:jc w:val="center"/>
            </w:pPr>
            <w:r>
              <w:rPr>
                <w:rFonts w:ascii="宋体" w:hAnsi="宋体" w:eastAsia="宋体"/>
                <w:sz w:val="16"/>
              </w:rPr>
              <w:t>17.22</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C836C">
            <w:pPr>
              <w:jc w:val="center"/>
            </w:pPr>
            <w:r>
              <w:rPr>
                <w:rFonts w:ascii="宋体" w:hAnsi="宋体" w:eastAsia="宋体"/>
                <w:sz w:val="16"/>
              </w:rPr>
              <w:t>17.22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DC200">
            <w:pPr>
              <w:jc w:val="center"/>
            </w:pPr>
            <w:r>
              <w:rPr>
                <w:rFonts w:ascii="宋体" w:hAnsi="宋体" w:eastAsia="宋体"/>
                <w:sz w:val="16"/>
              </w:rPr>
              <w:t>17.22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77E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A4B9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ADDE0">
            <w:pPr>
              <w:jc w:val="center"/>
            </w:pPr>
            <w:r>
              <w:rPr>
                <w:rFonts w:ascii="宋体" w:hAnsi="宋体" w:eastAsia="宋体"/>
                <w:sz w:val="16"/>
              </w:rPr>
              <w:t>10.00</w:t>
            </w:r>
          </w:p>
        </w:tc>
      </w:tr>
      <w:tr w14:paraId="7CF6ED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DED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7FF6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E3516">
            <w:pPr>
              <w:jc w:val="center"/>
            </w:pPr>
            <w:r>
              <w:rPr>
                <w:rFonts w:ascii="宋体" w:hAnsi="宋体" w:eastAsia="宋体"/>
                <w:sz w:val="16"/>
              </w:rPr>
              <w:t>17.22</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BE3CA">
            <w:pPr>
              <w:jc w:val="center"/>
            </w:pPr>
            <w:r>
              <w:rPr>
                <w:rFonts w:ascii="宋体" w:hAnsi="宋体" w:eastAsia="宋体"/>
                <w:sz w:val="16"/>
              </w:rPr>
              <w:t>17.22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CF54B">
            <w:pPr>
              <w:jc w:val="center"/>
            </w:pPr>
            <w:r>
              <w:rPr>
                <w:rFonts w:ascii="宋体" w:hAnsi="宋体" w:eastAsia="宋体"/>
                <w:sz w:val="16"/>
              </w:rPr>
              <w:t>17.22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EF0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3CE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965C1">
            <w:pPr>
              <w:jc w:val="center"/>
            </w:pPr>
            <w:r>
              <w:rPr>
                <w:rFonts w:ascii="宋体" w:hAnsi="宋体" w:eastAsia="宋体"/>
                <w:sz w:val="16"/>
              </w:rPr>
              <w:t>—</w:t>
            </w:r>
          </w:p>
        </w:tc>
      </w:tr>
      <w:tr w14:paraId="4058E8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33B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9FAC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C1A9C">
            <w:pPr>
              <w:jc w:val="center"/>
            </w:pPr>
            <w:r>
              <w:rPr>
                <w:rFonts w:ascii="宋体" w:hAnsi="宋体" w:eastAsia="宋体"/>
                <w:sz w:val="16"/>
              </w:rPr>
              <w:t>0.00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CB7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1E0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3FE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0F6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F98F0">
            <w:pPr>
              <w:jc w:val="center"/>
            </w:pPr>
            <w:r>
              <w:rPr>
                <w:rFonts w:ascii="宋体" w:hAnsi="宋体" w:eastAsia="宋体"/>
                <w:sz w:val="16"/>
              </w:rPr>
              <w:t>—</w:t>
            </w:r>
          </w:p>
        </w:tc>
      </w:tr>
      <w:tr w14:paraId="15B58F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ECE146">
            <w:pPr>
              <w:jc w:val="center"/>
            </w:pPr>
            <w:r>
              <w:rPr>
                <w:rFonts w:ascii="宋体" w:hAnsi="宋体" w:eastAsia="宋体"/>
                <w:sz w:val="16"/>
              </w:rPr>
              <w:t>年度总体目标</w:t>
            </w:r>
          </w:p>
        </w:tc>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78F0C1">
            <w:pPr>
              <w:jc w:val="center"/>
            </w:pPr>
            <w:r>
              <w:rPr>
                <w:rFonts w:ascii="宋体" w:hAnsi="宋体" w:eastAsia="宋体"/>
                <w:sz w:val="16"/>
              </w:rPr>
              <w:t>预期目标</w:t>
            </w:r>
          </w:p>
        </w:tc>
        <w:tc>
          <w:tcPr>
            <w:tcW w:w="5896"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6B173151">
            <w:pPr>
              <w:jc w:val="center"/>
            </w:pPr>
            <w:r>
              <w:rPr>
                <w:rFonts w:ascii="宋体" w:hAnsi="宋体" w:eastAsia="宋体"/>
                <w:sz w:val="16"/>
              </w:rPr>
              <w:t>实际完成情况</w:t>
            </w:r>
          </w:p>
        </w:tc>
      </w:tr>
      <w:tr w14:paraId="4B73DC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3969D"/>
        </w:tc>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7A7266">
            <w:pPr>
              <w:jc w:val="both"/>
            </w:pPr>
            <w:r>
              <w:rPr>
                <w:rFonts w:ascii="宋体" w:hAnsi="宋体" w:eastAsia="宋体"/>
                <w:sz w:val="16"/>
              </w:rPr>
              <w:t>持续巩固和加强包虫病防治成果，积极开展病人筛查和救治，减轻患者负担。重点加强包虫病流行区传染源防制和管理，有效控制包虫病在我区的流行。完成包虫病、布病监测项目监测任务。</w:t>
            </w:r>
          </w:p>
        </w:tc>
        <w:tc>
          <w:tcPr>
            <w:tcW w:w="5896"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18F12954">
            <w:pPr>
              <w:jc w:val="both"/>
            </w:pPr>
            <w:r>
              <w:rPr>
                <w:rFonts w:hint="eastAsia" w:ascii="宋体" w:hAnsi="宋体"/>
                <w:sz w:val="16"/>
                <w:lang w:eastAsia="zh-CN"/>
              </w:rPr>
              <w:t>截至2024</w:t>
            </w:r>
            <w:r>
              <w:rPr>
                <w:rFonts w:ascii="宋体" w:hAnsi="宋体" w:eastAsia="宋体"/>
                <w:sz w:val="16"/>
              </w:rPr>
              <w:t>年12月31日，本项目实际支出资金17.22万元，预算执行率100%，实际包括包虫病防治项目人群普查7000人，在监测点（泉子街镇）开展1000人的居民B超检查，目前此项工作已完成。犬粪采集：在全县54个村开展，每个村10份，共840份，已采集及检测完成。中间宿主监测500只羊肝脏检查已完成。中小学生行为干预调查问卷300份已完成。所有监测数据已录入并完成自治区终审。病人治疗管理：截至目前，共上报6例包虫病患者，其中手术4例，药物治疗6例,所有包虫病患者均按照自治区医防结合实施方案规范治疗管理。上报布病患者62例，开展个案调查62例，常规开展追踪随访。布病监测项目：完成重点人群初筛1357人。通过实施本项目，加强流行病传染源的管理，有效控制传播，实现了</w:t>
            </w:r>
            <w:r>
              <w:rPr>
                <w:rFonts w:hint="eastAsia" w:ascii="宋体" w:hAnsi="宋体"/>
                <w:sz w:val="16"/>
                <w:lang w:eastAsia="zh-CN"/>
              </w:rPr>
              <w:t>资金</w:t>
            </w:r>
            <w:r>
              <w:rPr>
                <w:rFonts w:ascii="宋体" w:hAnsi="宋体" w:eastAsia="宋体"/>
                <w:sz w:val="16"/>
              </w:rPr>
              <w:t>执行率100%，资金使用规范高效。</w:t>
            </w:r>
          </w:p>
        </w:tc>
      </w:tr>
      <w:tr w14:paraId="5B3A5E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E464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1FDF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B1EB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804C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51803">
            <w:pPr>
              <w:jc w:val="center"/>
            </w:pPr>
            <w:r>
              <w:rPr>
                <w:rFonts w:ascii="宋体" w:hAnsi="宋体" w:eastAsia="宋体"/>
                <w:sz w:val="16"/>
              </w:rPr>
              <w:t>权重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85AC10C">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CE8F07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9718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ECE4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79D0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A8EF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5125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35C1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84365">
            <w:pPr>
              <w:jc w:val="center"/>
            </w:pPr>
            <w:r>
              <w:rPr>
                <w:rFonts w:ascii="宋体" w:hAnsi="宋体" w:eastAsia="宋体"/>
                <w:sz w:val="16"/>
              </w:rPr>
              <w:t>偏差原因分析及改进措施</w:t>
            </w:r>
          </w:p>
        </w:tc>
      </w:tr>
      <w:tr w14:paraId="5C8769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5BD3B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C05E2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72006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69E97">
            <w:pPr>
              <w:jc w:val="center"/>
            </w:pPr>
            <w:bookmarkStart w:id="0" w:name="_GoBack"/>
            <w:r>
              <w:rPr>
                <w:rFonts w:ascii="宋体" w:hAnsi="宋体" w:eastAsia="宋体"/>
                <w:sz w:val="16"/>
              </w:rPr>
              <w:t>包虫病</w:t>
            </w:r>
            <w:bookmarkEnd w:id="0"/>
            <w:r>
              <w:rPr>
                <w:rFonts w:ascii="宋体" w:hAnsi="宋体" w:eastAsia="宋体"/>
                <w:sz w:val="16"/>
              </w:rPr>
              <w:t>居民B超筛查任务数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FCB23">
            <w:pPr>
              <w:jc w:val="center"/>
            </w:pPr>
            <w:r>
              <w:rPr>
                <w:rFonts w:ascii="宋体" w:hAnsi="宋体" w:eastAsia="宋体"/>
                <w:sz w:val="16"/>
              </w:rPr>
              <w:t>13</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67C63A8">
            <w:pPr>
              <w:jc w:val="center"/>
            </w:pPr>
            <w:r>
              <w:rPr>
                <w:rFonts w:ascii="宋体" w:hAnsi="宋体" w:eastAsia="宋体"/>
                <w:sz w:val="16"/>
              </w:rPr>
              <w:t>&gt;=7000人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B77472">
            <w:pPr>
              <w:jc w:val="center"/>
            </w:pPr>
            <w:r>
              <w:rPr>
                <w:rFonts w:ascii="宋体" w:hAnsi="宋体" w:eastAsia="宋体"/>
                <w:sz w:val="16"/>
              </w:rPr>
              <w:t>=7000人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B9A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A1201">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321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1A4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353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CD7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44156">
            <w:pPr>
              <w:jc w:val="center"/>
            </w:pPr>
          </w:p>
        </w:tc>
      </w:tr>
      <w:tr w14:paraId="25FBBE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A3A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89D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4F5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4E064">
            <w:pPr>
              <w:jc w:val="center"/>
            </w:pPr>
            <w:r>
              <w:rPr>
                <w:rFonts w:ascii="宋体" w:hAnsi="宋体" w:eastAsia="宋体"/>
                <w:sz w:val="16"/>
              </w:rPr>
              <w:t>布病监测项目重点人群初筛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15E3F">
            <w:pPr>
              <w:jc w:val="center"/>
            </w:pPr>
            <w:r>
              <w:rPr>
                <w:rFonts w:ascii="宋体" w:hAnsi="宋体" w:eastAsia="宋体"/>
                <w:sz w:val="16"/>
              </w:rPr>
              <w:t>12</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9A842FE">
            <w:pPr>
              <w:jc w:val="center"/>
            </w:pPr>
            <w:r>
              <w:rPr>
                <w:rFonts w:ascii="宋体" w:hAnsi="宋体" w:eastAsia="宋体"/>
                <w:sz w:val="16"/>
              </w:rPr>
              <w:t>=1000人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517511">
            <w:pPr>
              <w:jc w:val="center"/>
            </w:pPr>
            <w:r>
              <w:rPr>
                <w:rFonts w:ascii="宋体" w:hAnsi="宋体" w:eastAsia="宋体"/>
                <w:sz w:val="16"/>
              </w:rPr>
              <w:t>=1357人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E7B53">
            <w:pPr>
              <w:jc w:val="center"/>
            </w:pPr>
            <w:r>
              <w:rPr>
                <w:rFonts w:ascii="宋体" w:hAnsi="宋体" w:eastAsia="宋体"/>
                <w:sz w:val="16"/>
              </w:rPr>
              <w:t>135%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6FB4A">
            <w:pPr>
              <w:jc w:val="center"/>
            </w:pPr>
            <w:r>
              <w:rPr>
                <w:rFonts w:ascii="宋体" w:hAnsi="宋体" w:eastAsia="宋体"/>
                <w:sz w:val="16"/>
              </w:rPr>
              <w:t>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26D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959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DA2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DD7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2F59E">
            <w:pPr>
              <w:jc w:val="center"/>
            </w:pPr>
            <w:r>
              <w:rPr>
                <w:rFonts w:ascii="宋体" w:hAnsi="宋体" w:eastAsia="宋体"/>
                <w:sz w:val="16"/>
              </w:rPr>
              <w:t>目标值设置过低导致任务超额完成。</w:t>
            </w:r>
          </w:p>
        </w:tc>
      </w:tr>
      <w:tr w14:paraId="13EC3F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86C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BB3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63969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BF58E">
            <w:pPr>
              <w:jc w:val="center"/>
            </w:pPr>
            <w:r>
              <w:rPr>
                <w:rFonts w:ascii="宋体" w:hAnsi="宋体" w:eastAsia="宋体"/>
                <w:sz w:val="16"/>
              </w:rPr>
              <w:t>包虫病筛查任务完成率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D4969">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40734F8">
            <w:pPr>
              <w:jc w:val="center"/>
            </w:pPr>
            <w:r>
              <w:rPr>
                <w:rFonts w:ascii="宋体" w:hAnsi="宋体" w:eastAsia="宋体"/>
                <w:sz w:val="16"/>
              </w:rPr>
              <w:t>&gt;=100%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EACC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E73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D0D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71A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9DA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C5F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CF9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B7F68">
            <w:pPr>
              <w:jc w:val="center"/>
            </w:pPr>
          </w:p>
        </w:tc>
      </w:tr>
      <w:tr w14:paraId="7E1D60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552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46A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65E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96B5F">
            <w:pPr>
              <w:jc w:val="center"/>
            </w:pPr>
            <w:r>
              <w:rPr>
                <w:rFonts w:ascii="宋体" w:hAnsi="宋体" w:eastAsia="宋体"/>
                <w:sz w:val="16"/>
              </w:rPr>
              <w:t>布病初筛率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F2633">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8968AEF">
            <w:pPr>
              <w:jc w:val="center"/>
            </w:pPr>
            <w:r>
              <w:rPr>
                <w:rFonts w:ascii="宋体" w:hAnsi="宋体" w:eastAsia="宋体"/>
                <w:sz w:val="16"/>
              </w:rPr>
              <w:t>&gt;=95%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88620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E35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A38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BF1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343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B55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4A8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4C345">
            <w:pPr>
              <w:jc w:val="center"/>
            </w:pPr>
          </w:p>
        </w:tc>
      </w:tr>
      <w:tr w14:paraId="106E88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B3A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78D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0F3D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91C6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B2807">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A4BB06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286A7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46F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3E2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09F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ABF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5C3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EBA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4B0C5">
            <w:pPr>
              <w:jc w:val="center"/>
            </w:pPr>
          </w:p>
        </w:tc>
      </w:tr>
      <w:tr w14:paraId="392596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77B2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132F1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50BD5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BFF91">
            <w:pPr>
              <w:jc w:val="center"/>
            </w:pPr>
            <w:r>
              <w:rPr>
                <w:rFonts w:ascii="宋体" w:hAnsi="宋体" w:eastAsia="宋体"/>
                <w:sz w:val="16"/>
              </w:rPr>
              <w:t>包虫病防治经费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8007B">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C53AD4D">
            <w:pPr>
              <w:jc w:val="center"/>
            </w:pPr>
            <w:r>
              <w:rPr>
                <w:rFonts w:ascii="宋体" w:hAnsi="宋体" w:eastAsia="宋体"/>
                <w:sz w:val="16"/>
              </w:rPr>
              <w:t>&lt;=11.45万元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F66F45">
            <w:pPr>
              <w:jc w:val="center"/>
            </w:pPr>
            <w:r>
              <w:rPr>
                <w:rFonts w:ascii="宋体" w:hAnsi="宋体" w:eastAsia="宋体"/>
                <w:sz w:val="16"/>
              </w:rPr>
              <w:t>=11.45万元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1A2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F0A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442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751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25F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381E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CA7A7">
            <w:pPr>
              <w:jc w:val="center"/>
            </w:pPr>
          </w:p>
        </w:tc>
      </w:tr>
      <w:tr w14:paraId="2E194A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465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BDF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99B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C39A8">
            <w:pPr>
              <w:jc w:val="center"/>
            </w:pPr>
            <w:r>
              <w:rPr>
                <w:rFonts w:ascii="宋体" w:hAnsi="宋体" w:eastAsia="宋体"/>
                <w:sz w:val="16"/>
              </w:rPr>
              <w:t>布病防治经费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1EC31">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C4E3CF6">
            <w:pPr>
              <w:jc w:val="center"/>
            </w:pPr>
            <w:r>
              <w:rPr>
                <w:rFonts w:ascii="宋体" w:hAnsi="宋体" w:eastAsia="宋体"/>
                <w:sz w:val="16"/>
              </w:rPr>
              <w:t>&lt;=5.77万元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EA02F7D">
            <w:pPr>
              <w:jc w:val="center"/>
            </w:pPr>
            <w:r>
              <w:rPr>
                <w:rFonts w:ascii="宋体" w:hAnsi="宋体" w:eastAsia="宋体"/>
                <w:sz w:val="16"/>
              </w:rPr>
              <w:t>=5.77万元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4F6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550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1B4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6B8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A03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78A6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2F990">
            <w:pPr>
              <w:jc w:val="center"/>
            </w:pPr>
          </w:p>
        </w:tc>
      </w:tr>
      <w:tr w14:paraId="1E99C3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249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4658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E3C2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8056">
            <w:pPr>
              <w:jc w:val="center"/>
            </w:pPr>
            <w:r>
              <w:rPr>
                <w:rFonts w:ascii="宋体" w:hAnsi="宋体" w:eastAsia="宋体"/>
                <w:sz w:val="16"/>
              </w:rPr>
              <w:t>提升预防和控制主要传染病能力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3BF6D">
            <w:pPr>
              <w:jc w:val="center"/>
            </w:pPr>
            <w:r>
              <w:rPr>
                <w:rFonts w:ascii="宋体" w:hAnsi="宋体" w:eastAsia="宋体"/>
                <w:sz w:val="16"/>
              </w:rPr>
              <w:t>20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AE31F4B">
            <w:pPr>
              <w:jc w:val="center"/>
            </w:pPr>
            <w:r>
              <w:rPr>
                <w:rFonts w:ascii="宋体" w:hAnsi="宋体" w:eastAsia="宋体"/>
                <w:sz w:val="16"/>
              </w:rPr>
              <w:t>有效提升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D5727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B76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F187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BAB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DC2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317E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09B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1AAFD">
            <w:pPr>
              <w:jc w:val="center"/>
            </w:pPr>
          </w:p>
        </w:tc>
      </w:tr>
      <w:tr w14:paraId="135E62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F3C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56A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91A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7952B">
            <w:pPr>
              <w:jc w:val="center"/>
            </w:pPr>
            <w:r>
              <w:rPr>
                <w:rFonts w:ascii="宋体" w:hAnsi="宋体" w:eastAsia="宋体"/>
                <w:sz w:val="16"/>
              </w:rPr>
              <w:t>全县受益群众满意度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A0E72">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9AD70EB">
            <w:pPr>
              <w:jc w:val="center"/>
            </w:pPr>
            <w:r>
              <w:rPr>
                <w:rFonts w:ascii="宋体" w:hAnsi="宋体" w:eastAsia="宋体"/>
                <w:sz w:val="16"/>
              </w:rPr>
              <w:t>&gt;=95%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73C78B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722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0B2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ACC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4D8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4CD7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993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DBAFE">
            <w:pPr>
              <w:jc w:val="center"/>
            </w:pPr>
          </w:p>
        </w:tc>
      </w:tr>
      <w:tr w14:paraId="162FFE7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D8956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9728D">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6D92A773"/>
        </w:tc>
        <w:tc>
          <w:tcPr>
            <w:tcW w:w="696" w:type="dxa"/>
            <w:tcBorders>
              <w:top w:val="single" w:color="auto" w:sz="10" w:space="0"/>
              <w:left w:val="single" w:color="auto" w:sz="10" w:space="0"/>
              <w:bottom w:val="single" w:color="auto" w:sz="10" w:space="0"/>
              <w:right w:val="single" w:color="auto" w:sz="10" w:space="0"/>
              <w:insideV w:val="single" w:sz="10" w:space="0"/>
            </w:tcBorders>
          </w:tcPr>
          <w:p w14:paraId="005E74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66B8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37113">
            <w:pPr>
              <w:jc w:val="center"/>
            </w:pPr>
            <w:r>
              <w:rPr>
                <w:rFonts w:ascii="宋体" w:hAnsi="宋体" w:eastAsia="宋体"/>
                <w:sz w:val="16"/>
              </w:rPr>
              <w:t>95.80分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F0F5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6A51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FC23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07E0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61BF4E"/>
        </w:tc>
      </w:tr>
    </w:tbl>
    <w:p w14:paraId="0FC96B4D">
      <w:r>
        <w:br w:type="page"/>
      </w:r>
    </w:p>
    <w:p w14:paraId="06B985A7">
      <w:pPr>
        <w:spacing w:line="640" w:lineRule="exact"/>
        <w:ind w:firstLine="640"/>
        <w:jc w:val="both"/>
        <w:outlineLvl w:val="2"/>
      </w:pPr>
      <w:r>
        <w:rPr>
          <w:rFonts w:ascii="黑体" w:hAnsi="黑体" w:eastAsia="黑体"/>
          <w:sz w:val="32"/>
        </w:rPr>
        <w:t>十二、其他需说明的事项</w:t>
      </w:r>
    </w:p>
    <w:p w14:paraId="40EB2AA8">
      <w:pPr>
        <w:spacing w:line="580" w:lineRule="exact"/>
        <w:ind w:firstLine="640"/>
        <w:jc w:val="both"/>
      </w:pPr>
      <w:r>
        <w:rPr>
          <w:rFonts w:ascii="仿宋_GB2312" w:hAnsi="仿宋_GB2312" w:eastAsia="仿宋_GB2312"/>
          <w:b w:val="0"/>
          <w:sz w:val="32"/>
        </w:rPr>
        <w:t>本单位无其他需说明的事项。</w:t>
      </w:r>
    </w:p>
    <w:p w14:paraId="4FE189A9">
      <w:r>
        <w:br w:type="page"/>
      </w:r>
    </w:p>
    <w:p w14:paraId="2A08FFCF">
      <w:pPr>
        <w:spacing w:line="240" w:lineRule="auto"/>
        <w:jc w:val="center"/>
        <w:outlineLvl w:val="1"/>
      </w:pPr>
      <w:r>
        <w:rPr>
          <w:rFonts w:ascii="黑体" w:hAnsi="黑体" w:eastAsia="黑体"/>
          <w:sz w:val="32"/>
        </w:rPr>
        <w:t>第三部分 专业名词解释</w:t>
      </w:r>
    </w:p>
    <w:p w14:paraId="3A8FB66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D3D230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E98A5D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D8F363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822E4E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B94262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F5AA7E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6BADC3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38AE75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CC82F8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B52A7F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3DA37D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38BE02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4ECE1C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294A378">
      <w:r>
        <w:br w:type="page"/>
      </w:r>
    </w:p>
    <w:p w14:paraId="19700AD3">
      <w:pPr>
        <w:spacing w:line="240" w:lineRule="auto"/>
        <w:jc w:val="center"/>
        <w:outlineLvl w:val="1"/>
      </w:pPr>
      <w:r>
        <w:rPr>
          <w:rFonts w:ascii="黑体" w:hAnsi="黑体" w:eastAsia="黑体"/>
          <w:sz w:val="32"/>
        </w:rPr>
        <w:t>第四部分 部门决算报表（见附表）</w:t>
      </w:r>
    </w:p>
    <w:p w14:paraId="346B8584">
      <w:pPr>
        <w:spacing w:line="240" w:lineRule="auto"/>
        <w:ind w:firstLine="640"/>
        <w:jc w:val="both"/>
      </w:pPr>
      <w:r>
        <w:rPr>
          <w:rFonts w:ascii="仿宋_GB2312" w:hAnsi="仿宋_GB2312" w:eastAsia="仿宋_GB2312"/>
          <w:b w:val="0"/>
          <w:sz w:val="32"/>
        </w:rPr>
        <w:t>一、《收入支出决算总表》</w:t>
      </w:r>
    </w:p>
    <w:p w14:paraId="13A18FAF">
      <w:pPr>
        <w:spacing w:line="240" w:lineRule="auto"/>
        <w:ind w:firstLine="640"/>
        <w:jc w:val="both"/>
      </w:pPr>
      <w:r>
        <w:rPr>
          <w:rFonts w:ascii="仿宋_GB2312" w:hAnsi="仿宋_GB2312" w:eastAsia="仿宋_GB2312"/>
          <w:b w:val="0"/>
          <w:sz w:val="32"/>
        </w:rPr>
        <w:t>二、《收入决算表》</w:t>
      </w:r>
    </w:p>
    <w:p w14:paraId="69641EF8">
      <w:pPr>
        <w:spacing w:line="240" w:lineRule="auto"/>
        <w:ind w:firstLine="640"/>
        <w:jc w:val="both"/>
      </w:pPr>
      <w:r>
        <w:rPr>
          <w:rFonts w:ascii="仿宋_GB2312" w:hAnsi="仿宋_GB2312" w:eastAsia="仿宋_GB2312"/>
          <w:b w:val="0"/>
          <w:sz w:val="32"/>
        </w:rPr>
        <w:t>三、《支出决算表》</w:t>
      </w:r>
    </w:p>
    <w:p w14:paraId="795F373D">
      <w:pPr>
        <w:spacing w:line="240" w:lineRule="auto"/>
        <w:ind w:firstLine="640"/>
        <w:jc w:val="both"/>
      </w:pPr>
      <w:r>
        <w:rPr>
          <w:rFonts w:ascii="仿宋_GB2312" w:hAnsi="仿宋_GB2312" w:eastAsia="仿宋_GB2312"/>
          <w:b w:val="0"/>
          <w:sz w:val="32"/>
        </w:rPr>
        <w:t>四、《财政拨款收入支出决算总表》</w:t>
      </w:r>
    </w:p>
    <w:p w14:paraId="35768E15">
      <w:pPr>
        <w:spacing w:line="240" w:lineRule="auto"/>
        <w:ind w:firstLine="640"/>
        <w:jc w:val="both"/>
      </w:pPr>
      <w:r>
        <w:rPr>
          <w:rFonts w:ascii="仿宋_GB2312" w:hAnsi="仿宋_GB2312" w:eastAsia="仿宋_GB2312"/>
          <w:b w:val="0"/>
          <w:sz w:val="32"/>
        </w:rPr>
        <w:t>五、《一般公共预算财政拨款支出决算表》</w:t>
      </w:r>
    </w:p>
    <w:p w14:paraId="4202B3CF">
      <w:pPr>
        <w:spacing w:line="240" w:lineRule="auto"/>
        <w:ind w:firstLine="640"/>
        <w:jc w:val="both"/>
      </w:pPr>
      <w:r>
        <w:rPr>
          <w:rFonts w:ascii="仿宋_GB2312" w:hAnsi="仿宋_GB2312" w:eastAsia="仿宋_GB2312"/>
          <w:b w:val="0"/>
          <w:sz w:val="32"/>
        </w:rPr>
        <w:t>六、《一般公共预算财政拨款基本支出决算表》</w:t>
      </w:r>
    </w:p>
    <w:p w14:paraId="211CF76F">
      <w:pPr>
        <w:spacing w:line="240" w:lineRule="auto"/>
        <w:ind w:firstLine="640"/>
        <w:jc w:val="both"/>
      </w:pPr>
      <w:r>
        <w:rPr>
          <w:rFonts w:ascii="仿宋_GB2312" w:hAnsi="仿宋_GB2312" w:eastAsia="仿宋_GB2312"/>
          <w:b w:val="0"/>
          <w:sz w:val="32"/>
        </w:rPr>
        <w:t>七、《政府性基金预算财政拨款收入支出决算表》</w:t>
      </w:r>
    </w:p>
    <w:p w14:paraId="6154CE5D">
      <w:pPr>
        <w:spacing w:line="240" w:lineRule="auto"/>
        <w:ind w:firstLine="640"/>
        <w:jc w:val="both"/>
      </w:pPr>
      <w:r>
        <w:rPr>
          <w:rFonts w:ascii="仿宋_GB2312" w:hAnsi="仿宋_GB2312" w:eastAsia="仿宋_GB2312"/>
          <w:b w:val="0"/>
          <w:sz w:val="32"/>
        </w:rPr>
        <w:t>八、《国有资本经营预算财政拨款收入支出决算表》</w:t>
      </w:r>
    </w:p>
    <w:p w14:paraId="260DFA94">
      <w:pPr>
        <w:spacing w:line="240" w:lineRule="auto"/>
        <w:ind w:firstLine="640"/>
        <w:jc w:val="both"/>
      </w:pPr>
      <w:r>
        <w:rPr>
          <w:rFonts w:ascii="仿宋_GB2312" w:hAnsi="仿宋_GB2312" w:eastAsia="仿宋_GB2312"/>
          <w:b w:val="0"/>
          <w:sz w:val="32"/>
        </w:rPr>
        <w:t>九、《财政拨款“三公”经费支出决算表》</w:t>
      </w:r>
    </w:p>
    <w:p w14:paraId="664790B8">
      <w:pPr>
        <w:spacing w:line="240" w:lineRule="auto"/>
        <w:ind w:firstLine="640"/>
        <w:jc w:val="both"/>
      </w:pPr>
    </w:p>
    <w:p w14:paraId="563CC34E">
      <w:pPr>
        <w:spacing w:line="240" w:lineRule="auto"/>
        <w:ind w:firstLine="640"/>
        <w:jc w:val="both"/>
      </w:pPr>
    </w:p>
    <w:p w14:paraId="608EDA38">
      <w:pPr>
        <w:spacing w:line="240" w:lineRule="auto"/>
        <w:ind w:firstLine="640"/>
        <w:jc w:val="both"/>
      </w:pPr>
    </w:p>
    <w:p w14:paraId="69EBB4CF">
      <w:pPr>
        <w:spacing w:line="240" w:lineRule="auto"/>
        <w:ind w:firstLine="640"/>
        <w:jc w:val="both"/>
      </w:pPr>
    </w:p>
    <w:p w14:paraId="02A5C03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01C6149"/>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CF61F0A"/>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15523</Words>
  <Characters>18082</Characters>
  <Lines>0</Lines>
  <Paragraphs>0</Paragraphs>
  <TotalTime>26</TotalTime>
  <ScaleCrop>false</ScaleCrop>
  <LinksUpToDate>false</LinksUpToDate>
  <CharactersWithSpaces>18520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2025-10-14T04:16:02Z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