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吉木萨尔县工商业联合会（商会）2024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BF846B1">
      <w:r>
        <w:br w:type="page"/>
      </w:r>
    </w:p>
    <w:p w14:paraId="203B2113">
      <w:pPr>
        <w:spacing w:line="640" w:lineRule="exact"/>
        <w:jc w:val="center"/>
        <w:outlineLvl w:val="1"/>
      </w:pPr>
      <w:r>
        <w:rPr>
          <w:rFonts w:ascii="黑体" w:hAnsi="黑体" w:eastAsia="黑体"/>
          <w:sz w:val="32"/>
        </w:rPr>
        <w:t>第一部分 单位概况</w:t>
      </w:r>
    </w:p>
    <w:p w14:paraId="2C2F17A8">
      <w:pPr>
        <w:spacing w:line="640" w:lineRule="exact"/>
        <w:ind w:firstLine="640"/>
        <w:jc w:val="both"/>
        <w:outlineLvl w:val="2"/>
      </w:pPr>
      <w:r>
        <w:rPr>
          <w:rFonts w:ascii="黑体" w:hAnsi="黑体" w:eastAsia="黑体"/>
          <w:sz w:val="32"/>
        </w:rPr>
        <w:t>一、主要职能</w:t>
      </w:r>
    </w:p>
    <w:p w14:paraId="52997FA3">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依据《中国工商业联合会</w:t>
      </w:r>
      <w:bookmarkStart w:id="0" w:name="_GoBack"/>
      <w:bookmarkEnd w:id="0"/>
      <w:r>
        <w:rPr>
          <w:rFonts w:ascii="仿宋_GB2312" w:hAnsi="仿宋_GB2312" w:eastAsia="仿宋_GB2312"/>
          <w:sz w:val="32"/>
        </w:rPr>
        <w:t>章程》，贯彻执行县工商联执委会、常委会决议。</w:t>
      </w:r>
    </w:p>
    <w:p w14:paraId="71EE5D1C">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做好县工商联履行政治协商、参政议政，民主监督职能的有关工作。</w:t>
      </w:r>
    </w:p>
    <w:p w14:paraId="46641BA9">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宣传党和国家的方针政策，开展非公有制经济人士的日常联系、考察、培养工作，协助做好政治安排推荐的有关工作。</w:t>
      </w:r>
    </w:p>
    <w:p w14:paraId="16546EC2">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负责县商会具体工作，加强与政府部门及有关经济组织的联系，为会员企业开展经济活动提供服务。</w:t>
      </w:r>
    </w:p>
    <w:p w14:paraId="1CB5919C">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依照法</w:t>
      </w:r>
      <w:r>
        <w:rPr>
          <w:rFonts w:hint="eastAsia" w:ascii="仿宋_GB2312" w:hAnsi="仿宋_GB2312" w:eastAsia="仿宋_GB2312"/>
          <w:sz w:val="32"/>
          <w:lang w:eastAsia="zh-CN"/>
        </w:rPr>
        <w:t>律和</w:t>
      </w:r>
      <w:r>
        <w:rPr>
          <w:rFonts w:ascii="仿宋_GB2312" w:hAnsi="仿宋_GB2312" w:eastAsia="仿宋_GB2312"/>
          <w:sz w:val="32"/>
        </w:rPr>
        <w:t>《中国工商业联合会章程》，维护会员的</w:t>
      </w:r>
      <w:r>
        <w:rPr>
          <w:rFonts w:hint="eastAsia" w:ascii="仿宋_GB2312" w:hAnsi="仿宋_GB2312" w:eastAsia="仿宋_GB2312"/>
          <w:sz w:val="32"/>
          <w:lang w:eastAsia="zh-CN"/>
        </w:rPr>
        <w:t>合法权益</w:t>
      </w:r>
      <w:r>
        <w:rPr>
          <w:rFonts w:ascii="仿宋_GB2312" w:hAnsi="仿宋_GB2312" w:eastAsia="仿宋_GB2312"/>
          <w:sz w:val="32"/>
        </w:rPr>
        <w:t>；反映会员的意见、建议，为会员提供服务，帮助解决生产经营中的实际问题。</w:t>
      </w:r>
    </w:p>
    <w:p w14:paraId="42B8DF2C">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加强对外联系，促进经济、技术和贸易合作，协助引进资金、技术、人才。</w:t>
      </w:r>
    </w:p>
    <w:p w14:paraId="412A4F05">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开展工商专业培训，帮助会员改善经营管理，提高生产技术和产品质量。</w:t>
      </w:r>
    </w:p>
    <w:p w14:paraId="3D03F31B">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承担县委、县人民政府授权和交办的其他工作。</w:t>
      </w:r>
    </w:p>
    <w:p w14:paraId="5B38518E">
      <w:pPr>
        <w:spacing w:line="640" w:lineRule="exact"/>
        <w:ind w:firstLine="640"/>
        <w:jc w:val="both"/>
        <w:outlineLvl w:val="2"/>
      </w:pPr>
      <w:r>
        <w:rPr>
          <w:rFonts w:ascii="黑体" w:hAnsi="黑体" w:eastAsia="黑体"/>
          <w:sz w:val="32"/>
        </w:rPr>
        <w:t>二、机构设置及人员情况</w:t>
      </w:r>
    </w:p>
    <w:p w14:paraId="21BB0604">
      <w:pPr>
        <w:spacing w:line="580" w:lineRule="exact"/>
        <w:ind w:firstLine="640"/>
        <w:jc w:val="both"/>
      </w:pPr>
      <w:r>
        <w:rPr>
          <w:rFonts w:ascii="仿宋_GB2312" w:hAnsi="仿宋_GB2312" w:eastAsia="仿宋_GB2312"/>
          <w:sz w:val="32"/>
        </w:rPr>
        <w:t>吉木萨尔县工商业联合会（商会）2024年度，实有人数9人，其中：在职人员4人，增加1人；离休人员0人，增加0人；退休人员5人,增加0人。</w:t>
      </w:r>
    </w:p>
    <w:p w14:paraId="4ED9A735">
      <w:pPr>
        <w:spacing w:line="580" w:lineRule="exact"/>
        <w:ind w:firstLine="640"/>
        <w:jc w:val="both"/>
      </w:pPr>
      <w:r>
        <w:rPr>
          <w:rFonts w:ascii="仿宋_GB2312" w:hAnsi="仿宋_GB2312" w:eastAsia="仿宋_GB2312"/>
          <w:sz w:val="32"/>
        </w:rPr>
        <w:t>吉木萨尔县工商业联合会（商会）无下属预算单位，下设2个科室，分别是：办公室、财务室。</w:t>
      </w:r>
    </w:p>
    <w:p w14:paraId="1F609FDA">
      <w:r>
        <w:br w:type="page"/>
      </w:r>
    </w:p>
    <w:p w14:paraId="69239377">
      <w:pPr>
        <w:spacing w:line="240" w:lineRule="auto"/>
        <w:jc w:val="center"/>
        <w:outlineLvl w:val="1"/>
      </w:pPr>
      <w:r>
        <w:rPr>
          <w:rFonts w:ascii="黑体" w:hAnsi="黑体" w:eastAsia="黑体"/>
          <w:sz w:val="32"/>
        </w:rPr>
        <w:t>第二部分 部门决算情况说明</w:t>
      </w:r>
    </w:p>
    <w:p w14:paraId="7048C9AA">
      <w:pPr>
        <w:spacing w:line="640" w:lineRule="exact"/>
        <w:ind w:firstLine="640"/>
        <w:jc w:val="both"/>
        <w:outlineLvl w:val="2"/>
      </w:pPr>
      <w:r>
        <w:rPr>
          <w:rFonts w:ascii="黑体" w:hAnsi="黑体" w:eastAsia="黑体"/>
          <w:sz w:val="32"/>
        </w:rPr>
        <w:t>一、收入支出决算总体情况说明</w:t>
      </w:r>
    </w:p>
    <w:p w14:paraId="79D448A2">
      <w:pPr>
        <w:spacing w:line="580" w:lineRule="exact"/>
        <w:ind w:firstLine="640"/>
        <w:jc w:val="both"/>
      </w:pPr>
      <w:r>
        <w:rPr>
          <w:rFonts w:ascii="仿宋_GB2312" w:hAnsi="仿宋_GB2312" w:eastAsia="仿宋_GB2312"/>
          <w:b/>
          <w:sz w:val="32"/>
        </w:rPr>
        <w:t>2024年度收入总计113.87万元，</w:t>
      </w:r>
      <w:r>
        <w:rPr>
          <w:rFonts w:ascii="仿宋_GB2312" w:hAnsi="仿宋_GB2312" w:eastAsia="仿宋_GB2312"/>
          <w:b w:val="0"/>
          <w:sz w:val="32"/>
        </w:rPr>
        <w:t>其中：本年收入合计113.87万元，使用非财政拨款结余（含专用结余）0.00万元，年初结转和结余0.00万元。</w:t>
      </w:r>
    </w:p>
    <w:p w14:paraId="6CCC8867">
      <w:pPr>
        <w:spacing w:line="580" w:lineRule="exact"/>
        <w:ind w:firstLine="640"/>
        <w:jc w:val="both"/>
      </w:pPr>
      <w:r>
        <w:rPr>
          <w:rFonts w:ascii="仿宋_GB2312" w:hAnsi="仿宋_GB2312" w:eastAsia="仿宋_GB2312"/>
          <w:b/>
          <w:sz w:val="32"/>
        </w:rPr>
        <w:t>2024年度支出总计113.87万元，</w:t>
      </w:r>
      <w:r>
        <w:rPr>
          <w:rFonts w:ascii="仿宋_GB2312" w:hAnsi="仿宋_GB2312" w:eastAsia="仿宋_GB2312"/>
          <w:b w:val="0"/>
          <w:sz w:val="32"/>
        </w:rPr>
        <w:t>其中：本年支出合计113.87万元，结余分配0.00万元，年末结转和结余0.00万元。</w:t>
      </w:r>
    </w:p>
    <w:p w14:paraId="414A4026">
      <w:pPr>
        <w:spacing w:line="580" w:lineRule="exact"/>
        <w:ind w:firstLine="640"/>
        <w:jc w:val="both"/>
      </w:pPr>
      <w:r>
        <w:rPr>
          <w:rFonts w:ascii="仿宋_GB2312" w:hAnsi="仿宋_GB2312" w:eastAsia="仿宋_GB2312"/>
          <w:b w:val="0"/>
          <w:sz w:val="32"/>
        </w:rPr>
        <w:t>收入支出总体与上年相比，增加22.95万元，增长25.24%，主要原因是：本年在职人员增加，在职人员工资调增、社保、公积金基数调增，人员经费增加。本年增加民营经济人士赴厦门考察学习援疆资金。</w:t>
      </w:r>
    </w:p>
    <w:p w14:paraId="6C4B6E25">
      <w:pPr>
        <w:spacing w:line="640" w:lineRule="exact"/>
        <w:ind w:firstLine="640"/>
        <w:jc w:val="both"/>
        <w:outlineLvl w:val="2"/>
      </w:pPr>
      <w:r>
        <w:rPr>
          <w:rFonts w:ascii="黑体" w:hAnsi="黑体" w:eastAsia="黑体"/>
          <w:sz w:val="32"/>
        </w:rPr>
        <w:t>二、收入决算情况说明</w:t>
      </w:r>
    </w:p>
    <w:p w14:paraId="3442BA30">
      <w:pPr>
        <w:spacing w:line="580" w:lineRule="exact"/>
        <w:ind w:firstLine="640"/>
        <w:jc w:val="both"/>
      </w:pPr>
      <w:r>
        <w:rPr>
          <w:rFonts w:ascii="仿宋_GB2312" w:hAnsi="仿宋_GB2312" w:eastAsia="仿宋_GB2312"/>
          <w:b/>
          <w:sz w:val="32"/>
        </w:rPr>
        <w:t>本年收入113.87万元，</w:t>
      </w:r>
      <w:r>
        <w:rPr>
          <w:rFonts w:ascii="仿宋_GB2312" w:hAnsi="仿宋_GB2312" w:eastAsia="仿宋_GB2312"/>
          <w:b w:val="0"/>
          <w:sz w:val="32"/>
        </w:rPr>
        <w:t>其中：财政拨款收入105.38万元，占92.54%；上级补助收入0.00万元，占0.00%；事业收入0.00万元，占0.00%；经营收入0.00万元，占0.00%；附属单位上缴收入0.00万元，占0.00%；其他收入8.49万元，占7.46%。</w:t>
      </w:r>
    </w:p>
    <w:p w14:paraId="20B77358">
      <w:pPr>
        <w:spacing w:line="640" w:lineRule="exact"/>
        <w:ind w:firstLine="640"/>
        <w:jc w:val="both"/>
        <w:outlineLvl w:val="2"/>
      </w:pPr>
      <w:r>
        <w:rPr>
          <w:rFonts w:ascii="黑体" w:hAnsi="黑体" w:eastAsia="黑体"/>
          <w:sz w:val="32"/>
        </w:rPr>
        <w:t>三、支出决算情况说明</w:t>
      </w:r>
    </w:p>
    <w:p w14:paraId="10CDF0A4">
      <w:pPr>
        <w:spacing w:line="580" w:lineRule="exact"/>
        <w:ind w:firstLine="640"/>
        <w:jc w:val="both"/>
      </w:pPr>
      <w:r>
        <w:rPr>
          <w:rFonts w:ascii="仿宋_GB2312" w:hAnsi="仿宋_GB2312" w:eastAsia="仿宋_GB2312"/>
          <w:b/>
          <w:sz w:val="32"/>
        </w:rPr>
        <w:t>本年支出113.87万元，</w:t>
      </w:r>
      <w:r>
        <w:rPr>
          <w:rFonts w:ascii="仿宋_GB2312" w:hAnsi="仿宋_GB2312" w:eastAsia="仿宋_GB2312"/>
          <w:b w:val="0"/>
          <w:sz w:val="32"/>
        </w:rPr>
        <w:t>其中：基本支出113.87万元，占100.00%；项目支出0.00万元，占0.00%；上缴上级支出0.00万元，占0.00%；经营支出0.00万元，占0.00%；对附属单位补助支出0.00万元，占0.00%。</w:t>
      </w:r>
    </w:p>
    <w:p w14:paraId="2F3F9321">
      <w:pPr>
        <w:spacing w:line="640" w:lineRule="exact"/>
        <w:ind w:firstLine="640"/>
        <w:jc w:val="both"/>
        <w:outlineLvl w:val="2"/>
      </w:pPr>
      <w:r>
        <w:rPr>
          <w:rFonts w:ascii="黑体" w:hAnsi="黑体" w:eastAsia="黑体"/>
          <w:sz w:val="32"/>
        </w:rPr>
        <w:t>四、财政拨款收入支出决算总体情况说明</w:t>
      </w:r>
    </w:p>
    <w:p w14:paraId="36A27514">
      <w:pPr>
        <w:spacing w:line="580" w:lineRule="exact"/>
        <w:ind w:firstLine="640"/>
        <w:jc w:val="both"/>
      </w:pPr>
      <w:r>
        <w:rPr>
          <w:rFonts w:ascii="仿宋_GB2312" w:hAnsi="仿宋_GB2312" w:eastAsia="仿宋_GB2312"/>
          <w:b/>
          <w:sz w:val="32"/>
        </w:rPr>
        <w:t>2024年度财政拨款收入总计105.38万元，</w:t>
      </w:r>
      <w:r>
        <w:rPr>
          <w:rFonts w:ascii="仿宋_GB2312" w:hAnsi="仿宋_GB2312" w:eastAsia="仿宋_GB2312"/>
          <w:b w:val="0"/>
          <w:sz w:val="32"/>
        </w:rPr>
        <w:t>其中：年初财政拨款结转和结余0.00万元，本年财政拨款收入105.38万元。</w:t>
      </w:r>
      <w:r>
        <w:rPr>
          <w:rFonts w:ascii="仿宋_GB2312" w:hAnsi="仿宋_GB2312" w:eastAsia="仿宋_GB2312"/>
          <w:b/>
          <w:sz w:val="32"/>
        </w:rPr>
        <w:t>财政拨款支出总计105.38万元，</w:t>
      </w:r>
      <w:r>
        <w:rPr>
          <w:rFonts w:ascii="仿宋_GB2312" w:hAnsi="仿宋_GB2312" w:eastAsia="仿宋_GB2312"/>
          <w:b w:val="0"/>
          <w:sz w:val="32"/>
        </w:rPr>
        <w:t>其中：年末财政拨款结转和结余0.00万元，本年财政拨款支出105.38万元。</w:t>
      </w:r>
    </w:p>
    <w:p w14:paraId="01D02E2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增加14.46万元，增长15.90%，主要原因是：本年在职人员增加，在职人员工资调增、社保、公积金基数调增，人员经费增加。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年初预算数73.42万元，决算数105.38万元，预决算差异率43.53%，主要原因是：本年在职人员增加，年中追加人员经费及人员工资、社保、公积金基数调增部分资金，导致预决算存在差异。</w:t>
      </w:r>
    </w:p>
    <w:p w14:paraId="402A88E3">
      <w:pPr>
        <w:spacing w:line="640" w:lineRule="exact"/>
        <w:ind w:firstLine="640"/>
        <w:jc w:val="both"/>
        <w:outlineLvl w:val="2"/>
      </w:pPr>
      <w:r>
        <w:rPr>
          <w:rFonts w:ascii="黑体" w:hAnsi="黑体" w:eastAsia="黑体"/>
          <w:sz w:val="32"/>
        </w:rPr>
        <w:t>五、一般公共预算财政拨款支出决算情况说明</w:t>
      </w:r>
    </w:p>
    <w:p w14:paraId="62E254C9">
      <w:pPr>
        <w:spacing w:line="640" w:lineRule="exact"/>
        <w:ind w:firstLine="640"/>
        <w:jc w:val="both"/>
        <w:outlineLvl w:val="3"/>
      </w:pPr>
      <w:r>
        <w:rPr>
          <w:rFonts w:ascii="楷体_GB2312" w:hAnsi="楷体_GB2312" w:eastAsia="楷体_GB2312"/>
          <w:b/>
          <w:sz w:val="32"/>
        </w:rPr>
        <w:t>（一）一般公共预算财政拨款支出决算总体情况</w:t>
      </w:r>
    </w:p>
    <w:p w14:paraId="55E7C531">
      <w:pPr>
        <w:spacing w:line="580" w:lineRule="exact"/>
        <w:ind w:firstLine="640"/>
        <w:jc w:val="both"/>
      </w:pPr>
      <w:r>
        <w:rPr>
          <w:rFonts w:ascii="仿宋_GB2312" w:hAnsi="仿宋_GB2312" w:eastAsia="仿宋_GB2312"/>
          <w:b/>
          <w:sz w:val="32"/>
        </w:rPr>
        <w:t>2024年度一般公共预算财政拨款支出105.38万元，</w:t>
      </w:r>
      <w:r>
        <w:rPr>
          <w:rFonts w:ascii="仿宋_GB2312" w:hAnsi="仿宋_GB2312" w:eastAsia="仿宋_GB2312"/>
          <w:b w:val="0"/>
          <w:sz w:val="32"/>
        </w:rPr>
        <w:t>占本年支出合计的92.54%。</w:t>
      </w:r>
      <w:r>
        <w:rPr>
          <w:rFonts w:ascii="仿宋_GB2312" w:hAnsi="仿宋_GB2312" w:eastAsia="仿宋_GB2312"/>
          <w:b/>
          <w:sz w:val="32"/>
        </w:rPr>
        <w:t>与上年相比，</w:t>
      </w:r>
      <w:r>
        <w:rPr>
          <w:rFonts w:ascii="仿宋_GB2312" w:hAnsi="仿宋_GB2312" w:eastAsia="仿宋_GB2312"/>
          <w:b w:val="0"/>
          <w:sz w:val="32"/>
        </w:rPr>
        <w:t>增加14.46万元，增长15.90%，主要原因是：本年在职人员增加，在职人员工资调增、社保、公积金基数调增，人员经费增加。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年初预算数73.42万元，决算数105.38万元，预决算差异率43.53%，主要原因是：本年在职人员增加，年中追加人员经费及人员工资、社保、公积金基数调增部分资金，导致预决算存在差异。</w:t>
      </w:r>
    </w:p>
    <w:p w14:paraId="0718A34A">
      <w:pPr>
        <w:spacing w:line="640" w:lineRule="exact"/>
        <w:ind w:firstLine="640"/>
        <w:jc w:val="both"/>
        <w:outlineLvl w:val="3"/>
      </w:pPr>
      <w:r>
        <w:rPr>
          <w:rFonts w:ascii="楷体_GB2312" w:hAnsi="楷体_GB2312" w:eastAsia="楷体_GB2312"/>
          <w:b/>
          <w:sz w:val="32"/>
        </w:rPr>
        <w:t>（二）一般公共预算财政拨款支出决算结构情况</w:t>
      </w:r>
    </w:p>
    <w:p w14:paraId="368BDC83">
      <w:pPr>
        <w:spacing w:line="580" w:lineRule="exact"/>
        <w:ind w:firstLine="640"/>
        <w:jc w:val="both"/>
      </w:pPr>
      <w:r>
        <w:rPr>
          <w:rFonts w:ascii="仿宋_GB2312" w:hAnsi="仿宋_GB2312" w:eastAsia="仿宋_GB2312"/>
          <w:b w:val="0"/>
          <w:sz w:val="32"/>
        </w:rPr>
        <w:t>1.一般公共服务支出(类)78.45万元,占74.44%。</w:t>
      </w:r>
    </w:p>
    <w:p w14:paraId="0D624632">
      <w:pPr>
        <w:spacing w:line="580" w:lineRule="exact"/>
        <w:ind w:firstLine="640"/>
        <w:jc w:val="both"/>
      </w:pPr>
      <w:r>
        <w:rPr>
          <w:rFonts w:ascii="仿宋_GB2312" w:hAnsi="仿宋_GB2312" w:eastAsia="仿宋_GB2312"/>
          <w:b w:val="0"/>
          <w:sz w:val="32"/>
        </w:rPr>
        <w:t>2.科学技术支出(类)2.40万元,占2.28%。</w:t>
      </w:r>
    </w:p>
    <w:p w14:paraId="19C2A935">
      <w:pPr>
        <w:spacing w:line="580" w:lineRule="exact"/>
        <w:ind w:firstLine="640"/>
        <w:jc w:val="both"/>
      </w:pPr>
      <w:r>
        <w:rPr>
          <w:rFonts w:ascii="仿宋_GB2312" w:hAnsi="仿宋_GB2312" w:eastAsia="仿宋_GB2312"/>
          <w:b w:val="0"/>
          <w:sz w:val="32"/>
        </w:rPr>
        <w:t>3.社会保障和就业支出(类)14.67万元,占13.92%。</w:t>
      </w:r>
    </w:p>
    <w:p w14:paraId="1CC2B24B">
      <w:pPr>
        <w:spacing w:line="580" w:lineRule="exact"/>
        <w:ind w:firstLine="640"/>
        <w:jc w:val="both"/>
      </w:pPr>
      <w:r>
        <w:rPr>
          <w:rFonts w:ascii="仿宋_GB2312" w:hAnsi="仿宋_GB2312" w:eastAsia="仿宋_GB2312"/>
          <w:b w:val="0"/>
          <w:sz w:val="32"/>
        </w:rPr>
        <w:t>4.卫生健康支出(类)4.24万元,占4.02%。</w:t>
      </w:r>
    </w:p>
    <w:p w14:paraId="26D29734">
      <w:pPr>
        <w:spacing w:line="580" w:lineRule="exact"/>
        <w:ind w:firstLine="640"/>
        <w:jc w:val="both"/>
      </w:pPr>
      <w:r>
        <w:rPr>
          <w:rFonts w:ascii="仿宋_GB2312" w:hAnsi="仿宋_GB2312" w:eastAsia="仿宋_GB2312"/>
          <w:b w:val="0"/>
          <w:sz w:val="32"/>
        </w:rPr>
        <w:t>5.住房保障支出(类)5.62万元,占5.33%。</w:t>
      </w:r>
    </w:p>
    <w:p w14:paraId="38F6223E">
      <w:pPr>
        <w:spacing w:line="640" w:lineRule="exact"/>
        <w:ind w:firstLine="640"/>
        <w:jc w:val="both"/>
        <w:outlineLvl w:val="3"/>
      </w:pPr>
      <w:r>
        <w:rPr>
          <w:rFonts w:ascii="楷体_GB2312" w:hAnsi="楷体_GB2312" w:eastAsia="楷体_GB2312"/>
          <w:b/>
          <w:sz w:val="32"/>
        </w:rPr>
        <w:t>（三）一般公共预算财政拨款支出决算具体情况</w:t>
      </w:r>
    </w:p>
    <w:p w14:paraId="1B2FC03C">
      <w:pPr>
        <w:spacing w:line="580" w:lineRule="exact"/>
        <w:ind w:firstLine="640"/>
        <w:jc w:val="both"/>
      </w:pPr>
      <w:r>
        <w:rPr>
          <w:rFonts w:ascii="仿宋_GB2312" w:hAnsi="仿宋_GB2312" w:eastAsia="仿宋_GB2312"/>
          <w:b w:val="0"/>
          <w:sz w:val="32"/>
        </w:rPr>
        <w:t>1.一般公共服务支出(类)民主党派及工商联事务(款)行政运行(项):支出决算数为78.45万元，比上年决算增加4.15万元，增长5.59%,主要原因是：本年新增在职人员，人员经费增加，导致经费较上年有所增加。</w:t>
      </w:r>
    </w:p>
    <w:p w14:paraId="2D40B5C2">
      <w:pPr>
        <w:spacing w:line="580" w:lineRule="exact"/>
        <w:ind w:firstLine="640"/>
        <w:jc w:val="both"/>
      </w:pPr>
      <w:r>
        <w:rPr>
          <w:rFonts w:ascii="仿宋_GB2312" w:hAnsi="仿宋_GB2312" w:eastAsia="仿宋_GB2312"/>
          <w:b w:val="0"/>
          <w:sz w:val="32"/>
        </w:rPr>
        <w:t>2.科学技术支出(类)科技条件与服务(款)其他科技条件与服务支出(项):支出决算数为2.40万元，比上年决算增加2.40万元，增长100.00%,主要原因是：本年增加办公设备购置经费。</w:t>
      </w:r>
    </w:p>
    <w:p w14:paraId="7C8748EF">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3.社会保障和就业支出(类)行政事业单位养老支出(款)行政单位离退休(项):支出决算数为3.51万元，比上年决算增加2.34万元，增长200.00%,主要原因是：本年增加退休人员基础绩效奖，退休费支出增加。</w:t>
      </w:r>
    </w:p>
    <w:p w14:paraId="2BD9AF86">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7.58万元，比上年决算增加2.26万元，增长42.48%,主要原因是：本年在职人员工资基数调增，养老缴费基数上涨，相应支出增加。</w:t>
      </w:r>
    </w:p>
    <w:p w14:paraId="1AE3A001">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3.58万元，比上年决算增加0.95万元，增长36.12%,主要原因是：本年在职人员工资基数调增，职业年金缴费基数上涨，相应支出增加。</w:t>
      </w:r>
    </w:p>
    <w:p w14:paraId="4D50AB48">
      <w:pPr>
        <w:spacing w:line="580" w:lineRule="exact"/>
        <w:ind w:firstLine="640"/>
        <w:jc w:val="both"/>
      </w:pPr>
      <w:r>
        <w:rPr>
          <w:rFonts w:ascii="仿宋_GB2312" w:hAnsi="仿宋_GB2312" w:eastAsia="仿宋_GB2312"/>
          <w:b w:val="0"/>
          <w:sz w:val="32"/>
        </w:rPr>
        <w:t>6.卫生健康支出(类)行政事业单位医疗(款)行政单位医疗(项):支出决算数为4.02万元，比上年决算增加1.05万元，增长35.35%,主要原因是：本年在职人员工资基数调增，医疗缴费基数上涨，相应支出增加。</w:t>
      </w:r>
    </w:p>
    <w:p w14:paraId="0B2A6F97">
      <w:pPr>
        <w:spacing w:line="580" w:lineRule="exact"/>
        <w:ind w:firstLine="640"/>
        <w:jc w:val="both"/>
      </w:pPr>
      <w:r>
        <w:rPr>
          <w:rFonts w:ascii="仿宋_GB2312" w:hAnsi="仿宋_GB2312" w:eastAsia="仿宋_GB2312"/>
          <w:b w:val="0"/>
          <w:sz w:val="32"/>
        </w:rPr>
        <w:t>7.卫生健康支出(类)行政事业单位医疗(款)公务员医疗补助(项):支出决算数为0.22万元，比上年决算减少0.13万元，下降37.14%,主要原因是：因退休人员医疗保险制度改革，退休人员公务员医疗补助不再由单位缴纳，导致经费较上年减少。</w:t>
      </w:r>
    </w:p>
    <w:p w14:paraId="08EF2C05">
      <w:pPr>
        <w:spacing w:line="580" w:lineRule="exact"/>
        <w:ind w:firstLine="640"/>
        <w:jc w:val="both"/>
      </w:pPr>
      <w:r>
        <w:rPr>
          <w:rFonts w:ascii="仿宋_GB2312" w:hAnsi="仿宋_GB2312" w:eastAsia="仿宋_GB2312"/>
          <w:b w:val="0"/>
          <w:sz w:val="32"/>
        </w:rPr>
        <w:t>8.住房保障支出(类)住房改革支出(款)住房公积金(项):支出决算数为5.62万元，比上年决算增加1.42万元，增长33.81%,主要原因是：本年在职人员工资基数调增，公积金缴费基数上涨，相应支出增加。</w:t>
      </w:r>
    </w:p>
    <w:p w14:paraId="37F7A416">
      <w:pPr>
        <w:spacing w:line="640" w:lineRule="exact"/>
        <w:ind w:firstLine="640"/>
        <w:jc w:val="both"/>
        <w:outlineLvl w:val="2"/>
      </w:pPr>
      <w:r>
        <w:rPr>
          <w:rFonts w:ascii="黑体" w:hAnsi="黑体" w:eastAsia="黑体"/>
          <w:sz w:val="32"/>
        </w:rPr>
        <w:t>六、一般公共预算财政拨款基本支出决算情况说明</w:t>
      </w:r>
    </w:p>
    <w:p w14:paraId="4F969027">
      <w:pPr>
        <w:spacing w:line="580" w:lineRule="exact"/>
        <w:ind w:firstLine="640"/>
        <w:jc w:val="both"/>
      </w:pPr>
      <w:r>
        <w:rPr>
          <w:rFonts w:ascii="仿宋_GB2312" w:hAnsi="仿宋_GB2312" w:eastAsia="仿宋_GB2312"/>
          <w:b w:val="0"/>
          <w:sz w:val="32"/>
        </w:rPr>
        <w:t>2024年度一般公共预算财政拨款基本支出105.38万元，其中：</w:t>
      </w:r>
      <w:r>
        <w:rPr>
          <w:rFonts w:ascii="仿宋_GB2312" w:hAnsi="仿宋_GB2312" w:eastAsia="仿宋_GB2312"/>
          <w:b/>
          <w:sz w:val="32"/>
        </w:rPr>
        <w:t>人员经费83.24万元，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包括：基本工资、津贴补贴、奖金、机关事业单位基本养老保险缴费、职业年金缴费、职工基本医疗保险缴费、公务员医疗补助缴费、其他社会保障缴费、住房公积金、其他工资福利支出、退休费、生活补助。</w:t>
      </w:r>
    </w:p>
    <w:p w14:paraId="0B50C8EB">
      <w:pPr>
        <w:spacing w:line="580" w:lineRule="exact"/>
        <w:ind w:firstLine="640"/>
        <w:jc w:val="both"/>
      </w:pPr>
      <w:r>
        <w:rPr>
          <w:rFonts w:ascii="仿宋_GB2312" w:hAnsi="仿宋_GB2312" w:eastAsia="仿宋_GB2312"/>
          <w:b/>
          <w:sz w:val="32"/>
        </w:rPr>
        <w:t>公用经费22.14万元，</w:t>
      </w:r>
      <w:r>
        <w:rPr>
          <w:rFonts w:ascii="仿宋_GB2312" w:hAnsi="仿宋_GB2312" w:eastAsia="仿宋_GB2312"/>
          <w:b w:val="0"/>
          <w:sz w:val="32"/>
        </w:rPr>
        <w:t>包括：办公费、印刷费、邮电费、差旅费、维修（护）费、专用材料费、劳务费、工会经费、其他商品和服务支出、办公设备购置。</w:t>
      </w:r>
    </w:p>
    <w:p w14:paraId="483C2B30">
      <w:pPr>
        <w:spacing w:line="640" w:lineRule="exact"/>
        <w:ind w:firstLine="640"/>
        <w:jc w:val="both"/>
        <w:outlineLvl w:val="2"/>
      </w:pPr>
      <w:r>
        <w:rPr>
          <w:rFonts w:ascii="黑体" w:hAnsi="黑体" w:eastAsia="黑体"/>
          <w:sz w:val="32"/>
        </w:rPr>
        <w:t>七、政府性基金预算财政拨款收入支出决算情况说明</w:t>
      </w:r>
    </w:p>
    <w:p w14:paraId="5DED24F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637D7A3">
      <w:pPr>
        <w:spacing w:line="640" w:lineRule="exact"/>
        <w:ind w:firstLine="640"/>
        <w:jc w:val="both"/>
        <w:outlineLvl w:val="2"/>
      </w:pPr>
      <w:r>
        <w:rPr>
          <w:rFonts w:ascii="黑体" w:hAnsi="黑体" w:eastAsia="黑体"/>
          <w:sz w:val="32"/>
        </w:rPr>
        <w:t>八、国有资本经营预算财政拨款收入支出决算情况说明</w:t>
      </w:r>
    </w:p>
    <w:p w14:paraId="4B6A7A5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5051DD6">
      <w:pPr>
        <w:spacing w:line="640" w:lineRule="exact"/>
        <w:ind w:firstLine="640"/>
        <w:jc w:val="both"/>
        <w:outlineLvl w:val="2"/>
      </w:pPr>
      <w:r>
        <w:rPr>
          <w:rFonts w:ascii="黑体" w:hAnsi="黑体" w:eastAsia="黑体"/>
          <w:sz w:val="32"/>
        </w:rPr>
        <w:t>九、财政拨款“三公”经费支出决算情况说明</w:t>
      </w:r>
    </w:p>
    <w:p w14:paraId="5D118D6E">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减少0.01万元，下降100.00%，主要原因是：本年公务用车经费在机关事务中心核算，本年无公务用车运行维护费。其中：因公出国（境）费支出0.00万元，占0.00%，比上年增加0.00万元，增长0.00%，主要原因是：2023年与2024年均未安排因公出国（境）费支出。公务用车购置及运行维护费支出0.00万元，占0.00%，比上年减少0.01万元，下降100.00%，主要原因是：本年公务用车经费在机关事务中心核算，本年无公务用车运行维护费。公务接待费支出0.00万元，占0.00%，比上年增加0.00万元，增长0.00%，主要原因是：2023年与2024年均未安排公务接待费支出。</w:t>
      </w:r>
    </w:p>
    <w:p w14:paraId="50DC8413">
      <w:pPr>
        <w:spacing w:line="580" w:lineRule="exact"/>
        <w:ind w:firstLine="640"/>
        <w:jc w:val="both"/>
      </w:pPr>
      <w:r>
        <w:rPr>
          <w:rFonts w:ascii="仿宋_GB2312" w:hAnsi="仿宋_GB2312" w:eastAsia="仿宋_GB2312"/>
          <w:b/>
          <w:sz w:val="32"/>
        </w:rPr>
        <w:t>具体情况如下：</w:t>
      </w:r>
    </w:p>
    <w:p w14:paraId="2B14BD0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212116C">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本单位车辆借用其他单位使用，车辆费用由使用单位支付。</w:t>
      </w:r>
    </w:p>
    <w:p w14:paraId="21E6D30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AC8609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FEA12DA">
      <w:pPr>
        <w:spacing w:line="640" w:lineRule="exact"/>
        <w:ind w:firstLine="640"/>
        <w:jc w:val="both"/>
        <w:outlineLvl w:val="2"/>
      </w:pPr>
      <w:r>
        <w:rPr>
          <w:rFonts w:ascii="黑体" w:hAnsi="黑体" w:eastAsia="黑体"/>
          <w:sz w:val="32"/>
        </w:rPr>
        <w:t>十、其他重要事项的情况说明</w:t>
      </w:r>
    </w:p>
    <w:p w14:paraId="1627A38F">
      <w:pPr>
        <w:spacing w:line="640" w:lineRule="exact"/>
        <w:ind w:firstLine="640"/>
        <w:jc w:val="both"/>
        <w:outlineLvl w:val="3"/>
      </w:pPr>
      <w:r>
        <w:rPr>
          <w:rFonts w:ascii="楷体_GB2312" w:hAnsi="楷体_GB2312" w:eastAsia="楷体_GB2312"/>
          <w:b/>
          <w:sz w:val="32"/>
        </w:rPr>
        <w:t>（一）机关运行经费及公用经费支出情况</w:t>
      </w:r>
    </w:p>
    <w:p w14:paraId="6A7F6804">
      <w:pPr>
        <w:spacing w:line="580" w:lineRule="exact"/>
        <w:ind w:firstLine="640"/>
        <w:jc w:val="both"/>
      </w:pPr>
      <w:r>
        <w:rPr>
          <w:rFonts w:ascii="仿宋_GB2312" w:hAnsi="仿宋_GB2312" w:eastAsia="仿宋_GB2312"/>
          <w:b w:val="0"/>
          <w:sz w:val="32"/>
        </w:rPr>
        <w:t>2024年度吉木萨尔县工商业联合会（商会）（行政单位和参照公务员法管理事业单位）机关运行经费支出22.14万元，比上年减少0.02万元，下降0.09%，主要原因是：严格控制公用经费，合理节约办公用品，减少不必要开支。</w:t>
      </w:r>
    </w:p>
    <w:p w14:paraId="716D72DD">
      <w:pPr>
        <w:spacing w:line="640" w:lineRule="exact"/>
        <w:ind w:firstLine="640"/>
        <w:jc w:val="both"/>
        <w:outlineLvl w:val="3"/>
      </w:pPr>
      <w:r>
        <w:rPr>
          <w:rFonts w:ascii="楷体_GB2312" w:hAnsi="楷体_GB2312" w:eastAsia="楷体_GB2312"/>
          <w:b/>
          <w:sz w:val="32"/>
        </w:rPr>
        <w:t>（二）政府采购情况</w:t>
      </w:r>
    </w:p>
    <w:p w14:paraId="1757F6A3">
      <w:pPr>
        <w:spacing w:line="580" w:lineRule="exact"/>
        <w:ind w:firstLine="640"/>
        <w:jc w:val="both"/>
      </w:pPr>
      <w:r>
        <w:rPr>
          <w:rFonts w:ascii="仿宋_GB2312" w:hAnsi="仿宋_GB2312" w:eastAsia="仿宋_GB2312"/>
          <w:b w:val="0"/>
          <w:sz w:val="32"/>
        </w:rPr>
        <w:t>2024年度政府采购支出总额0.80万元，其中：政府采购货物支出0.50万元、政府采购工程支出0.00万元、政府采购服务支出0.30万元。</w:t>
      </w:r>
    </w:p>
    <w:p w14:paraId="7C3E9647">
      <w:pPr>
        <w:spacing w:line="580" w:lineRule="exact"/>
        <w:ind w:firstLine="640"/>
        <w:jc w:val="both"/>
      </w:pPr>
      <w:r>
        <w:rPr>
          <w:rFonts w:ascii="仿宋_GB2312" w:hAnsi="仿宋_GB2312" w:eastAsia="仿宋_GB2312"/>
          <w:b w:val="0"/>
          <w:sz w:val="32"/>
        </w:rPr>
        <w:t>授予中小企业合同金额0.80万元，占政府采购支出总额的100.00%，其中：授予小微企业合同金额0.80万元，占政府采购支出总额的100.00%。</w:t>
      </w:r>
    </w:p>
    <w:p w14:paraId="0D76205A">
      <w:pPr>
        <w:spacing w:line="640" w:lineRule="exact"/>
        <w:ind w:firstLine="640"/>
        <w:jc w:val="both"/>
        <w:outlineLvl w:val="3"/>
      </w:pPr>
      <w:r>
        <w:rPr>
          <w:rFonts w:ascii="楷体_GB2312" w:hAnsi="楷体_GB2312" w:eastAsia="楷体_GB2312"/>
          <w:b/>
          <w:sz w:val="32"/>
        </w:rPr>
        <w:t>（三）国有资产占用情况说明</w:t>
      </w:r>
    </w:p>
    <w:p w14:paraId="16F4230B">
      <w:pPr>
        <w:spacing w:line="580" w:lineRule="exact"/>
        <w:ind w:firstLine="640"/>
        <w:jc w:val="both"/>
      </w:pPr>
      <w:r>
        <w:rPr>
          <w:rFonts w:ascii="仿宋_GB2312" w:hAnsi="仿宋_GB2312" w:eastAsia="仿宋_GB2312"/>
          <w:b w:val="0"/>
          <w:sz w:val="32"/>
        </w:rPr>
        <w:t>截至2024年12月31日，房屋0.00平方米，价值0.00万元。车辆1辆，价值11.79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14:paraId="43952601">
      <w:pPr>
        <w:spacing w:line="640" w:lineRule="exact"/>
        <w:ind w:firstLine="640"/>
        <w:jc w:val="both"/>
        <w:outlineLvl w:val="2"/>
      </w:pPr>
      <w:r>
        <w:rPr>
          <w:rFonts w:ascii="黑体" w:hAnsi="黑体" w:eastAsia="黑体"/>
          <w:sz w:val="32"/>
        </w:rPr>
        <w:t>十一、预算绩效的情况说明</w:t>
      </w:r>
    </w:p>
    <w:p w14:paraId="3DA5552C">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113.87万元，实际执行总额113.87万元；预算绩效评价项目0个，全年预算数0.00万元，全年执行数0.00万元。预算绩效管理取得的成效：一是本单位以绩效目标实现为导向，加强制度建设，提升预算执行质量，预算绩效管理取得一定成效。预算绩效管理</w:t>
      </w:r>
      <w:r>
        <w:rPr>
          <w:rFonts w:hint="eastAsia" w:ascii="仿宋_GB2312" w:hAnsi="仿宋_GB2312" w:eastAsia="仿宋_GB2312"/>
          <w:b w:val="0"/>
          <w:sz w:val="32"/>
          <w:lang w:eastAsia="zh-CN"/>
        </w:rPr>
        <w:t>取得</w:t>
      </w:r>
      <w:r>
        <w:rPr>
          <w:rFonts w:ascii="仿宋_GB2312" w:hAnsi="仿宋_GB2312" w:eastAsia="仿宋_GB2312"/>
          <w:b w:val="0"/>
          <w:sz w:val="32"/>
        </w:rPr>
        <w:t>成效，科学制定目标，促进绩效目标顺利实现。二是自落实预算绩效管理工作以来，本单位在项目资金的使用</w:t>
      </w:r>
      <w:r>
        <w:rPr>
          <w:rFonts w:hint="eastAsia" w:ascii="仿宋_GB2312" w:hAnsi="仿宋_GB2312" w:eastAsia="仿宋_GB2312"/>
          <w:b w:val="0"/>
          <w:sz w:val="32"/>
          <w:lang w:eastAsia="zh-CN"/>
        </w:rPr>
        <w:t>上</w:t>
      </w:r>
      <w:r>
        <w:rPr>
          <w:rFonts w:ascii="仿宋_GB2312" w:hAnsi="仿宋_GB2312" w:eastAsia="仿宋_GB2312"/>
          <w:b w:val="0"/>
          <w:sz w:val="32"/>
        </w:rPr>
        <w:t>有了</w:t>
      </w:r>
      <w:r>
        <w:rPr>
          <w:rFonts w:hint="eastAsia" w:ascii="仿宋_GB2312" w:hAnsi="仿宋_GB2312" w:eastAsia="仿宋_GB2312"/>
          <w:b w:val="0"/>
          <w:sz w:val="32"/>
          <w:lang w:eastAsia="zh-CN"/>
        </w:rPr>
        <w:t>更加</w:t>
      </w:r>
      <w:r>
        <w:rPr>
          <w:rFonts w:ascii="仿宋_GB2312" w:hAnsi="仿宋_GB2312" w:eastAsia="仿宋_GB2312"/>
          <w:b w:val="0"/>
          <w:sz w:val="32"/>
        </w:rPr>
        <w:t>明确、</w:t>
      </w:r>
      <w:r>
        <w:rPr>
          <w:rFonts w:hint="eastAsia" w:ascii="仿宋_GB2312" w:hAnsi="仿宋_GB2312" w:eastAsia="仿宋_GB2312"/>
          <w:b w:val="0"/>
          <w:sz w:val="32"/>
          <w:lang w:eastAsia="zh-CN"/>
        </w:rPr>
        <w:t>更加</w:t>
      </w:r>
      <w:r>
        <w:rPr>
          <w:rFonts w:ascii="仿宋_GB2312" w:hAnsi="仿宋_GB2312" w:eastAsia="仿宋_GB2312"/>
          <w:b w:val="0"/>
          <w:sz w:val="32"/>
        </w:rPr>
        <w:t>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w:t>
      </w:r>
    </w:p>
    <w:p w14:paraId="052E911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9A2A382">
        <w:tblPrEx>
          <w:tblCellMar>
            <w:top w:w="0" w:type="dxa"/>
            <w:left w:w="108" w:type="dxa"/>
            <w:bottom w:w="0" w:type="dxa"/>
            <w:right w:w="108" w:type="dxa"/>
          </w:tblCellMar>
        </w:tblPrEx>
        <w:tc>
          <w:tcPr>
            <w:tcW w:w="8847" w:type="dxa"/>
            <w:gridSpan w:val="9"/>
            <w:vAlign w:val="center"/>
          </w:tcPr>
          <w:p w14:paraId="0D26880A">
            <w:pPr>
              <w:jc w:val="center"/>
            </w:pPr>
            <w:r>
              <w:rPr>
                <w:rFonts w:ascii="宋体" w:hAnsi="宋体" w:eastAsia="宋体"/>
                <w:sz w:val="24"/>
              </w:rPr>
              <w:t>单位整体支出绩效自评表</w:t>
            </w:r>
          </w:p>
        </w:tc>
      </w:tr>
      <w:tr w14:paraId="7B2B58A9">
        <w:tblPrEx>
          <w:tblCellMar>
            <w:top w:w="0" w:type="dxa"/>
            <w:left w:w="108" w:type="dxa"/>
            <w:bottom w:w="0" w:type="dxa"/>
            <w:right w:w="108" w:type="dxa"/>
          </w:tblCellMar>
        </w:tblPrEx>
        <w:tc>
          <w:tcPr>
            <w:tcW w:w="8847" w:type="dxa"/>
            <w:gridSpan w:val="9"/>
            <w:vAlign w:val="center"/>
          </w:tcPr>
          <w:p w14:paraId="280C7661">
            <w:pPr>
              <w:jc w:val="center"/>
            </w:pPr>
            <w:r>
              <w:rPr>
                <w:rFonts w:ascii="宋体" w:hAnsi="宋体" w:eastAsia="宋体"/>
                <w:sz w:val="24"/>
              </w:rPr>
              <w:t>（2024年度）</w:t>
            </w:r>
          </w:p>
        </w:tc>
      </w:tr>
      <w:tr w14:paraId="6022DD0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8336F">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F46CC52">
            <w:pPr>
              <w:jc w:val="center"/>
            </w:pPr>
            <w:r>
              <w:rPr>
                <w:rFonts w:ascii="宋体" w:hAnsi="宋体" w:eastAsia="宋体"/>
                <w:sz w:val="16"/>
              </w:rPr>
              <w:t>吉木萨尔县工商业联合会（商会）</w:t>
            </w:r>
          </w:p>
        </w:tc>
      </w:tr>
      <w:tr w14:paraId="619A247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3511CE">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05299">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F3F7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4D40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35AD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80EB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10F3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74670">
            <w:pPr>
              <w:jc w:val="center"/>
            </w:pPr>
            <w:r>
              <w:rPr>
                <w:rFonts w:ascii="宋体" w:hAnsi="宋体" w:eastAsia="宋体"/>
                <w:sz w:val="16"/>
              </w:rPr>
              <w:t>得分</w:t>
            </w:r>
          </w:p>
        </w:tc>
      </w:tr>
      <w:tr w14:paraId="29F1B3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5EBF5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ABC83">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20D6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762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FD6C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925F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3BF6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A38EA">
            <w:pPr>
              <w:jc w:val="center"/>
            </w:pPr>
            <w:r>
              <w:rPr>
                <w:rFonts w:ascii="宋体" w:hAnsi="宋体" w:eastAsia="宋体"/>
                <w:sz w:val="16"/>
              </w:rPr>
              <w:t>-</w:t>
            </w:r>
          </w:p>
        </w:tc>
      </w:tr>
      <w:tr w14:paraId="42C8ED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27352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1DC95">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4600A">
            <w:pPr>
              <w:jc w:val="center"/>
            </w:pPr>
            <w:r>
              <w:rPr>
                <w:rFonts w:ascii="宋体" w:hAnsi="宋体" w:eastAsia="宋体"/>
                <w:sz w:val="16"/>
              </w:rPr>
              <w:t>73.42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66023">
            <w:pPr>
              <w:jc w:val="center"/>
            </w:pPr>
            <w:r>
              <w:rPr>
                <w:rFonts w:ascii="宋体" w:hAnsi="宋体" w:eastAsia="宋体"/>
                <w:sz w:val="16"/>
              </w:rPr>
              <w:t>105.38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463E6">
            <w:pPr>
              <w:jc w:val="center"/>
            </w:pPr>
            <w:r>
              <w:rPr>
                <w:rFonts w:ascii="宋体" w:hAnsi="宋体" w:eastAsia="宋体"/>
                <w:sz w:val="16"/>
              </w:rPr>
              <w:t>105.38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F67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DBA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F0E05">
            <w:pPr>
              <w:jc w:val="center"/>
            </w:pPr>
            <w:r>
              <w:rPr>
                <w:rFonts w:ascii="宋体" w:hAnsi="宋体" w:eastAsia="宋体"/>
                <w:sz w:val="16"/>
              </w:rPr>
              <w:t>-</w:t>
            </w:r>
          </w:p>
        </w:tc>
      </w:tr>
      <w:tr w14:paraId="3E7A75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E23AB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8FC9E">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5990F">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29764">
            <w:pPr>
              <w:jc w:val="center"/>
            </w:pPr>
            <w:r>
              <w:rPr>
                <w:rFonts w:ascii="宋体" w:hAnsi="宋体" w:eastAsia="宋体"/>
                <w:sz w:val="16"/>
              </w:rPr>
              <w:t>8.49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C46EA">
            <w:pPr>
              <w:jc w:val="center"/>
            </w:pPr>
            <w:r>
              <w:rPr>
                <w:rFonts w:ascii="宋体" w:hAnsi="宋体" w:eastAsia="宋体"/>
                <w:sz w:val="16"/>
              </w:rPr>
              <w:t>8.49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E5C1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64A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6765C">
            <w:pPr>
              <w:jc w:val="center"/>
            </w:pPr>
            <w:r>
              <w:rPr>
                <w:rFonts w:ascii="宋体" w:hAnsi="宋体" w:eastAsia="宋体"/>
                <w:sz w:val="16"/>
              </w:rPr>
              <w:t>-</w:t>
            </w:r>
          </w:p>
        </w:tc>
      </w:tr>
      <w:tr w14:paraId="6D8242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CE3D2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DAD5F">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009CC">
            <w:pPr>
              <w:jc w:val="center"/>
            </w:pPr>
            <w:r>
              <w:rPr>
                <w:rFonts w:ascii="宋体" w:hAnsi="宋体" w:eastAsia="宋体"/>
                <w:sz w:val="16"/>
              </w:rPr>
              <w:t>74.92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1C543">
            <w:pPr>
              <w:jc w:val="center"/>
            </w:pPr>
            <w:r>
              <w:rPr>
                <w:rFonts w:ascii="宋体" w:hAnsi="宋体" w:eastAsia="宋体"/>
                <w:sz w:val="16"/>
              </w:rPr>
              <w:t>113.87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EEB56">
            <w:pPr>
              <w:jc w:val="center"/>
            </w:pPr>
            <w:r>
              <w:rPr>
                <w:rFonts w:ascii="宋体" w:hAnsi="宋体" w:eastAsia="宋体"/>
                <w:sz w:val="16"/>
              </w:rPr>
              <w:t>113.87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324E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257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243D6">
            <w:pPr>
              <w:jc w:val="center"/>
            </w:pPr>
            <w:r>
              <w:rPr>
                <w:rFonts w:ascii="宋体" w:hAnsi="宋体" w:eastAsia="宋体"/>
                <w:sz w:val="16"/>
              </w:rPr>
              <w:t>10</w:t>
            </w:r>
          </w:p>
        </w:tc>
      </w:tr>
      <w:tr w14:paraId="6F88964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C67AE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F4687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456DA6">
            <w:pPr>
              <w:jc w:val="center"/>
            </w:pPr>
            <w:r>
              <w:rPr>
                <w:rFonts w:ascii="宋体" w:hAnsi="宋体" w:eastAsia="宋体"/>
                <w:sz w:val="16"/>
              </w:rPr>
              <w:t>实际完成情况</w:t>
            </w:r>
          </w:p>
        </w:tc>
      </w:tr>
      <w:tr w14:paraId="7CFB1D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5AC3E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9E2DAC">
            <w:pPr>
              <w:jc w:val="both"/>
            </w:pPr>
            <w:r>
              <w:rPr>
                <w:rFonts w:ascii="宋体" w:hAnsi="宋体" w:eastAsia="宋体"/>
                <w:sz w:val="16"/>
              </w:rPr>
              <w:t>目标1：组织非公企业党支部书记和党务干部举办党建业务培训班1期。</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目标2：组织全县非公企业或基层组织开展光彩助学活动1次。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目标3：组织我县辖区内5-10家民营企业</w:t>
            </w:r>
            <w:r>
              <w:rPr>
                <w:rFonts w:hint="eastAsia" w:ascii="宋体" w:hAnsi="宋体"/>
                <w:sz w:val="16"/>
                <w:lang w:eastAsia="zh-CN"/>
              </w:rPr>
              <w:t>赴</w:t>
            </w:r>
            <w:r>
              <w:rPr>
                <w:rFonts w:ascii="宋体" w:hAnsi="宋体" w:eastAsia="宋体"/>
                <w:sz w:val="16"/>
              </w:rPr>
              <w:t>厦门观摩学习。</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目标4：积极发展会员，壮大会员队伍。</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目标5：在非公企业中培养发展党员10名。</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A1023D">
            <w:pPr>
              <w:jc w:val="both"/>
            </w:pPr>
            <w:r>
              <w:rPr>
                <w:rFonts w:hint="eastAsia" w:ascii="宋体" w:hAnsi="宋体"/>
                <w:sz w:val="16"/>
                <w:lang w:eastAsia="zh-CN"/>
              </w:rPr>
              <w:t>截至</w:t>
            </w:r>
            <w:r>
              <w:rPr>
                <w:rFonts w:ascii="宋体" w:hAnsi="宋体" w:eastAsia="宋体"/>
                <w:sz w:val="16"/>
              </w:rPr>
              <w:t>2024年12月31日，单位全年预算数为113.87万元，全年实际支出资金113.87万元，预算执行率为100%，主要完成内容为：深化民营经济人士理想信念教育，引导民营经济人士</w:t>
            </w:r>
            <w:r>
              <w:rPr>
                <w:rFonts w:hint="eastAsia" w:ascii="宋体" w:hAnsi="宋体"/>
                <w:sz w:val="16"/>
                <w:lang w:eastAsia="zh-CN"/>
              </w:rPr>
              <w:t>坚定“四个自信”、</w:t>
            </w:r>
            <w:r>
              <w:rPr>
                <w:rFonts w:ascii="宋体" w:hAnsi="宋体" w:eastAsia="宋体"/>
                <w:sz w:val="16"/>
              </w:rPr>
              <w:t>争当爱国敬业、守法经营、创业创新、回报社会的典范；守牢</w:t>
            </w:r>
            <w:r>
              <w:rPr>
                <w:rFonts w:hint="eastAsia" w:ascii="宋体" w:hAnsi="宋体"/>
                <w:sz w:val="16"/>
                <w:lang w:eastAsia="zh-CN"/>
              </w:rPr>
              <w:t>意识形态阵地</w:t>
            </w:r>
            <w:r>
              <w:rPr>
                <w:rFonts w:ascii="宋体" w:hAnsi="宋体" w:eastAsia="宋体"/>
                <w:sz w:val="16"/>
              </w:rPr>
              <w:t>，严格落实民营经济领域意识形态工作责任制；搭建桥梁纽带，助力优化营商环境。不断完善和改进政企对接机制，主动帮助企业协调解决普遍性问题和个性化难题；积极推动招商引资，做好企业投资服务，发挥商会招商引资主力军作用，引导服务民营企业“走出去”，宣传吉木萨尔、宣传政策、推荐项目；着力营造宜商惠商的政策环境，加强调查研究和系统分析，科学研判我县民营经济发展趋势变化，形成更多高质量、有针对性地政协提案、社情民意，协同推动政策落细落实；加强商会规范化建设，有序扩大商会组织覆盖和会员覆盖，规范会员发展报告制度；加强民营经济领域党建工作，履行好对所属商会党建工作</w:t>
            </w:r>
            <w:r>
              <w:rPr>
                <w:rFonts w:hint="eastAsia" w:ascii="宋体" w:hAnsi="宋体"/>
                <w:sz w:val="16"/>
                <w:lang w:eastAsia="zh-CN"/>
              </w:rPr>
              <w:t>全面从严治党主体责任</w:t>
            </w:r>
            <w:r>
              <w:rPr>
                <w:rFonts w:ascii="宋体" w:hAnsi="宋体" w:eastAsia="宋体"/>
                <w:sz w:val="16"/>
              </w:rPr>
              <w:t>，参与民营企业党建工作；积极引导民营企业履行社会责任，充分发挥工商联组织优势、特殊资源优势，推动民营企业履行社会责任品牌化、常态化、标准化、平台化。</w:t>
            </w:r>
          </w:p>
        </w:tc>
      </w:tr>
      <w:tr w14:paraId="614B42E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5EB7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C580C">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C17C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1A211">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3743E">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6DE2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6A507">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84CC3">
            <w:pPr>
              <w:jc w:val="center"/>
            </w:pPr>
            <w:r>
              <w:rPr>
                <w:rFonts w:ascii="宋体" w:hAnsi="宋体" w:eastAsia="宋体"/>
                <w:sz w:val="16"/>
              </w:rPr>
              <w:t>得分</w:t>
            </w:r>
          </w:p>
        </w:tc>
      </w:tr>
      <w:tr w14:paraId="05E0E00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37A507">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9C943C">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46CF3">
            <w:pPr>
              <w:jc w:val="center"/>
            </w:pPr>
            <w:r>
              <w:rPr>
                <w:rFonts w:ascii="宋体" w:hAnsi="宋体" w:eastAsia="宋体"/>
                <w:sz w:val="16"/>
              </w:rPr>
              <w:t>工商联在职人员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41DE5">
            <w:pPr>
              <w:jc w:val="center"/>
            </w:pPr>
            <w:r>
              <w:rPr>
                <w:rFonts w:ascii="宋体" w:hAnsi="宋体" w:eastAsia="宋体"/>
                <w:sz w:val="16"/>
              </w:rPr>
              <w:t>&gt;=3人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BDC2A">
            <w:pPr>
              <w:jc w:val="center"/>
            </w:pPr>
            <w:r>
              <w:rPr>
                <w:rFonts w:ascii="宋体" w:hAnsi="宋体" w:eastAsia="宋体"/>
                <w:sz w:val="16"/>
              </w:rPr>
              <w:t>2023年部门决算报表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2EC5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D2B6C">
            <w:pPr>
              <w:jc w:val="center"/>
            </w:pPr>
            <w:r>
              <w:rPr>
                <w:rFonts w:ascii="宋体" w:hAnsi="宋体" w:eastAsia="宋体"/>
                <w:sz w:val="16"/>
              </w:rPr>
              <w:t>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ADBF2">
            <w:pPr>
              <w:jc w:val="center"/>
            </w:pPr>
            <w:r>
              <w:rPr>
                <w:rFonts w:ascii="宋体" w:hAnsi="宋体" w:eastAsia="宋体"/>
                <w:sz w:val="16"/>
              </w:rPr>
              <w:t>5</w:t>
            </w:r>
          </w:p>
        </w:tc>
      </w:tr>
      <w:tr w14:paraId="20102A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B25D9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4F538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1868C">
            <w:pPr>
              <w:jc w:val="center"/>
            </w:pPr>
            <w:r>
              <w:rPr>
                <w:rFonts w:ascii="宋体" w:hAnsi="宋体" w:eastAsia="宋体"/>
                <w:sz w:val="16"/>
              </w:rPr>
              <w:t>工商联政府购买岗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25E1B">
            <w:pPr>
              <w:jc w:val="center"/>
            </w:pPr>
            <w:r>
              <w:rPr>
                <w:rFonts w:ascii="宋体" w:hAnsi="宋体" w:eastAsia="宋体"/>
                <w:sz w:val="16"/>
              </w:rPr>
              <w:t>&gt;=1人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E3B24">
            <w:pPr>
              <w:jc w:val="center"/>
            </w:pPr>
            <w:r>
              <w:rPr>
                <w:rFonts w:ascii="宋体" w:hAnsi="宋体" w:eastAsia="宋体"/>
                <w:sz w:val="16"/>
              </w:rPr>
              <w:t>2023年部门决算报表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997C5">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80F0E">
            <w:pPr>
              <w:jc w:val="center"/>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0F559">
            <w:pPr>
              <w:jc w:val="center"/>
            </w:pPr>
            <w:r>
              <w:rPr>
                <w:rFonts w:ascii="宋体" w:hAnsi="宋体" w:eastAsia="宋体"/>
                <w:sz w:val="16"/>
              </w:rPr>
              <w:t>3</w:t>
            </w:r>
          </w:p>
        </w:tc>
      </w:tr>
      <w:tr w14:paraId="060532F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3A4289">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6BB13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7B489">
            <w:pPr>
              <w:jc w:val="center"/>
            </w:pPr>
            <w:r>
              <w:rPr>
                <w:rFonts w:ascii="宋体" w:hAnsi="宋体" w:eastAsia="宋体"/>
                <w:sz w:val="16"/>
              </w:rPr>
              <w:t>非公企业中培养发展党员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401F1">
            <w:pPr>
              <w:jc w:val="center"/>
            </w:pPr>
            <w:r>
              <w:rPr>
                <w:rFonts w:ascii="宋体" w:hAnsi="宋体" w:eastAsia="宋体"/>
                <w:sz w:val="16"/>
              </w:rPr>
              <w:t>&gt;=5人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DFFBA">
            <w:pPr>
              <w:jc w:val="center"/>
            </w:pPr>
            <w:r>
              <w:rPr>
                <w:rFonts w:ascii="宋体" w:hAnsi="宋体" w:eastAsia="宋体"/>
                <w:sz w:val="16"/>
              </w:rPr>
              <w:t>工商联2024年工作计划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DA32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16DA9">
            <w:pPr>
              <w:jc w:val="center"/>
            </w:pPr>
            <w:r>
              <w:rPr>
                <w:rFonts w:ascii="宋体" w:hAnsi="宋体" w:eastAsia="宋体"/>
                <w:sz w:val="16"/>
              </w:rPr>
              <w: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DA9B7">
            <w:pPr>
              <w:jc w:val="center"/>
            </w:pPr>
            <w:r>
              <w:rPr>
                <w:rFonts w:ascii="宋体" w:hAnsi="宋体" w:eastAsia="宋体"/>
                <w:sz w:val="16"/>
              </w:rPr>
              <w:t>20</w:t>
            </w:r>
          </w:p>
        </w:tc>
      </w:tr>
      <w:tr w14:paraId="7715B8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6691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E3E1F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D2C96">
            <w:pPr>
              <w:jc w:val="center"/>
            </w:pPr>
            <w:r>
              <w:rPr>
                <w:rFonts w:ascii="宋体" w:hAnsi="宋体" w:eastAsia="宋体"/>
                <w:sz w:val="16"/>
              </w:rPr>
              <w:t>组织非公企业党支部书记和党务干部举办党建业务培训班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63767">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97F15">
            <w:pPr>
              <w:jc w:val="center"/>
            </w:pPr>
            <w:r>
              <w:rPr>
                <w:rFonts w:ascii="宋体" w:hAnsi="宋体" w:eastAsia="宋体"/>
                <w:sz w:val="16"/>
              </w:rPr>
              <w:t>工商联2024年工作计划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423C3">
            <w:pPr>
              <w:jc w:val="center"/>
            </w:pPr>
            <w:r>
              <w:rPr>
                <w:rFonts w:ascii="宋体" w:hAnsi="宋体" w:eastAsia="宋体"/>
                <w:sz w:val="16"/>
              </w:rPr>
              <w:t>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AD1EC">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DBF01">
            <w:pPr>
              <w:jc w:val="center"/>
            </w:pPr>
            <w:r>
              <w:rPr>
                <w:rFonts w:ascii="宋体" w:hAnsi="宋体" w:eastAsia="宋体"/>
                <w:sz w:val="16"/>
              </w:rPr>
              <w:t>17</w:t>
            </w:r>
          </w:p>
        </w:tc>
      </w:tr>
      <w:tr w14:paraId="181569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9791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BAAB9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12DD7">
            <w:pPr>
              <w:jc w:val="center"/>
            </w:pPr>
            <w:r>
              <w:rPr>
                <w:rFonts w:ascii="宋体" w:hAnsi="宋体" w:eastAsia="宋体"/>
                <w:sz w:val="16"/>
              </w:rPr>
              <w:t>组织我县辖区内民营企业</w:t>
            </w:r>
            <w:r>
              <w:rPr>
                <w:rFonts w:hint="eastAsia" w:ascii="宋体" w:hAnsi="宋体"/>
                <w:sz w:val="16"/>
                <w:lang w:eastAsia="zh-CN"/>
              </w:rPr>
              <w:t>赴</w:t>
            </w:r>
            <w:r>
              <w:rPr>
                <w:rFonts w:ascii="宋体" w:hAnsi="宋体" w:eastAsia="宋体"/>
                <w:sz w:val="16"/>
              </w:rPr>
              <w:t>厦门观摩学习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494CD">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3548F">
            <w:pPr>
              <w:jc w:val="center"/>
            </w:pPr>
            <w:r>
              <w:rPr>
                <w:rFonts w:ascii="宋体" w:hAnsi="宋体" w:eastAsia="宋体"/>
                <w:sz w:val="16"/>
              </w:rPr>
              <w:t>工商联2024年工作计划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204D2">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251B6">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C980D">
            <w:pPr>
              <w:jc w:val="center"/>
            </w:pPr>
            <w:r>
              <w:rPr>
                <w:rFonts w:ascii="宋体" w:hAnsi="宋体" w:eastAsia="宋体"/>
                <w:sz w:val="16"/>
              </w:rPr>
              <w:t>12</w:t>
            </w:r>
          </w:p>
        </w:tc>
      </w:tr>
      <w:tr w14:paraId="7067CB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30D0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CC47C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1B5CF">
            <w:pPr>
              <w:jc w:val="center"/>
            </w:pPr>
            <w:r>
              <w:rPr>
                <w:rFonts w:ascii="宋体" w:hAnsi="宋体" w:eastAsia="宋体"/>
                <w:sz w:val="16"/>
              </w:rPr>
              <w:t>开展主题教育专题学习研讨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444AA">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89C51">
            <w:pPr>
              <w:jc w:val="center"/>
            </w:pPr>
            <w:r>
              <w:rPr>
                <w:rFonts w:ascii="宋体" w:hAnsi="宋体" w:eastAsia="宋体"/>
                <w:sz w:val="16"/>
              </w:rPr>
              <w:t>工商联2024年工作计划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E615A">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1931D">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EECCB">
            <w:pPr>
              <w:jc w:val="center"/>
            </w:pPr>
            <w:r>
              <w:rPr>
                <w:rFonts w:ascii="宋体" w:hAnsi="宋体" w:eastAsia="宋体"/>
                <w:sz w:val="16"/>
              </w:rPr>
              <w:t>18</w:t>
            </w:r>
          </w:p>
        </w:tc>
      </w:tr>
      <w:tr w14:paraId="081945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282D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CDAFA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E5B61">
            <w:pPr>
              <w:jc w:val="center"/>
            </w:pPr>
            <w:r>
              <w:rPr>
                <w:rFonts w:ascii="宋体" w:hAnsi="宋体" w:eastAsia="宋体"/>
                <w:sz w:val="16"/>
              </w:rPr>
              <w:t>“中小微企业纳税信用评价与修复”实操解读培训班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6457D">
            <w:pPr>
              <w:jc w:val="center"/>
            </w:pPr>
            <w:r>
              <w:rPr>
                <w:rFonts w:ascii="宋体" w:hAnsi="宋体" w:eastAsia="宋体"/>
                <w:sz w:val="16"/>
              </w:rPr>
              <w:t>&gt;=3次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637BA">
            <w:pPr>
              <w:jc w:val="center"/>
            </w:pPr>
            <w:r>
              <w:rPr>
                <w:rFonts w:ascii="宋体" w:hAnsi="宋体" w:eastAsia="宋体"/>
                <w:sz w:val="16"/>
              </w:rPr>
              <w:t>工商联2024年工作计划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8BCA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85E71">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CBC28">
            <w:pPr>
              <w:jc w:val="center"/>
            </w:pPr>
            <w:r>
              <w:rPr>
                <w:rFonts w:ascii="宋体" w:hAnsi="宋体" w:eastAsia="宋体"/>
                <w:sz w:val="16"/>
              </w:rPr>
              <w:t>15</w:t>
            </w:r>
          </w:p>
        </w:tc>
      </w:tr>
    </w:tbl>
    <w:p w14:paraId="67F6DC61">
      <w:r>
        <w:br w:type="page"/>
      </w:r>
    </w:p>
    <w:p w14:paraId="41063FCD">
      <w:pPr>
        <w:spacing w:line="640" w:lineRule="exact"/>
        <w:ind w:firstLine="640"/>
        <w:jc w:val="both"/>
        <w:outlineLvl w:val="2"/>
      </w:pPr>
      <w:r>
        <w:rPr>
          <w:rFonts w:ascii="黑体" w:hAnsi="黑体" w:eastAsia="黑体"/>
          <w:sz w:val="32"/>
        </w:rPr>
        <w:t>十二、其他需说明的事项</w:t>
      </w:r>
    </w:p>
    <w:p w14:paraId="6BB943DD">
      <w:pPr>
        <w:spacing w:line="580" w:lineRule="exact"/>
        <w:ind w:firstLine="640"/>
        <w:jc w:val="both"/>
      </w:pPr>
      <w:r>
        <w:rPr>
          <w:rFonts w:ascii="仿宋_GB2312" w:hAnsi="仿宋_GB2312" w:eastAsia="仿宋_GB2312"/>
          <w:b w:val="0"/>
          <w:sz w:val="32"/>
        </w:rPr>
        <w:t>本单位无其他需说明的事项。</w:t>
      </w:r>
    </w:p>
    <w:p w14:paraId="312A90C0">
      <w:r>
        <w:br w:type="page"/>
      </w:r>
    </w:p>
    <w:p w14:paraId="3D6BC09D">
      <w:pPr>
        <w:spacing w:line="240" w:lineRule="auto"/>
        <w:jc w:val="center"/>
        <w:outlineLvl w:val="1"/>
      </w:pPr>
      <w:r>
        <w:rPr>
          <w:rFonts w:ascii="黑体" w:hAnsi="黑体" w:eastAsia="黑体"/>
          <w:sz w:val="32"/>
        </w:rPr>
        <w:t>第三部分 专业名词解释</w:t>
      </w:r>
    </w:p>
    <w:p w14:paraId="0342A39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46C1E3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9D36D3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1D23DF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6A8D22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62EE1E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C6685D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463249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C488B2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55D6BD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B28D94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3C2D88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FE413F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120BD1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6C8B30C">
      <w:r>
        <w:br w:type="page"/>
      </w:r>
    </w:p>
    <w:p w14:paraId="595D33D2">
      <w:pPr>
        <w:spacing w:line="240" w:lineRule="auto"/>
        <w:jc w:val="center"/>
        <w:outlineLvl w:val="1"/>
      </w:pPr>
      <w:r>
        <w:rPr>
          <w:rFonts w:ascii="黑体" w:hAnsi="黑体" w:eastAsia="黑体"/>
          <w:sz w:val="32"/>
        </w:rPr>
        <w:t>第四部分 部门决算报表（见附表）</w:t>
      </w:r>
    </w:p>
    <w:p w14:paraId="4872619F">
      <w:pPr>
        <w:spacing w:line="240" w:lineRule="auto"/>
        <w:ind w:firstLine="640"/>
        <w:jc w:val="both"/>
      </w:pPr>
      <w:r>
        <w:rPr>
          <w:rFonts w:ascii="仿宋_GB2312" w:hAnsi="仿宋_GB2312" w:eastAsia="仿宋_GB2312"/>
          <w:b w:val="0"/>
          <w:sz w:val="32"/>
        </w:rPr>
        <w:t>一、《收入支出决算总表》</w:t>
      </w:r>
    </w:p>
    <w:p w14:paraId="6354A5A1">
      <w:pPr>
        <w:spacing w:line="240" w:lineRule="auto"/>
        <w:ind w:firstLine="640"/>
        <w:jc w:val="both"/>
      </w:pPr>
      <w:r>
        <w:rPr>
          <w:rFonts w:ascii="仿宋_GB2312" w:hAnsi="仿宋_GB2312" w:eastAsia="仿宋_GB2312"/>
          <w:b w:val="0"/>
          <w:sz w:val="32"/>
        </w:rPr>
        <w:t>二、《收入决算表》</w:t>
      </w:r>
    </w:p>
    <w:p w14:paraId="10555D63">
      <w:pPr>
        <w:spacing w:line="240" w:lineRule="auto"/>
        <w:ind w:firstLine="640"/>
        <w:jc w:val="both"/>
      </w:pPr>
      <w:r>
        <w:rPr>
          <w:rFonts w:ascii="仿宋_GB2312" w:hAnsi="仿宋_GB2312" w:eastAsia="仿宋_GB2312"/>
          <w:b w:val="0"/>
          <w:sz w:val="32"/>
        </w:rPr>
        <w:t>三、《支出决算表》</w:t>
      </w:r>
    </w:p>
    <w:p w14:paraId="38C3C794">
      <w:pPr>
        <w:spacing w:line="240" w:lineRule="auto"/>
        <w:ind w:firstLine="640"/>
        <w:jc w:val="both"/>
      </w:pPr>
      <w:r>
        <w:rPr>
          <w:rFonts w:ascii="仿宋_GB2312" w:hAnsi="仿宋_GB2312" w:eastAsia="仿宋_GB2312"/>
          <w:b w:val="0"/>
          <w:sz w:val="32"/>
        </w:rPr>
        <w:t>四、《财政拨款收入支出决算总表》</w:t>
      </w:r>
    </w:p>
    <w:p w14:paraId="2816E79F">
      <w:pPr>
        <w:spacing w:line="240" w:lineRule="auto"/>
        <w:ind w:firstLine="640"/>
        <w:jc w:val="both"/>
      </w:pPr>
      <w:r>
        <w:rPr>
          <w:rFonts w:ascii="仿宋_GB2312" w:hAnsi="仿宋_GB2312" w:eastAsia="仿宋_GB2312"/>
          <w:b w:val="0"/>
          <w:sz w:val="32"/>
        </w:rPr>
        <w:t>五、《一般公共预算财政拨款支出决算表》</w:t>
      </w:r>
    </w:p>
    <w:p w14:paraId="7C993AD6">
      <w:pPr>
        <w:spacing w:line="240" w:lineRule="auto"/>
        <w:ind w:firstLine="640"/>
        <w:jc w:val="both"/>
      </w:pPr>
      <w:r>
        <w:rPr>
          <w:rFonts w:ascii="仿宋_GB2312" w:hAnsi="仿宋_GB2312" w:eastAsia="仿宋_GB2312"/>
          <w:b w:val="0"/>
          <w:sz w:val="32"/>
        </w:rPr>
        <w:t>六、《一般公共预算财政拨款基本支出决算表》</w:t>
      </w:r>
    </w:p>
    <w:p w14:paraId="7E0C09EC">
      <w:pPr>
        <w:spacing w:line="240" w:lineRule="auto"/>
        <w:ind w:firstLine="640"/>
        <w:jc w:val="both"/>
      </w:pPr>
      <w:r>
        <w:rPr>
          <w:rFonts w:ascii="仿宋_GB2312" w:hAnsi="仿宋_GB2312" w:eastAsia="仿宋_GB2312"/>
          <w:b w:val="0"/>
          <w:sz w:val="32"/>
        </w:rPr>
        <w:t>七、《政府性基金预算财政拨款收入支出决算表》</w:t>
      </w:r>
    </w:p>
    <w:p w14:paraId="3CC5C6B7">
      <w:pPr>
        <w:spacing w:line="240" w:lineRule="auto"/>
        <w:ind w:firstLine="640"/>
        <w:jc w:val="both"/>
      </w:pPr>
      <w:r>
        <w:rPr>
          <w:rFonts w:ascii="仿宋_GB2312" w:hAnsi="仿宋_GB2312" w:eastAsia="仿宋_GB2312"/>
          <w:b w:val="0"/>
          <w:sz w:val="32"/>
        </w:rPr>
        <w:t>八、《国有资本经营预算财政拨款收入支出决算表》</w:t>
      </w:r>
    </w:p>
    <w:p w14:paraId="6686B6D5">
      <w:pPr>
        <w:spacing w:line="240" w:lineRule="auto"/>
        <w:ind w:firstLine="640"/>
        <w:jc w:val="both"/>
      </w:pPr>
      <w:r>
        <w:rPr>
          <w:rFonts w:ascii="仿宋_GB2312" w:hAnsi="仿宋_GB2312" w:eastAsia="仿宋_GB2312"/>
          <w:b w:val="0"/>
          <w:sz w:val="32"/>
        </w:rPr>
        <w:t>九、《财政拨款“三公”经费支出决算表》</w:t>
      </w:r>
    </w:p>
    <w:p w14:paraId="7A0A3F3D">
      <w:pPr>
        <w:spacing w:line="240" w:lineRule="auto"/>
        <w:ind w:firstLine="640"/>
        <w:jc w:val="both"/>
      </w:pPr>
    </w:p>
    <w:p w14:paraId="51F24632">
      <w:pPr>
        <w:spacing w:line="240" w:lineRule="auto"/>
        <w:ind w:firstLine="640"/>
        <w:jc w:val="both"/>
      </w:pPr>
    </w:p>
    <w:p w14:paraId="2E090654">
      <w:pPr>
        <w:spacing w:line="240" w:lineRule="auto"/>
        <w:ind w:firstLine="640"/>
        <w:jc w:val="both"/>
      </w:pPr>
    </w:p>
    <w:p w14:paraId="2AC0F000">
      <w:pPr>
        <w:spacing w:line="240" w:lineRule="auto"/>
        <w:ind w:firstLine="640"/>
        <w:jc w:val="both"/>
      </w:pPr>
    </w:p>
    <w:p w14:paraId="1243D13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9FDC479-E2DB-45F4-BAC6-FFF439A76A6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37882ABA-1C9F-4D53-A1C2-99B917D40A75}"/>
  </w:font>
  <w:font w:name="仿宋_GB2312">
    <w:panose1 w:val="02010609030101010101"/>
    <w:charset w:val="86"/>
    <w:family w:val="modern"/>
    <w:pitch w:val="default"/>
    <w:sig w:usb0="00000001" w:usb1="080E0000" w:usb2="00000000" w:usb3="00000000" w:csb0="00040000" w:csb1="00000000"/>
    <w:embedRegular r:id="rId3" w:fontKey="{82BBB46B-0965-407E-BB11-3ADA22DCC330}"/>
  </w:font>
  <w:font w:name="楷体_GB2312">
    <w:panose1 w:val="02010609030101010101"/>
    <w:charset w:val="86"/>
    <w:family w:val="auto"/>
    <w:pitch w:val="default"/>
    <w:sig w:usb0="00000001" w:usb1="080E0000" w:usb2="00000000" w:usb3="00000000" w:csb0="00040000" w:csb1="00000000"/>
    <w:embedRegular r:id="rId4" w:fontKey="{8F89ACF6-6E7C-4A01-BA1E-977DCEA34DC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745588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4AD5946"/>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4874</Words>
  <Characters>5518</Characters>
  <Lines>0</Lines>
  <Paragraphs>0</Paragraphs>
  <TotalTime>4</TotalTime>
  <ScaleCrop>false</ScaleCrop>
  <LinksUpToDate>false</LinksUpToDate>
  <CharactersWithSpaces>5526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Think pad</cp:lastModifiedBy>
  <cp:lastPrinted>2024-07-22T11:58:00Z</cp:lastPrinted>
  <dcterms:modified xsi:type="dcterms:W3CDTF">2025-10-14T03:36:46Z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eyJoZGlkIjoiNTM1NjJiMTUwNmFhZWNlZmQwNDVjMDAxNDMwM2IwMDkiLCJ1c2VySWQiOiIzNzI2MDMzNTYifQ==</vt:lpwstr>
  </property>
</Properties>
</file>