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吉木萨尔县妇女联合会2024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D2A1E7">
      <w:r>
        <w:br w:type="page"/>
      </w:r>
    </w:p>
    <w:p w14:paraId="3CDE4D8E">
      <w:pPr>
        <w:spacing w:line="640" w:lineRule="exact"/>
        <w:jc w:val="center"/>
        <w:outlineLvl w:val="1"/>
      </w:pPr>
      <w:r>
        <w:rPr>
          <w:rFonts w:ascii="黑体" w:hAnsi="黑体" w:eastAsia="黑体"/>
          <w:sz w:val="32"/>
        </w:rPr>
        <w:t>第一部分 单位概况</w:t>
      </w:r>
    </w:p>
    <w:p w14:paraId="57094899">
      <w:pPr>
        <w:spacing w:line="640" w:lineRule="exact"/>
        <w:ind w:firstLine="640"/>
        <w:jc w:val="both"/>
        <w:outlineLvl w:val="2"/>
      </w:pPr>
      <w:r>
        <w:rPr>
          <w:rFonts w:ascii="黑体" w:hAnsi="黑体" w:eastAsia="黑体"/>
          <w:sz w:val="32"/>
        </w:rPr>
        <w:t>一、主要职能</w:t>
      </w:r>
    </w:p>
    <w:p w14:paraId="383ADF35">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坚持正确的政治方向、团结、教育全县各族各界妇女以及各类妇女组织同党中央在思想上、政治上、行动上保持高度一致，维护祖国统一，反对民族分裂主义活动。</w:t>
      </w:r>
    </w:p>
    <w:p w14:paraId="53A67C97">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紧紧围绕党和政府的中心任务开展工作，团结、动员、组织妇女群众投身改革开放和现代化建设、不断促进社会主义物质文明、政治文明、精神文明建设协调发展，为维护改革、发展、稳定的大局服务。</w:t>
      </w:r>
    </w:p>
    <w:p w14:paraId="46B61D2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指导和推进全县农牧区妇女“三学三比”、城镇妇女“巾帼建功”竞赛活动；全面实施“巾帼科技致富”、“巾帼社区服务”、“女性素质”、“家庭文明”、“巾帼民族团结”五大工程；开展“巾帼扶贫行动”，做好妇女扶贫项目工作；组织动员全县广大妇女积极投身经济建设和各项事业的发展。</w:t>
      </w:r>
    </w:p>
    <w:p w14:paraId="4C68B6C1">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新时期妇女思想政治工作，教育引导广大妇女树立自尊、自信、自立、自强的精神；创建“五个好文明家庭”，推进全县群众性精神文明建设活动；表彰各行各业的先进妇女，树立新时期妇女典型；开展妇女素质培训和优秀妇女干部推荐工作，全面提升妇女素质，促进各类妇女人才成长。</w:t>
      </w:r>
    </w:p>
    <w:p w14:paraId="2EE533F8">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代表妇女参与国家和社会事务的民主管理、民主监督，促进妇女参政议政，参与有关妇女儿童规章的制定；加强维权信访工作，宣传贯彻落实男女平等、《中华人民共和国民法典</w:t>
      </w:r>
      <w:r>
        <w:rPr>
          <w:rFonts w:hint="eastAsia" w:ascii="仿宋_GB2312" w:hAnsi="仿宋_GB2312" w:eastAsia="仿宋_GB2312"/>
          <w:sz w:val="32"/>
          <w:lang w:eastAsia="zh-CN"/>
        </w:rPr>
        <w:t>》《中华人民共和国妇女权益保障法</w:t>
      </w:r>
      <w:r>
        <w:rPr>
          <w:rFonts w:ascii="仿宋_GB2312" w:hAnsi="仿宋_GB2312" w:eastAsia="仿宋_GB2312"/>
          <w:sz w:val="32"/>
        </w:rPr>
        <w:t>》和</w:t>
      </w:r>
      <w:r>
        <w:rPr>
          <w:rFonts w:hint="eastAsia" w:ascii="仿宋_GB2312" w:hAnsi="仿宋_GB2312" w:eastAsia="仿宋_GB2312"/>
          <w:sz w:val="32"/>
          <w:lang w:eastAsia="zh-CN"/>
        </w:rPr>
        <w:t>《中华人民共和国未成年人保护法》</w:t>
      </w:r>
      <w:r>
        <w:rPr>
          <w:rFonts w:ascii="仿宋_GB2312" w:hAnsi="仿宋_GB2312" w:eastAsia="仿宋_GB2312"/>
          <w:sz w:val="32"/>
        </w:rPr>
        <w:t>；接待处理妇女群众来信来访案件，切实维护妇女儿童的合法权益。</w:t>
      </w:r>
    </w:p>
    <w:p w14:paraId="0674B4BB">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调查掌握全县0-14岁儿童状况；开展儿童文化艺术活动，陶冶儿童情操，提高儿童素质；开展各类家长学校和家庭教育理论研究，宣传普及家庭教育知识，培训家庭教育骨干；实施“春蕾计划”，监督“春蕾”扶贫项目资金的使用情况和辍学女童的管理工作。</w:t>
      </w:r>
    </w:p>
    <w:p w14:paraId="61ACFF1E">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依据妇女代表大会的任务，指导各乡镇开展妇女儿童工作。</w:t>
      </w:r>
    </w:p>
    <w:p w14:paraId="39DC1F52">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负责指导全县妇女儿童工作委员会办公室的工作。</w:t>
      </w:r>
    </w:p>
    <w:p w14:paraId="197E56B3">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承办县委、县人民政府交办的其他事项。</w:t>
      </w:r>
    </w:p>
    <w:p w14:paraId="39EA8D7D">
      <w:pPr>
        <w:spacing w:line="640" w:lineRule="exact"/>
        <w:ind w:firstLine="640"/>
        <w:jc w:val="both"/>
        <w:outlineLvl w:val="2"/>
      </w:pPr>
      <w:r>
        <w:rPr>
          <w:rFonts w:ascii="黑体" w:hAnsi="黑体" w:eastAsia="黑体"/>
          <w:sz w:val="32"/>
        </w:rPr>
        <w:t>二、机构设置及人员情况</w:t>
      </w:r>
    </w:p>
    <w:p w14:paraId="4B8F288F">
      <w:pPr>
        <w:spacing w:line="580" w:lineRule="exact"/>
        <w:ind w:firstLine="640"/>
        <w:jc w:val="both"/>
      </w:pPr>
      <w:r>
        <w:rPr>
          <w:rFonts w:ascii="仿宋_GB2312" w:hAnsi="仿宋_GB2312" w:eastAsia="仿宋_GB2312"/>
          <w:sz w:val="32"/>
        </w:rPr>
        <w:t>吉木萨尔县妇女联合会2024年度，实有人数9人，其中：在职人员6人，增加0人；离休人员0人，增加0人；退休人员3人,增加0人。</w:t>
      </w:r>
    </w:p>
    <w:p w14:paraId="6C00AD01">
      <w:pPr>
        <w:spacing w:line="580" w:lineRule="exact"/>
        <w:ind w:firstLine="640"/>
        <w:jc w:val="both"/>
      </w:pPr>
      <w:r>
        <w:rPr>
          <w:rFonts w:ascii="仿宋_GB2312" w:hAnsi="仿宋_GB2312" w:eastAsia="仿宋_GB2312"/>
          <w:sz w:val="32"/>
        </w:rPr>
        <w:t>吉木萨尔县妇女联合会无下属预算单位，下设2个科室，分别是：办公室、财务室。</w:t>
      </w:r>
    </w:p>
    <w:p w14:paraId="2ADAAABD">
      <w:r>
        <w:br w:type="page"/>
      </w:r>
    </w:p>
    <w:p w14:paraId="78E219AC">
      <w:pPr>
        <w:spacing w:line="240" w:lineRule="auto"/>
        <w:jc w:val="center"/>
        <w:outlineLvl w:val="1"/>
      </w:pPr>
      <w:r>
        <w:rPr>
          <w:rFonts w:ascii="黑体" w:hAnsi="黑体" w:eastAsia="黑体"/>
          <w:sz w:val="32"/>
        </w:rPr>
        <w:t>第二部分 部门决算情况说明</w:t>
      </w:r>
    </w:p>
    <w:p w14:paraId="2E690E83">
      <w:pPr>
        <w:spacing w:line="640" w:lineRule="exact"/>
        <w:ind w:firstLine="640"/>
        <w:jc w:val="both"/>
        <w:outlineLvl w:val="2"/>
      </w:pPr>
      <w:r>
        <w:rPr>
          <w:rFonts w:ascii="黑体" w:hAnsi="黑体" w:eastAsia="黑体"/>
          <w:sz w:val="32"/>
        </w:rPr>
        <w:t>一、收入支出决算总体情况说明</w:t>
      </w:r>
    </w:p>
    <w:p w14:paraId="36A4D1B3">
      <w:pPr>
        <w:spacing w:line="580" w:lineRule="exact"/>
        <w:ind w:firstLine="640"/>
        <w:jc w:val="both"/>
      </w:pPr>
      <w:r>
        <w:rPr>
          <w:rFonts w:ascii="仿宋_GB2312" w:hAnsi="仿宋_GB2312" w:eastAsia="仿宋_GB2312"/>
          <w:b/>
          <w:sz w:val="32"/>
        </w:rPr>
        <w:t>2024年度收入总计164.86万元，</w:t>
      </w:r>
      <w:r>
        <w:rPr>
          <w:rFonts w:ascii="仿宋_GB2312" w:hAnsi="仿宋_GB2312" w:eastAsia="仿宋_GB2312"/>
          <w:b w:val="0"/>
          <w:sz w:val="32"/>
        </w:rPr>
        <w:t>其中：本年收入合计163.02万元，使用非财政拨款结余（含专用结余）0.00万元，年初结转和结余1.84万元。</w:t>
      </w:r>
    </w:p>
    <w:p w14:paraId="5905B287">
      <w:pPr>
        <w:spacing w:line="580" w:lineRule="exact"/>
        <w:ind w:firstLine="640"/>
        <w:jc w:val="both"/>
      </w:pPr>
      <w:r>
        <w:rPr>
          <w:rFonts w:ascii="仿宋_GB2312" w:hAnsi="仿宋_GB2312" w:eastAsia="仿宋_GB2312"/>
          <w:b/>
          <w:sz w:val="32"/>
        </w:rPr>
        <w:t>2024年度支出总计164.86万元，</w:t>
      </w:r>
      <w:r>
        <w:rPr>
          <w:rFonts w:ascii="仿宋_GB2312" w:hAnsi="仿宋_GB2312" w:eastAsia="仿宋_GB2312"/>
          <w:b w:val="0"/>
          <w:sz w:val="32"/>
        </w:rPr>
        <w:t>其中：本年支出合计159.46万元，结余分配0.00万元，年末结转和结余5.40万元。</w:t>
      </w:r>
    </w:p>
    <w:p w14:paraId="51CC5A37">
      <w:pPr>
        <w:spacing w:line="580" w:lineRule="exact"/>
        <w:ind w:firstLine="640"/>
        <w:jc w:val="both"/>
      </w:pPr>
      <w:r>
        <w:rPr>
          <w:rFonts w:ascii="仿宋_GB2312" w:hAnsi="仿宋_GB2312" w:eastAsia="仿宋_GB2312"/>
          <w:b w:val="0"/>
          <w:sz w:val="32"/>
        </w:rPr>
        <w:t>收入支出总体与上年相比，减少4.37万元，下降2.58%，主要原因是：本年两癌补助经费减少。</w:t>
      </w:r>
    </w:p>
    <w:p w14:paraId="3A1B8BC6">
      <w:pPr>
        <w:spacing w:line="640" w:lineRule="exact"/>
        <w:ind w:firstLine="640"/>
        <w:jc w:val="both"/>
        <w:outlineLvl w:val="2"/>
      </w:pPr>
      <w:r>
        <w:rPr>
          <w:rFonts w:ascii="黑体" w:hAnsi="黑体" w:eastAsia="黑体"/>
          <w:sz w:val="32"/>
        </w:rPr>
        <w:t>二、收入决算情况说明</w:t>
      </w:r>
    </w:p>
    <w:p w14:paraId="4D2DA192">
      <w:pPr>
        <w:spacing w:line="580" w:lineRule="exact"/>
        <w:ind w:firstLine="640"/>
        <w:jc w:val="both"/>
      </w:pPr>
      <w:r>
        <w:rPr>
          <w:rFonts w:ascii="仿宋_GB2312" w:hAnsi="仿宋_GB2312" w:eastAsia="仿宋_GB2312"/>
          <w:b/>
          <w:sz w:val="32"/>
        </w:rPr>
        <w:t>本年收入163.02万元，</w:t>
      </w:r>
      <w:r>
        <w:rPr>
          <w:rFonts w:ascii="仿宋_GB2312" w:hAnsi="仿宋_GB2312" w:eastAsia="仿宋_GB2312"/>
          <w:b w:val="0"/>
          <w:sz w:val="32"/>
        </w:rPr>
        <w:t>其中：财政拨款收入145.88万元，占89.49%；上级补助收入0.00万元，占0.00%；事业收入0.00万元，占0.00%；经营收入0.00万元，占0.00%；附属单位上缴收入0.00万元，占0.00%；其他收入17.14万元，占10.51%。</w:t>
      </w:r>
    </w:p>
    <w:p w14:paraId="21D5A648">
      <w:pPr>
        <w:spacing w:line="640" w:lineRule="exact"/>
        <w:ind w:firstLine="640"/>
        <w:jc w:val="both"/>
        <w:outlineLvl w:val="2"/>
      </w:pPr>
      <w:r>
        <w:rPr>
          <w:rFonts w:ascii="黑体" w:hAnsi="黑体" w:eastAsia="黑体"/>
          <w:sz w:val="32"/>
        </w:rPr>
        <w:t>三、支出决算情况说明</w:t>
      </w:r>
    </w:p>
    <w:p w14:paraId="44BBBCBB">
      <w:pPr>
        <w:spacing w:line="580" w:lineRule="exact"/>
        <w:ind w:firstLine="640"/>
        <w:jc w:val="both"/>
      </w:pPr>
      <w:r>
        <w:rPr>
          <w:rFonts w:ascii="仿宋_GB2312" w:hAnsi="仿宋_GB2312" w:eastAsia="仿宋_GB2312"/>
          <w:b/>
          <w:sz w:val="32"/>
        </w:rPr>
        <w:t>本年支出159.46万元，</w:t>
      </w:r>
      <w:r>
        <w:rPr>
          <w:rFonts w:ascii="仿宋_GB2312" w:hAnsi="仿宋_GB2312" w:eastAsia="仿宋_GB2312"/>
          <w:b w:val="0"/>
          <w:sz w:val="32"/>
        </w:rPr>
        <w:t>其中：基本支出152.16万元，占95.42%；项目支出7.30万元，占4.58%；上缴上级支出0.00万元，占0.00%；经营支出0.00万元，占0.00%；对附属单位补助支出0.00万元，占0.00%。</w:t>
      </w:r>
    </w:p>
    <w:p w14:paraId="446DBC7C">
      <w:pPr>
        <w:spacing w:line="640" w:lineRule="exact"/>
        <w:ind w:firstLine="640"/>
        <w:jc w:val="both"/>
        <w:outlineLvl w:val="2"/>
      </w:pPr>
      <w:r>
        <w:rPr>
          <w:rFonts w:ascii="黑体" w:hAnsi="黑体" w:eastAsia="黑体"/>
          <w:sz w:val="32"/>
        </w:rPr>
        <w:t>四、财政拨款收入支出决算总体情况说明</w:t>
      </w:r>
    </w:p>
    <w:p w14:paraId="250D8EB5">
      <w:pPr>
        <w:spacing w:line="580" w:lineRule="exact"/>
        <w:ind w:firstLine="640"/>
        <w:jc w:val="both"/>
      </w:pPr>
      <w:r>
        <w:rPr>
          <w:rFonts w:ascii="仿宋_GB2312" w:hAnsi="仿宋_GB2312" w:eastAsia="仿宋_GB2312"/>
          <w:b/>
          <w:sz w:val="32"/>
        </w:rPr>
        <w:t>2024年度财政拨款收入总计145.88万元，</w:t>
      </w:r>
      <w:r>
        <w:rPr>
          <w:rFonts w:ascii="仿宋_GB2312" w:hAnsi="仿宋_GB2312" w:eastAsia="仿宋_GB2312"/>
          <w:b w:val="0"/>
          <w:sz w:val="32"/>
        </w:rPr>
        <w:t>其中：年初财政拨款结转和结余0.00万元，本年财政拨款收入145.88万元。</w:t>
      </w:r>
      <w:r>
        <w:rPr>
          <w:rFonts w:ascii="仿宋_GB2312" w:hAnsi="仿宋_GB2312" w:eastAsia="仿宋_GB2312"/>
          <w:b/>
          <w:sz w:val="32"/>
        </w:rPr>
        <w:t>财政拨款支出总计145.88万元，</w:t>
      </w:r>
      <w:r>
        <w:rPr>
          <w:rFonts w:ascii="仿宋_GB2312" w:hAnsi="仿宋_GB2312" w:eastAsia="仿宋_GB2312"/>
          <w:b w:val="0"/>
          <w:sz w:val="32"/>
        </w:rPr>
        <w:t>其中：年末财政拨款结转和结余0.00万元，本年财政拨款支出145.88万元。</w:t>
      </w:r>
    </w:p>
    <w:p w14:paraId="36865CD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增加22.68万元，增长18.41%，主要原因是：本年在职人员工资调增，社保、公积金基数调增，人员经费增加。本年新增电脑打印机经费、结良缘搭鹊桥爱在北庭集体婚礼活动经费等。</w:t>
      </w:r>
      <w:r>
        <w:rPr>
          <w:rFonts w:ascii="仿宋_GB2312" w:hAnsi="仿宋_GB2312" w:eastAsia="仿宋_GB2312"/>
          <w:b/>
          <w:sz w:val="32"/>
        </w:rPr>
        <w:t>与年初预算相比，</w:t>
      </w:r>
      <w:r>
        <w:rPr>
          <w:rFonts w:ascii="仿宋_GB2312" w:hAnsi="仿宋_GB2312" w:eastAsia="仿宋_GB2312"/>
          <w:b w:val="0"/>
          <w:sz w:val="32"/>
        </w:rPr>
        <w:t>年初预算数132.78万元，决算数145.88万元，预决算差异率9.87%，主要原因是：年中追加人员工资、社保、公积金基数调增部分资金，导致预决算存在差异。</w:t>
      </w:r>
    </w:p>
    <w:p w14:paraId="7A58797A">
      <w:pPr>
        <w:spacing w:line="640" w:lineRule="exact"/>
        <w:ind w:firstLine="640"/>
        <w:jc w:val="both"/>
        <w:outlineLvl w:val="2"/>
      </w:pPr>
      <w:r>
        <w:rPr>
          <w:rFonts w:ascii="黑体" w:hAnsi="黑体" w:eastAsia="黑体"/>
          <w:sz w:val="32"/>
        </w:rPr>
        <w:t>五、一般公共预算财政拨款支出决算情况说明</w:t>
      </w:r>
    </w:p>
    <w:p w14:paraId="72E87206">
      <w:pPr>
        <w:spacing w:line="640" w:lineRule="exact"/>
        <w:ind w:firstLine="640"/>
        <w:jc w:val="both"/>
        <w:outlineLvl w:val="3"/>
      </w:pPr>
      <w:r>
        <w:rPr>
          <w:rFonts w:ascii="楷体_GB2312" w:hAnsi="楷体_GB2312" w:eastAsia="楷体_GB2312"/>
          <w:b/>
          <w:sz w:val="32"/>
        </w:rPr>
        <w:t>（一）一般公共预算财政拨款支出决算总体情况</w:t>
      </w:r>
    </w:p>
    <w:p w14:paraId="759E49DE">
      <w:pPr>
        <w:spacing w:line="580" w:lineRule="exact"/>
        <w:ind w:firstLine="640"/>
        <w:jc w:val="both"/>
      </w:pPr>
      <w:r>
        <w:rPr>
          <w:rFonts w:ascii="仿宋_GB2312" w:hAnsi="仿宋_GB2312" w:eastAsia="仿宋_GB2312"/>
          <w:b/>
          <w:sz w:val="32"/>
        </w:rPr>
        <w:t>2024年度一般公共预算财政拨款支出145.88万元，</w:t>
      </w:r>
      <w:r>
        <w:rPr>
          <w:rFonts w:ascii="仿宋_GB2312" w:hAnsi="仿宋_GB2312" w:eastAsia="仿宋_GB2312"/>
          <w:b w:val="0"/>
          <w:sz w:val="32"/>
        </w:rPr>
        <w:t>占本年支出合计的91.48%。</w:t>
      </w:r>
      <w:r>
        <w:rPr>
          <w:rFonts w:ascii="仿宋_GB2312" w:hAnsi="仿宋_GB2312" w:eastAsia="仿宋_GB2312"/>
          <w:b/>
          <w:sz w:val="32"/>
        </w:rPr>
        <w:t>与上年相比，</w:t>
      </w:r>
      <w:r>
        <w:rPr>
          <w:rFonts w:ascii="仿宋_GB2312" w:hAnsi="仿宋_GB2312" w:eastAsia="仿宋_GB2312"/>
          <w:b w:val="0"/>
          <w:sz w:val="32"/>
        </w:rPr>
        <w:t>增加22.68万元，增长18.41%，主要原因是：本年在职人员工资调增，社保、公积金基数调增，人员经费增加。本年新增电脑打印机经费、结良缘搭鹊桥爱在北庭集体婚礼活动经费等。</w:t>
      </w:r>
      <w:r>
        <w:rPr>
          <w:rFonts w:ascii="仿宋_GB2312" w:hAnsi="仿宋_GB2312" w:eastAsia="仿宋_GB2312"/>
          <w:b/>
          <w:sz w:val="32"/>
        </w:rPr>
        <w:t>与年初预算相比,</w:t>
      </w:r>
      <w:r>
        <w:rPr>
          <w:rFonts w:ascii="仿宋_GB2312" w:hAnsi="仿宋_GB2312" w:eastAsia="仿宋_GB2312"/>
          <w:b w:val="0"/>
          <w:sz w:val="32"/>
        </w:rPr>
        <w:t>年初预算数132.78万元，决算数145.88万元，预决算差异率9.87%，主要原因是：年中追加人员工资、社保、公积金基数调增部分资金，导致预决算存在差异。</w:t>
      </w:r>
    </w:p>
    <w:p w14:paraId="0B37D2E5">
      <w:pPr>
        <w:spacing w:line="640" w:lineRule="exact"/>
        <w:ind w:firstLine="640"/>
        <w:jc w:val="both"/>
        <w:outlineLvl w:val="3"/>
      </w:pPr>
      <w:r>
        <w:rPr>
          <w:rFonts w:ascii="楷体_GB2312" w:hAnsi="楷体_GB2312" w:eastAsia="楷体_GB2312"/>
          <w:b/>
          <w:sz w:val="32"/>
        </w:rPr>
        <w:t>（二）一般公共预算财政拨款支出决算结构情况</w:t>
      </w:r>
    </w:p>
    <w:p w14:paraId="4BFD07EF">
      <w:pPr>
        <w:spacing w:line="580" w:lineRule="exact"/>
        <w:ind w:firstLine="640"/>
        <w:jc w:val="both"/>
      </w:pPr>
      <w:r>
        <w:rPr>
          <w:rFonts w:ascii="仿宋_GB2312" w:hAnsi="仿宋_GB2312" w:eastAsia="仿宋_GB2312"/>
          <w:b w:val="0"/>
          <w:sz w:val="32"/>
        </w:rPr>
        <w:t>1.一般公共服务支出(类)108.80万元,占74.58%。</w:t>
      </w:r>
    </w:p>
    <w:p w14:paraId="1875A2AD">
      <w:pPr>
        <w:spacing w:line="580" w:lineRule="exact"/>
        <w:ind w:firstLine="640"/>
        <w:jc w:val="both"/>
      </w:pPr>
      <w:r>
        <w:rPr>
          <w:rFonts w:ascii="仿宋_GB2312" w:hAnsi="仿宋_GB2312" w:eastAsia="仿宋_GB2312"/>
          <w:b w:val="0"/>
          <w:sz w:val="32"/>
        </w:rPr>
        <w:t>2.科学技术支出(类)2.40万元,占1.65%。</w:t>
      </w:r>
    </w:p>
    <w:p w14:paraId="5F3A07B0">
      <w:pPr>
        <w:spacing w:line="580" w:lineRule="exact"/>
        <w:ind w:firstLine="640"/>
        <w:jc w:val="both"/>
      </w:pPr>
      <w:r>
        <w:rPr>
          <w:rFonts w:ascii="仿宋_GB2312" w:hAnsi="仿宋_GB2312" w:eastAsia="仿宋_GB2312"/>
          <w:b w:val="0"/>
          <w:sz w:val="32"/>
        </w:rPr>
        <w:t>3.文化旅游体育与传媒支出(类)2.00万元,占1.37%。</w:t>
      </w:r>
    </w:p>
    <w:p w14:paraId="6FD7A1AE">
      <w:pPr>
        <w:spacing w:line="580" w:lineRule="exact"/>
        <w:ind w:firstLine="640"/>
        <w:jc w:val="both"/>
      </w:pPr>
      <w:r>
        <w:rPr>
          <w:rFonts w:ascii="仿宋_GB2312" w:hAnsi="仿宋_GB2312" w:eastAsia="仿宋_GB2312"/>
          <w:b w:val="0"/>
          <w:sz w:val="32"/>
        </w:rPr>
        <w:t>4.社会保障和就业支出(类)18.44万元,占12.64%。</w:t>
      </w:r>
    </w:p>
    <w:p w14:paraId="4D62FE7B">
      <w:pPr>
        <w:spacing w:line="580" w:lineRule="exact"/>
        <w:ind w:firstLine="640"/>
        <w:jc w:val="both"/>
      </w:pPr>
      <w:r>
        <w:rPr>
          <w:rFonts w:ascii="仿宋_GB2312" w:hAnsi="仿宋_GB2312" w:eastAsia="仿宋_GB2312"/>
          <w:b w:val="0"/>
          <w:sz w:val="32"/>
        </w:rPr>
        <w:t>5.卫生健康支出(类)5.93万元,占4.06%。</w:t>
      </w:r>
    </w:p>
    <w:p w14:paraId="2FECC5CA">
      <w:pPr>
        <w:spacing w:line="580" w:lineRule="exact"/>
        <w:ind w:firstLine="640"/>
        <w:jc w:val="both"/>
      </w:pPr>
      <w:r>
        <w:rPr>
          <w:rFonts w:ascii="仿宋_GB2312" w:hAnsi="仿宋_GB2312" w:eastAsia="仿宋_GB2312"/>
          <w:b w:val="0"/>
          <w:sz w:val="32"/>
        </w:rPr>
        <w:t>6.住房保障支出(类)8.31万元,占5.70%。</w:t>
      </w:r>
    </w:p>
    <w:p w14:paraId="6BB18B18">
      <w:pPr>
        <w:spacing w:line="640" w:lineRule="exact"/>
        <w:ind w:firstLine="640"/>
        <w:jc w:val="both"/>
        <w:outlineLvl w:val="3"/>
      </w:pPr>
      <w:r>
        <w:rPr>
          <w:rFonts w:ascii="楷体_GB2312" w:hAnsi="楷体_GB2312" w:eastAsia="楷体_GB2312"/>
          <w:b/>
          <w:sz w:val="32"/>
        </w:rPr>
        <w:t>（三）一般公共预算财政拨款支出决算具体情况</w:t>
      </w:r>
    </w:p>
    <w:p w14:paraId="6329DBA7">
      <w:pPr>
        <w:spacing w:line="580" w:lineRule="exact"/>
        <w:ind w:firstLine="640"/>
        <w:jc w:val="both"/>
      </w:pPr>
      <w:r>
        <w:rPr>
          <w:rFonts w:ascii="仿宋_GB2312" w:hAnsi="仿宋_GB2312" w:eastAsia="仿宋_GB2312"/>
          <w:b w:val="0"/>
          <w:sz w:val="32"/>
        </w:rPr>
        <w:t>1.一般公共服务支出(类)群众团体事务(款)行政运行(项):支出决算数为80.38万元，比上年决算增加6.61万元，增长8.96%,主要原因是：本年在职人员工资调增，导致相关人员经费较上年有所增加。</w:t>
      </w:r>
    </w:p>
    <w:p w14:paraId="7EE91C31">
      <w:pPr>
        <w:spacing w:line="580" w:lineRule="exact"/>
        <w:ind w:firstLine="640"/>
        <w:jc w:val="both"/>
      </w:pPr>
      <w:r>
        <w:rPr>
          <w:rFonts w:ascii="仿宋_GB2312" w:hAnsi="仿宋_GB2312" w:eastAsia="仿宋_GB2312"/>
          <w:b w:val="0"/>
          <w:sz w:val="32"/>
        </w:rPr>
        <w:t>2.一般公共服务支出(类)群众团体事务(款)事业运行(项):支出决算数为23.12万元，比上年决算增加0.31万元，增长1.36%,主要原因是：本年在职人员工资调增，导致相关人员经费较上年有所增加。</w:t>
      </w:r>
    </w:p>
    <w:p w14:paraId="109711AE">
      <w:pPr>
        <w:spacing w:line="580" w:lineRule="exact"/>
        <w:ind w:firstLine="640"/>
        <w:jc w:val="both"/>
      </w:pPr>
      <w:r>
        <w:rPr>
          <w:rFonts w:ascii="仿宋_GB2312" w:hAnsi="仿宋_GB2312" w:eastAsia="仿宋_GB2312"/>
          <w:b w:val="0"/>
          <w:sz w:val="32"/>
        </w:rPr>
        <w:t>3.一般公共服务支出(类)群众团体事务(款)其他群众团体事务支出(项):支出决算数为5.30万元，比上年决算增加5.30万元，增长100.00%,主要原因是：本年增加结良缘搭鹊桥爱在北庭集体婚礼活动经费。</w:t>
      </w:r>
    </w:p>
    <w:p w14:paraId="06DD3CB7">
      <w:pPr>
        <w:spacing w:line="580" w:lineRule="exact"/>
        <w:ind w:firstLine="640"/>
        <w:jc w:val="both"/>
      </w:pPr>
      <w:r>
        <w:rPr>
          <w:rFonts w:ascii="仿宋_GB2312" w:hAnsi="仿宋_GB2312" w:eastAsia="仿宋_GB2312"/>
          <w:b w:val="0"/>
          <w:sz w:val="32"/>
        </w:rPr>
        <w:t>4.科学技术支出(类)科技条件与服务(款)其他科技条件与服务支出(项):支出决算数为2.40万元，比上年决算增加2.40万元，增长100.00%,主要原因是：本年</w:t>
      </w:r>
      <w:r>
        <w:rPr>
          <w:rFonts w:hint="eastAsia" w:ascii="仿宋_GB2312" w:hAnsi="仿宋_GB2312" w:eastAsia="仿宋_GB2312"/>
          <w:b w:val="0"/>
          <w:sz w:val="32"/>
          <w:lang w:val="en-US" w:eastAsia="zh-CN"/>
        </w:rPr>
        <w:t>度</w:t>
      </w:r>
      <w:r>
        <w:rPr>
          <w:rFonts w:ascii="仿宋_GB2312" w:hAnsi="仿宋_GB2312" w:eastAsia="仿宋_GB2312"/>
          <w:b w:val="0"/>
          <w:sz w:val="32"/>
        </w:rPr>
        <w:t>增加购买打印机电脑经费。</w:t>
      </w:r>
    </w:p>
    <w:p w14:paraId="74D810C6">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2.00万元，比上年决算增加2.00万元，增长100.00%,主要原因是：本年增加新时代文明实践中心建设项目活动经费。</w:t>
      </w:r>
    </w:p>
    <w:p w14:paraId="0410D374">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6.社会保障和就业支出(类)行政事业单位养老支出(款)行政单位离退休(项):支出决算数为2.28万元，比上年决算增加1.36万元，增长147.83%,主要原因是：本年增加退休人员基础绩效奖，退休费支出增加。</w:t>
      </w:r>
    </w:p>
    <w:p w14:paraId="76F694E4">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10.87万元，比上年决算增加1.72万元，增长18.80%,主要原因是：本年在职人员工资基数调增，养老缴费基数上涨，相应支出增加。</w:t>
      </w:r>
    </w:p>
    <w:p w14:paraId="4F86BDC3">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8.社会保障和就业支出(类)行政事业单位养老支出(款)机关事业单位职业年金缴费支出(项):支出决算数为5.29万元，比上年决算增加0.78万元，增长17.29%,主要原因是：本年在职人员工资调增，导致职业年金缴费增加。</w:t>
      </w:r>
    </w:p>
    <w:p w14:paraId="6523EC2E">
      <w:pPr>
        <w:spacing w:line="580" w:lineRule="exact"/>
        <w:ind w:firstLine="640"/>
        <w:jc w:val="both"/>
      </w:pPr>
      <w:r>
        <w:rPr>
          <w:rFonts w:ascii="仿宋_GB2312" w:hAnsi="仿宋_GB2312" w:eastAsia="仿宋_GB2312"/>
          <w:b w:val="0"/>
          <w:sz w:val="32"/>
        </w:rPr>
        <w:t>9.卫生健康支出(类)行政事业单位医疗(款)行政单位医疗(项):支出决算数为3.54万元，比上年决算增加0.36万元，增长11.32%,主要原因是：本年在职人员工资基数调增，医疗缴费基数上涨，相应支出增加。</w:t>
      </w:r>
    </w:p>
    <w:p w14:paraId="65F47914">
      <w:pPr>
        <w:spacing w:line="580" w:lineRule="exact"/>
        <w:ind w:firstLine="640"/>
        <w:jc w:val="both"/>
      </w:pPr>
      <w:r>
        <w:rPr>
          <w:rFonts w:ascii="仿宋_GB2312" w:hAnsi="仿宋_GB2312" w:eastAsia="仿宋_GB2312"/>
          <w:b w:val="0"/>
          <w:sz w:val="32"/>
        </w:rPr>
        <w:t>10.卫生健康支出(类)行政事业单位医疗(款)事业单位医疗(项):支出决算数为1.97万元，比上年决算增加0.58万元，增长41.73%,主要原因是：本年在职人员工资基数调增，医疗缴费基数上涨，相应支出增加。</w:t>
      </w:r>
    </w:p>
    <w:p w14:paraId="17E4DF86">
      <w:pPr>
        <w:spacing w:line="580" w:lineRule="exact"/>
        <w:ind w:firstLine="640"/>
        <w:jc w:val="both"/>
      </w:pPr>
      <w:r>
        <w:rPr>
          <w:rFonts w:ascii="仿宋_GB2312" w:hAnsi="仿宋_GB2312" w:eastAsia="仿宋_GB2312"/>
          <w:b w:val="0"/>
          <w:sz w:val="32"/>
        </w:rPr>
        <w:t>11.卫生健康支出(类)行政事业单位医疗(款)公务员医疗补助(项):支出决算数为0.42万元，比上年决算增加0.14万元，增长50.00%,主要原因是：本年在职人员工资基数调增，医疗缴费基数上涨，相应支出增加。</w:t>
      </w:r>
    </w:p>
    <w:p w14:paraId="5732EDA5">
      <w:pPr>
        <w:spacing w:line="580" w:lineRule="exact"/>
        <w:ind w:firstLine="640"/>
        <w:jc w:val="both"/>
      </w:pPr>
      <w:r>
        <w:rPr>
          <w:rFonts w:ascii="仿宋_GB2312" w:hAnsi="仿宋_GB2312" w:eastAsia="仿宋_GB2312"/>
          <w:b w:val="0"/>
          <w:sz w:val="32"/>
        </w:rPr>
        <w:t>12.住房保障支出(类)住房改革支出(款)住房公积金(项):支出决算数为8.31万元，比上年决算增加1.12万元，增长15.58%,主要原因是：本年在职人员工资基数调增，公积金缴费基数上涨，相应支出增加。</w:t>
      </w:r>
    </w:p>
    <w:p w14:paraId="1599056D">
      <w:pPr>
        <w:spacing w:line="640" w:lineRule="exact"/>
        <w:ind w:firstLine="640"/>
        <w:jc w:val="both"/>
        <w:outlineLvl w:val="2"/>
      </w:pPr>
      <w:r>
        <w:rPr>
          <w:rFonts w:ascii="黑体" w:hAnsi="黑体" w:eastAsia="黑体"/>
          <w:sz w:val="32"/>
        </w:rPr>
        <w:t>六、一般公共预算财政拨款基本支出决算情况说明</w:t>
      </w:r>
    </w:p>
    <w:p w14:paraId="205B4DFB">
      <w:pPr>
        <w:spacing w:line="580" w:lineRule="exact"/>
        <w:ind w:firstLine="640"/>
        <w:jc w:val="both"/>
      </w:pPr>
      <w:r>
        <w:rPr>
          <w:rFonts w:ascii="仿宋_GB2312" w:hAnsi="仿宋_GB2312" w:eastAsia="仿宋_GB2312"/>
          <w:b w:val="0"/>
          <w:sz w:val="32"/>
        </w:rPr>
        <w:t>2024年度一般公共预算财政拨款基本支出138.58万元，其中：</w:t>
      </w:r>
      <w:r>
        <w:rPr>
          <w:rFonts w:ascii="仿宋_GB2312" w:hAnsi="仿宋_GB2312" w:eastAsia="仿宋_GB2312"/>
          <w:b/>
          <w:sz w:val="32"/>
        </w:rPr>
        <w:t>人员经费120.80万元，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62134F0A">
      <w:pPr>
        <w:spacing w:line="580" w:lineRule="exact"/>
        <w:ind w:firstLine="640"/>
        <w:jc w:val="both"/>
      </w:pPr>
      <w:r>
        <w:rPr>
          <w:rFonts w:ascii="仿宋_GB2312" w:hAnsi="仿宋_GB2312" w:eastAsia="仿宋_GB2312"/>
          <w:b/>
          <w:sz w:val="32"/>
        </w:rPr>
        <w:t>公用经费17.78万元，</w:t>
      </w:r>
      <w:r>
        <w:rPr>
          <w:rFonts w:ascii="仿宋_GB2312" w:hAnsi="仿宋_GB2312" w:eastAsia="仿宋_GB2312"/>
          <w:b w:val="0"/>
          <w:sz w:val="32"/>
        </w:rPr>
        <w:t>包括：办公费、印刷费、邮电费、差旅费、委托业务费、工会经费、公务用车运行维护费、其他商品和服务支出。</w:t>
      </w:r>
    </w:p>
    <w:p w14:paraId="59771151">
      <w:pPr>
        <w:spacing w:line="640" w:lineRule="exact"/>
        <w:ind w:firstLine="640"/>
        <w:jc w:val="both"/>
        <w:outlineLvl w:val="2"/>
      </w:pPr>
      <w:r>
        <w:rPr>
          <w:rFonts w:ascii="黑体" w:hAnsi="黑体" w:eastAsia="黑体"/>
          <w:sz w:val="32"/>
        </w:rPr>
        <w:t>七、政府性基金预算财政拨款收入支出决算情况说明</w:t>
      </w:r>
    </w:p>
    <w:p w14:paraId="1A9BB8B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1E8D775">
      <w:pPr>
        <w:spacing w:line="640" w:lineRule="exact"/>
        <w:ind w:firstLine="640"/>
        <w:jc w:val="both"/>
        <w:outlineLvl w:val="2"/>
      </w:pPr>
      <w:r>
        <w:rPr>
          <w:rFonts w:ascii="黑体" w:hAnsi="黑体" w:eastAsia="黑体"/>
          <w:sz w:val="32"/>
        </w:rPr>
        <w:t>八、国有资本经营预算财政拨款收入支出决算情况说明</w:t>
      </w:r>
    </w:p>
    <w:p w14:paraId="09BF7C8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8A8B2D5">
      <w:pPr>
        <w:spacing w:line="640" w:lineRule="exact"/>
        <w:ind w:firstLine="640"/>
        <w:jc w:val="both"/>
        <w:outlineLvl w:val="2"/>
      </w:pPr>
      <w:r>
        <w:rPr>
          <w:rFonts w:ascii="黑体" w:hAnsi="黑体" w:eastAsia="黑体"/>
          <w:sz w:val="32"/>
        </w:rPr>
        <w:t>九、财政拨款“三公”经费支出决算情况说明</w:t>
      </w:r>
    </w:p>
    <w:p w14:paraId="49B56CB9">
      <w:pPr>
        <w:spacing w:line="580" w:lineRule="exact"/>
        <w:ind w:firstLine="640"/>
        <w:jc w:val="both"/>
      </w:pPr>
      <w:r>
        <w:rPr>
          <w:rFonts w:ascii="仿宋_GB2312" w:hAnsi="仿宋_GB2312" w:eastAsia="仿宋_GB2312"/>
          <w:b/>
          <w:sz w:val="32"/>
        </w:rPr>
        <w:t>2024年度财政拨款“三公”经费支出1.63万元，</w:t>
      </w:r>
      <w:r>
        <w:rPr>
          <w:rFonts w:ascii="仿宋_GB2312" w:hAnsi="仿宋_GB2312" w:eastAsia="仿宋_GB2312"/>
          <w:b w:val="0"/>
          <w:sz w:val="32"/>
        </w:rPr>
        <w:t>比上年增加0.12万元，增长7.95%，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1.63万元，占100.00%，比上年增加0.12万元，增长7.95%，主要原因是：本单位公务用车日渐老化，维修维护成本增加，导致公务用车运行维护费较上年增加。公务接待费支出0.00万元，占0.00%，比上年增加0.00万元，增长0.00%，主要原因是：2023年与2024年均未安排公务接待费支出。</w:t>
      </w:r>
    </w:p>
    <w:p w14:paraId="171B6127">
      <w:pPr>
        <w:spacing w:line="580" w:lineRule="exact"/>
        <w:ind w:firstLine="640"/>
        <w:jc w:val="both"/>
      </w:pPr>
      <w:r>
        <w:rPr>
          <w:rFonts w:ascii="仿宋_GB2312" w:hAnsi="仿宋_GB2312" w:eastAsia="仿宋_GB2312"/>
          <w:b/>
          <w:sz w:val="32"/>
        </w:rPr>
        <w:t>具体情况如下：</w:t>
      </w:r>
    </w:p>
    <w:p w14:paraId="4225110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7163488">
      <w:pPr>
        <w:spacing w:line="580" w:lineRule="exact"/>
        <w:ind w:firstLine="640"/>
        <w:jc w:val="both"/>
      </w:pPr>
      <w:r>
        <w:rPr>
          <w:rFonts w:ascii="仿宋_GB2312" w:hAnsi="仿宋_GB2312" w:eastAsia="仿宋_GB2312"/>
          <w:b w:val="0"/>
          <w:sz w:val="32"/>
        </w:rPr>
        <w:t>公务用车购置及运行维护费1.63万元，其中：公务用车购置费0.00万元，公务用车运行维护费1.63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38DFBA7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AC7441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1.63万元，决算数1.63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1.63万元，决算数1.63万元，预决算差异率0.00%，主要原因是：严格按照预算执行，预决算无差异。公务接待费全年预算数0.00万元，决算数0.00万元，预决算差异率0.00%，主要原因是：本单位无公务接待费。</w:t>
      </w:r>
    </w:p>
    <w:p w14:paraId="4FD864C8">
      <w:pPr>
        <w:spacing w:line="640" w:lineRule="exact"/>
        <w:ind w:firstLine="640"/>
        <w:jc w:val="both"/>
        <w:outlineLvl w:val="2"/>
      </w:pPr>
      <w:r>
        <w:rPr>
          <w:rFonts w:ascii="黑体" w:hAnsi="黑体" w:eastAsia="黑体"/>
          <w:sz w:val="32"/>
        </w:rPr>
        <w:t>十、其他重要事项的情况说明</w:t>
      </w:r>
    </w:p>
    <w:p w14:paraId="373BF43B">
      <w:pPr>
        <w:spacing w:line="640" w:lineRule="exact"/>
        <w:ind w:firstLine="640"/>
        <w:jc w:val="both"/>
        <w:outlineLvl w:val="3"/>
      </w:pPr>
      <w:r>
        <w:rPr>
          <w:rFonts w:ascii="楷体_GB2312" w:hAnsi="楷体_GB2312" w:eastAsia="楷体_GB2312"/>
          <w:b/>
          <w:sz w:val="32"/>
        </w:rPr>
        <w:t>（一）机关运行经费及公用经费支出情况</w:t>
      </w:r>
    </w:p>
    <w:p w14:paraId="0F2A1376">
      <w:pPr>
        <w:spacing w:line="580" w:lineRule="exact"/>
        <w:ind w:firstLine="640"/>
        <w:jc w:val="both"/>
      </w:pPr>
      <w:r>
        <w:rPr>
          <w:rFonts w:ascii="仿宋_GB2312" w:hAnsi="仿宋_GB2312" w:eastAsia="仿宋_GB2312"/>
          <w:b w:val="0"/>
          <w:sz w:val="32"/>
        </w:rPr>
        <w:t>2024年度吉木萨尔县妇女联合会（行政单位和参照公务员法管理事业单位）机关运行经费支出17.78万元，比上年增加4.68万元，增长35.73%，主要原因是：本年增加购买打印机电脑经费，导致机关运行经费增加。</w:t>
      </w:r>
    </w:p>
    <w:p w14:paraId="7AE47B99">
      <w:pPr>
        <w:spacing w:line="640" w:lineRule="exact"/>
        <w:ind w:firstLine="640"/>
        <w:jc w:val="both"/>
        <w:outlineLvl w:val="3"/>
      </w:pPr>
      <w:r>
        <w:rPr>
          <w:rFonts w:ascii="楷体_GB2312" w:hAnsi="楷体_GB2312" w:eastAsia="楷体_GB2312"/>
          <w:b/>
          <w:sz w:val="32"/>
        </w:rPr>
        <w:t>（二）政府采购情况</w:t>
      </w:r>
    </w:p>
    <w:p w14:paraId="58CCF82B">
      <w:pPr>
        <w:spacing w:line="580" w:lineRule="exact"/>
        <w:ind w:firstLine="640"/>
        <w:jc w:val="both"/>
      </w:pPr>
      <w:r>
        <w:rPr>
          <w:rFonts w:ascii="仿宋_GB2312" w:hAnsi="仿宋_GB2312" w:eastAsia="仿宋_GB2312"/>
          <w:b w:val="0"/>
          <w:sz w:val="32"/>
        </w:rPr>
        <w:t>2024年度政府采购支出总额0.42万元，其中：政府采购货物支出0.07万元、政府采购工程支出0.00万元、政府采购服务支出0.36万元。</w:t>
      </w:r>
    </w:p>
    <w:p w14:paraId="626F2FA8">
      <w:pPr>
        <w:spacing w:line="580" w:lineRule="exact"/>
        <w:ind w:firstLine="640"/>
        <w:jc w:val="both"/>
      </w:pPr>
      <w:r>
        <w:rPr>
          <w:rFonts w:ascii="仿宋_GB2312" w:hAnsi="仿宋_GB2312" w:eastAsia="仿宋_GB2312"/>
          <w:b w:val="0"/>
          <w:sz w:val="32"/>
        </w:rPr>
        <w:t>授予中小企业合同金额0.11万元，占政府采购支出总额的26.19%，其中：授予小微企业合同金额0.11万元，占政府采购支出总额的26.19%。</w:t>
      </w:r>
    </w:p>
    <w:p w14:paraId="728AFD38">
      <w:pPr>
        <w:spacing w:line="640" w:lineRule="exact"/>
        <w:ind w:firstLine="640"/>
        <w:jc w:val="both"/>
        <w:outlineLvl w:val="3"/>
      </w:pPr>
      <w:r>
        <w:rPr>
          <w:rFonts w:ascii="楷体_GB2312" w:hAnsi="楷体_GB2312" w:eastAsia="楷体_GB2312"/>
          <w:b/>
          <w:sz w:val="32"/>
        </w:rPr>
        <w:t>（三）国有资产占用情况说明</w:t>
      </w:r>
    </w:p>
    <w:p w14:paraId="369DB0F6">
      <w:pPr>
        <w:spacing w:line="580" w:lineRule="exact"/>
        <w:ind w:firstLine="640"/>
        <w:jc w:val="both"/>
      </w:pPr>
      <w:r>
        <w:rPr>
          <w:rFonts w:ascii="仿宋_GB2312" w:hAnsi="仿宋_GB2312" w:eastAsia="仿宋_GB2312"/>
          <w:b w:val="0"/>
          <w:sz w:val="32"/>
        </w:rPr>
        <w:t>截至2024年12月31日，房屋0.00平方米，价值0.00万元。车辆1辆，价值11.30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C0BFA1B">
      <w:pPr>
        <w:spacing w:line="640" w:lineRule="exact"/>
        <w:ind w:firstLine="640"/>
        <w:jc w:val="both"/>
        <w:outlineLvl w:val="2"/>
      </w:pPr>
      <w:r>
        <w:rPr>
          <w:rFonts w:ascii="黑体" w:hAnsi="黑体" w:eastAsia="黑体"/>
          <w:sz w:val="32"/>
        </w:rPr>
        <w:t>十一、预算绩效的情况说明</w:t>
      </w:r>
    </w:p>
    <w:p w14:paraId="40195F9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164.86万元，实际执行总额159.46万元；预算绩效评价项目1个，全年预算数2.50万元，全年执行数2.50万元。预算绩效管理取得的成效：一是在深化乡村振兴巾帼行动上持续用力。以“美丽庭院+”为模式，按照“四好三美一卫生”标准，动员广大妇女积极开展人居环境卫生整治工作，巩固提升自治区、州级“美丽庭院”示范作用。二是在加大妇女技能培训上持续用力。争取扶持资金1万元，与县技工学校联合开展“石榴花”巾帼家政示范培训班1期，培训妇女群众35人；邀请县网红达人“我和你宝贝”为居家妇女开展抖音直播带货技能培训70余人次；联动乡镇妇联组织开展面点、育婴师、养老护理员等技能培训6场次180余人，组织绣娘参加自治区培训1人，有效提高妇女就业率。三是在大力实施巾帼就业创业行动上持续用力。扎实推进自治区妇联与中国银行“石榴花·富农兴疆巾帼贷”创业贷款政策的宣传工作。截至目前，发放巾帼贷款11户，发放贷款237万元，资料审核的25户；联合县就业局举办“春风送岗位”专场招聘会活动1次，300余名妇女群众参与招聘活动。积极培育自治州“石榴花”巾帼示范基地1个，州妇联完成验收后已拨补项目资金1万元。打造家政进社区巾帼示范基地，争取经费1万元。发现的问题及原因：一</w:t>
      </w:r>
      <w:bookmarkStart w:id="0" w:name="_GoBack"/>
      <w:r>
        <w:rPr>
          <w:rFonts w:hint="eastAsia" w:ascii="仿宋_GB2312" w:hAnsi="仿宋_GB2312" w:eastAsia="仿宋_GB2312"/>
          <w:b w:val="0"/>
          <w:sz w:val="32"/>
          <w:lang w:eastAsia="zh-CN"/>
        </w:rPr>
        <w:t>是在</w:t>
      </w:r>
      <w:bookmarkEnd w:id="0"/>
      <w:r>
        <w:rPr>
          <w:rFonts w:ascii="仿宋_GB2312" w:hAnsi="仿宋_GB2312" w:eastAsia="仿宋_GB2312"/>
          <w:b w:val="0"/>
          <w:sz w:val="32"/>
        </w:rPr>
        <w:t>铸牢中华民族共同体意识方面用心用情用力不足</w:t>
      </w:r>
      <w:r>
        <w:rPr>
          <w:rFonts w:hint="eastAsia" w:ascii="仿宋_GB2312" w:hAnsi="仿宋_GB2312" w:eastAsia="仿宋_GB2312"/>
          <w:b w:val="0"/>
          <w:sz w:val="32"/>
          <w:lang w:eastAsia="zh-CN"/>
        </w:rPr>
        <w:t>，在</w:t>
      </w:r>
      <w:r>
        <w:rPr>
          <w:rFonts w:ascii="仿宋_GB2312" w:hAnsi="仿宋_GB2312" w:eastAsia="仿宋_GB2312"/>
          <w:b w:val="0"/>
          <w:sz w:val="32"/>
        </w:rPr>
        <w:t>妇女思想政治引领方面还有差距；二是家庭教育工作开展不平衡，缺乏专业、专职家庭教育工作者，家、校、社协同发力不平衡；三是妇联干部不善于开展工作，部分基层干部缺乏经验，办法少，与新形势发展的要求还有一定差距；四是“联”字作用发挥不够，在围绕县委、县政府重点工作、重大文旅活动中动员广大妇女参与力度还不够。下一步改进措施：（一）强化妇女思想政治引领，唱响“石榴花巾帼”宣讲品牌。把全县各族妇女姐妹凝聚在“跟党奋进新征程，巾帼建功新时代”的大会号召下，为强国建设、民族复兴贡献新疆巾帼智慧和力量。（二）丰富巾帼岗位建功内涵，为推动高质量发展贡献巾帼力量。引导我县女企业家在坚持妇女餐饮、刺绣、家政等行业坚守主业、做强实业，带动更多妇女就业。支持妇女在电商、直播带货等新业态就业增收，帮助女农民工、低收入妇女及其他特殊困难妇女多渠道就业。摸排建立县级女科技工作者台账，联合教育局、科技局开展“我和妈妈学科学”等科普活动，带动广大家庭学科学、爱科学、用科学。（三）铸牢中华民族共同体意识，促进各族妇女群众交往交流交融。具体附整体支出绩效自评表，项目支出绩效自评表。</w:t>
      </w:r>
    </w:p>
    <w:p w14:paraId="28D9B64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7A556E">
        <w:tblPrEx>
          <w:tblCellMar>
            <w:top w:w="0" w:type="dxa"/>
            <w:left w:w="108" w:type="dxa"/>
            <w:bottom w:w="0" w:type="dxa"/>
            <w:right w:w="108" w:type="dxa"/>
          </w:tblCellMar>
        </w:tblPrEx>
        <w:tc>
          <w:tcPr>
            <w:tcW w:w="8847" w:type="dxa"/>
            <w:gridSpan w:val="9"/>
            <w:vAlign w:val="center"/>
          </w:tcPr>
          <w:p w14:paraId="64008E68">
            <w:pPr>
              <w:jc w:val="center"/>
            </w:pPr>
            <w:r>
              <w:rPr>
                <w:rFonts w:ascii="宋体" w:hAnsi="宋体" w:eastAsia="宋体"/>
                <w:sz w:val="24"/>
              </w:rPr>
              <w:t>单位整体支出绩效自评表</w:t>
            </w:r>
          </w:p>
        </w:tc>
      </w:tr>
      <w:tr w14:paraId="2F73673F">
        <w:tblPrEx>
          <w:tblCellMar>
            <w:top w:w="0" w:type="dxa"/>
            <w:left w:w="108" w:type="dxa"/>
            <w:bottom w:w="0" w:type="dxa"/>
            <w:right w:w="108" w:type="dxa"/>
          </w:tblCellMar>
        </w:tblPrEx>
        <w:tc>
          <w:tcPr>
            <w:tcW w:w="8847" w:type="dxa"/>
            <w:gridSpan w:val="9"/>
            <w:vAlign w:val="center"/>
          </w:tcPr>
          <w:p w14:paraId="2BF26A5B">
            <w:pPr>
              <w:jc w:val="center"/>
            </w:pPr>
            <w:r>
              <w:rPr>
                <w:rFonts w:ascii="宋体" w:hAnsi="宋体" w:eastAsia="宋体"/>
                <w:sz w:val="24"/>
              </w:rPr>
              <w:t>（2024年度）</w:t>
            </w:r>
          </w:p>
        </w:tc>
      </w:tr>
      <w:tr w14:paraId="312DC9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D0D2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D4B079">
            <w:pPr>
              <w:jc w:val="center"/>
            </w:pPr>
            <w:r>
              <w:rPr>
                <w:rFonts w:ascii="宋体" w:hAnsi="宋体" w:eastAsia="宋体"/>
                <w:sz w:val="16"/>
              </w:rPr>
              <w:t>吉木萨尔县妇女联合会</w:t>
            </w:r>
          </w:p>
        </w:tc>
      </w:tr>
      <w:tr w14:paraId="6CD9B0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FDAE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72D0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F957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04D7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44A6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6177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41F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0A55B">
            <w:pPr>
              <w:jc w:val="center"/>
            </w:pPr>
            <w:r>
              <w:rPr>
                <w:rFonts w:ascii="宋体" w:hAnsi="宋体" w:eastAsia="宋体"/>
                <w:sz w:val="16"/>
              </w:rPr>
              <w:t>得分</w:t>
            </w:r>
          </w:p>
        </w:tc>
      </w:tr>
      <w:tr w14:paraId="47BA44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E1E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F8AB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1F4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F77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A48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60B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ECC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00AC1">
            <w:pPr>
              <w:jc w:val="center"/>
            </w:pPr>
            <w:r>
              <w:rPr>
                <w:rFonts w:ascii="宋体" w:hAnsi="宋体" w:eastAsia="宋体"/>
                <w:sz w:val="16"/>
              </w:rPr>
              <w:t>-</w:t>
            </w:r>
          </w:p>
        </w:tc>
      </w:tr>
      <w:tr w14:paraId="0B6762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4F4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EFF0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4B050">
            <w:pPr>
              <w:jc w:val="center"/>
            </w:pPr>
            <w:r>
              <w:rPr>
                <w:rFonts w:ascii="宋体" w:hAnsi="宋体" w:eastAsia="宋体"/>
                <w:sz w:val="16"/>
              </w:rPr>
              <w:t>132.78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CDF17">
            <w:pPr>
              <w:jc w:val="center"/>
            </w:pPr>
            <w:r>
              <w:rPr>
                <w:rFonts w:ascii="宋体" w:hAnsi="宋体" w:eastAsia="宋体"/>
                <w:sz w:val="16"/>
              </w:rPr>
              <w:t>145.88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50DF5">
            <w:pPr>
              <w:jc w:val="center"/>
            </w:pPr>
            <w:r>
              <w:rPr>
                <w:rFonts w:ascii="宋体" w:hAnsi="宋体" w:eastAsia="宋体"/>
                <w:sz w:val="16"/>
              </w:rPr>
              <w:t>145.88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C94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443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1E4B6">
            <w:pPr>
              <w:jc w:val="center"/>
            </w:pPr>
            <w:r>
              <w:rPr>
                <w:rFonts w:ascii="宋体" w:hAnsi="宋体" w:eastAsia="宋体"/>
                <w:sz w:val="16"/>
              </w:rPr>
              <w:t>-</w:t>
            </w:r>
          </w:p>
        </w:tc>
      </w:tr>
      <w:tr w14:paraId="487E43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8A8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503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AC84C">
            <w:pPr>
              <w:jc w:val="center"/>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06905">
            <w:pPr>
              <w:jc w:val="center"/>
            </w:pPr>
            <w:r>
              <w:rPr>
                <w:rFonts w:ascii="宋体" w:hAnsi="宋体" w:eastAsia="宋体"/>
                <w:sz w:val="16"/>
              </w:rPr>
              <w:t>18.98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BA9AD">
            <w:pPr>
              <w:jc w:val="center"/>
            </w:pPr>
            <w:r>
              <w:rPr>
                <w:rFonts w:ascii="宋体" w:hAnsi="宋体" w:eastAsia="宋体"/>
                <w:sz w:val="16"/>
              </w:rPr>
              <w:t>13.58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6A3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329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74F30">
            <w:pPr>
              <w:jc w:val="center"/>
            </w:pPr>
            <w:r>
              <w:rPr>
                <w:rFonts w:ascii="宋体" w:hAnsi="宋体" w:eastAsia="宋体"/>
                <w:sz w:val="16"/>
              </w:rPr>
              <w:t>-</w:t>
            </w:r>
          </w:p>
        </w:tc>
      </w:tr>
      <w:tr w14:paraId="52D302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BF5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4403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78882">
            <w:pPr>
              <w:jc w:val="center"/>
            </w:pPr>
            <w:r>
              <w:rPr>
                <w:rFonts w:ascii="宋体" w:hAnsi="宋体" w:eastAsia="宋体"/>
                <w:sz w:val="16"/>
              </w:rPr>
              <w:t>160.38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C9BA2">
            <w:pPr>
              <w:jc w:val="center"/>
            </w:pPr>
            <w:r>
              <w:rPr>
                <w:rFonts w:ascii="宋体" w:hAnsi="宋体" w:eastAsia="宋体"/>
                <w:sz w:val="16"/>
              </w:rPr>
              <w:t>164.86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147F8">
            <w:pPr>
              <w:jc w:val="center"/>
            </w:pPr>
            <w:r>
              <w:rPr>
                <w:rFonts w:ascii="宋体" w:hAnsi="宋体" w:eastAsia="宋体"/>
                <w:sz w:val="16"/>
              </w:rPr>
              <w:t>159.46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292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6EAE4">
            <w:pPr>
              <w:jc w:val="center"/>
            </w:pPr>
            <w:r>
              <w:rPr>
                <w:rFonts w:ascii="宋体" w:hAnsi="宋体" w:eastAsia="宋体"/>
                <w:sz w:val="16"/>
              </w:rPr>
              <w:t>96.72%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051D1">
            <w:pPr>
              <w:jc w:val="center"/>
            </w:pPr>
            <w:r>
              <w:rPr>
                <w:rFonts w:ascii="宋体" w:hAnsi="宋体" w:eastAsia="宋体"/>
                <w:sz w:val="16"/>
              </w:rPr>
              <w:t>9.67</w:t>
            </w:r>
          </w:p>
        </w:tc>
      </w:tr>
      <w:tr w14:paraId="381136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1F01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6A1E6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0DB7CC">
            <w:pPr>
              <w:jc w:val="center"/>
            </w:pPr>
            <w:r>
              <w:rPr>
                <w:rFonts w:ascii="宋体" w:hAnsi="宋体" w:eastAsia="宋体"/>
                <w:sz w:val="16"/>
              </w:rPr>
              <w:t>实际完成情况</w:t>
            </w:r>
          </w:p>
        </w:tc>
      </w:tr>
      <w:tr w14:paraId="5F0296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AF0F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E04FBB">
            <w:pPr>
              <w:jc w:val="both"/>
            </w:pPr>
            <w:r>
              <w:rPr>
                <w:rFonts w:ascii="宋体" w:hAnsi="宋体" w:eastAsia="宋体"/>
                <w:sz w:val="16"/>
              </w:rPr>
              <w:t>保障本单位在职人员工资、津贴、社保、医疗、住房公积金和2名政府购买服务岗工资、社保、医疗和退休人员独生子女奖励金；保障本单位办公费、车辆运行维护费、工会经费等行政运行费用正常运转。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5C4E2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164.86万元，全年执行数为159.46万元，主要完成任务内容如下：1.实际完成保障本单位在职人员工资、津贴、社保、医疗、住房公积金和2名政府购买服务岗工资、社保、医疗和退休人员独生子女奖励金；2.实际完成保障本单位办公费、车辆运行维护费、工会经费等行政运行费用正常运转。</w:t>
            </w:r>
          </w:p>
        </w:tc>
      </w:tr>
      <w:tr w14:paraId="2BE4D7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0FC4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4819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B263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BC9E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B86F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A7B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E82F2">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8B0FE">
            <w:pPr>
              <w:jc w:val="center"/>
            </w:pPr>
            <w:r>
              <w:rPr>
                <w:rFonts w:ascii="宋体" w:hAnsi="宋体" w:eastAsia="宋体"/>
                <w:sz w:val="16"/>
              </w:rPr>
              <w:t>得分</w:t>
            </w:r>
          </w:p>
        </w:tc>
      </w:tr>
      <w:tr w14:paraId="7364AA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F60D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F3D7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7507E">
            <w:pPr>
              <w:jc w:val="center"/>
            </w:pPr>
            <w:r>
              <w:rPr>
                <w:rFonts w:ascii="宋体" w:hAnsi="宋体" w:eastAsia="宋体"/>
                <w:sz w:val="16"/>
              </w:rPr>
              <w:t>吉木萨尔县妇联开展“石榴花开耀天山”工程系列活动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DC214">
            <w:pPr>
              <w:jc w:val="center"/>
            </w:pPr>
            <w:r>
              <w:rPr>
                <w:rFonts w:ascii="宋体" w:hAnsi="宋体" w:eastAsia="宋体"/>
                <w:sz w:val="16"/>
              </w:rPr>
              <w:t>&gt;=6次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40D0B">
            <w:pPr>
              <w:jc w:val="center"/>
            </w:pPr>
            <w:r>
              <w:rPr>
                <w:rFonts w:ascii="宋体" w:hAnsi="宋体" w:eastAsia="宋体"/>
                <w:sz w:val="16"/>
              </w:rPr>
              <w:t>吉木萨尔县妇联2023年度工作总结及2024年度工作计划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5BE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3BC22">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96C60">
            <w:pPr>
              <w:jc w:val="center"/>
            </w:pPr>
            <w:r>
              <w:rPr>
                <w:rFonts w:ascii="宋体" w:hAnsi="宋体" w:eastAsia="宋体"/>
                <w:sz w:val="16"/>
              </w:rPr>
              <w:t>20</w:t>
            </w:r>
          </w:p>
        </w:tc>
      </w:tr>
      <w:tr w14:paraId="76EC9A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123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BA7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D0E87">
            <w:pPr>
              <w:jc w:val="center"/>
            </w:pPr>
            <w:r>
              <w:rPr>
                <w:rFonts w:ascii="宋体" w:hAnsi="宋体" w:eastAsia="宋体"/>
                <w:sz w:val="16"/>
              </w:rPr>
              <w:t>开展各类宣传活动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3295D">
            <w:pPr>
              <w:jc w:val="center"/>
            </w:pPr>
            <w:r>
              <w:rPr>
                <w:rFonts w:ascii="宋体" w:hAnsi="宋体" w:eastAsia="宋体"/>
                <w:sz w:val="16"/>
              </w:rPr>
              <w:t>&gt;=6次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15C7B">
            <w:pPr>
              <w:jc w:val="center"/>
            </w:pPr>
            <w:r>
              <w:rPr>
                <w:rFonts w:ascii="宋体" w:hAnsi="宋体" w:eastAsia="宋体"/>
                <w:sz w:val="16"/>
              </w:rPr>
              <w:t>吉木萨尔县妇联2023年度工作总结及2024年度工作计划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0D1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B1C46">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212CD">
            <w:pPr>
              <w:jc w:val="center"/>
            </w:pPr>
            <w:r>
              <w:rPr>
                <w:rFonts w:ascii="宋体" w:hAnsi="宋体" w:eastAsia="宋体"/>
                <w:sz w:val="16"/>
              </w:rPr>
              <w:t>20</w:t>
            </w:r>
          </w:p>
        </w:tc>
      </w:tr>
      <w:tr w14:paraId="579AC4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F87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91C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24A6">
            <w:pPr>
              <w:jc w:val="center"/>
            </w:pPr>
            <w:r>
              <w:rPr>
                <w:rFonts w:ascii="宋体" w:hAnsi="宋体" w:eastAsia="宋体"/>
                <w:sz w:val="16"/>
              </w:rPr>
              <w:t>邀请家庭教育讲师团队开展家庭教育宣讲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111FB">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50362">
            <w:pPr>
              <w:jc w:val="center"/>
            </w:pPr>
            <w:r>
              <w:rPr>
                <w:rFonts w:ascii="宋体" w:hAnsi="宋体" w:eastAsia="宋体"/>
                <w:sz w:val="16"/>
              </w:rPr>
              <w:t>吉木萨尔县妇联2023年度工作总结及2024年度工作计划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9D3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27F56">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425F">
            <w:pPr>
              <w:jc w:val="center"/>
            </w:pPr>
            <w:r>
              <w:rPr>
                <w:rFonts w:ascii="宋体" w:hAnsi="宋体" w:eastAsia="宋体"/>
                <w:sz w:val="16"/>
              </w:rPr>
              <w:t>20</w:t>
            </w:r>
          </w:p>
        </w:tc>
      </w:tr>
      <w:tr w14:paraId="0B8EA8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011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FE5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129F7">
            <w:pPr>
              <w:jc w:val="center"/>
            </w:pPr>
            <w:r>
              <w:rPr>
                <w:rFonts w:ascii="宋体" w:hAnsi="宋体" w:eastAsia="宋体"/>
                <w:sz w:val="16"/>
              </w:rPr>
              <w:t>创建“妇女微家”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25305">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C797B">
            <w:pPr>
              <w:jc w:val="center"/>
            </w:pPr>
            <w:r>
              <w:rPr>
                <w:rFonts w:ascii="宋体" w:hAnsi="宋体" w:eastAsia="宋体"/>
                <w:sz w:val="16"/>
              </w:rPr>
              <w:t>吉木萨尔县妇联2023年度工作总结及2024年度工作计划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27F2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DEED2">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A4D0C">
            <w:pPr>
              <w:jc w:val="center"/>
            </w:pPr>
            <w:r>
              <w:rPr>
                <w:rFonts w:ascii="宋体" w:hAnsi="宋体" w:eastAsia="宋体"/>
                <w:sz w:val="16"/>
              </w:rPr>
              <w:t>15</w:t>
            </w:r>
          </w:p>
        </w:tc>
      </w:tr>
      <w:tr w14:paraId="51F49C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AF8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DFD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206B0">
            <w:pPr>
              <w:jc w:val="center"/>
            </w:pPr>
            <w:r>
              <w:rPr>
                <w:rFonts w:ascii="宋体" w:hAnsi="宋体" w:eastAsia="宋体"/>
                <w:sz w:val="16"/>
              </w:rPr>
              <w:t>创建州级巾帼示范基地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5DF5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0524">
            <w:pPr>
              <w:jc w:val="center"/>
            </w:pPr>
            <w:r>
              <w:rPr>
                <w:rFonts w:ascii="宋体" w:hAnsi="宋体" w:eastAsia="宋体"/>
                <w:sz w:val="16"/>
              </w:rPr>
              <w:t>吉木萨尔县妇联2023年度工作总结及2024年度工作计划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9F7A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6775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760DF">
            <w:pPr>
              <w:jc w:val="center"/>
            </w:pPr>
            <w:r>
              <w:rPr>
                <w:rFonts w:ascii="宋体" w:hAnsi="宋体" w:eastAsia="宋体"/>
                <w:sz w:val="16"/>
              </w:rPr>
              <w:t>15</w:t>
            </w:r>
          </w:p>
        </w:tc>
      </w:tr>
    </w:tbl>
    <w:p w14:paraId="73F67DA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8D3A671">
        <w:tblPrEx>
          <w:tblCellMar>
            <w:top w:w="0" w:type="dxa"/>
            <w:left w:w="108" w:type="dxa"/>
            <w:bottom w:w="0" w:type="dxa"/>
            <w:right w:w="108" w:type="dxa"/>
          </w:tblCellMar>
        </w:tblPrEx>
        <w:tc>
          <w:tcPr>
            <w:tcW w:w="8848" w:type="dxa"/>
            <w:gridSpan w:val="14"/>
            <w:vAlign w:val="center"/>
          </w:tcPr>
          <w:p w14:paraId="52A9591F">
            <w:pPr>
              <w:jc w:val="center"/>
            </w:pPr>
            <w:r>
              <w:rPr>
                <w:rFonts w:ascii="宋体" w:hAnsi="宋体" w:eastAsia="宋体"/>
                <w:sz w:val="24"/>
              </w:rPr>
              <w:t>项目支出绩效自评表</w:t>
            </w:r>
          </w:p>
        </w:tc>
      </w:tr>
      <w:tr w14:paraId="4B46B75E">
        <w:tblPrEx>
          <w:tblCellMar>
            <w:top w:w="0" w:type="dxa"/>
            <w:left w:w="108" w:type="dxa"/>
            <w:bottom w:w="0" w:type="dxa"/>
            <w:right w:w="108" w:type="dxa"/>
          </w:tblCellMar>
        </w:tblPrEx>
        <w:tc>
          <w:tcPr>
            <w:tcW w:w="8848" w:type="dxa"/>
            <w:gridSpan w:val="14"/>
            <w:vAlign w:val="center"/>
          </w:tcPr>
          <w:p w14:paraId="486E9461">
            <w:pPr>
              <w:jc w:val="center"/>
            </w:pPr>
            <w:r>
              <w:rPr>
                <w:rFonts w:ascii="宋体" w:hAnsi="宋体" w:eastAsia="宋体"/>
                <w:sz w:val="24"/>
              </w:rPr>
              <w:t>(2024年度)</w:t>
            </w:r>
          </w:p>
        </w:tc>
      </w:tr>
      <w:tr w14:paraId="038ED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84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249B8F">
            <w:pPr>
              <w:jc w:val="center"/>
            </w:pPr>
            <w:r>
              <w:rPr>
                <w:rFonts w:ascii="宋体" w:hAnsi="宋体" w:eastAsia="宋体"/>
                <w:sz w:val="16"/>
              </w:rPr>
              <w:t>自治区妇女儿童联合会2024年妇女儿童工作经费、新时代文明实践中心建设项目</w:t>
            </w:r>
          </w:p>
        </w:tc>
      </w:tr>
      <w:tr w14:paraId="1A013B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42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4F0687">
            <w:pPr>
              <w:jc w:val="center"/>
            </w:pPr>
            <w:r>
              <w:rPr>
                <w:rFonts w:ascii="宋体" w:hAnsi="宋体" w:eastAsia="宋体"/>
                <w:sz w:val="16"/>
              </w:rPr>
              <w:t>吉木萨尔县妇女联合会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3E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A63286">
            <w:pPr>
              <w:jc w:val="center"/>
            </w:pPr>
            <w:r>
              <w:rPr>
                <w:rFonts w:ascii="宋体" w:hAnsi="宋体" w:eastAsia="宋体"/>
                <w:sz w:val="16"/>
              </w:rPr>
              <w:t>吉木萨尔县妇女联合会</w:t>
            </w:r>
          </w:p>
        </w:tc>
      </w:tr>
      <w:tr w14:paraId="4CDE33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D164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064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7F3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7FC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738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5FC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77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9521">
            <w:pPr>
              <w:jc w:val="center"/>
            </w:pPr>
            <w:r>
              <w:rPr>
                <w:rFonts w:ascii="宋体" w:hAnsi="宋体" w:eastAsia="宋体"/>
                <w:sz w:val="16"/>
              </w:rPr>
              <w:t>得分</w:t>
            </w:r>
          </w:p>
        </w:tc>
      </w:tr>
      <w:tr w14:paraId="6ACAB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981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FD0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49C27">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4388A">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BF05A">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13A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F14A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C644">
            <w:pPr>
              <w:jc w:val="center"/>
            </w:pPr>
            <w:r>
              <w:rPr>
                <w:rFonts w:ascii="宋体" w:hAnsi="宋体" w:eastAsia="宋体"/>
                <w:sz w:val="16"/>
              </w:rPr>
              <w:t>10.00</w:t>
            </w:r>
          </w:p>
        </w:tc>
      </w:tr>
      <w:tr w14:paraId="7CBE6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DFD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835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E71B">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434B5">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420FF">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514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D63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94C8">
            <w:pPr>
              <w:jc w:val="center"/>
            </w:pPr>
            <w:r>
              <w:rPr>
                <w:rFonts w:ascii="宋体" w:hAnsi="宋体" w:eastAsia="宋体"/>
                <w:sz w:val="16"/>
              </w:rPr>
              <w:t>—</w:t>
            </w:r>
          </w:p>
        </w:tc>
      </w:tr>
      <w:tr w14:paraId="4798B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BA5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A1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E41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835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3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5BD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40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2C43">
            <w:pPr>
              <w:jc w:val="center"/>
            </w:pPr>
            <w:r>
              <w:rPr>
                <w:rFonts w:ascii="宋体" w:hAnsi="宋体" w:eastAsia="宋体"/>
                <w:sz w:val="16"/>
              </w:rPr>
              <w:t>—</w:t>
            </w:r>
          </w:p>
        </w:tc>
      </w:tr>
      <w:tr w14:paraId="485B91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1F2C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780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958795">
            <w:pPr>
              <w:jc w:val="center"/>
            </w:pPr>
            <w:r>
              <w:rPr>
                <w:rFonts w:ascii="宋体" w:hAnsi="宋体" w:eastAsia="宋体"/>
                <w:sz w:val="16"/>
              </w:rPr>
              <w:t>实际完成情况</w:t>
            </w:r>
          </w:p>
        </w:tc>
      </w:tr>
      <w:tr w14:paraId="15B0E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37D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50BB3">
            <w:pPr>
              <w:jc w:val="both"/>
            </w:pPr>
            <w:r>
              <w:rPr>
                <w:rFonts w:ascii="宋体" w:hAnsi="宋体" w:eastAsia="宋体"/>
                <w:sz w:val="16"/>
              </w:rPr>
              <w:t>宣传部拨付2万元，妇女微家0.5万元，项目计划于2024年12月底完成。通过本项目的实施，用于本单位各类宣传活动，比如：小手拉大手，公讲普通话、寒暑假关爱儿童活动、母亲节活动、七夕活动，妇女微家等，待项目实施完成，争取使受益妇女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B2708A">
            <w:pPr>
              <w:jc w:val="both"/>
            </w:pPr>
            <w:r>
              <w:rPr>
                <w:rFonts w:ascii="宋体" w:hAnsi="宋体" w:eastAsia="宋体"/>
                <w:sz w:val="16"/>
              </w:rPr>
              <w:t>截至2024年12月31日，本项目实际支出资金2.5万元，预算执行率100%，主要用于本单位各类宣传活动，比如：小手拉大手，公讲普通话、寒暑假关爱儿童活动、母亲节活动、七夕活动，妇女微家等，通过实施本项目使受益妇女群众满意度达到90%。</w:t>
            </w:r>
          </w:p>
        </w:tc>
      </w:tr>
      <w:tr w14:paraId="49EEC6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766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3F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B6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B7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95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755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4B4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EA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5CE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DC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02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C6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FC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FCC3">
            <w:pPr>
              <w:jc w:val="center"/>
            </w:pPr>
            <w:r>
              <w:rPr>
                <w:rFonts w:ascii="宋体" w:hAnsi="宋体" w:eastAsia="宋体"/>
                <w:sz w:val="16"/>
              </w:rPr>
              <w:t>偏差原因分析及改进措施</w:t>
            </w:r>
          </w:p>
        </w:tc>
      </w:tr>
      <w:tr w14:paraId="495373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039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8840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F9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460A">
            <w:pPr>
              <w:jc w:val="center"/>
            </w:pPr>
            <w:r>
              <w:rPr>
                <w:rFonts w:ascii="宋体" w:hAnsi="宋体" w:eastAsia="宋体"/>
                <w:sz w:val="16"/>
              </w:rPr>
              <w:t>采购宣传品及物品数量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4D1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727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E39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B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F20B">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4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C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0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26F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1C84">
            <w:pPr>
              <w:jc w:val="center"/>
            </w:pPr>
          </w:p>
        </w:tc>
      </w:tr>
      <w:tr w14:paraId="39B6C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9B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421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940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661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53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5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3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7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55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99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36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2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4D9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1989">
            <w:pPr>
              <w:jc w:val="center"/>
            </w:pPr>
          </w:p>
        </w:tc>
      </w:tr>
      <w:tr w14:paraId="15E81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A2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88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EB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2D21">
            <w:pPr>
              <w:jc w:val="center"/>
            </w:pPr>
            <w:r>
              <w:rPr>
                <w:rFonts w:ascii="宋体" w:hAnsi="宋体" w:eastAsia="宋体"/>
                <w:sz w:val="16"/>
              </w:rPr>
              <w:t>宣传品及物品验收合格率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00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0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F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2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BF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F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0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0C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E65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C317">
            <w:pPr>
              <w:jc w:val="center"/>
            </w:pPr>
          </w:p>
        </w:tc>
      </w:tr>
      <w:tr w14:paraId="72663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09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0A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01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73EE">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C3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F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D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3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70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3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5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C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91F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99F9">
            <w:pPr>
              <w:jc w:val="center"/>
            </w:pPr>
          </w:p>
        </w:tc>
      </w:tr>
      <w:tr w14:paraId="0CF49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ECF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504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ACD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99D9">
            <w:pPr>
              <w:jc w:val="center"/>
            </w:pPr>
            <w:r>
              <w:rPr>
                <w:rFonts w:ascii="宋体" w:hAnsi="宋体" w:eastAsia="宋体"/>
                <w:sz w:val="16"/>
              </w:rPr>
              <w:t>宣传费用金额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9DF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270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3A1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7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C9D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98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69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1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0E7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C039">
            <w:pPr>
              <w:jc w:val="center"/>
            </w:pPr>
          </w:p>
        </w:tc>
      </w:tr>
      <w:tr w14:paraId="564BB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10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61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2C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F219">
            <w:pPr>
              <w:jc w:val="center"/>
            </w:pPr>
            <w:r>
              <w:rPr>
                <w:rFonts w:ascii="宋体" w:hAnsi="宋体" w:eastAsia="宋体"/>
                <w:sz w:val="16"/>
              </w:rPr>
              <w:t>妇女微家活动经费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30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EB42">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6413">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D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77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8E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90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D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993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CC1F">
            <w:pPr>
              <w:jc w:val="center"/>
            </w:pPr>
          </w:p>
        </w:tc>
      </w:tr>
      <w:tr w14:paraId="749F0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7D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49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B5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BD1A">
            <w:pPr>
              <w:jc w:val="center"/>
            </w:pPr>
            <w:r>
              <w:rPr>
                <w:rFonts w:ascii="宋体" w:hAnsi="宋体" w:eastAsia="宋体"/>
                <w:sz w:val="16"/>
              </w:rPr>
              <w:t>提高妇女就业创业能力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8B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AAC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C5C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7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92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6B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7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0B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1B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2E3D">
            <w:pPr>
              <w:jc w:val="center"/>
            </w:pPr>
          </w:p>
        </w:tc>
      </w:tr>
      <w:tr w14:paraId="58002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46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39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72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45DD">
            <w:pPr>
              <w:jc w:val="center"/>
            </w:pPr>
            <w:r>
              <w:rPr>
                <w:rFonts w:ascii="宋体" w:hAnsi="宋体" w:eastAsia="宋体"/>
                <w:sz w:val="16"/>
              </w:rPr>
              <w:t>妇女群众满意度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4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CF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13D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8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5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9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98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99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F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83E3">
            <w:pPr>
              <w:jc w:val="center"/>
            </w:pPr>
          </w:p>
        </w:tc>
      </w:tr>
      <w:tr w14:paraId="485B483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0F01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1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0023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AE5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1C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5B8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C776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A7E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F6D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4EE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B03B7"/>
        </w:tc>
      </w:tr>
    </w:tbl>
    <w:p w14:paraId="5845EAC0">
      <w:r>
        <w:br w:type="page"/>
      </w:r>
    </w:p>
    <w:p w14:paraId="333D40AC">
      <w:pPr>
        <w:spacing w:line="640" w:lineRule="exact"/>
        <w:ind w:firstLine="640"/>
        <w:jc w:val="both"/>
        <w:outlineLvl w:val="2"/>
      </w:pPr>
      <w:r>
        <w:rPr>
          <w:rFonts w:ascii="黑体" w:hAnsi="黑体" w:eastAsia="黑体"/>
          <w:sz w:val="32"/>
        </w:rPr>
        <w:t>十二、其他需说明的事项</w:t>
      </w:r>
    </w:p>
    <w:p w14:paraId="3344BE4E">
      <w:pPr>
        <w:spacing w:line="580" w:lineRule="exact"/>
        <w:ind w:firstLine="640"/>
        <w:jc w:val="both"/>
      </w:pPr>
      <w:r>
        <w:rPr>
          <w:rFonts w:ascii="仿宋_GB2312" w:hAnsi="仿宋_GB2312" w:eastAsia="仿宋_GB2312"/>
          <w:b w:val="0"/>
          <w:sz w:val="32"/>
        </w:rPr>
        <w:t>本单位无其他需说明的事项。</w:t>
      </w:r>
    </w:p>
    <w:p w14:paraId="0A331ACE">
      <w:r>
        <w:br w:type="page"/>
      </w:r>
    </w:p>
    <w:p w14:paraId="5A393AF4">
      <w:pPr>
        <w:spacing w:line="240" w:lineRule="auto"/>
        <w:jc w:val="center"/>
        <w:outlineLvl w:val="1"/>
      </w:pPr>
      <w:r>
        <w:rPr>
          <w:rFonts w:ascii="黑体" w:hAnsi="黑体" w:eastAsia="黑体"/>
          <w:sz w:val="32"/>
        </w:rPr>
        <w:t>第三部分 专业名词解释</w:t>
      </w:r>
    </w:p>
    <w:p w14:paraId="72A2FBB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ECDFE1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FAC96F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613F15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826134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3DC15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3EABD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A4D89D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A12F4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82E66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755B79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A4DE1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5D8D5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6FDE7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86C253">
      <w:r>
        <w:br w:type="page"/>
      </w:r>
    </w:p>
    <w:p w14:paraId="5302FDCB">
      <w:pPr>
        <w:spacing w:line="240" w:lineRule="auto"/>
        <w:jc w:val="center"/>
        <w:outlineLvl w:val="1"/>
      </w:pPr>
      <w:r>
        <w:rPr>
          <w:rFonts w:ascii="黑体" w:hAnsi="黑体" w:eastAsia="黑体"/>
          <w:sz w:val="32"/>
        </w:rPr>
        <w:t>第四部分 部门决算报表（见附表）</w:t>
      </w:r>
    </w:p>
    <w:p w14:paraId="4EE6D371">
      <w:pPr>
        <w:spacing w:line="240" w:lineRule="auto"/>
        <w:ind w:firstLine="640"/>
        <w:jc w:val="both"/>
      </w:pPr>
      <w:r>
        <w:rPr>
          <w:rFonts w:ascii="仿宋_GB2312" w:hAnsi="仿宋_GB2312" w:eastAsia="仿宋_GB2312"/>
          <w:b w:val="0"/>
          <w:sz w:val="32"/>
        </w:rPr>
        <w:t>一、《收入支出决算总表》</w:t>
      </w:r>
    </w:p>
    <w:p w14:paraId="35D9FA7B">
      <w:pPr>
        <w:spacing w:line="240" w:lineRule="auto"/>
        <w:ind w:firstLine="640"/>
        <w:jc w:val="both"/>
      </w:pPr>
      <w:r>
        <w:rPr>
          <w:rFonts w:ascii="仿宋_GB2312" w:hAnsi="仿宋_GB2312" w:eastAsia="仿宋_GB2312"/>
          <w:b w:val="0"/>
          <w:sz w:val="32"/>
        </w:rPr>
        <w:t>二、《收入决算表》</w:t>
      </w:r>
    </w:p>
    <w:p w14:paraId="56F3A36E">
      <w:pPr>
        <w:spacing w:line="240" w:lineRule="auto"/>
        <w:ind w:firstLine="640"/>
        <w:jc w:val="both"/>
      </w:pPr>
      <w:r>
        <w:rPr>
          <w:rFonts w:ascii="仿宋_GB2312" w:hAnsi="仿宋_GB2312" w:eastAsia="仿宋_GB2312"/>
          <w:b w:val="0"/>
          <w:sz w:val="32"/>
        </w:rPr>
        <w:t>三、《支出决算表》</w:t>
      </w:r>
    </w:p>
    <w:p w14:paraId="1B143BD0">
      <w:pPr>
        <w:spacing w:line="240" w:lineRule="auto"/>
        <w:ind w:firstLine="640"/>
        <w:jc w:val="both"/>
      </w:pPr>
      <w:r>
        <w:rPr>
          <w:rFonts w:ascii="仿宋_GB2312" w:hAnsi="仿宋_GB2312" w:eastAsia="仿宋_GB2312"/>
          <w:b w:val="0"/>
          <w:sz w:val="32"/>
        </w:rPr>
        <w:t>四、《财政拨款收入支出决算总表》</w:t>
      </w:r>
    </w:p>
    <w:p w14:paraId="0D034146">
      <w:pPr>
        <w:spacing w:line="240" w:lineRule="auto"/>
        <w:ind w:firstLine="640"/>
        <w:jc w:val="both"/>
      </w:pPr>
      <w:r>
        <w:rPr>
          <w:rFonts w:ascii="仿宋_GB2312" w:hAnsi="仿宋_GB2312" w:eastAsia="仿宋_GB2312"/>
          <w:b w:val="0"/>
          <w:sz w:val="32"/>
        </w:rPr>
        <w:t>五、《一般公共预算财政拨款支出决算表》</w:t>
      </w:r>
    </w:p>
    <w:p w14:paraId="455C0788">
      <w:pPr>
        <w:spacing w:line="240" w:lineRule="auto"/>
        <w:ind w:firstLine="640"/>
        <w:jc w:val="both"/>
      </w:pPr>
      <w:r>
        <w:rPr>
          <w:rFonts w:ascii="仿宋_GB2312" w:hAnsi="仿宋_GB2312" w:eastAsia="仿宋_GB2312"/>
          <w:b w:val="0"/>
          <w:sz w:val="32"/>
        </w:rPr>
        <w:t>六、《一般公共预算财政拨款基本支出决算表》</w:t>
      </w:r>
    </w:p>
    <w:p w14:paraId="5A464237">
      <w:pPr>
        <w:spacing w:line="240" w:lineRule="auto"/>
        <w:ind w:firstLine="640"/>
        <w:jc w:val="both"/>
      </w:pPr>
      <w:r>
        <w:rPr>
          <w:rFonts w:ascii="仿宋_GB2312" w:hAnsi="仿宋_GB2312" w:eastAsia="仿宋_GB2312"/>
          <w:b w:val="0"/>
          <w:sz w:val="32"/>
        </w:rPr>
        <w:t>七、《政府性基金预算财政拨款收入支出决算表》</w:t>
      </w:r>
    </w:p>
    <w:p w14:paraId="417BAA6A">
      <w:pPr>
        <w:spacing w:line="240" w:lineRule="auto"/>
        <w:ind w:firstLine="640"/>
        <w:jc w:val="both"/>
      </w:pPr>
      <w:r>
        <w:rPr>
          <w:rFonts w:ascii="仿宋_GB2312" w:hAnsi="仿宋_GB2312" w:eastAsia="仿宋_GB2312"/>
          <w:b w:val="0"/>
          <w:sz w:val="32"/>
        </w:rPr>
        <w:t>八、《国有资本经营预算财政拨款收入支出决算表》</w:t>
      </w:r>
    </w:p>
    <w:p w14:paraId="23103B47">
      <w:pPr>
        <w:spacing w:line="240" w:lineRule="auto"/>
        <w:ind w:firstLine="640"/>
        <w:jc w:val="both"/>
      </w:pPr>
      <w:r>
        <w:rPr>
          <w:rFonts w:ascii="仿宋_GB2312" w:hAnsi="仿宋_GB2312" w:eastAsia="仿宋_GB2312"/>
          <w:b w:val="0"/>
          <w:sz w:val="32"/>
        </w:rPr>
        <w:t>九、《财政拨款“三公”经费支出决算表》</w:t>
      </w:r>
    </w:p>
    <w:p w14:paraId="274054BB">
      <w:pPr>
        <w:spacing w:line="240" w:lineRule="auto"/>
        <w:ind w:firstLine="640"/>
        <w:jc w:val="both"/>
      </w:pPr>
    </w:p>
    <w:p w14:paraId="0597BED8">
      <w:pPr>
        <w:spacing w:line="240" w:lineRule="auto"/>
        <w:ind w:firstLine="640"/>
        <w:jc w:val="both"/>
      </w:pPr>
    </w:p>
    <w:p w14:paraId="68364531">
      <w:pPr>
        <w:spacing w:line="240" w:lineRule="auto"/>
        <w:ind w:firstLine="640"/>
        <w:jc w:val="both"/>
      </w:pPr>
    </w:p>
    <w:p w14:paraId="20DE32C1">
      <w:pPr>
        <w:spacing w:line="240" w:lineRule="auto"/>
        <w:ind w:firstLine="640"/>
        <w:jc w:val="both"/>
      </w:pPr>
    </w:p>
    <w:p w14:paraId="50A890A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B3B73F-2441-4B61-9C86-656EEF2075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4FB274D-8395-4EFF-ADC2-1BBB7784B449}"/>
  </w:font>
  <w:font w:name="仿宋_GB2312">
    <w:altName w:val="仿宋"/>
    <w:panose1 w:val="02010609030101010101"/>
    <w:charset w:val="86"/>
    <w:family w:val="modern"/>
    <w:pitch w:val="default"/>
    <w:sig w:usb0="00000000" w:usb1="00000000" w:usb2="00000000" w:usb3="00000000" w:csb0="00040000" w:csb1="00000000"/>
    <w:embedRegular r:id="rId3" w:fontKey="{71F9BCCC-9132-4840-9C70-64455970CA5C}"/>
  </w:font>
  <w:font w:name="楷体_GB2312">
    <w:altName w:val="楷体"/>
    <w:panose1 w:val="00000000000000000000"/>
    <w:charset w:val="00"/>
    <w:family w:val="auto"/>
    <w:pitch w:val="default"/>
    <w:sig w:usb0="00000000" w:usb1="00000000" w:usb2="00000000" w:usb3="00000000" w:csb0="00000000" w:csb1="00000000"/>
    <w:embedRegular r:id="rId4" w:fontKey="{3844CDAF-4DE9-43D4-9DBA-90FA2FBC76AB}"/>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E42039"/>
    <w:rsid w:val="38006E2C"/>
    <w:rsid w:val="3914510A"/>
    <w:rsid w:val="3B1220C9"/>
    <w:rsid w:val="3CC63C6F"/>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6147</Words>
  <Characters>6874</Characters>
  <Lines>0</Lines>
  <Paragraphs>0</Paragraphs>
  <TotalTime>10</TotalTime>
  <ScaleCrop>false</ScaleCrop>
  <LinksUpToDate>false</LinksUpToDate>
  <CharactersWithSpaces>6882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2025-10-14T02:15:39Z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