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吉木萨尔县大有镇卫生院2024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E17E82E">
      <w:r>
        <w:br w:type="page"/>
      </w:r>
    </w:p>
    <w:p w14:paraId="5E91A8C6">
      <w:pPr>
        <w:spacing w:line="640" w:lineRule="exact"/>
        <w:jc w:val="center"/>
        <w:outlineLvl w:val="1"/>
      </w:pPr>
      <w:r>
        <w:rPr>
          <w:rFonts w:ascii="黑体" w:hAnsi="黑体" w:eastAsia="黑体"/>
          <w:sz w:val="32"/>
        </w:rPr>
        <w:t>第一部分 单位概况</w:t>
      </w:r>
    </w:p>
    <w:p w14:paraId="5B5496A1">
      <w:pPr>
        <w:spacing w:line="640" w:lineRule="exact"/>
        <w:ind w:firstLine="640"/>
        <w:jc w:val="both"/>
        <w:outlineLvl w:val="2"/>
      </w:pPr>
      <w:r>
        <w:rPr>
          <w:rFonts w:ascii="黑体" w:hAnsi="黑体" w:eastAsia="黑体"/>
          <w:sz w:val="32"/>
        </w:rPr>
        <w:t>一、主要职能</w:t>
      </w:r>
    </w:p>
    <w:p w14:paraId="14542284">
      <w:pPr>
        <w:spacing w:line="580" w:lineRule="exact"/>
        <w:ind w:firstLine="640"/>
        <w:jc w:val="both"/>
      </w:pPr>
      <w:r>
        <w:rPr>
          <w:rFonts w:ascii="仿宋_GB2312" w:hAnsi="仿宋_GB2312" w:eastAsia="仿宋_GB2312"/>
          <w:sz w:val="32"/>
        </w:rPr>
        <w:t>(1)为城乡居民提供医疗、常见病多发病治疗与护理。</w:t>
      </w:r>
    </w:p>
    <w:p w14:paraId="53B5A6BA">
      <w:pPr>
        <w:spacing w:line="580" w:lineRule="exact"/>
        <w:ind w:firstLine="640"/>
        <w:jc w:val="both"/>
      </w:pPr>
      <w:r>
        <w:rPr>
          <w:rFonts w:ascii="仿宋_GB2312" w:hAnsi="仿宋_GB2312" w:eastAsia="仿宋_GB2312"/>
          <w:sz w:val="32"/>
        </w:rPr>
        <w:t>(2)恢复期病人的康复治疗与护理。</w:t>
      </w:r>
    </w:p>
    <w:p w14:paraId="7D93600E">
      <w:pPr>
        <w:spacing w:line="580" w:lineRule="exact"/>
        <w:ind w:firstLine="640"/>
        <w:jc w:val="both"/>
      </w:pPr>
      <w:r>
        <w:rPr>
          <w:rFonts w:ascii="仿宋_GB2312" w:hAnsi="仿宋_GB2312" w:eastAsia="仿宋_GB2312"/>
          <w:sz w:val="32"/>
        </w:rPr>
        <w:t>(3)预防保障，初级卫生保健规划实施；卫生信息管理。</w:t>
      </w:r>
    </w:p>
    <w:p w14:paraId="630543F6">
      <w:pPr>
        <w:spacing w:line="580" w:lineRule="exact"/>
        <w:ind w:firstLine="640"/>
        <w:jc w:val="both"/>
      </w:pPr>
      <w:r>
        <w:rPr>
          <w:rFonts w:ascii="仿宋_GB2312" w:hAnsi="仿宋_GB2312" w:eastAsia="仿宋_GB2312"/>
          <w:sz w:val="32"/>
        </w:rPr>
        <w:t>(4)是一所能较好开展基本医疗服务和基本公共卫生服务的非营利性的公益医疗机构。</w:t>
      </w:r>
    </w:p>
    <w:p w14:paraId="61ABD1A8">
      <w:pPr>
        <w:spacing w:line="640" w:lineRule="exact"/>
        <w:ind w:firstLine="640"/>
        <w:jc w:val="both"/>
        <w:outlineLvl w:val="2"/>
      </w:pPr>
      <w:r>
        <w:rPr>
          <w:rFonts w:ascii="黑体" w:hAnsi="黑体" w:eastAsia="黑体"/>
          <w:sz w:val="32"/>
        </w:rPr>
        <w:t>二、机构设置及人员情况</w:t>
      </w:r>
    </w:p>
    <w:p w14:paraId="18ADAB6D">
      <w:pPr>
        <w:spacing w:line="580" w:lineRule="exact"/>
        <w:ind w:firstLine="640"/>
        <w:jc w:val="both"/>
      </w:pPr>
      <w:r>
        <w:rPr>
          <w:rFonts w:ascii="仿宋_GB2312" w:hAnsi="仿宋_GB2312" w:eastAsia="仿宋_GB2312"/>
          <w:sz w:val="32"/>
        </w:rPr>
        <w:t>吉木萨尔县大有镇卫生院2024年度，实有人数21人，其中：在职人员20人，减少2人；离休人员0人，增加0人；退休人员1人,增加0人。</w:t>
      </w:r>
    </w:p>
    <w:p w14:paraId="58A006AE">
      <w:pPr>
        <w:spacing w:line="580" w:lineRule="exact"/>
        <w:ind w:firstLine="640"/>
        <w:jc w:val="both"/>
      </w:pPr>
      <w:r>
        <w:rPr>
          <w:rFonts w:ascii="仿宋_GB2312" w:hAnsi="仿宋_GB2312" w:eastAsia="仿宋_GB2312"/>
          <w:sz w:val="32"/>
        </w:rPr>
        <w:t>吉木萨尔县大有镇卫生院无下属预算单位，下设6个科室，分别是：内科、外科、妇产科、儿科、公共卫生科、财务科。</w:t>
      </w:r>
    </w:p>
    <w:p w14:paraId="3DB07B87">
      <w:r>
        <w:br w:type="page"/>
      </w:r>
    </w:p>
    <w:p w14:paraId="7B925FCF">
      <w:pPr>
        <w:spacing w:line="240" w:lineRule="auto"/>
        <w:jc w:val="center"/>
        <w:outlineLvl w:val="1"/>
      </w:pPr>
      <w:r>
        <w:rPr>
          <w:rFonts w:ascii="黑体" w:hAnsi="黑体" w:eastAsia="黑体"/>
          <w:sz w:val="32"/>
        </w:rPr>
        <w:t>第二部分 部门决算情况说明</w:t>
      </w:r>
    </w:p>
    <w:p w14:paraId="45DC9EA5">
      <w:pPr>
        <w:spacing w:line="640" w:lineRule="exact"/>
        <w:ind w:firstLine="640"/>
        <w:jc w:val="both"/>
        <w:outlineLvl w:val="2"/>
      </w:pPr>
      <w:r>
        <w:rPr>
          <w:rFonts w:ascii="黑体" w:hAnsi="黑体" w:eastAsia="黑体"/>
          <w:sz w:val="32"/>
        </w:rPr>
        <w:t>一、收入支出决算总体情况说明</w:t>
      </w:r>
    </w:p>
    <w:p w14:paraId="08D003BF">
      <w:pPr>
        <w:spacing w:line="580" w:lineRule="exact"/>
        <w:ind w:firstLine="640"/>
        <w:jc w:val="both"/>
      </w:pPr>
      <w:r>
        <w:rPr>
          <w:rFonts w:ascii="仿宋_GB2312" w:hAnsi="仿宋_GB2312" w:eastAsia="仿宋_GB2312"/>
          <w:b/>
          <w:sz w:val="32"/>
        </w:rPr>
        <w:t>2024年度收入总计644.46万元，</w:t>
      </w:r>
      <w:r>
        <w:rPr>
          <w:rFonts w:ascii="仿宋_GB2312" w:hAnsi="仿宋_GB2312" w:eastAsia="仿宋_GB2312"/>
          <w:b w:val="0"/>
          <w:sz w:val="32"/>
        </w:rPr>
        <w:t>其中：本年收入合计644.46万元，使用非财政拨款结余（含专用结余）0.00万元，年初结转和结余0.00万元。</w:t>
      </w:r>
    </w:p>
    <w:p w14:paraId="3A5C6EB9">
      <w:pPr>
        <w:spacing w:line="580" w:lineRule="exact"/>
        <w:ind w:firstLine="640"/>
        <w:jc w:val="both"/>
      </w:pPr>
      <w:r>
        <w:rPr>
          <w:rFonts w:ascii="仿宋_GB2312" w:hAnsi="仿宋_GB2312" w:eastAsia="仿宋_GB2312"/>
          <w:b/>
          <w:sz w:val="32"/>
        </w:rPr>
        <w:t>2024年度支出总计644.46万元，</w:t>
      </w:r>
      <w:r>
        <w:rPr>
          <w:rFonts w:ascii="仿宋_GB2312" w:hAnsi="仿宋_GB2312" w:eastAsia="仿宋_GB2312"/>
          <w:b w:val="0"/>
          <w:sz w:val="32"/>
        </w:rPr>
        <w:t>其中：本年支出合计639.44万元，结余分配0.00万元，年末结转和结余5.03万元。</w:t>
      </w:r>
    </w:p>
    <w:p w14:paraId="6A35E740">
      <w:pPr>
        <w:spacing w:line="580" w:lineRule="exact"/>
        <w:ind w:firstLine="640"/>
        <w:jc w:val="both"/>
      </w:pPr>
      <w:r>
        <w:rPr>
          <w:rFonts w:ascii="仿宋_GB2312" w:hAnsi="仿宋_GB2312" w:eastAsia="仿宋_GB2312"/>
          <w:b w:val="0"/>
          <w:sz w:val="32"/>
        </w:rPr>
        <w:t>收入支出总体与上年相比，减少9.35万元，下降1.43%，主要原因是：本年减少吉木萨尔县高龄老人体检费。</w:t>
      </w:r>
    </w:p>
    <w:p w14:paraId="1D932D45">
      <w:pPr>
        <w:spacing w:line="640" w:lineRule="exact"/>
        <w:ind w:firstLine="640"/>
        <w:jc w:val="both"/>
        <w:outlineLvl w:val="2"/>
      </w:pPr>
      <w:r>
        <w:rPr>
          <w:rFonts w:ascii="黑体" w:hAnsi="黑体" w:eastAsia="黑体"/>
          <w:sz w:val="32"/>
        </w:rPr>
        <w:t>二、收入决算情况说明</w:t>
      </w:r>
    </w:p>
    <w:p w14:paraId="3FC26DEE">
      <w:pPr>
        <w:spacing w:line="580" w:lineRule="exact"/>
        <w:ind w:firstLine="640"/>
        <w:jc w:val="both"/>
      </w:pPr>
      <w:r>
        <w:rPr>
          <w:rFonts w:ascii="仿宋_GB2312" w:hAnsi="仿宋_GB2312" w:eastAsia="仿宋_GB2312"/>
          <w:b/>
          <w:sz w:val="32"/>
        </w:rPr>
        <w:t>本年收入644.46万元，</w:t>
      </w:r>
      <w:r>
        <w:rPr>
          <w:rFonts w:ascii="仿宋_GB2312" w:hAnsi="仿宋_GB2312" w:eastAsia="仿宋_GB2312"/>
          <w:b w:val="0"/>
          <w:sz w:val="32"/>
        </w:rPr>
        <w:t>其中：财政拨款收入580.55万元，占90.08%；上级补助收入0.00万元，占0.00%；事业收入56.77万元，占8.81%；经营收入0.00万元，占0.00%；附属单位上缴收入0.00万元，占0.00%；其他收入7.14万元，占1.11%。</w:t>
      </w:r>
    </w:p>
    <w:p w14:paraId="38DAA20F">
      <w:pPr>
        <w:spacing w:line="640" w:lineRule="exact"/>
        <w:ind w:firstLine="640"/>
        <w:jc w:val="both"/>
        <w:outlineLvl w:val="2"/>
      </w:pPr>
      <w:r>
        <w:rPr>
          <w:rFonts w:ascii="黑体" w:hAnsi="黑体" w:eastAsia="黑体"/>
          <w:sz w:val="32"/>
        </w:rPr>
        <w:t>三、支出决算情况说明</w:t>
      </w:r>
    </w:p>
    <w:p w14:paraId="36445593">
      <w:pPr>
        <w:spacing w:line="580" w:lineRule="exact"/>
        <w:ind w:firstLine="640"/>
        <w:jc w:val="both"/>
      </w:pPr>
      <w:r>
        <w:rPr>
          <w:rFonts w:ascii="仿宋_GB2312" w:hAnsi="仿宋_GB2312" w:eastAsia="仿宋_GB2312"/>
          <w:b/>
          <w:sz w:val="32"/>
        </w:rPr>
        <w:t>本年支出639.44万元，</w:t>
      </w:r>
      <w:r>
        <w:rPr>
          <w:rFonts w:ascii="仿宋_GB2312" w:hAnsi="仿宋_GB2312" w:eastAsia="仿宋_GB2312"/>
          <w:b w:val="0"/>
          <w:sz w:val="32"/>
        </w:rPr>
        <w:t>其中：基本支出423.06万元，占66.16%；项目支出216.38万元，占33.84%；上缴上级支出0.00万元，占0.00%；经营支出0.00万元，占0.00%；对附属单位补助支出0.00万元，占0.00%。</w:t>
      </w:r>
    </w:p>
    <w:p w14:paraId="5605E3BF">
      <w:pPr>
        <w:spacing w:line="640" w:lineRule="exact"/>
        <w:ind w:firstLine="640"/>
        <w:jc w:val="both"/>
        <w:outlineLvl w:val="2"/>
      </w:pPr>
      <w:r>
        <w:rPr>
          <w:rFonts w:ascii="黑体" w:hAnsi="黑体" w:eastAsia="黑体"/>
          <w:sz w:val="32"/>
        </w:rPr>
        <w:t>四、财政拨款收入支出决算总体情况说明</w:t>
      </w:r>
    </w:p>
    <w:p w14:paraId="34587B97">
      <w:pPr>
        <w:spacing w:line="580" w:lineRule="exact"/>
        <w:ind w:firstLine="640"/>
        <w:jc w:val="both"/>
      </w:pPr>
      <w:r>
        <w:rPr>
          <w:rFonts w:ascii="仿宋_GB2312" w:hAnsi="仿宋_GB2312" w:eastAsia="仿宋_GB2312"/>
          <w:b/>
          <w:sz w:val="32"/>
        </w:rPr>
        <w:t>2024年度财政拨款收入总计580.55万元，</w:t>
      </w:r>
      <w:r>
        <w:rPr>
          <w:rFonts w:ascii="仿宋_GB2312" w:hAnsi="仿宋_GB2312" w:eastAsia="仿宋_GB2312"/>
          <w:b w:val="0"/>
          <w:sz w:val="32"/>
        </w:rPr>
        <w:t>其中：年初财政拨款结转和结余0.00万元，本年财政拨款收入580.55万元。</w:t>
      </w:r>
      <w:r>
        <w:rPr>
          <w:rFonts w:ascii="仿宋_GB2312" w:hAnsi="仿宋_GB2312" w:eastAsia="仿宋_GB2312"/>
          <w:b/>
          <w:sz w:val="32"/>
        </w:rPr>
        <w:t>财政拨款支出总计580.55万元，</w:t>
      </w:r>
      <w:r>
        <w:rPr>
          <w:rFonts w:ascii="仿宋_GB2312" w:hAnsi="仿宋_GB2312" w:eastAsia="仿宋_GB2312"/>
          <w:b w:val="0"/>
          <w:sz w:val="32"/>
        </w:rPr>
        <w:t>其中：年末财政拨款结转和结余0.00万元，本年财政拨款支出580.55万元。</w:t>
      </w:r>
    </w:p>
    <w:p w14:paraId="38140DD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增加82.17万元，增长16.49%，主要原因是：本年在职人员工资调增，社保、住房公积金等相关人员经费增加；本年中央财政基本药物制度补助资金较上年增加。</w:t>
      </w:r>
      <w:r>
        <w:rPr>
          <w:rFonts w:ascii="仿宋_GB2312" w:hAnsi="仿宋_GB2312" w:eastAsia="仿宋_GB2312"/>
          <w:b/>
          <w:sz w:val="32"/>
        </w:rPr>
        <w:t>与年初预算相比，</w:t>
      </w:r>
      <w:r>
        <w:rPr>
          <w:rFonts w:ascii="仿宋_GB2312" w:hAnsi="仿宋_GB2312" w:eastAsia="仿宋_GB2312"/>
          <w:b w:val="0"/>
          <w:sz w:val="32"/>
        </w:rPr>
        <w:t>年初预算数354.45万元，决算数580.55万元，预决算差异率63.79%，主要原因是：年中追加中央财政基本公共卫生服务补助资金、基本公共卫生项目资金，导致预决算存在差异。</w:t>
      </w:r>
    </w:p>
    <w:p w14:paraId="2A6A3691">
      <w:pPr>
        <w:spacing w:line="640" w:lineRule="exact"/>
        <w:ind w:firstLine="640"/>
        <w:jc w:val="both"/>
        <w:outlineLvl w:val="2"/>
      </w:pPr>
      <w:r>
        <w:rPr>
          <w:rFonts w:ascii="黑体" w:hAnsi="黑体" w:eastAsia="黑体"/>
          <w:sz w:val="32"/>
        </w:rPr>
        <w:t>五、一般公共预算财政拨款支出决算情况说明</w:t>
      </w:r>
    </w:p>
    <w:p w14:paraId="4CE0C0A1">
      <w:pPr>
        <w:spacing w:line="640" w:lineRule="exact"/>
        <w:ind w:firstLine="640"/>
        <w:jc w:val="both"/>
        <w:outlineLvl w:val="3"/>
      </w:pPr>
      <w:r>
        <w:rPr>
          <w:rFonts w:ascii="楷体_GB2312" w:hAnsi="楷体_GB2312" w:eastAsia="楷体_GB2312"/>
          <w:b/>
          <w:sz w:val="32"/>
        </w:rPr>
        <w:t>（一）一般公共预算财政拨款支出决算总体情况</w:t>
      </w:r>
    </w:p>
    <w:p w14:paraId="11AD6BD1">
      <w:pPr>
        <w:spacing w:line="580" w:lineRule="exact"/>
        <w:ind w:firstLine="640"/>
        <w:jc w:val="both"/>
      </w:pPr>
      <w:r>
        <w:rPr>
          <w:rFonts w:ascii="仿宋_GB2312" w:hAnsi="仿宋_GB2312" w:eastAsia="仿宋_GB2312"/>
          <w:b/>
          <w:sz w:val="32"/>
        </w:rPr>
        <w:t>2024年度一般公共预算财政拨款支出580.46万元，</w:t>
      </w:r>
      <w:r>
        <w:rPr>
          <w:rFonts w:ascii="仿宋_GB2312" w:hAnsi="仿宋_GB2312" w:eastAsia="仿宋_GB2312"/>
          <w:b w:val="0"/>
          <w:sz w:val="32"/>
        </w:rPr>
        <w:t>占本年支出合计的90.78%。</w:t>
      </w:r>
      <w:r>
        <w:rPr>
          <w:rFonts w:ascii="仿宋_GB2312" w:hAnsi="仿宋_GB2312" w:eastAsia="仿宋_GB2312"/>
          <w:b/>
          <w:sz w:val="32"/>
        </w:rPr>
        <w:t>与上年相比，</w:t>
      </w:r>
      <w:r>
        <w:rPr>
          <w:rFonts w:ascii="仿宋_GB2312" w:hAnsi="仿宋_GB2312" w:eastAsia="仿宋_GB2312"/>
          <w:b w:val="0"/>
          <w:sz w:val="32"/>
        </w:rPr>
        <w:t>增加82.08万元，增长16.47%，主要原因是：本年在职人员工资调增，社保、住房公积金等相关人员经费增加；本年中央财政基本药物制度补助资金较上年增加。</w:t>
      </w:r>
      <w:r>
        <w:rPr>
          <w:rFonts w:ascii="仿宋_GB2312" w:hAnsi="仿宋_GB2312" w:eastAsia="仿宋_GB2312"/>
          <w:b/>
          <w:sz w:val="32"/>
        </w:rPr>
        <w:t>与年初预算相比,</w:t>
      </w:r>
      <w:r>
        <w:rPr>
          <w:rFonts w:ascii="仿宋_GB2312" w:hAnsi="仿宋_GB2312" w:eastAsia="仿宋_GB2312"/>
          <w:b w:val="0"/>
          <w:sz w:val="32"/>
        </w:rPr>
        <w:t>年初预算数354.45万元，决算数580.46万元，预决算差异率63.76%，主要原因是：年中追加中央财政基本公共卫生服务补助资金、基本公共卫生项目资金，导致预决算存在差异。</w:t>
      </w:r>
    </w:p>
    <w:p w14:paraId="5307FA85">
      <w:pPr>
        <w:spacing w:line="640" w:lineRule="exact"/>
        <w:ind w:firstLine="640"/>
        <w:jc w:val="both"/>
        <w:outlineLvl w:val="3"/>
      </w:pPr>
      <w:r>
        <w:rPr>
          <w:rFonts w:ascii="楷体_GB2312" w:hAnsi="楷体_GB2312" w:eastAsia="楷体_GB2312"/>
          <w:b/>
          <w:sz w:val="32"/>
        </w:rPr>
        <w:t>（二）一般公共预算财政拨款支出决算结构情况</w:t>
      </w:r>
    </w:p>
    <w:p w14:paraId="7C2DBA6D">
      <w:pPr>
        <w:spacing w:line="580" w:lineRule="exact"/>
        <w:ind w:firstLine="640"/>
        <w:jc w:val="both"/>
      </w:pPr>
      <w:r>
        <w:rPr>
          <w:rFonts w:ascii="仿宋_GB2312" w:hAnsi="仿宋_GB2312" w:eastAsia="仿宋_GB2312"/>
          <w:b w:val="0"/>
          <w:sz w:val="32"/>
        </w:rPr>
        <w:t>1.社会保障和就业支出(类)48.50万元,占8.36%。</w:t>
      </w:r>
    </w:p>
    <w:p w14:paraId="6D3C9BD0">
      <w:pPr>
        <w:spacing w:line="580" w:lineRule="exact"/>
        <w:ind w:firstLine="640"/>
        <w:jc w:val="both"/>
      </w:pPr>
      <w:r>
        <w:rPr>
          <w:rFonts w:ascii="仿宋_GB2312" w:hAnsi="仿宋_GB2312" w:eastAsia="仿宋_GB2312"/>
          <w:b w:val="0"/>
          <w:sz w:val="32"/>
        </w:rPr>
        <w:t>2.卫生健康支出(类)506.74万元,占87.30%。</w:t>
      </w:r>
    </w:p>
    <w:p w14:paraId="2005D687">
      <w:pPr>
        <w:spacing w:line="580" w:lineRule="exact"/>
        <w:ind w:firstLine="640"/>
        <w:jc w:val="both"/>
      </w:pPr>
      <w:r>
        <w:rPr>
          <w:rFonts w:ascii="仿宋_GB2312" w:hAnsi="仿宋_GB2312" w:eastAsia="仿宋_GB2312"/>
          <w:b w:val="0"/>
          <w:sz w:val="32"/>
        </w:rPr>
        <w:t>3.住房保障支出(类)25.22万元,占4.34%。</w:t>
      </w:r>
    </w:p>
    <w:p w14:paraId="79D203F1">
      <w:pPr>
        <w:spacing w:line="640" w:lineRule="exact"/>
        <w:ind w:firstLine="640"/>
        <w:jc w:val="both"/>
        <w:outlineLvl w:val="3"/>
      </w:pPr>
      <w:r>
        <w:rPr>
          <w:rFonts w:ascii="楷体_GB2312" w:hAnsi="楷体_GB2312" w:eastAsia="楷体_GB2312"/>
          <w:b/>
          <w:sz w:val="32"/>
        </w:rPr>
        <w:t>（三）一般公共预算财政拨款支出决算具体情况</w:t>
      </w:r>
    </w:p>
    <w:p w14:paraId="0FEFC6FC">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1.社会保障和就业支出(类)行政事业单位养老支出(款)事业单位离退休(项):支出决算数为0.73万元，比上年决算增加0.43万元，增长143.33%,主要原因是：本年增加退休人员基础绩效奖，退休费支出增加。</w:t>
      </w:r>
    </w:p>
    <w:p w14:paraId="48371F6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31.85万元，比上年决算增加4.46万元，增长16.28%,主要原因是：本年在职人员工资基数调增，养老缴费基数上涨，相应支出增加。</w:t>
      </w:r>
    </w:p>
    <w:p w14:paraId="5D1DF73E">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3.社会保障和就业支出(类)行政事业单位养老支出(款)机关事业单位职业年金缴费支出(项):支出决算数为15.93万元，比上年决算增加2.24万元，增长16.36%,主要原因是：本年</w:t>
      </w:r>
      <w:r>
        <w:rPr>
          <w:rFonts w:hint="eastAsia" w:ascii="仿宋_GB2312" w:hAnsi="仿宋_GB2312" w:eastAsia="仿宋_GB2312"/>
          <w:b w:val="0"/>
          <w:sz w:val="32"/>
          <w:lang w:val="en-US" w:eastAsia="zh-CN"/>
        </w:rPr>
        <w:t>新增人</w:t>
      </w:r>
      <w:r>
        <w:rPr>
          <w:rFonts w:ascii="仿宋_GB2312" w:hAnsi="仿宋_GB2312" w:eastAsia="仿宋_GB2312"/>
          <w:b w:val="0"/>
          <w:sz w:val="32"/>
        </w:rPr>
        <w:t>员</w:t>
      </w:r>
      <w:r>
        <w:rPr>
          <w:rFonts w:hint="eastAsia" w:ascii="仿宋_GB2312" w:hAnsi="仿宋_GB2312" w:eastAsia="仿宋_GB2312"/>
          <w:b w:val="0"/>
          <w:sz w:val="32"/>
          <w:lang w:val="en-US" w:eastAsia="zh-CN"/>
        </w:rPr>
        <w:t>调出较上年增加</w:t>
      </w:r>
      <w:r>
        <w:rPr>
          <w:rFonts w:ascii="仿宋_GB2312" w:hAnsi="仿宋_GB2312" w:eastAsia="仿宋_GB2312"/>
          <w:b w:val="0"/>
          <w:sz w:val="32"/>
        </w:rPr>
        <w:t>，职业年金缴费</w:t>
      </w:r>
      <w:r>
        <w:rPr>
          <w:rFonts w:hint="eastAsia" w:ascii="仿宋_GB2312" w:hAnsi="仿宋_GB2312" w:eastAsia="仿宋_GB2312"/>
          <w:b w:val="0"/>
          <w:sz w:val="32"/>
          <w:lang w:val="en-US" w:eastAsia="zh-CN"/>
        </w:rPr>
        <w:t>支出</w:t>
      </w:r>
      <w:r>
        <w:rPr>
          <w:rFonts w:ascii="仿宋_GB2312" w:hAnsi="仿宋_GB2312" w:eastAsia="仿宋_GB2312"/>
          <w:b w:val="0"/>
          <w:sz w:val="32"/>
        </w:rPr>
        <w:t>增加。</w:t>
      </w:r>
    </w:p>
    <w:p w14:paraId="05DE2905">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4.卫生健康支出(类)卫生健康管理事务(款)其他卫生健康管理事务支出(项):支出决算数为2.69万元，比上年决算增加0.34万元，增长14.47%,主要原因是：本年增加村医工资。</w:t>
      </w:r>
    </w:p>
    <w:p w14:paraId="4B849152">
      <w:pPr>
        <w:spacing w:line="580" w:lineRule="exact"/>
        <w:ind w:firstLine="640"/>
        <w:jc w:val="both"/>
      </w:pPr>
      <w:r>
        <w:rPr>
          <w:rFonts w:ascii="仿宋_GB2312" w:hAnsi="仿宋_GB2312" w:eastAsia="仿宋_GB2312"/>
          <w:b w:val="0"/>
          <w:sz w:val="32"/>
        </w:rPr>
        <w:t>5.卫生健康支出(类)基层医疗卫生机构(款)乡镇卫生院(项):支出决算数为273.54万元，比上年决算增加27.21万元，增长11.05%,主要原因是：本年在职人员工资调增，相关人员经费增加。</w:t>
      </w:r>
    </w:p>
    <w:p w14:paraId="2369FFDC">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6.卫生健康支出(类)基层医疗卫生机构(款)其他基层医疗卫生机构支出(项):支出决算数为39.27万元，比上年决算增加29.83万元，增长316.00%,主要原因是：本年中央财政基本药物制度补助资金较上年增加。</w:t>
      </w:r>
    </w:p>
    <w:p w14:paraId="1490B0FD">
      <w:pPr>
        <w:spacing w:line="580" w:lineRule="exact"/>
        <w:ind w:firstLine="640"/>
        <w:jc w:val="both"/>
      </w:pPr>
      <w:r>
        <w:rPr>
          <w:rFonts w:ascii="仿宋_GB2312" w:hAnsi="仿宋_GB2312" w:eastAsia="仿宋_GB2312"/>
          <w:b w:val="0"/>
          <w:sz w:val="32"/>
        </w:rPr>
        <w:t>7.卫生健康支出(类)公共卫生(款)基本公共卫生服务(项):支出决算数为129.22万元，比上年决算减少10.09万元，下降7.24%,主要原因是：本年科目调整，全民健康体检资金（县级配套资金），上年度在基本公共卫生服务科目列支，本年度在其他公共卫生支出科目列支，导致经费较上年减少。</w:t>
      </w:r>
    </w:p>
    <w:p w14:paraId="71390261">
      <w:pPr>
        <w:spacing w:line="580" w:lineRule="exact"/>
        <w:ind w:firstLine="640"/>
        <w:jc w:val="both"/>
      </w:pPr>
      <w:r>
        <w:rPr>
          <w:rFonts w:ascii="仿宋_GB2312" w:hAnsi="仿宋_GB2312" w:eastAsia="仿宋_GB2312"/>
          <w:b w:val="0"/>
          <w:sz w:val="32"/>
        </w:rPr>
        <w:t>8.卫生健康支出(类)公共卫生(款)重大公共卫生服务(项):支出决算数为0.43万元，比上年决算减少1.34万元，下降75.71%,主要原因是：本年度卫生院辖区内传染病人数减少，经费减少。</w:t>
      </w:r>
    </w:p>
    <w:p w14:paraId="1F032212">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9.卫生健康支出(类)公共卫生(款)突发公共卫生事件应急处理(项):支出决算数为0.00万元，比上年决算减少0.42万元，下降100.00%,主要原因是：本年度未发放临时性人员防疫补助。</w:t>
      </w:r>
    </w:p>
    <w:p w14:paraId="5215A22C">
      <w:pPr>
        <w:spacing w:line="580" w:lineRule="exact"/>
        <w:ind w:firstLine="640"/>
        <w:jc w:val="both"/>
      </w:pPr>
      <w:r>
        <w:rPr>
          <w:rFonts w:ascii="仿宋_GB2312" w:hAnsi="仿宋_GB2312" w:eastAsia="仿宋_GB2312"/>
          <w:b w:val="0"/>
          <w:sz w:val="32"/>
        </w:rPr>
        <w:t>10.卫生健康支出(类)公共卫生(款)其他公共卫生支出(项):支出决算数为44.68万元，比上年决算增加23.15万元，增长107.52%,主要原因是：本年科目调整，全民健康体检资金（县级配套资金），上年度在基本公共卫生服务科目列支，本年度在其他公共卫生支出科目列支，导致经费较上年增加。</w:t>
      </w:r>
    </w:p>
    <w:p w14:paraId="2049B3D4">
      <w:pPr>
        <w:spacing w:line="580" w:lineRule="exact"/>
        <w:ind w:firstLine="640"/>
        <w:jc w:val="both"/>
      </w:pPr>
      <w:r>
        <w:rPr>
          <w:rFonts w:ascii="仿宋_GB2312" w:hAnsi="仿宋_GB2312" w:eastAsia="仿宋_GB2312"/>
          <w:b w:val="0"/>
          <w:sz w:val="32"/>
        </w:rPr>
        <w:t>11.卫生健康支出(类)行政事业单位医疗(款)事业单位医疗(项):支出决算数为15.93万元，比上年决算增加2.19万元，增长15.94%,主要原因是：本年在职人员工资基数调增，医疗缴费基数上涨，相应支出增加。</w:t>
      </w:r>
    </w:p>
    <w:p w14:paraId="152CADA8">
      <w:pPr>
        <w:spacing w:line="580" w:lineRule="exact"/>
        <w:ind w:firstLine="640"/>
        <w:jc w:val="both"/>
      </w:pPr>
      <w:r>
        <w:rPr>
          <w:rFonts w:ascii="仿宋_GB2312" w:hAnsi="仿宋_GB2312" w:eastAsia="仿宋_GB2312"/>
          <w:b w:val="0"/>
          <w:sz w:val="32"/>
        </w:rPr>
        <w:t>12.卫生健康支出(类)行政事业单位医疗(款)公务员医疗补助(项):支出决算数为1.00万元，比上年决算增加0.14万元，增长16.28%,主要原因是：本年在职人员工资基数调增，医疗缴费基数上涨，相应支出增加。</w:t>
      </w:r>
    </w:p>
    <w:p w14:paraId="41A3A544">
      <w:pPr>
        <w:spacing w:line="580" w:lineRule="exact"/>
        <w:ind w:firstLine="640"/>
        <w:jc w:val="both"/>
      </w:pPr>
      <w:r>
        <w:rPr>
          <w:rFonts w:ascii="仿宋_GB2312" w:hAnsi="仿宋_GB2312" w:eastAsia="仿宋_GB2312"/>
          <w:b w:val="0"/>
          <w:sz w:val="32"/>
        </w:rPr>
        <w:t>13.住房保障支出(类)住房改革支出(款)住房公积金(项):支出决算数为25.22万元，比上年决算增加3.96万元，增长18.63%,主要原因是：本年在职人员工资基数调增，公积金缴费基数上涨，相应支出增加。</w:t>
      </w:r>
    </w:p>
    <w:p w14:paraId="1AACAED8">
      <w:pPr>
        <w:spacing w:line="640" w:lineRule="exact"/>
        <w:ind w:firstLine="640"/>
        <w:jc w:val="both"/>
        <w:outlineLvl w:val="2"/>
      </w:pPr>
      <w:r>
        <w:rPr>
          <w:rFonts w:ascii="黑体" w:hAnsi="黑体" w:eastAsia="黑体"/>
          <w:sz w:val="32"/>
        </w:rPr>
        <w:t>六、一般公共预算财政拨款基本支出决算情况说明</w:t>
      </w:r>
    </w:p>
    <w:p w14:paraId="001C5337">
      <w:pPr>
        <w:spacing w:line="580" w:lineRule="exact"/>
        <w:ind w:firstLine="640"/>
        <w:jc w:val="both"/>
      </w:pPr>
      <w:r>
        <w:rPr>
          <w:rFonts w:ascii="仿宋_GB2312" w:hAnsi="仿宋_GB2312" w:eastAsia="仿宋_GB2312"/>
          <w:b w:val="0"/>
          <w:sz w:val="32"/>
        </w:rPr>
        <w:t>2024年度一般公共预算财政拨款基本支出364.18万元，其中：</w:t>
      </w:r>
      <w:r>
        <w:rPr>
          <w:rFonts w:ascii="仿宋_GB2312" w:hAnsi="仿宋_GB2312" w:eastAsia="仿宋_GB2312"/>
          <w:b/>
          <w:sz w:val="32"/>
        </w:rPr>
        <w:t>人员经费347.02万元，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w:t>
      </w:r>
    </w:p>
    <w:p w14:paraId="76C325EB">
      <w:pPr>
        <w:spacing w:line="580" w:lineRule="exact"/>
        <w:ind w:firstLine="640"/>
        <w:jc w:val="both"/>
      </w:pPr>
      <w:r>
        <w:rPr>
          <w:rFonts w:ascii="仿宋_GB2312" w:hAnsi="仿宋_GB2312" w:eastAsia="仿宋_GB2312"/>
          <w:b/>
          <w:sz w:val="32"/>
        </w:rPr>
        <w:t>公用经费17.16万元，</w:t>
      </w:r>
      <w:r>
        <w:rPr>
          <w:rFonts w:ascii="仿宋_GB2312" w:hAnsi="仿宋_GB2312" w:eastAsia="仿宋_GB2312"/>
          <w:b w:val="0"/>
          <w:sz w:val="32"/>
        </w:rPr>
        <w:t>包括：办公费、印刷费、咨询费、水费、电费、维修（护）费、工会经费。</w:t>
      </w:r>
    </w:p>
    <w:p w14:paraId="0D4D4314">
      <w:pPr>
        <w:spacing w:line="640" w:lineRule="exact"/>
        <w:ind w:firstLine="640"/>
        <w:jc w:val="both"/>
        <w:outlineLvl w:val="2"/>
      </w:pPr>
      <w:r>
        <w:rPr>
          <w:rFonts w:ascii="黑体" w:hAnsi="黑体" w:eastAsia="黑体"/>
          <w:sz w:val="32"/>
        </w:rPr>
        <w:t>七、政府性基金预算财政拨款收入支出决算情况说明</w:t>
      </w:r>
    </w:p>
    <w:p w14:paraId="487BAA63">
      <w:pPr>
        <w:spacing w:line="580" w:lineRule="exact"/>
        <w:ind w:firstLine="640"/>
        <w:jc w:val="both"/>
      </w:pPr>
      <w:r>
        <w:rPr>
          <w:rFonts w:ascii="仿宋_GB2312" w:hAnsi="仿宋_GB2312" w:eastAsia="仿宋_GB2312"/>
          <w:b/>
          <w:sz w:val="32"/>
        </w:rPr>
        <w:t>2024年度政府性基金预算财政拨款收入总计0.09万元，</w:t>
      </w:r>
      <w:r>
        <w:rPr>
          <w:rFonts w:ascii="仿宋_GB2312" w:hAnsi="仿宋_GB2312" w:eastAsia="仿宋_GB2312"/>
          <w:b w:val="0"/>
          <w:sz w:val="32"/>
        </w:rPr>
        <w:t>其中：年初结转和结余0.00万元，本年收入0.09万元。</w:t>
      </w:r>
      <w:r>
        <w:rPr>
          <w:rFonts w:ascii="仿宋_GB2312" w:hAnsi="仿宋_GB2312" w:eastAsia="仿宋_GB2312"/>
          <w:b/>
          <w:sz w:val="32"/>
        </w:rPr>
        <w:t>政府性基金预算财政拨款支出总计0.09万元，</w:t>
      </w:r>
      <w:r>
        <w:rPr>
          <w:rFonts w:ascii="仿宋_GB2312" w:hAnsi="仿宋_GB2312" w:eastAsia="仿宋_GB2312"/>
          <w:b w:val="0"/>
          <w:sz w:val="32"/>
        </w:rPr>
        <w:t>其中：年末结转和结余0.00万元，本年支出0.09万元。</w:t>
      </w:r>
    </w:p>
    <w:p w14:paraId="6CDE77F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增加0.09万元，增长100.00%，主要原因是：本年增加吉木萨尔县失能老人健康评估资金。</w:t>
      </w:r>
      <w:r>
        <w:rPr>
          <w:rFonts w:ascii="仿宋_GB2312" w:hAnsi="仿宋_GB2312" w:eastAsia="仿宋_GB2312"/>
          <w:b/>
          <w:sz w:val="32"/>
        </w:rPr>
        <w:t>与年初预算相比，</w:t>
      </w:r>
      <w:r>
        <w:rPr>
          <w:rFonts w:ascii="仿宋_GB2312" w:hAnsi="仿宋_GB2312" w:eastAsia="仿宋_GB2312"/>
          <w:b w:val="0"/>
          <w:sz w:val="32"/>
        </w:rPr>
        <w:t>年初预算数0.00万元，决算数0.09万元，预决算差异率100.00%，主要原因是：年中追加吉木萨尔县失能老人健康评估资金。</w:t>
      </w:r>
    </w:p>
    <w:p w14:paraId="45AE7D22">
      <w:pPr>
        <w:spacing w:line="580" w:lineRule="exact"/>
        <w:ind w:firstLine="640"/>
        <w:jc w:val="both"/>
      </w:pPr>
      <w:r>
        <w:rPr>
          <w:rFonts w:ascii="仿宋_GB2312" w:hAnsi="仿宋_GB2312" w:eastAsia="仿宋_GB2312"/>
          <w:b w:val="0"/>
          <w:sz w:val="32"/>
        </w:rPr>
        <w:t>政府性基金预算财政拨款支出0.09万元。</w:t>
      </w:r>
    </w:p>
    <w:p w14:paraId="206BE356">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1.其他支出(类)彩票公益金安排的支出(款)用于社会福利的彩票公益金支出(项):支出决算数为0.09万元，比上年决算增加0.09万元，增长100.00%,主要原因是：本年增加吉木萨尔县失能老人健康评估资金。</w:t>
      </w:r>
    </w:p>
    <w:p w14:paraId="6B2E7550">
      <w:pPr>
        <w:spacing w:line="640" w:lineRule="exact"/>
        <w:ind w:firstLine="640"/>
        <w:jc w:val="both"/>
        <w:outlineLvl w:val="2"/>
      </w:pPr>
      <w:r>
        <w:rPr>
          <w:rFonts w:ascii="黑体" w:hAnsi="黑体" w:eastAsia="黑体"/>
          <w:sz w:val="32"/>
        </w:rPr>
        <w:t>八、国有资本经营预算财政拨款收入支出决算情况说明</w:t>
      </w:r>
    </w:p>
    <w:p w14:paraId="76D8313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F1C7A4D">
      <w:pPr>
        <w:spacing w:line="640" w:lineRule="exact"/>
        <w:ind w:firstLine="640"/>
        <w:jc w:val="both"/>
        <w:outlineLvl w:val="2"/>
      </w:pPr>
      <w:r>
        <w:rPr>
          <w:rFonts w:ascii="黑体" w:hAnsi="黑体" w:eastAsia="黑体"/>
          <w:sz w:val="32"/>
        </w:rPr>
        <w:t>九、财政拨款“三公”经费支出决算情况说明</w:t>
      </w:r>
    </w:p>
    <w:p w14:paraId="161E163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8340139">
      <w:pPr>
        <w:spacing w:line="580" w:lineRule="exact"/>
        <w:ind w:firstLine="640"/>
        <w:jc w:val="both"/>
      </w:pPr>
      <w:r>
        <w:rPr>
          <w:rFonts w:ascii="仿宋_GB2312" w:hAnsi="仿宋_GB2312" w:eastAsia="仿宋_GB2312"/>
          <w:b/>
          <w:sz w:val="32"/>
        </w:rPr>
        <w:t>具体情况如下：</w:t>
      </w:r>
    </w:p>
    <w:p w14:paraId="18B4994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49D82C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4辆，与公务用车保有量差异原因是：差异车辆为本单位医疗救护车，属于一般业务用车，预算未安排公务用车运行维护费。</w:t>
      </w:r>
    </w:p>
    <w:p w14:paraId="6AD43A7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2646FF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52CCDDA">
      <w:pPr>
        <w:spacing w:line="640" w:lineRule="exact"/>
        <w:ind w:firstLine="640"/>
        <w:jc w:val="both"/>
        <w:outlineLvl w:val="2"/>
      </w:pPr>
      <w:r>
        <w:rPr>
          <w:rFonts w:ascii="黑体" w:hAnsi="黑体" w:eastAsia="黑体"/>
          <w:sz w:val="32"/>
        </w:rPr>
        <w:t>十、其他重要事项的情况说明</w:t>
      </w:r>
    </w:p>
    <w:p w14:paraId="502D98AC">
      <w:pPr>
        <w:spacing w:line="640" w:lineRule="exact"/>
        <w:ind w:firstLine="640"/>
        <w:jc w:val="both"/>
        <w:outlineLvl w:val="3"/>
      </w:pPr>
      <w:r>
        <w:rPr>
          <w:rFonts w:ascii="楷体_GB2312" w:hAnsi="楷体_GB2312" w:eastAsia="楷体_GB2312"/>
          <w:b/>
          <w:sz w:val="32"/>
        </w:rPr>
        <w:t>（一）机关运行经费及公用经费支出情况</w:t>
      </w:r>
    </w:p>
    <w:p w14:paraId="5D5E582A">
      <w:pPr>
        <w:spacing w:line="580" w:lineRule="exact"/>
        <w:ind w:firstLine="640"/>
        <w:jc w:val="both"/>
      </w:pPr>
      <w:r>
        <w:rPr>
          <w:rFonts w:ascii="仿宋_GB2312" w:hAnsi="仿宋_GB2312" w:eastAsia="仿宋_GB2312"/>
          <w:b w:val="0"/>
          <w:sz w:val="32"/>
        </w:rPr>
        <w:t>2024年度吉木萨尔县大有镇卫生院（事业单位）公用经费支出17.16万元，比上年增加2.05万元，增长13.57%，主要原因是：本年卫生院改用电采暖，电费大幅度提升，公用经费增加。</w:t>
      </w:r>
    </w:p>
    <w:p w14:paraId="73391C2B">
      <w:pPr>
        <w:spacing w:line="640" w:lineRule="exact"/>
        <w:ind w:firstLine="640"/>
        <w:jc w:val="both"/>
        <w:outlineLvl w:val="3"/>
      </w:pPr>
      <w:r>
        <w:rPr>
          <w:rFonts w:ascii="楷体_GB2312" w:hAnsi="楷体_GB2312" w:eastAsia="楷体_GB2312"/>
          <w:b/>
          <w:sz w:val="32"/>
        </w:rPr>
        <w:t>（二）政府采购情况</w:t>
      </w:r>
    </w:p>
    <w:p w14:paraId="764D5C8E">
      <w:pPr>
        <w:spacing w:line="580" w:lineRule="exact"/>
        <w:ind w:firstLine="640"/>
        <w:jc w:val="both"/>
      </w:pPr>
      <w:r>
        <w:rPr>
          <w:rFonts w:ascii="仿宋_GB2312" w:hAnsi="仿宋_GB2312" w:eastAsia="仿宋_GB2312"/>
          <w:b w:val="0"/>
          <w:sz w:val="32"/>
        </w:rPr>
        <w:t>2024年度政府采购支出总额7.68万元，其中：政府采购货物支出3.74万元、政府采购工程支出1.97万元、政府采购服务支出1.97万元。</w:t>
      </w:r>
    </w:p>
    <w:p w14:paraId="277C5267">
      <w:pPr>
        <w:spacing w:line="580" w:lineRule="exact"/>
        <w:ind w:firstLine="640"/>
        <w:jc w:val="both"/>
      </w:pPr>
      <w:r>
        <w:rPr>
          <w:rFonts w:ascii="仿宋_GB2312" w:hAnsi="仿宋_GB2312" w:eastAsia="仿宋_GB2312"/>
          <w:b w:val="0"/>
          <w:sz w:val="32"/>
        </w:rPr>
        <w:t>授予中小企业合同金额2.28万元，占政府采购支出总额的29.69%，其中：授予小微企业合同金额2.28万元，占政府采购支出总额的29.69%。</w:t>
      </w:r>
    </w:p>
    <w:p w14:paraId="77A19647">
      <w:pPr>
        <w:spacing w:line="640" w:lineRule="exact"/>
        <w:ind w:firstLine="640"/>
        <w:jc w:val="both"/>
        <w:outlineLvl w:val="3"/>
      </w:pPr>
      <w:r>
        <w:rPr>
          <w:rFonts w:ascii="楷体_GB2312" w:hAnsi="楷体_GB2312" w:eastAsia="楷体_GB2312"/>
          <w:b/>
          <w:sz w:val="32"/>
        </w:rPr>
        <w:t>（三）国有资产占用情况说明</w:t>
      </w:r>
    </w:p>
    <w:p w14:paraId="41DC3529">
      <w:pPr>
        <w:spacing w:line="580" w:lineRule="exact"/>
        <w:ind w:firstLine="640"/>
        <w:jc w:val="both"/>
      </w:pPr>
      <w:r>
        <w:rPr>
          <w:rFonts w:ascii="仿宋_GB2312" w:hAnsi="仿宋_GB2312" w:eastAsia="仿宋_GB2312"/>
          <w:b w:val="0"/>
          <w:sz w:val="32"/>
        </w:rPr>
        <w:t>截至2024年12月31日，房屋3,315.13平方米，价值588.07万元。车辆4辆，价值60.96万元，其中：副部（省）级及以上领导用车0辆、主要负责人用车0辆、机要通信用车0辆、应急保障用车0辆、执法执勤用车0辆、特种专业技术用车4辆、离退休干部服务用车0辆、其他用车0辆，其他用车主要是：本单位无其他用车。单价100万元（含）以上设备（不含车辆）0台（套）。</w:t>
      </w:r>
    </w:p>
    <w:p w14:paraId="3CB0C4D9">
      <w:pPr>
        <w:spacing w:line="640" w:lineRule="exact"/>
        <w:ind w:firstLine="640"/>
        <w:jc w:val="both"/>
        <w:outlineLvl w:val="2"/>
      </w:pPr>
      <w:r>
        <w:rPr>
          <w:rFonts w:ascii="黑体" w:hAnsi="黑体" w:eastAsia="黑体"/>
          <w:sz w:val="32"/>
        </w:rPr>
        <w:t>十一、预算绩效的情况说明</w:t>
      </w:r>
    </w:p>
    <w:p w14:paraId="0C44AD3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644.46万元，实际执行总额639.44万元；预算绩效评价项目4个，全年预算数70.65万元，全年执行数70.65万元。预算绩效管理取得的成效：我院积极落实医改工作，依托“昌吉健康云”平台建设实现县乡村三级信息化互通互联</w:t>
      </w:r>
      <w:r>
        <w:rPr>
          <w:rFonts w:hint="eastAsia" w:ascii="仿宋_GB2312" w:hAnsi="仿宋_GB2312" w:eastAsia="仿宋_GB2312"/>
          <w:b w:val="0"/>
          <w:sz w:val="32"/>
          <w:lang w:eastAsia="zh-CN"/>
        </w:rPr>
        <w:t>，在</w:t>
      </w:r>
      <w:r>
        <w:rPr>
          <w:rFonts w:ascii="仿宋_GB2312" w:hAnsi="仿宋_GB2312" w:eastAsia="仿宋_GB2312"/>
          <w:b w:val="0"/>
          <w:sz w:val="32"/>
        </w:rPr>
        <w:t>医共体内实现各类数据共享和业务协同。开启了“互联网+社区+健康小屋”慢病管理模式，不断强化激增了医务人员在实地操作中卫生专业知识的应用，进一步提升了基层卫生人员的职业获得感和认同感，同时，切实推动了县域分级诊疗制度的落实，让患者在家门口享受到优质、专业、安全、全面的卫生服务，切切实实成为各族干部群众生命健康的“守门人”。先后开展培训12场次，观摩后认真总结学习成果，总结他人长处、查找自己不足，将学习到的新观点、新理念、好经验、好做法与我院实际相结合，进一步提升医疗服务能力和医疗水平，更好地为各族群众服务，让广大群众在家门口就能享受到更优质的医疗服务，切实为老百姓健康保驾护航。发现的问题及原因：年初设置人员指标时没考虑人员的变动情况，设置相关指标需要根据实际情况进行调整之后再进行三级指标的填报。下一步改进措施：一是加强对预算执行过程的控制和结果的反馈，对预算执行差异及时分析成因和影响，并及时向领导进行反馈，以采取措施纠正执行偏差，促进预算目标的全面完成。二是落实预算执行分析,及时了解预算执行差异,合理调整、纠正预算执行偏差，切实提高部门预算收支管理水平，严格做到决算与预算相一致。三是通过对每笔资金的精细化管理来保障资金使用的合</w:t>
      </w:r>
      <w:r>
        <w:rPr>
          <w:rFonts w:hint="eastAsia" w:ascii="仿宋_GB2312" w:hAnsi="仿宋_GB2312" w:eastAsia="仿宋_GB2312"/>
          <w:b w:val="0"/>
          <w:sz w:val="32"/>
          <w:lang w:eastAsia="zh-CN"/>
        </w:rPr>
        <w:t>规性</w:t>
      </w:r>
      <w:r>
        <w:rPr>
          <w:rFonts w:ascii="仿宋_GB2312" w:hAnsi="仿宋_GB2312" w:eastAsia="仿宋_GB2312"/>
          <w:b w:val="0"/>
          <w:sz w:val="32"/>
        </w:rPr>
        <w:t>、合法性，并据此分析各类资金支出产生的效益，使本单位的绩效</w:t>
      </w:r>
      <w:bookmarkStart w:id="0" w:name="_GoBack"/>
      <w:r>
        <w:rPr>
          <w:rFonts w:ascii="仿宋_GB2312" w:hAnsi="仿宋_GB2312" w:eastAsia="仿宋_GB2312"/>
          <w:b w:val="0"/>
          <w:sz w:val="32"/>
        </w:rPr>
        <w:t>监控</w:t>
      </w:r>
      <w:bookmarkEnd w:id="0"/>
      <w:r>
        <w:rPr>
          <w:rFonts w:ascii="仿宋_GB2312" w:hAnsi="仿宋_GB2312" w:eastAsia="仿宋_GB2312"/>
          <w:b w:val="0"/>
          <w:sz w:val="32"/>
        </w:rPr>
        <w:t>工作上一个新台阶。四是严格执行国家财政法规和相关财务制度。行政事业单位要严格执行国家的各项财务制度，规范开支范围，严格履行审批手续。具体附整体支出绩效自评表，项目支出绩效自评表。</w:t>
      </w:r>
    </w:p>
    <w:p w14:paraId="0BD577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122C0C">
        <w:tblPrEx>
          <w:tblCellMar>
            <w:top w:w="0" w:type="dxa"/>
            <w:left w:w="108" w:type="dxa"/>
            <w:bottom w:w="0" w:type="dxa"/>
            <w:right w:w="108" w:type="dxa"/>
          </w:tblCellMar>
        </w:tblPrEx>
        <w:tc>
          <w:tcPr>
            <w:tcW w:w="8847" w:type="dxa"/>
            <w:gridSpan w:val="9"/>
            <w:vAlign w:val="center"/>
          </w:tcPr>
          <w:p w14:paraId="62E2FE8F">
            <w:pPr>
              <w:jc w:val="center"/>
            </w:pPr>
            <w:r>
              <w:rPr>
                <w:rFonts w:ascii="宋体" w:hAnsi="宋体" w:eastAsia="宋体"/>
                <w:sz w:val="24"/>
              </w:rPr>
              <w:t>单位整体支出绩效自评表</w:t>
            </w:r>
          </w:p>
        </w:tc>
      </w:tr>
      <w:tr w14:paraId="38E5B54D">
        <w:tblPrEx>
          <w:tblCellMar>
            <w:top w:w="0" w:type="dxa"/>
            <w:left w:w="108" w:type="dxa"/>
            <w:bottom w:w="0" w:type="dxa"/>
            <w:right w:w="108" w:type="dxa"/>
          </w:tblCellMar>
        </w:tblPrEx>
        <w:tc>
          <w:tcPr>
            <w:tcW w:w="8847" w:type="dxa"/>
            <w:gridSpan w:val="9"/>
            <w:vAlign w:val="center"/>
          </w:tcPr>
          <w:p w14:paraId="20FF5AC7">
            <w:pPr>
              <w:jc w:val="center"/>
            </w:pPr>
            <w:r>
              <w:rPr>
                <w:rFonts w:ascii="宋体" w:hAnsi="宋体" w:eastAsia="宋体"/>
                <w:sz w:val="24"/>
              </w:rPr>
              <w:t>（2024年度）</w:t>
            </w:r>
          </w:p>
        </w:tc>
      </w:tr>
      <w:tr w14:paraId="0EF86C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831C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F02D4C">
            <w:pPr>
              <w:jc w:val="center"/>
            </w:pPr>
            <w:r>
              <w:rPr>
                <w:rFonts w:ascii="宋体" w:hAnsi="宋体" w:eastAsia="宋体"/>
                <w:sz w:val="16"/>
              </w:rPr>
              <w:t>吉木萨尔县大有镇卫生院</w:t>
            </w:r>
          </w:p>
        </w:tc>
      </w:tr>
      <w:tr w14:paraId="7FB55E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5127A">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F228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FAA6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7886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0BFE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569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B94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A522">
            <w:pPr>
              <w:jc w:val="center"/>
            </w:pPr>
            <w:r>
              <w:rPr>
                <w:rFonts w:ascii="宋体" w:hAnsi="宋体" w:eastAsia="宋体"/>
                <w:sz w:val="16"/>
              </w:rPr>
              <w:t>得分</w:t>
            </w:r>
          </w:p>
        </w:tc>
      </w:tr>
      <w:tr w14:paraId="2E62E8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29E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DE89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40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AA563">
            <w:pPr>
              <w:jc w:val="center"/>
            </w:pPr>
            <w:r>
              <w:rPr>
                <w:rFonts w:ascii="宋体" w:hAnsi="宋体" w:eastAsia="宋体"/>
                <w:sz w:val="16"/>
              </w:rPr>
              <w:t>216.38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58717">
            <w:pPr>
              <w:jc w:val="center"/>
            </w:pPr>
            <w:r>
              <w:rPr>
                <w:rFonts w:ascii="宋体" w:hAnsi="宋体" w:eastAsia="宋体"/>
                <w:sz w:val="16"/>
              </w:rPr>
              <w:t>216.38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43B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BCB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3BF34">
            <w:pPr>
              <w:jc w:val="center"/>
            </w:pPr>
            <w:r>
              <w:rPr>
                <w:rFonts w:ascii="宋体" w:hAnsi="宋体" w:eastAsia="宋体"/>
                <w:sz w:val="16"/>
              </w:rPr>
              <w:t>-</w:t>
            </w:r>
          </w:p>
        </w:tc>
      </w:tr>
      <w:tr w14:paraId="498C6C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008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EAA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2543D">
            <w:pPr>
              <w:jc w:val="center"/>
            </w:pPr>
            <w:r>
              <w:rPr>
                <w:rFonts w:ascii="宋体" w:hAnsi="宋体" w:eastAsia="宋体"/>
                <w:sz w:val="16"/>
              </w:rPr>
              <w:t>354.45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99AC7">
            <w:pPr>
              <w:jc w:val="center"/>
            </w:pPr>
            <w:r>
              <w:rPr>
                <w:rFonts w:ascii="宋体" w:hAnsi="宋体" w:eastAsia="宋体"/>
                <w:sz w:val="16"/>
              </w:rPr>
              <w:t>428.08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A0CD1">
            <w:pPr>
              <w:jc w:val="center"/>
            </w:pPr>
            <w:r>
              <w:rPr>
                <w:rFonts w:ascii="宋体" w:hAnsi="宋体" w:eastAsia="宋体"/>
                <w:sz w:val="16"/>
              </w:rPr>
              <w:t>423.06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C62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22C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4538E">
            <w:pPr>
              <w:jc w:val="center"/>
            </w:pPr>
            <w:r>
              <w:rPr>
                <w:rFonts w:ascii="宋体" w:hAnsi="宋体" w:eastAsia="宋体"/>
                <w:sz w:val="16"/>
              </w:rPr>
              <w:t>-</w:t>
            </w:r>
          </w:p>
        </w:tc>
      </w:tr>
      <w:tr w14:paraId="47A97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A62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B3AA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8CA28">
            <w:pPr>
              <w:jc w:val="center"/>
            </w:pPr>
            <w:r>
              <w:rPr>
                <w:rFonts w:ascii="宋体" w:hAnsi="宋体" w:eastAsia="宋体"/>
                <w:sz w:val="16"/>
              </w:rPr>
              <w:t>67.59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4C5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BFE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6CB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9E0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BC2CB">
            <w:pPr>
              <w:jc w:val="center"/>
            </w:pPr>
            <w:r>
              <w:rPr>
                <w:rFonts w:ascii="宋体" w:hAnsi="宋体" w:eastAsia="宋体"/>
                <w:sz w:val="16"/>
              </w:rPr>
              <w:t>-</w:t>
            </w:r>
          </w:p>
        </w:tc>
      </w:tr>
      <w:tr w14:paraId="701EB8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FC8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E899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54877">
            <w:pPr>
              <w:jc w:val="center"/>
            </w:pPr>
            <w:r>
              <w:rPr>
                <w:rFonts w:ascii="宋体" w:hAnsi="宋体" w:eastAsia="宋体"/>
                <w:sz w:val="16"/>
              </w:rPr>
              <w:t>422.04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BF4A4">
            <w:pPr>
              <w:jc w:val="center"/>
            </w:pPr>
            <w:r>
              <w:rPr>
                <w:rFonts w:ascii="宋体" w:hAnsi="宋体" w:eastAsia="宋体"/>
                <w:sz w:val="16"/>
              </w:rPr>
              <w:t>644.46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D1A81">
            <w:pPr>
              <w:jc w:val="center"/>
            </w:pPr>
            <w:r>
              <w:rPr>
                <w:rFonts w:ascii="宋体" w:hAnsi="宋体" w:eastAsia="宋体"/>
                <w:sz w:val="16"/>
              </w:rPr>
              <w:t>639.44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0A1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3D6C8">
            <w:pPr>
              <w:jc w:val="center"/>
            </w:pPr>
            <w:r>
              <w:rPr>
                <w:rFonts w:ascii="宋体" w:hAnsi="宋体" w:eastAsia="宋体"/>
                <w:sz w:val="16"/>
              </w:rPr>
              <w:t>99.22%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6C4AA">
            <w:pPr>
              <w:jc w:val="center"/>
            </w:pPr>
            <w:r>
              <w:rPr>
                <w:rFonts w:ascii="宋体" w:hAnsi="宋体" w:eastAsia="宋体"/>
                <w:sz w:val="16"/>
              </w:rPr>
              <w:t>9.92</w:t>
            </w:r>
          </w:p>
        </w:tc>
      </w:tr>
      <w:tr w14:paraId="6CCF4D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7C16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6A485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7529B0">
            <w:pPr>
              <w:jc w:val="center"/>
            </w:pPr>
            <w:r>
              <w:rPr>
                <w:rFonts w:ascii="宋体" w:hAnsi="宋体" w:eastAsia="宋体"/>
                <w:sz w:val="16"/>
              </w:rPr>
              <w:t>实际完成情况</w:t>
            </w:r>
          </w:p>
        </w:tc>
      </w:tr>
      <w:tr w14:paraId="25F20C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EE18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0FD8A2">
            <w:pPr>
              <w:jc w:val="both"/>
            </w:pPr>
            <w:r>
              <w:rPr>
                <w:rFonts w:ascii="宋体" w:hAnsi="宋体" w:eastAsia="宋体"/>
                <w:sz w:val="16"/>
              </w:rPr>
              <w:t>保障大有镇卫生院在职职工20人、离休人员1人、村医5人的人员工资津贴补贴，社会保障缴费，住房公积金等；公用经费保障卫生院的正常运行。其他资金主要是单位事业收入。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E8C210">
            <w:pPr>
              <w:jc w:val="both"/>
            </w:pPr>
            <w:r>
              <w:rPr>
                <w:rFonts w:ascii="宋体" w:hAnsi="宋体" w:eastAsia="宋体"/>
                <w:sz w:val="16"/>
              </w:rPr>
              <w:t>一、党风行风廉政建设方面。扎实推进党建工作，坚持把党建工作和业务工作相结合，严格执行“三会一课”“三重一大”制度，坚决落实党建工作各项制度，完善组织生活会制度、加强党员教育、严格党员管理。我院党支部每月定期召开1次党员大会、1次党课、每月开展集中学习1次。二是二、基本医疗服务情况。严格执行诊疗常规和操作规程、门诊病历、处方书写规范,认真执行护理常规、基础护理工作无漏洞。建立健全医院感染管理制度,成立组织,落实专人、责任到位。三是公共卫生工作开展情况。</w:t>
            </w:r>
          </w:p>
        </w:tc>
      </w:tr>
      <w:tr w14:paraId="347926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913A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7538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9868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1F72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D0FE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B888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5E66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CB91E">
            <w:pPr>
              <w:jc w:val="center"/>
            </w:pPr>
            <w:r>
              <w:rPr>
                <w:rFonts w:ascii="宋体" w:hAnsi="宋体" w:eastAsia="宋体"/>
                <w:sz w:val="16"/>
              </w:rPr>
              <w:t>得分</w:t>
            </w:r>
          </w:p>
        </w:tc>
      </w:tr>
      <w:tr w14:paraId="76744A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E6D29">
            <w:pPr>
              <w:jc w:val="center"/>
            </w:pPr>
            <w:r>
              <w:rPr>
                <w:rFonts w:ascii="宋体" w:hAnsi="宋体" w:eastAsia="宋体"/>
                <w:sz w:val="16"/>
              </w:rPr>
              <w:t>运行成本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B4FB5">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BEC1D">
            <w:pPr>
              <w:jc w:val="center"/>
            </w:pPr>
            <w:r>
              <w:rPr>
                <w:rFonts w:ascii="宋体" w:hAnsi="宋体" w:eastAsia="宋体"/>
                <w:sz w:val="16"/>
              </w:rPr>
              <w:t>在职在编人数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3D2DA">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82B2C">
            <w:pPr>
              <w:jc w:val="center"/>
            </w:pPr>
            <w:r>
              <w:rPr>
                <w:rFonts w:ascii="宋体" w:hAnsi="宋体" w:eastAsia="宋体"/>
                <w:sz w:val="16"/>
              </w:rPr>
              <w:t>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A15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F7312">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B732E">
            <w:pPr>
              <w:jc w:val="center"/>
            </w:pPr>
            <w:r>
              <w:rPr>
                <w:rFonts w:ascii="宋体" w:hAnsi="宋体" w:eastAsia="宋体"/>
                <w:sz w:val="16"/>
              </w:rPr>
              <w:t>10</w:t>
            </w:r>
          </w:p>
        </w:tc>
      </w:tr>
      <w:tr w14:paraId="6917F1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33120">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6B39A">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8D757">
            <w:pPr>
              <w:jc w:val="center"/>
            </w:pPr>
            <w:r>
              <w:rPr>
                <w:rFonts w:ascii="宋体" w:hAnsi="宋体" w:eastAsia="宋体"/>
                <w:sz w:val="16"/>
              </w:rPr>
              <w:t>健康档案建档率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BDB3A">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F79B9">
            <w:pPr>
              <w:jc w:val="center"/>
            </w:pPr>
            <w:r>
              <w:rPr>
                <w:rFonts w:ascii="宋体" w:hAnsi="宋体" w:eastAsia="宋体"/>
                <w:sz w:val="16"/>
              </w:rPr>
              <w:t>吉木萨尔县总医院大有分院2024年工作计划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777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71A68">
            <w:pPr>
              <w:jc w:val="center"/>
            </w:pPr>
            <w:r>
              <w:rPr>
                <w:rFonts w:ascii="宋体" w:hAnsi="宋体" w:eastAsia="宋体"/>
                <w:sz w:val="16"/>
              </w:rPr>
              <w:t>=82.29%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F84FB">
            <w:pPr>
              <w:jc w:val="center"/>
            </w:pPr>
            <w:r>
              <w:rPr>
                <w:rFonts w:ascii="宋体" w:hAnsi="宋体" w:eastAsia="宋体"/>
                <w:sz w:val="16"/>
              </w:rPr>
              <w:t>10</w:t>
            </w:r>
          </w:p>
        </w:tc>
      </w:tr>
      <w:tr w14:paraId="3AB60C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E6A9E">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469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6E3A">
            <w:pPr>
              <w:jc w:val="center"/>
            </w:pPr>
            <w:r>
              <w:rPr>
                <w:rFonts w:ascii="宋体" w:hAnsi="宋体" w:eastAsia="宋体"/>
                <w:sz w:val="16"/>
              </w:rPr>
              <w:t>儿童健康管理率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11686">
            <w:pPr>
              <w:jc w:val="center"/>
            </w:pPr>
            <w:r>
              <w:rPr>
                <w:rFonts w:ascii="宋体" w:hAnsi="宋体" w:eastAsia="宋体"/>
                <w:sz w:val="16"/>
              </w:rPr>
              <w:t>&gt;=70%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80A17">
            <w:pPr>
              <w:jc w:val="center"/>
            </w:pPr>
            <w:r>
              <w:rPr>
                <w:rFonts w:ascii="宋体" w:hAnsi="宋体" w:eastAsia="宋体"/>
                <w:sz w:val="16"/>
              </w:rPr>
              <w:t>吉木萨尔县总医院大有分院2024年工作计划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AD4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6F881">
            <w:pPr>
              <w:jc w:val="center"/>
            </w:pPr>
            <w:r>
              <w:rPr>
                <w:rFonts w:ascii="宋体" w:hAnsi="宋体" w:eastAsia="宋体"/>
                <w:sz w:val="16"/>
              </w:rPr>
              <w:t>=117.12%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34924">
            <w:pPr>
              <w:jc w:val="center"/>
            </w:pPr>
            <w:r>
              <w:rPr>
                <w:rFonts w:ascii="宋体" w:hAnsi="宋体" w:eastAsia="宋体"/>
                <w:sz w:val="16"/>
              </w:rPr>
              <w:t>10</w:t>
            </w:r>
          </w:p>
        </w:tc>
      </w:tr>
      <w:tr w14:paraId="78833F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C96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A57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89116">
            <w:pPr>
              <w:jc w:val="center"/>
            </w:pPr>
            <w:r>
              <w:rPr>
                <w:rFonts w:ascii="宋体" w:hAnsi="宋体" w:eastAsia="宋体"/>
                <w:sz w:val="16"/>
              </w:rPr>
              <w:t>老年人健康管理率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6AF4E">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2AF7B">
            <w:pPr>
              <w:jc w:val="center"/>
            </w:pPr>
            <w:r>
              <w:rPr>
                <w:rFonts w:ascii="宋体" w:hAnsi="宋体" w:eastAsia="宋体"/>
                <w:sz w:val="16"/>
              </w:rPr>
              <w:t>吉木萨尔县总医院大有分院2024年工作计划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C71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EE5B8">
            <w:pPr>
              <w:jc w:val="center"/>
            </w:pPr>
            <w:r>
              <w:rPr>
                <w:rFonts w:ascii="宋体" w:hAnsi="宋体" w:eastAsia="宋体"/>
                <w:sz w:val="16"/>
              </w:rPr>
              <w:t>=85.72%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2860">
            <w:pPr>
              <w:jc w:val="center"/>
            </w:pPr>
            <w:r>
              <w:rPr>
                <w:rFonts w:ascii="宋体" w:hAnsi="宋体" w:eastAsia="宋体"/>
                <w:sz w:val="16"/>
              </w:rPr>
              <w:t>10</w:t>
            </w:r>
          </w:p>
        </w:tc>
      </w:tr>
      <w:tr w14:paraId="7C0A0C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E60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B09F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EE376">
            <w:pPr>
              <w:jc w:val="center"/>
            </w:pPr>
            <w:r>
              <w:rPr>
                <w:rFonts w:ascii="宋体" w:hAnsi="宋体" w:eastAsia="宋体"/>
                <w:sz w:val="16"/>
              </w:rPr>
              <w:t>传染病管理率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87824">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0001">
            <w:pPr>
              <w:jc w:val="center"/>
            </w:pPr>
            <w:r>
              <w:rPr>
                <w:rFonts w:ascii="宋体" w:hAnsi="宋体" w:eastAsia="宋体"/>
                <w:sz w:val="16"/>
              </w:rPr>
              <w:t>吉木萨尔县总医院大有分院2024年工作计划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CF4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E167C">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DA81F">
            <w:pPr>
              <w:jc w:val="center"/>
            </w:pPr>
            <w:r>
              <w:rPr>
                <w:rFonts w:ascii="宋体" w:hAnsi="宋体" w:eastAsia="宋体"/>
                <w:sz w:val="16"/>
              </w:rPr>
              <w:t>10</w:t>
            </w:r>
          </w:p>
        </w:tc>
      </w:tr>
      <w:tr w14:paraId="333946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71966">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EC3AC">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D408A">
            <w:pPr>
              <w:jc w:val="center"/>
            </w:pPr>
            <w:r>
              <w:rPr>
                <w:rFonts w:ascii="宋体" w:hAnsi="宋体" w:eastAsia="宋体"/>
                <w:sz w:val="16"/>
              </w:rPr>
              <w:t>全民健康体检人数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BF7BD">
            <w:pPr>
              <w:jc w:val="center"/>
            </w:pPr>
            <w:r>
              <w:rPr>
                <w:rFonts w:ascii="宋体" w:hAnsi="宋体" w:eastAsia="宋体"/>
                <w:sz w:val="16"/>
              </w:rPr>
              <w:t>&gt;=5800人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AAA06">
            <w:pPr>
              <w:jc w:val="center"/>
            </w:pPr>
            <w:r>
              <w:rPr>
                <w:rFonts w:ascii="宋体" w:hAnsi="宋体" w:eastAsia="宋体"/>
                <w:sz w:val="16"/>
              </w:rPr>
              <w:t>吉木萨尔县总医院大有分院2024年工作计划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F5F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7D412">
            <w:pPr>
              <w:jc w:val="center"/>
            </w:pPr>
            <w:r>
              <w:rPr>
                <w:rFonts w:ascii="宋体" w:hAnsi="宋体" w:eastAsia="宋体"/>
                <w:sz w:val="16"/>
              </w:rPr>
              <w:t>6322人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0DB87">
            <w:pPr>
              <w:jc w:val="center"/>
            </w:pPr>
            <w:r>
              <w:rPr>
                <w:rFonts w:ascii="宋体" w:hAnsi="宋体" w:eastAsia="宋体"/>
                <w:sz w:val="16"/>
              </w:rPr>
              <w:t>20</w:t>
            </w:r>
          </w:p>
        </w:tc>
      </w:tr>
      <w:tr w14:paraId="566F8E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42DE8">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47114">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D1E96">
            <w:pPr>
              <w:jc w:val="center"/>
            </w:pPr>
            <w:r>
              <w:rPr>
                <w:rFonts w:ascii="宋体" w:hAnsi="宋体" w:eastAsia="宋体"/>
                <w:sz w:val="16"/>
              </w:rPr>
              <w:t>受益患者满意度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00CC8">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74241">
            <w:pPr>
              <w:jc w:val="center"/>
            </w:pPr>
            <w:r>
              <w:rPr>
                <w:rFonts w:ascii="宋体" w:hAnsi="宋体" w:eastAsia="宋体"/>
                <w:sz w:val="16"/>
              </w:rPr>
              <w:t>吉木萨尔县总医院大有分院2024年工作计划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9BB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CCB6F">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2BA96">
            <w:pPr>
              <w:jc w:val="center"/>
            </w:pPr>
            <w:r>
              <w:rPr>
                <w:rFonts w:ascii="宋体" w:hAnsi="宋体" w:eastAsia="宋体"/>
                <w:sz w:val="16"/>
              </w:rPr>
              <w:t>10</w:t>
            </w:r>
          </w:p>
        </w:tc>
      </w:tr>
    </w:tbl>
    <w:p w14:paraId="7568B9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30D3B3E">
        <w:tblPrEx>
          <w:tblCellMar>
            <w:top w:w="0" w:type="dxa"/>
            <w:left w:w="108" w:type="dxa"/>
            <w:bottom w:w="0" w:type="dxa"/>
            <w:right w:w="108" w:type="dxa"/>
          </w:tblCellMar>
        </w:tblPrEx>
        <w:tc>
          <w:tcPr>
            <w:tcW w:w="8848" w:type="dxa"/>
            <w:gridSpan w:val="14"/>
            <w:vAlign w:val="center"/>
          </w:tcPr>
          <w:p w14:paraId="3D8AADFD">
            <w:pPr>
              <w:jc w:val="center"/>
            </w:pPr>
            <w:r>
              <w:rPr>
                <w:rFonts w:ascii="宋体" w:hAnsi="宋体" w:eastAsia="宋体"/>
                <w:sz w:val="24"/>
              </w:rPr>
              <w:t>项目支出绩效自评表</w:t>
            </w:r>
          </w:p>
        </w:tc>
      </w:tr>
      <w:tr w14:paraId="5B71A9C4">
        <w:tblPrEx>
          <w:tblCellMar>
            <w:top w:w="0" w:type="dxa"/>
            <w:left w:w="108" w:type="dxa"/>
            <w:bottom w:w="0" w:type="dxa"/>
            <w:right w:w="108" w:type="dxa"/>
          </w:tblCellMar>
        </w:tblPrEx>
        <w:tc>
          <w:tcPr>
            <w:tcW w:w="8848" w:type="dxa"/>
            <w:gridSpan w:val="14"/>
            <w:vAlign w:val="center"/>
          </w:tcPr>
          <w:p w14:paraId="788E6104">
            <w:pPr>
              <w:jc w:val="center"/>
            </w:pPr>
            <w:r>
              <w:rPr>
                <w:rFonts w:ascii="宋体" w:hAnsi="宋体" w:eastAsia="宋体"/>
                <w:sz w:val="24"/>
              </w:rPr>
              <w:t>(2024年度)</w:t>
            </w:r>
          </w:p>
        </w:tc>
      </w:tr>
      <w:tr w14:paraId="24E0C9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0B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0429A0">
            <w:pPr>
              <w:jc w:val="center"/>
            </w:pPr>
            <w:r>
              <w:rPr>
                <w:rFonts w:ascii="宋体" w:hAnsi="宋体" w:eastAsia="宋体"/>
                <w:sz w:val="16"/>
              </w:rPr>
              <w:t>吉木萨尔县大有镇卫生院2024年中央医疗服务与保障能力补助资金预算</w:t>
            </w:r>
          </w:p>
        </w:tc>
      </w:tr>
      <w:tr w14:paraId="309EE8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CE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D3480">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97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5172A9">
            <w:pPr>
              <w:jc w:val="center"/>
            </w:pPr>
            <w:r>
              <w:rPr>
                <w:rFonts w:ascii="宋体" w:hAnsi="宋体" w:eastAsia="宋体"/>
                <w:sz w:val="16"/>
              </w:rPr>
              <w:t>吉木萨尔县大有镇卫生院</w:t>
            </w:r>
          </w:p>
        </w:tc>
      </w:tr>
      <w:tr w14:paraId="2C1075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08F2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6F5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8EF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FCB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551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2C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7F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5A31">
            <w:pPr>
              <w:jc w:val="center"/>
            </w:pPr>
            <w:r>
              <w:rPr>
                <w:rFonts w:ascii="宋体" w:hAnsi="宋体" w:eastAsia="宋体"/>
                <w:sz w:val="16"/>
              </w:rPr>
              <w:t>得分</w:t>
            </w:r>
          </w:p>
        </w:tc>
      </w:tr>
      <w:tr w14:paraId="0403E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BC2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C90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71A8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8A1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36BE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653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CA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42B9">
            <w:pPr>
              <w:jc w:val="center"/>
            </w:pPr>
            <w:r>
              <w:rPr>
                <w:rFonts w:ascii="宋体" w:hAnsi="宋体" w:eastAsia="宋体"/>
                <w:sz w:val="16"/>
              </w:rPr>
              <w:t>10.00</w:t>
            </w:r>
          </w:p>
        </w:tc>
      </w:tr>
      <w:tr w14:paraId="0754F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561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DBC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83F3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5500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1550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2DA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D2D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99A2">
            <w:pPr>
              <w:jc w:val="center"/>
            </w:pPr>
            <w:r>
              <w:rPr>
                <w:rFonts w:ascii="宋体" w:hAnsi="宋体" w:eastAsia="宋体"/>
                <w:sz w:val="16"/>
              </w:rPr>
              <w:t>—</w:t>
            </w:r>
          </w:p>
        </w:tc>
      </w:tr>
      <w:tr w14:paraId="5687E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D91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914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1F8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72D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F67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F3C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880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B9A9">
            <w:pPr>
              <w:jc w:val="center"/>
            </w:pPr>
            <w:r>
              <w:rPr>
                <w:rFonts w:ascii="宋体" w:hAnsi="宋体" w:eastAsia="宋体"/>
                <w:sz w:val="16"/>
              </w:rPr>
              <w:t>—</w:t>
            </w:r>
          </w:p>
        </w:tc>
      </w:tr>
      <w:tr w14:paraId="573CC0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891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897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CBA148">
            <w:pPr>
              <w:jc w:val="center"/>
            </w:pPr>
            <w:r>
              <w:rPr>
                <w:rFonts w:ascii="宋体" w:hAnsi="宋体" w:eastAsia="宋体"/>
                <w:sz w:val="16"/>
              </w:rPr>
              <w:t>实际完成情况</w:t>
            </w:r>
          </w:p>
        </w:tc>
      </w:tr>
      <w:tr w14:paraId="6BBC0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BAB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4F0B0">
            <w:pPr>
              <w:jc w:val="both"/>
            </w:pPr>
            <w:r>
              <w:rPr>
                <w:rFonts w:ascii="宋体" w:hAnsi="宋体" w:eastAsia="宋体"/>
                <w:sz w:val="16"/>
              </w:rPr>
              <w:t>本项目主要实施内容为：为深入贯彻落实关于推进医疗卫生体系补短板、强弱项、促提升的目标，强化乡镇卫生院服务能力，方便基层群众就近取得基本医疗卫生服务，</w:t>
            </w:r>
            <w:r>
              <w:rPr>
                <w:rFonts w:hint="eastAsia" w:ascii="宋体" w:hAnsi="宋体"/>
                <w:sz w:val="16"/>
                <w:lang w:eastAsia="zh-CN"/>
              </w:rPr>
              <w:t>特此</w:t>
            </w:r>
            <w:r>
              <w:rPr>
                <w:rFonts w:ascii="宋体" w:hAnsi="宋体" w:eastAsia="宋体"/>
                <w:sz w:val="16"/>
              </w:rPr>
              <w:t>拨付医疗能力提升补助资金，该资金主要用于支持前期遴选出距离县城较远，服务人口较多，诊疗条件有待提升的乡镇卫生院配置医疗设备。包括CT\DR\彩超、全自动生化分析仪等。支持配备急救设备，包括除颤仪、心电监护仪、心肺复苏仪等。项目总投资为30万元。通过提升远程医疗能力，推动与上级医院开展远程会诊、远程检查、互联网复诊等项目。争取使受益对象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E03891">
            <w:pPr>
              <w:jc w:val="both"/>
            </w:pPr>
            <w:r>
              <w:rPr>
                <w:rFonts w:hint="eastAsia" w:ascii="宋体" w:hAnsi="宋体"/>
                <w:sz w:val="16"/>
                <w:lang w:eastAsia="zh-CN"/>
              </w:rPr>
              <w:t>截至</w:t>
            </w:r>
            <w:r>
              <w:rPr>
                <w:rFonts w:ascii="宋体" w:hAnsi="宋体" w:eastAsia="宋体"/>
                <w:sz w:val="16"/>
              </w:rPr>
              <w:t>2024年12月31日，项目实际支出30万元，预算执行率为100%。贯彻落实关于推进医疗卫生体系补短板、强弱项、促提升的目标，强化乡镇卫生院服务能力，方便基层群众就近取得基本医疗卫生服务，</w:t>
            </w:r>
            <w:r>
              <w:rPr>
                <w:rFonts w:hint="eastAsia" w:ascii="宋体" w:hAnsi="宋体"/>
                <w:sz w:val="16"/>
                <w:lang w:eastAsia="zh-CN"/>
              </w:rPr>
              <w:t>特此</w:t>
            </w:r>
            <w:r>
              <w:rPr>
                <w:rFonts w:ascii="宋体" w:hAnsi="宋体" w:eastAsia="宋体"/>
                <w:sz w:val="16"/>
              </w:rPr>
              <w:t>拨付医疗能力提升补助资金，该资金主要用于支持前期遴选出距离县城较远，服务人口较多，诊疗条件有待提升的乡镇卫生院配置医疗设备。包括CT\DR\彩超、全自动生化分析仪等。支持配备急救设备，包括除颤仪、心电监护仪、心肺复苏仪等，通过提升远程医疗能力，推动与上级医院开展远程会诊、远程检查、互联网复诊等项目。受益对象满意度达到100%。</w:t>
            </w:r>
          </w:p>
        </w:tc>
      </w:tr>
      <w:tr w14:paraId="6224B7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E40E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59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02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49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83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434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1D4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62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B7C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B6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5E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B5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EC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AF9A">
            <w:pPr>
              <w:jc w:val="center"/>
            </w:pPr>
            <w:r>
              <w:rPr>
                <w:rFonts w:ascii="宋体" w:hAnsi="宋体" w:eastAsia="宋体"/>
                <w:sz w:val="16"/>
              </w:rPr>
              <w:t>偏差原因分析及改进措施</w:t>
            </w:r>
          </w:p>
        </w:tc>
      </w:tr>
      <w:tr w14:paraId="565151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FAD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834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69E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036E">
            <w:pPr>
              <w:jc w:val="center"/>
            </w:pPr>
            <w:r>
              <w:rPr>
                <w:rFonts w:ascii="宋体" w:hAnsi="宋体" w:eastAsia="宋体"/>
                <w:sz w:val="16"/>
              </w:rPr>
              <w:t>中医馆装修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2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4994">
            <w:pPr>
              <w:jc w:val="center"/>
            </w:pPr>
            <w:r>
              <w:rPr>
                <w:rFonts w:ascii="宋体" w:hAnsi="宋体" w:eastAsia="宋体"/>
                <w:sz w:val="16"/>
              </w:rPr>
              <w:t>&gt;=1间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A5D9">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8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B4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A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4D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0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AC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65C7">
            <w:pPr>
              <w:jc w:val="center"/>
            </w:pPr>
          </w:p>
        </w:tc>
      </w:tr>
      <w:tr w14:paraId="107CC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8F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BA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E2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27A2">
            <w:pPr>
              <w:jc w:val="center"/>
            </w:pPr>
            <w:r>
              <w:rPr>
                <w:rFonts w:ascii="宋体" w:hAnsi="宋体" w:eastAsia="宋体"/>
                <w:sz w:val="16"/>
              </w:rPr>
              <w:t>设施设备采购数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DA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D173">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BF19">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3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0B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9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0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6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5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1D68">
            <w:pPr>
              <w:jc w:val="center"/>
            </w:pPr>
          </w:p>
        </w:tc>
      </w:tr>
      <w:tr w14:paraId="0D67F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EC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A2D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110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635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6B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E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B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0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1A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7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86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1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8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D578">
            <w:pPr>
              <w:jc w:val="center"/>
            </w:pPr>
          </w:p>
        </w:tc>
      </w:tr>
      <w:tr w14:paraId="13148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FB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6F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B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F62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7E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F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C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7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9F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2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B0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20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E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7740">
            <w:pPr>
              <w:jc w:val="center"/>
            </w:pPr>
          </w:p>
        </w:tc>
      </w:tr>
      <w:tr w14:paraId="26179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C0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F8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F7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DFD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6C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3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1D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F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E3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7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83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59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D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FC9B">
            <w:pPr>
              <w:jc w:val="center"/>
            </w:pPr>
          </w:p>
        </w:tc>
      </w:tr>
      <w:tr w14:paraId="0C89A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DA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CC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28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4C3A">
            <w:pPr>
              <w:jc w:val="center"/>
            </w:pPr>
            <w:r>
              <w:rPr>
                <w:rFonts w:ascii="宋体" w:hAnsi="宋体" w:eastAsia="宋体"/>
                <w:sz w:val="16"/>
              </w:rPr>
              <w:t>资金支付金额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A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C29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939D">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8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9D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05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A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2C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2D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24FB">
            <w:pPr>
              <w:jc w:val="center"/>
            </w:pPr>
          </w:p>
        </w:tc>
      </w:tr>
      <w:tr w14:paraId="6CC43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E6D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6A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17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E7EB">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5C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E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4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0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DB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5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F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3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CD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2E77">
            <w:pPr>
              <w:jc w:val="center"/>
            </w:pPr>
          </w:p>
        </w:tc>
      </w:tr>
      <w:tr w14:paraId="4778E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2BA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66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9B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514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E8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78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90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392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B1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F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5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B1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8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90F0">
            <w:pPr>
              <w:jc w:val="center"/>
            </w:pPr>
            <w:r>
              <w:rPr>
                <w:rFonts w:ascii="宋体" w:hAnsi="宋体" w:eastAsia="宋体"/>
                <w:sz w:val="16"/>
              </w:rPr>
              <w:t>受益对象满意度较上年度有所提升</w:t>
            </w:r>
          </w:p>
        </w:tc>
      </w:tr>
      <w:tr w14:paraId="6ED015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CC44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A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5CC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DA8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ECC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90F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ED1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A3A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26D9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BDA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02572C"/>
        </w:tc>
      </w:tr>
    </w:tbl>
    <w:p w14:paraId="21806895">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626"/>
        <w:gridCol w:w="776"/>
        <w:gridCol w:w="776"/>
        <w:gridCol w:w="629"/>
        <w:gridCol w:w="631"/>
        <w:gridCol w:w="623"/>
        <w:gridCol w:w="623"/>
        <w:gridCol w:w="624"/>
        <w:gridCol w:w="623"/>
        <w:gridCol w:w="631"/>
      </w:tblGrid>
      <w:tr w14:paraId="3E67D1A4">
        <w:tblPrEx>
          <w:tblCellMar>
            <w:top w:w="0" w:type="dxa"/>
            <w:left w:w="108" w:type="dxa"/>
            <w:bottom w:w="0" w:type="dxa"/>
            <w:right w:w="108" w:type="dxa"/>
          </w:tblCellMar>
        </w:tblPrEx>
        <w:tc>
          <w:tcPr>
            <w:tcW w:w="8848" w:type="dxa"/>
            <w:gridSpan w:val="14"/>
            <w:vAlign w:val="center"/>
          </w:tcPr>
          <w:p w14:paraId="22254372">
            <w:pPr>
              <w:jc w:val="center"/>
            </w:pPr>
            <w:r>
              <w:rPr>
                <w:rFonts w:ascii="宋体" w:hAnsi="宋体" w:eastAsia="宋体"/>
                <w:sz w:val="24"/>
              </w:rPr>
              <w:t>项目支出绩效自评表</w:t>
            </w:r>
          </w:p>
        </w:tc>
      </w:tr>
      <w:tr w14:paraId="587A65ED">
        <w:tblPrEx>
          <w:tblCellMar>
            <w:top w:w="0" w:type="dxa"/>
            <w:left w:w="108" w:type="dxa"/>
            <w:bottom w:w="0" w:type="dxa"/>
            <w:right w:w="108" w:type="dxa"/>
          </w:tblCellMar>
        </w:tblPrEx>
        <w:tc>
          <w:tcPr>
            <w:tcW w:w="8848" w:type="dxa"/>
            <w:gridSpan w:val="14"/>
            <w:vAlign w:val="center"/>
          </w:tcPr>
          <w:p w14:paraId="334120C1">
            <w:pPr>
              <w:jc w:val="center"/>
            </w:pPr>
            <w:r>
              <w:rPr>
                <w:rFonts w:ascii="宋体" w:hAnsi="宋体" w:eastAsia="宋体"/>
                <w:sz w:val="24"/>
              </w:rPr>
              <w:t>(2024年度)</w:t>
            </w:r>
          </w:p>
        </w:tc>
      </w:tr>
      <w:tr w14:paraId="30C47A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FC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1FA11D">
            <w:pPr>
              <w:jc w:val="center"/>
            </w:pPr>
            <w:r>
              <w:rPr>
                <w:rFonts w:ascii="宋体" w:hAnsi="宋体" w:eastAsia="宋体"/>
                <w:sz w:val="16"/>
              </w:rPr>
              <w:t>吉木萨尔县大有镇卫生院专项资金分配昌州财社</w:t>
            </w:r>
            <w:r>
              <w:rPr>
                <w:rFonts w:hint="eastAsia" w:ascii="宋体" w:hAnsi="宋体"/>
                <w:sz w:val="16"/>
                <w:lang w:eastAsia="zh-CN"/>
              </w:rPr>
              <w:t>〔2024〕5号－</w:t>
            </w:r>
            <w:r>
              <w:rPr>
                <w:rFonts w:ascii="宋体" w:hAnsi="宋体" w:eastAsia="宋体"/>
                <w:sz w:val="16"/>
              </w:rPr>
              <w:t>关于下达2024年自治区公共卫生服务[地方公共卫生]补助资金预算的通知</w:t>
            </w:r>
          </w:p>
        </w:tc>
      </w:tr>
      <w:tr w14:paraId="17BC49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63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39255">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C7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070153">
            <w:pPr>
              <w:jc w:val="center"/>
            </w:pPr>
            <w:r>
              <w:rPr>
                <w:rFonts w:ascii="宋体" w:hAnsi="宋体" w:eastAsia="宋体"/>
                <w:sz w:val="16"/>
              </w:rPr>
              <w:t>吉木萨尔县大有镇卫生院</w:t>
            </w:r>
          </w:p>
        </w:tc>
      </w:tr>
      <w:tr w14:paraId="700963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5E60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DF8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62F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658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A9D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96E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731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6C52">
            <w:pPr>
              <w:jc w:val="center"/>
            </w:pPr>
            <w:r>
              <w:rPr>
                <w:rFonts w:ascii="宋体" w:hAnsi="宋体" w:eastAsia="宋体"/>
                <w:sz w:val="16"/>
              </w:rPr>
              <w:t>得分</w:t>
            </w:r>
          </w:p>
        </w:tc>
      </w:tr>
      <w:tr w14:paraId="0111E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B40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760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AB4CC">
            <w:pPr>
              <w:jc w:val="center"/>
            </w:pPr>
            <w:r>
              <w:rPr>
                <w:rFonts w:ascii="宋体" w:hAnsi="宋体" w:eastAsia="宋体"/>
                <w:sz w:val="16"/>
              </w:rPr>
              <w:t>20.91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7D6F">
            <w:pPr>
              <w:jc w:val="center"/>
            </w:pPr>
            <w:r>
              <w:rPr>
                <w:rFonts w:ascii="宋体" w:hAnsi="宋体" w:eastAsia="宋体"/>
                <w:sz w:val="16"/>
              </w:rPr>
              <w:t>20.91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4BB44">
            <w:pPr>
              <w:jc w:val="center"/>
            </w:pPr>
            <w:r>
              <w:rPr>
                <w:rFonts w:ascii="宋体" w:hAnsi="宋体" w:eastAsia="宋体"/>
                <w:sz w:val="16"/>
              </w:rPr>
              <w:t>20.91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091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F4F6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FEE6">
            <w:pPr>
              <w:jc w:val="center"/>
            </w:pPr>
            <w:r>
              <w:rPr>
                <w:rFonts w:ascii="宋体" w:hAnsi="宋体" w:eastAsia="宋体"/>
                <w:sz w:val="16"/>
              </w:rPr>
              <w:t>10.00</w:t>
            </w:r>
          </w:p>
        </w:tc>
      </w:tr>
      <w:tr w14:paraId="52CBA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50F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B8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8252">
            <w:pPr>
              <w:jc w:val="center"/>
            </w:pPr>
            <w:r>
              <w:rPr>
                <w:rFonts w:ascii="宋体" w:hAnsi="宋体" w:eastAsia="宋体"/>
                <w:sz w:val="16"/>
              </w:rPr>
              <w:t>20.91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6F6E2">
            <w:pPr>
              <w:jc w:val="center"/>
            </w:pPr>
            <w:r>
              <w:rPr>
                <w:rFonts w:ascii="宋体" w:hAnsi="宋体" w:eastAsia="宋体"/>
                <w:sz w:val="16"/>
              </w:rPr>
              <w:t>20.91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2D8EB">
            <w:pPr>
              <w:jc w:val="center"/>
            </w:pPr>
            <w:r>
              <w:rPr>
                <w:rFonts w:ascii="宋体" w:hAnsi="宋体" w:eastAsia="宋体"/>
                <w:sz w:val="16"/>
              </w:rPr>
              <w:t>20.91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63F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87C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AF40">
            <w:pPr>
              <w:jc w:val="center"/>
            </w:pPr>
            <w:r>
              <w:rPr>
                <w:rFonts w:ascii="宋体" w:hAnsi="宋体" w:eastAsia="宋体"/>
                <w:sz w:val="16"/>
              </w:rPr>
              <w:t>—</w:t>
            </w:r>
          </w:p>
        </w:tc>
      </w:tr>
      <w:tr w14:paraId="12480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88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636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C69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C7A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D38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D46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65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40A8">
            <w:pPr>
              <w:jc w:val="center"/>
            </w:pPr>
            <w:r>
              <w:rPr>
                <w:rFonts w:ascii="宋体" w:hAnsi="宋体" w:eastAsia="宋体"/>
                <w:sz w:val="16"/>
              </w:rPr>
              <w:t>—</w:t>
            </w:r>
          </w:p>
        </w:tc>
      </w:tr>
      <w:tr w14:paraId="5B6DD9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5E4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205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B21029">
            <w:pPr>
              <w:jc w:val="center"/>
            </w:pPr>
            <w:r>
              <w:rPr>
                <w:rFonts w:ascii="宋体" w:hAnsi="宋体" w:eastAsia="宋体"/>
                <w:sz w:val="16"/>
              </w:rPr>
              <w:t>实际完成情况</w:t>
            </w:r>
          </w:p>
        </w:tc>
      </w:tr>
      <w:tr w14:paraId="5C177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0DE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75289C">
            <w:pPr>
              <w:jc w:val="both"/>
            </w:pPr>
            <w:r>
              <w:rPr>
                <w:rFonts w:ascii="宋体" w:hAnsi="宋体" w:eastAsia="宋体"/>
                <w:sz w:val="16"/>
              </w:rPr>
              <w:t>本项目主要实施内容为：免费开展全民健康体检工作，全民健康体检受益人数达到4100人，全民健康体检业务指导次数1次，体检完成率达到90%以上，体检设备到位率达到70%以上，项目总投资为20.91万元，项目计划于2024年11月底前完成。居民健康保健意识和知晓率逐步提高；居民健康水平提高。待项目实施完成后，争取使受益居民满意度不低于85%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1AF33">
            <w:pPr>
              <w:jc w:val="both"/>
            </w:pPr>
            <w:r>
              <w:rPr>
                <w:rFonts w:hint="eastAsia" w:ascii="宋体" w:hAnsi="宋体"/>
                <w:sz w:val="16"/>
                <w:lang w:eastAsia="zh-CN"/>
              </w:rPr>
              <w:t>截至2024</w:t>
            </w:r>
            <w:r>
              <w:rPr>
                <w:rFonts w:ascii="宋体" w:hAnsi="宋体" w:eastAsia="宋体"/>
                <w:sz w:val="16"/>
              </w:rPr>
              <w:t>年12月31日，本项目实际支出资金20.915万元，预算执行率100%，实际已完成全民健康体检受益人数5011人，体检完成率97.18%；健康档案使用率97.45%。居民健康保健意识和知晓率逐步提高；居民健康水平提高。</w:t>
            </w:r>
          </w:p>
        </w:tc>
      </w:tr>
      <w:tr w14:paraId="79D92C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50B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A7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D7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32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31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D0A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E25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D0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60A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0D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86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87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97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1A14">
            <w:pPr>
              <w:jc w:val="center"/>
            </w:pPr>
            <w:r>
              <w:rPr>
                <w:rFonts w:ascii="宋体" w:hAnsi="宋体" w:eastAsia="宋体"/>
                <w:sz w:val="16"/>
              </w:rPr>
              <w:t>偏差原因分析及改进措施</w:t>
            </w:r>
          </w:p>
        </w:tc>
      </w:tr>
      <w:tr w14:paraId="539346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AA9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5D1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26B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2568">
            <w:pPr>
              <w:jc w:val="center"/>
            </w:pPr>
            <w:r>
              <w:rPr>
                <w:rFonts w:ascii="宋体" w:hAnsi="宋体" w:eastAsia="宋体"/>
                <w:sz w:val="16"/>
              </w:rPr>
              <w:t>全民健康体检受益人数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4EB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1AEC">
            <w:pPr>
              <w:jc w:val="center"/>
            </w:pPr>
            <w:r>
              <w:rPr>
                <w:rFonts w:ascii="宋体" w:hAnsi="宋体" w:eastAsia="宋体"/>
                <w:sz w:val="16"/>
              </w:rPr>
              <w:t>&gt;=4100人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6300">
            <w:pPr>
              <w:jc w:val="center"/>
            </w:pPr>
            <w:r>
              <w:rPr>
                <w:rFonts w:ascii="宋体" w:hAnsi="宋体" w:eastAsia="宋体"/>
                <w:sz w:val="16"/>
              </w:rPr>
              <w:t>=5011人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3D38">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B6AD">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2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2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9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4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212E">
            <w:pPr>
              <w:jc w:val="center"/>
            </w:pPr>
            <w:r>
              <w:rPr>
                <w:rFonts w:ascii="宋体" w:hAnsi="宋体" w:eastAsia="宋体"/>
                <w:sz w:val="16"/>
              </w:rPr>
              <w:t>主要是体检工作是全年性，年初目标值是根据上年完成值设置，2024年实际体检</w:t>
            </w:r>
            <w:r>
              <w:rPr>
                <w:rFonts w:hint="eastAsia" w:ascii="宋体" w:hAnsi="宋体"/>
                <w:sz w:val="16"/>
                <w:lang w:eastAsia="zh-CN"/>
              </w:rPr>
              <w:t>人数</w:t>
            </w:r>
            <w:r>
              <w:rPr>
                <w:rFonts w:ascii="宋体" w:hAnsi="宋体" w:eastAsia="宋体"/>
                <w:sz w:val="16"/>
              </w:rPr>
              <w:t>激增，导致任务超额完成。</w:t>
            </w:r>
          </w:p>
        </w:tc>
      </w:tr>
      <w:tr w14:paraId="232F0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43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54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04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F898">
            <w:pPr>
              <w:jc w:val="center"/>
            </w:pPr>
            <w:r>
              <w:rPr>
                <w:rFonts w:ascii="宋体" w:hAnsi="宋体" w:eastAsia="宋体"/>
                <w:sz w:val="16"/>
              </w:rPr>
              <w:t>全民健康体检业务指导次数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5B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2FD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A67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3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AA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E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6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77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E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4539">
            <w:pPr>
              <w:jc w:val="center"/>
            </w:pPr>
          </w:p>
        </w:tc>
      </w:tr>
      <w:tr w14:paraId="4D64F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B3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23F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544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468A">
            <w:pPr>
              <w:jc w:val="center"/>
            </w:pP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10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814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43A9">
            <w:pPr>
              <w:jc w:val="center"/>
            </w:pPr>
            <w:r>
              <w:rPr>
                <w:rFonts w:ascii="宋体" w:hAnsi="宋体" w:eastAsia="宋体"/>
                <w:sz w:val="16"/>
              </w:rPr>
              <w:t>=97.18%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2F88">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886A">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B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4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53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A4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73D8">
            <w:pPr>
              <w:jc w:val="center"/>
            </w:pPr>
            <w:r>
              <w:rPr>
                <w:rFonts w:ascii="宋体" w:hAnsi="宋体" w:eastAsia="宋体"/>
                <w:sz w:val="16"/>
              </w:rPr>
              <w:t>主要是体检工作是全年性，年初目标值是根据上年完成值设置，2024年实际体检</w:t>
            </w:r>
            <w:r>
              <w:rPr>
                <w:rFonts w:hint="eastAsia" w:ascii="宋体" w:hAnsi="宋体"/>
                <w:sz w:val="16"/>
                <w:lang w:eastAsia="zh-CN"/>
              </w:rPr>
              <w:t>人数</w:t>
            </w:r>
            <w:r>
              <w:rPr>
                <w:rFonts w:ascii="宋体" w:hAnsi="宋体" w:eastAsia="宋体"/>
                <w:sz w:val="16"/>
              </w:rPr>
              <w:t>激增，导致任务超额完成。</w:t>
            </w:r>
          </w:p>
        </w:tc>
      </w:tr>
      <w:tr w14:paraId="67970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B5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EA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59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0940">
            <w:pPr>
              <w:jc w:val="center"/>
            </w:pPr>
            <w:r>
              <w:rPr>
                <w:rFonts w:ascii="宋体" w:hAnsi="宋体" w:eastAsia="宋体"/>
                <w:sz w:val="16"/>
              </w:rPr>
              <w:t>体检设备到位率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85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E13D">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6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A743">
            <w:pPr>
              <w:jc w:val="center"/>
            </w:pPr>
            <w:r>
              <w:rPr>
                <w:rFonts w:ascii="宋体" w:hAnsi="宋体" w:eastAsia="宋体"/>
                <w:sz w:val="16"/>
              </w:rPr>
              <w:t>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41A7">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E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4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3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2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AD0B">
            <w:pPr>
              <w:jc w:val="center"/>
            </w:pPr>
            <w:r>
              <w:rPr>
                <w:rFonts w:ascii="宋体" w:hAnsi="宋体" w:eastAsia="宋体"/>
                <w:sz w:val="16"/>
              </w:rPr>
              <w:t>主要是体检工作是全年性，年初目标值是根据上年完成值设置，2024年实际体检</w:t>
            </w:r>
            <w:r>
              <w:rPr>
                <w:rFonts w:hint="eastAsia" w:ascii="宋体" w:hAnsi="宋体"/>
                <w:sz w:val="16"/>
                <w:lang w:eastAsia="zh-CN"/>
              </w:rPr>
              <w:t>人数</w:t>
            </w:r>
            <w:r>
              <w:rPr>
                <w:rFonts w:ascii="宋体" w:hAnsi="宋体" w:eastAsia="宋体"/>
                <w:sz w:val="16"/>
              </w:rPr>
              <w:t>激增，导致任务超额完成。</w:t>
            </w:r>
          </w:p>
        </w:tc>
      </w:tr>
      <w:tr w14:paraId="27A1F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B1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DB2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69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BB9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54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5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8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0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CD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E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DA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6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3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684B">
            <w:pPr>
              <w:jc w:val="center"/>
            </w:pPr>
          </w:p>
        </w:tc>
      </w:tr>
      <w:tr w14:paraId="55EE1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8E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510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A5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5DC3">
            <w:pPr>
              <w:jc w:val="center"/>
            </w:pPr>
            <w:r>
              <w:rPr>
                <w:rFonts w:ascii="宋体" w:hAnsi="宋体" w:eastAsia="宋体"/>
                <w:sz w:val="16"/>
              </w:rPr>
              <w:t>全民体检补助经费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E9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8156">
            <w:pPr>
              <w:jc w:val="center"/>
            </w:pPr>
            <w:r>
              <w:rPr>
                <w:rFonts w:ascii="宋体" w:hAnsi="宋体" w:eastAsia="宋体"/>
                <w:sz w:val="16"/>
              </w:rPr>
              <w:t>&lt;=20.91万元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EAA8">
            <w:pPr>
              <w:jc w:val="center"/>
            </w:pPr>
            <w:r>
              <w:rPr>
                <w:rFonts w:ascii="宋体" w:hAnsi="宋体" w:eastAsia="宋体"/>
                <w:sz w:val="16"/>
              </w:rPr>
              <w:t>=20.91万元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5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F0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C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5D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B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0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EB05">
            <w:pPr>
              <w:jc w:val="center"/>
            </w:pPr>
          </w:p>
        </w:tc>
      </w:tr>
      <w:tr w14:paraId="7165C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2C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F8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EB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FD6E">
            <w:pPr>
              <w:jc w:val="center"/>
            </w:pPr>
            <w:r>
              <w:rPr>
                <w:rFonts w:ascii="宋体" w:hAnsi="宋体" w:eastAsia="宋体"/>
                <w:sz w:val="16"/>
              </w:rPr>
              <w:t>居民健康水平持续提高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98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7115">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24A4">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9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E7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D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6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3A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9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43C2">
            <w:pPr>
              <w:jc w:val="center"/>
            </w:pPr>
          </w:p>
        </w:tc>
      </w:tr>
      <w:tr w14:paraId="66EF8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F4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CF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2C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D54B">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6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4EF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A2E1">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6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4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6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A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6B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6E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0F0D">
            <w:pPr>
              <w:jc w:val="center"/>
            </w:pPr>
          </w:p>
        </w:tc>
      </w:tr>
      <w:tr w14:paraId="7A540E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ADAF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6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B1F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F8D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FF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E7B5">
            <w:pPr>
              <w:jc w:val="center"/>
            </w:pPr>
            <w:r>
              <w:rPr>
                <w:rFonts w:ascii="宋体" w:hAnsi="宋体" w:eastAsia="宋体"/>
                <w:sz w:val="16"/>
              </w:rPr>
              <w:t>94.20分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51A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EE67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5D7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56D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6C89E"/>
        </w:tc>
      </w:tr>
    </w:tbl>
    <w:p w14:paraId="47DDEC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0118D66B">
        <w:tc>
          <w:tcPr>
            <w:tcW w:w="8848" w:type="dxa"/>
            <w:gridSpan w:val="14"/>
            <w:vAlign w:val="center"/>
          </w:tcPr>
          <w:p w14:paraId="4C418FD6">
            <w:pPr>
              <w:jc w:val="center"/>
            </w:pPr>
            <w:r>
              <w:rPr>
                <w:rFonts w:ascii="宋体" w:hAnsi="宋体" w:eastAsia="宋体"/>
                <w:sz w:val="24"/>
              </w:rPr>
              <w:t>项目支出绩效自评表</w:t>
            </w:r>
          </w:p>
        </w:tc>
      </w:tr>
      <w:tr w14:paraId="1F92CFED">
        <w:tblPrEx>
          <w:tblCellMar>
            <w:top w:w="0" w:type="dxa"/>
            <w:left w:w="108" w:type="dxa"/>
            <w:bottom w:w="0" w:type="dxa"/>
            <w:right w:w="108" w:type="dxa"/>
          </w:tblCellMar>
        </w:tblPrEx>
        <w:tc>
          <w:tcPr>
            <w:tcW w:w="8848" w:type="dxa"/>
            <w:gridSpan w:val="14"/>
            <w:vAlign w:val="center"/>
          </w:tcPr>
          <w:p w14:paraId="0DE47B7A">
            <w:pPr>
              <w:jc w:val="center"/>
            </w:pPr>
            <w:r>
              <w:rPr>
                <w:rFonts w:ascii="宋体" w:hAnsi="宋体" w:eastAsia="宋体"/>
                <w:sz w:val="24"/>
              </w:rPr>
              <w:t>(2024年度)</w:t>
            </w:r>
          </w:p>
        </w:tc>
      </w:tr>
      <w:tr w14:paraId="43B582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89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222F99">
            <w:pPr>
              <w:jc w:val="center"/>
            </w:pPr>
            <w:r>
              <w:rPr>
                <w:rFonts w:ascii="宋体" w:hAnsi="宋体" w:eastAsia="宋体"/>
                <w:sz w:val="16"/>
              </w:rPr>
              <w:t>大有镇乡卫生院专项资金分配昌州财社</w:t>
            </w:r>
            <w:r>
              <w:rPr>
                <w:rFonts w:hint="eastAsia" w:ascii="宋体" w:hAnsi="宋体"/>
                <w:sz w:val="16"/>
                <w:lang w:eastAsia="zh-CN"/>
              </w:rPr>
              <w:t>〔2023〕82号</w:t>
            </w:r>
            <w:r>
              <w:rPr>
                <w:rFonts w:ascii="宋体" w:hAnsi="宋体" w:eastAsia="宋体"/>
                <w:sz w:val="16"/>
              </w:rPr>
              <w:t>2024年自治区医疗服务与保障能力提升（卫生健康人才培养）补助资金</w:t>
            </w:r>
          </w:p>
        </w:tc>
      </w:tr>
      <w:tr w14:paraId="3CE49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F0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731B9">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58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399236">
            <w:pPr>
              <w:jc w:val="center"/>
            </w:pPr>
            <w:r>
              <w:rPr>
                <w:rFonts w:ascii="宋体" w:hAnsi="宋体" w:eastAsia="宋体"/>
                <w:sz w:val="16"/>
              </w:rPr>
              <w:t>吉木萨尔县大有镇卫生院</w:t>
            </w:r>
          </w:p>
        </w:tc>
      </w:tr>
      <w:tr w14:paraId="52D195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A9F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F99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592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8D7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702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431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113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A1E6">
            <w:pPr>
              <w:jc w:val="center"/>
            </w:pPr>
            <w:r>
              <w:rPr>
                <w:rFonts w:ascii="宋体" w:hAnsi="宋体" w:eastAsia="宋体"/>
                <w:sz w:val="16"/>
              </w:rPr>
              <w:t>得分</w:t>
            </w:r>
          </w:p>
        </w:tc>
      </w:tr>
      <w:tr w14:paraId="3B03D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A10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484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276A9">
            <w:pPr>
              <w:jc w:val="center"/>
            </w:pPr>
            <w:r>
              <w:rPr>
                <w:rFonts w:ascii="宋体" w:hAnsi="宋体" w:eastAsia="宋体"/>
                <w:sz w:val="16"/>
              </w:rPr>
              <w:t>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EE344">
            <w:pPr>
              <w:jc w:val="center"/>
            </w:pPr>
            <w:r>
              <w:rPr>
                <w:rFonts w:ascii="宋体" w:hAnsi="宋体" w:eastAsia="宋体"/>
                <w:sz w:val="16"/>
              </w:rPr>
              <w:t>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8C084">
            <w:pPr>
              <w:jc w:val="center"/>
            </w:pPr>
            <w:r>
              <w:rPr>
                <w:rFonts w:ascii="宋体" w:hAnsi="宋体" w:eastAsia="宋体"/>
                <w:sz w:val="16"/>
              </w:rPr>
              <w:t>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DB9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115D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3DD1">
            <w:pPr>
              <w:jc w:val="center"/>
            </w:pPr>
            <w:r>
              <w:rPr>
                <w:rFonts w:ascii="宋体" w:hAnsi="宋体" w:eastAsia="宋体"/>
                <w:sz w:val="16"/>
              </w:rPr>
              <w:t>10.00</w:t>
            </w:r>
          </w:p>
        </w:tc>
      </w:tr>
      <w:tr w14:paraId="5C4C8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6CF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3C1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9BE4">
            <w:pPr>
              <w:jc w:val="center"/>
            </w:pPr>
            <w:r>
              <w:rPr>
                <w:rFonts w:ascii="宋体" w:hAnsi="宋体" w:eastAsia="宋体"/>
                <w:sz w:val="16"/>
              </w:rPr>
              <w:t>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F3E05">
            <w:pPr>
              <w:jc w:val="center"/>
            </w:pPr>
            <w:r>
              <w:rPr>
                <w:rFonts w:ascii="宋体" w:hAnsi="宋体" w:eastAsia="宋体"/>
                <w:sz w:val="16"/>
              </w:rPr>
              <w:t>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DDCBE">
            <w:pPr>
              <w:jc w:val="center"/>
            </w:pPr>
            <w:r>
              <w:rPr>
                <w:rFonts w:ascii="宋体" w:hAnsi="宋体" w:eastAsia="宋体"/>
                <w:sz w:val="16"/>
              </w:rPr>
              <w:t>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73F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75A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C988">
            <w:pPr>
              <w:jc w:val="center"/>
            </w:pPr>
            <w:r>
              <w:rPr>
                <w:rFonts w:ascii="宋体" w:hAnsi="宋体" w:eastAsia="宋体"/>
                <w:sz w:val="16"/>
              </w:rPr>
              <w:t>—</w:t>
            </w:r>
          </w:p>
        </w:tc>
      </w:tr>
      <w:tr w14:paraId="445C0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6B7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675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EF5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678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0FD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D9E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B6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3497">
            <w:pPr>
              <w:jc w:val="center"/>
            </w:pPr>
            <w:r>
              <w:rPr>
                <w:rFonts w:ascii="宋体" w:hAnsi="宋体" w:eastAsia="宋体"/>
                <w:sz w:val="16"/>
              </w:rPr>
              <w:t>—</w:t>
            </w:r>
          </w:p>
        </w:tc>
      </w:tr>
      <w:tr w14:paraId="7DF5D3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5F0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69DE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5A699D">
            <w:pPr>
              <w:jc w:val="center"/>
            </w:pPr>
            <w:r>
              <w:rPr>
                <w:rFonts w:ascii="宋体" w:hAnsi="宋体" w:eastAsia="宋体"/>
                <w:sz w:val="16"/>
              </w:rPr>
              <w:t>实际完成情况</w:t>
            </w:r>
          </w:p>
        </w:tc>
      </w:tr>
      <w:tr w14:paraId="3712D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9F0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A8DE15">
            <w:pPr>
              <w:jc w:val="both"/>
            </w:pPr>
            <w:r>
              <w:rPr>
                <w:rFonts w:ascii="宋体" w:hAnsi="宋体" w:eastAsia="宋体"/>
                <w:sz w:val="16"/>
              </w:rPr>
              <w:t>本项目主要实施内容为：医疗机构服务与保障能力提升及医疗机构人才培养。项目总投资为2.68万元。乡镇卫生院利用该笔资金对卫生院及卫生室相关人员人才培养能力进一步提高。村医人数大于等于5人，工资发放及时率等于100%，资金拨付及时率等于100%，自治区村医工资补助资金小于等于2.68万元，乡村医生医疗能力提升有效提升，待项目实施完成，争取使村医满意度大于等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9DAE3D">
            <w:pPr>
              <w:jc w:val="both"/>
            </w:pPr>
            <w:r>
              <w:rPr>
                <w:rFonts w:hint="eastAsia" w:ascii="宋体" w:hAnsi="宋体"/>
                <w:sz w:val="16"/>
                <w:lang w:eastAsia="zh-CN"/>
              </w:rPr>
              <w:t>截至2024</w:t>
            </w:r>
            <w:r>
              <w:rPr>
                <w:rFonts w:ascii="宋体" w:hAnsi="宋体" w:eastAsia="宋体"/>
                <w:sz w:val="16"/>
              </w:rPr>
              <w:t>年12月31日，本项目实际支出资金2.68万元，预算执行率100%，实际受益村医人数5人，受益助理医师人数1人，工资发放及时率达到100%，资金拨付及时率达到100%，通过实施本项目乡村医生医疗能力提升较上一年有效提升。</w:t>
            </w:r>
          </w:p>
        </w:tc>
      </w:tr>
      <w:tr w14:paraId="5DE4F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CF6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5B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EC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30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04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0E2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E8D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C3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1D8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31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A14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0D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A3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C5F4">
            <w:pPr>
              <w:jc w:val="center"/>
            </w:pPr>
            <w:r>
              <w:rPr>
                <w:rFonts w:ascii="宋体" w:hAnsi="宋体" w:eastAsia="宋体"/>
                <w:sz w:val="16"/>
              </w:rPr>
              <w:t>偏差原因分析及改进措施</w:t>
            </w:r>
          </w:p>
        </w:tc>
      </w:tr>
      <w:tr w14:paraId="501119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BD0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447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248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1268">
            <w:pPr>
              <w:jc w:val="center"/>
            </w:pPr>
            <w:r>
              <w:rPr>
                <w:rFonts w:ascii="宋体" w:hAnsi="宋体" w:eastAsia="宋体"/>
                <w:sz w:val="16"/>
              </w:rPr>
              <w:t>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F7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3F22">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68EB">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4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18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0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88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DE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F2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16F3">
            <w:pPr>
              <w:jc w:val="center"/>
            </w:pPr>
          </w:p>
        </w:tc>
      </w:tr>
      <w:tr w14:paraId="2D39E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4D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51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C96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5BAE">
            <w:pPr>
              <w:jc w:val="center"/>
            </w:pPr>
            <w:r>
              <w:rPr>
                <w:rFonts w:ascii="宋体" w:hAnsi="宋体" w:eastAsia="宋体"/>
                <w:sz w:val="16"/>
              </w:rPr>
              <w:t>助理村医人数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B4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358D">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685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E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F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A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5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C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4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34FC">
            <w:pPr>
              <w:jc w:val="center"/>
            </w:pPr>
          </w:p>
        </w:tc>
      </w:tr>
      <w:tr w14:paraId="4FFFD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42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D1F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A4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DEE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B1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5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E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2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FC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B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27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83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53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9E8E">
            <w:pPr>
              <w:jc w:val="center"/>
            </w:pPr>
          </w:p>
        </w:tc>
      </w:tr>
      <w:tr w14:paraId="43226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32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E0B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517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672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93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0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3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A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9F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1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4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1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20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1081">
            <w:pPr>
              <w:jc w:val="center"/>
            </w:pPr>
          </w:p>
        </w:tc>
      </w:tr>
      <w:tr w14:paraId="0A468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E2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A1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18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2ABD">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95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84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B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B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4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A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3A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C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9C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B78A">
            <w:pPr>
              <w:jc w:val="center"/>
            </w:pPr>
          </w:p>
        </w:tc>
      </w:tr>
      <w:tr w14:paraId="52B82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21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BF9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C4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00F7">
            <w:pPr>
              <w:jc w:val="center"/>
            </w:pPr>
            <w:r>
              <w:rPr>
                <w:rFonts w:ascii="宋体" w:hAnsi="宋体" w:eastAsia="宋体"/>
                <w:sz w:val="16"/>
              </w:rPr>
              <w:t>自治区村医工资补助资金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A5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1793">
            <w:pPr>
              <w:jc w:val="center"/>
            </w:pPr>
            <w:r>
              <w:rPr>
                <w:rFonts w:ascii="宋体" w:hAnsi="宋体" w:eastAsia="宋体"/>
                <w:sz w:val="16"/>
              </w:rPr>
              <w:t>&lt;=2.68万元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9A60">
            <w:pPr>
              <w:jc w:val="center"/>
            </w:pPr>
            <w:r>
              <w:rPr>
                <w:rFonts w:ascii="宋体" w:hAnsi="宋体" w:eastAsia="宋体"/>
                <w:sz w:val="16"/>
              </w:rPr>
              <w:t>=2.68万元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C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12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0F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86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F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89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1271">
            <w:pPr>
              <w:jc w:val="center"/>
            </w:pPr>
          </w:p>
        </w:tc>
      </w:tr>
      <w:tr w14:paraId="7702C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D8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64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50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0C35">
            <w:pPr>
              <w:jc w:val="center"/>
            </w:pPr>
            <w:r>
              <w:rPr>
                <w:rFonts w:ascii="宋体" w:hAnsi="宋体" w:eastAsia="宋体"/>
                <w:sz w:val="16"/>
              </w:rPr>
              <w:t>乡村医生医疗能力提升有效提升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6E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DFB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20E4">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9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4B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1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D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E2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E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18EA">
            <w:pPr>
              <w:jc w:val="center"/>
            </w:pPr>
          </w:p>
        </w:tc>
      </w:tr>
      <w:tr w14:paraId="05BEC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07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2F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36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EBF8">
            <w:pPr>
              <w:jc w:val="center"/>
            </w:pPr>
            <w:r>
              <w:rPr>
                <w:rFonts w:ascii="宋体" w:hAnsi="宋体" w:eastAsia="宋体"/>
                <w:sz w:val="16"/>
              </w:rPr>
              <w:t>村医满意度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8C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53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5F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3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29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4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9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30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13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EF12">
            <w:pPr>
              <w:jc w:val="center"/>
            </w:pPr>
          </w:p>
        </w:tc>
      </w:tr>
      <w:tr w14:paraId="18EDA96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9055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0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3DD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3870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FC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AD0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DD0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6E8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1FE9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EE10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C37F2"/>
        </w:tc>
      </w:tr>
    </w:tbl>
    <w:p w14:paraId="66B61DE8">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620"/>
        <w:gridCol w:w="776"/>
        <w:gridCol w:w="696"/>
        <w:gridCol w:w="776"/>
        <w:gridCol w:w="631"/>
        <w:gridCol w:w="614"/>
        <w:gridCol w:w="614"/>
        <w:gridCol w:w="614"/>
        <w:gridCol w:w="620"/>
        <w:gridCol w:w="632"/>
      </w:tblGrid>
      <w:tr w14:paraId="3893F0D4">
        <w:tblPrEx>
          <w:tblCellMar>
            <w:top w:w="0" w:type="dxa"/>
            <w:left w:w="108" w:type="dxa"/>
            <w:bottom w:w="0" w:type="dxa"/>
            <w:right w:w="108" w:type="dxa"/>
          </w:tblCellMar>
        </w:tblPrEx>
        <w:tc>
          <w:tcPr>
            <w:tcW w:w="8848" w:type="dxa"/>
            <w:gridSpan w:val="14"/>
            <w:vAlign w:val="center"/>
          </w:tcPr>
          <w:p w14:paraId="3C6B7541">
            <w:pPr>
              <w:jc w:val="center"/>
            </w:pPr>
            <w:r>
              <w:rPr>
                <w:rFonts w:ascii="宋体" w:hAnsi="宋体" w:eastAsia="宋体"/>
                <w:sz w:val="24"/>
              </w:rPr>
              <w:t>项目支出绩效自评表</w:t>
            </w:r>
          </w:p>
        </w:tc>
      </w:tr>
      <w:tr w14:paraId="352C940B">
        <w:tblPrEx>
          <w:tblCellMar>
            <w:top w:w="0" w:type="dxa"/>
            <w:left w:w="108" w:type="dxa"/>
            <w:bottom w:w="0" w:type="dxa"/>
            <w:right w:w="108" w:type="dxa"/>
          </w:tblCellMar>
        </w:tblPrEx>
        <w:tc>
          <w:tcPr>
            <w:tcW w:w="8848" w:type="dxa"/>
            <w:gridSpan w:val="14"/>
            <w:vAlign w:val="center"/>
          </w:tcPr>
          <w:p w14:paraId="5914EEC5">
            <w:pPr>
              <w:jc w:val="center"/>
            </w:pPr>
            <w:r>
              <w:rPr>
                <w:rFonts w:ascii="宋体" w:hAnsi="宋体" w:eastAsia="宋体"/>
                <w:sz w:val="24"/>
              </w:rPr>
              <w:t>(2024年度)</w:t>
            </w:r>
          </w:p>
        </w:tc>
      </w:tr>
      <w:tr w14:paraId="42A558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6C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A0B40D">
            <w:pPr>
              <w:jc w:val="center"/>
            </w:pPr>
            <w:r>
              <w:rPr>
                <w:rFonts w:ascii="宋体" w:hAnsi="宋体" w:eastAsia="宋体"/>
                <w:sz w:val="16"/>
              </w:rPr>
              <w:t>大有镇卫生院2024年自治区基本公共卫生项目资金</w:t>
            </w:r>
          </w:p>
        </w:tc>
      </w:tr>
      <w:tr w14:paraId="70F0C6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E9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F9A42">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48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FF498E">
            <w:pPr>
              <w:jc w:val="center"/>
            </w:pPr>
            <w:r>
              <w:rPr>
                <w:rFonts w:ascii="宋体" w:hAnsi="宋体" w:eastAsia="宋体"/>
                <w:sz w:val="16"/>
              </w:rPr>
              <w:t>吉木萨尔县大有镇卫生院</w:t>
            </w:r>
          </w:p>
        </w:tc>
      </w:tr>
      <w:tr w14:paraId="3AC2C3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C017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75F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95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E2A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AD5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ED5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F7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5C3C">
            <w:pPr>
              <w:jc w:val="center"/>
            </w:pPr>
            <w:r>
              <w:rPr>
                <w:rFonts w:ascii="宋体" w:hAnsi="宋体" w:eastAsia="宋体"/>
                <w:sz w:val="16"/>
              </w:rPr>
              <w:t>得分</w:t>
            </w:r>
          </w:p>
        </w:tc>
      </w:tr>
      <w:tr w14:paraId="2A7C9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2A4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430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BA4AE">
            <w:pPr>
              <w:jc w:val="center"/>
            </w:pPr>
            <w:r>
              <w:rPr>
                <w:rFonts w:ascii="宋体" w:hAnsi="宋体" w:eastAsia="宋体"/>
                <w:sz w:val="16"/>
              </w:rPr>
              <w:t>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66E27">
            <w:pPr>
              <w:jc w:val="center"/>
            </w:pPr>
            <w:r>
              <w:rPr>
                <w:rFonts w:ascii="宋体" w:hAnsi="宋体" w:eastAsia="宋体"/>
                <w:sz w:val="16"/>
              </w:rPr>
              <w:t>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9F1C4">
            <w:pPr>
              <w:jc w:val="center"/>
            </w:pPr>
            <w:r>
              <w:rPr>
                <w:rFonts w:ascii="宋体" w:hAnsi="宋体" w:eastAsia="宋体"/>
                <w:sz w:val="16"/>
              </w:rPr>
              <w:t>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11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E24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13FC">
            <w:pPr>
              <w:jc w:val="center"/>
            </w:pPr>
            <w:r>
              <w:rPr>
                <w:rFonts w:ascii="宋体" w:hAnsi="宋体" w:eastAsia="宋体"/>
                <w:sz w:val="16"/>
              </w:rPr>
              <w:t>10.00</w:t>
            </w:r>
          </w:p>
        </w:tc>
      </w:tr>
      <w:tr w14:paraId="3F067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34A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515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01140">
            <w:pPr>
              <w:jc w:val="center"/>
            </w:pPr>
            <w:r>
              <w:rPr>
                <w:rFonts w:ascii="宋体" w:hAnsi="宋体" w:eastAsia="宋体"/>
                <w:sz w:val="16"/>
              </w:rPr>
              <w:t>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64BC4">
            <w:pPr>
              <w:jc w:val="center"/>
            </w:pPr>
            <w:r>
              <w:rPr>
                <w:rFonts w:ascii="宋体" w:hAnsi="宋体" w:eastAsia="宋体"/>
                <w:sz w:val="16"/>
              </w:rPr>
              <w:t>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8EFA8">
            <w:pPr>
              <w:jc w:val="center"/>
            </w:pPr>
            <w:r>
              <w:rPr>
                <w:rFonts w:ascii="宋体" w:hAnsi="宋体" w:eastAsia="宋体"/>
                <w:sz w:val="16"/>
              </w:rPr>
              <w:t>17.06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2E5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98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1D3E">
            <w:pPr>
              <w:jc w:val="center"/>
            </w:pPr>
            <w:r>
              <w:rPr>
                <w:rFonts w:ascii="宋体" w:hAnsi="宋体" w:eastAsia="宋体"/>
                <w:sz w:val="16"/>
              </w:rPr>
              <w:t>—</w:t>
            </w:r>
          </w:p>
        </w:tc>
      </w:tr>
      <w:tr w14:paraId="1057D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C0C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C93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1AE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3E9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005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FDB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75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AE14">
            <w:pPr>
              <w:jc w:val="center"/>
            </w:pPr>
            <w:r>
              <w:rPr>
                <w:rFonts w:ascii="宋体" w:hAnsi="宋体" w:eastAsia="宋体"/>
                <w:sz w:val="16"/>
              </w:rPr>
              <w:t>—</w:t>
            </w:r>
          </w:p>
        </w:tc>
      </w:tr>
      <w:tr w14:paraId="372095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1FD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D38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2C3502">
            <w:pPr>
              <w:jc w:val="center"/>
            </w:pPr>
            <w:r>
              <w:rPr>
                <w:rFonts w:ascii="宋体" w:hAnsi="宋体" w:eastAsia="宋体"/>
                <w:sz w:val="16"/>
              </w:rPr>
              <w:t>实际完成情况</w:t>
            </w:r>
          </w:p>
        </w:tc>
      </w:tr>
      <w:tr w14:paraId="6B239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C66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699B9">
            <w:pPr>
              <w:jc w:val="both"/>
            </w:pPr>
            <w:r>
              <w:rPr>
                <w:rFonts w:ascii="宋体" w:hAnsi="宋体" w:eastAsia="宋体"/>
                <w:sz w:val="16"/>
              </w:rPr>
              <w:t>本项目主要实施内容为：免费向城乡居民提供基本公共卫生服务。辖区内7岁以下儿童健康管理率不低于85%；孕产妇系统管理率不低于90%；居民规范化电子健康档案覆盖率不低于60%；高血压患者基层规范管理服务率不低于61%，项目总投资17.06万元。待项目实施完成后，争取使受益对象满意度不低于85%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6E0FF">
            <w:pPr>
              <w:jc w:val="both"/>
            </w:pPr>
            <w:r>
              <w:rPr>
                <w:rFonts w:ascii="宋体" w:hAnsi="宋体" w:eastAsia="宋体"/>
                <w:sz w:val="16"/>
              </w:rPr>
              <w:t>1.政策执行有效：严格落实基本药物制度相关政策，确保基本药物的可及性，基层医疗机构基本药物配备率达标，满足了群众基本用药需求。</w:t>
            </w:r>
            <w:r>
              <w:rPr>
                <w:rFonts w:ascii="宋体" w:hAnsi="宋体" w:eastAsia="宋体"/>
                <w:sz w:val="16"/>
              </w:rPr>
              <w:br w:type="textWrapping"/>
            </w:r>
            <w:r>
              <w:rPr>
                <w:rFonts w:ascii="宋体" w:hAnsi="宋体" w:eastAsia="宋体"/>
                <w:sz w:val="16"/>
              </w:rPr>
              <w:t>2. 采购管理规范：通过集中采购、量价挂钩等方式，降低了药品采购成本，提高了资金使用效率，同时保障了药品质量和供应稳定性。</w:t>
            </w:r>
            <w:r>
              <w:rPr>
                <w:rFonts w:ascii="宋体" w:hAnsi="宋体" w:eastAsia="宋体"/>
                <w:sz w:val="16"/>
              </w:rPr>
              <w:br w:type="textWrapping"/>
            </w:r>
            <w:r>
              <w:rPr>
                <w:rFonts w:ascii="宋体" w:hAnsi="宋体" w:eastAsia="宋体"/>
                <w:sz w:val="16"/>
              </w:rPr>
              <w:t>3.宣传培训到位：开展多种形式的宣传活动，提高了群众对基本药物的认知度和接受度；对医务人员进行专业培训，提升了合理用药水平。</w:t>
            </w:r>
            <w:r>
              <w:rPr>
                <w:rFonts w:ascii="宋体" w:hAnsi="宋体" w:eastAsia="宋体"/>
                <w:sz w:val="16"/>
              </w:rPr>
              <w:br w:type="textWrapping"/>
            </w:r>
            <w:r>
              <w:rPr>
                <w:rFonts w:ascii="宋体" w:hAnsi="宋体" w:eastAsia="宋体"/>
                <w:sz w:val="16"/>
              </w:rPr>
              <w:t>4.健康意识提升：通过健康教育讲座、宣传资料发放，居民对健康生活方式和疾病预防知识的知晓率大幅提升。</w:t>
            </w:r>
            <w:r>
              <w:rPr>
                <w:rFonts w:ascii="宋体" w:hAnsi="宋体" w:eastAsia="宋体"/>
                <w:sz w:val="16"/>
              </w:rPr>
              <w:br w:type="textWrapping"/>
            </w:r>
            <w:r>
              <w:rPr>
                <w:rFonts w:ascii="宋体" w:hAnsi="宋体" w:eastAsia="宋体"/>
                <w:sz w:val="16"/>
              </w:rPr>
              <w:t>5.疾病早筛与控制：建立居民健康档案，定期体检筛查，实现疾病早发现早治疗。</w:t>
            </w:r>
          </w:p>
        </w:tc>
      </w:tr>
      <w:tr w14:paraId="23EC9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D39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6F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6D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DF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0D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AB1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F58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4F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988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4B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43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23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9F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5320">
            <w:pPr>
              <w:jc w:val="center"/>
            </w:pPr>
            <w:r>
              <w:rPr>
                <w:rFonts w:ascii="宋体" w:hAnsi="宋体" w:eastAsia="宋体"/>
                <w:sz w:val="16"/>
              </w:rPr>
              <w:t>偏差原因分析及改进措施</w:t>
            </w:r>
          </w:p>
        </w:tc>
      </w:tr>
      <w:tr w14:paraId="6D0903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658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D4E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BF7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CB96">
            <w:pPr>
              <w:jc w:val="center"/>
            </w:pPr>
            <w:r>
              <w:rPr>
                <w:rFonts w:ascii="宋体" w:hAnsi="宋体" w:eastAsia="宋体"/>
                <w:sz w:val="16"/>
              </w:rPr>
              <w:t>高血压管理人数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95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9D5B">
            <w:pPr>
              <w:jc w:val="center"/>
            </w:pPr>
            <w:r>
              <w:rPr>
                <w:rFonts w:ascii="宋体" w:hAnsi="宋体" w:eastAsia="宋体"/>
                <w:sz w:val="16"/>
              </w:rPr>
              <w:t>&gt;=600人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A897">
            <w:pPr>
              <w:jc w:val="center"/>
            </w:pPr>
            <w:r>
              <w:rPr>
                <w:rFonts w:ascii="宋体" w:hAnsi="宋体" w:eastAsia="宋体"/>
                <w:sz w:val="16"/>
              </w:rPr>
              <w:t>=661人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5A1E">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3E99">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7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9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6A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C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B644">
            <w:pPr>
              <w:jc w:val="center"/>
            </w:pPr>
            <w:r>
              <w:rPr>
                <w:rFonts w:ascii="宋体" w:hAnsi="宋体" w:eastAsia="宋体"/>
                <w:sz w:val="16"/>
              </w:rPr>
              <w:t>主要年初绩效目标值是按照上年度人数设置，实际管理人数按照动态管理，使得任务管理超额完成。</w:t>
            </w:r>
          </w:p>
        </w:tc>
      </w:tr>
      <w:tr w14:paraId="43B48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18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FC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3E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47D6">
            <w:pPr>
              <w:jc w:val="center"/>
            </w:pPr>
            <w:r>
              <w:rPr>
                <w:rFonts w:ascii="宋体" w:hAnsi="宋体" w:eastAsia="宋体"/>
                <w:sz w:val="16"/>
              </w:rPr>
              <w:t>糖尿病管理人数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4B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B504">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C56C">
            <w:pPr>
              <w:jc w:val="center"/>
            </w:pPr>
            <w:r>
              <w:rPr>
                <w:rFonts w:ascii="宋体" w:hAnsi="宋体" w:eastAsia="宋体"/>
                <w:sz w:val="16"/>
              </w:rPr>
              <w:t>=220人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58D4">
            <w:pPr>
              <w:jc w:val="center"/>
            </w:pPr>
            <w:r>
              <w:rPr>
                <w:rFonts w:ascii="宋体" w:hAnsi="宋体" w:eastAsia="宋体"/>
                <w:sz w:val="16"/>
              </w:rPr>
              <w:t>183.33%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B1DA">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5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60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1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66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EF73">
            <w:pPr>
              <w:jc w:val="center"/>
            </w:pPr>
            <w:r>
              <w:rPr>
                <w:rFonts w:ascii="宋体" w:hAnsi="宋体" w:eastAsia="宋体"/>
                <w:sz w:val="16"/>
              </w:rPr>
              <w:t>主要年初绩效目标值是按照上年度人数设置，实际管理人数按照动态管理，使得任务管理超额完成。</w:t>
            </w:r>
          </w:p>
        </w:tc>
      </w:tr>
      <w:tr w14:paraId="2FAD7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12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6A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C0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F41B">
            <w:pPr>
              <w:jc w:val="center"/>
            </w:pPr>
            <w:r>
              <w:rPr>
                <w:rFonts w:ascii="宋体" w:hAnsi="宋体" w:eastAsia="宋体"/>
                <w:sz w:val="16"/>
              </w:rPr>
              <w:t>老年人健康管理人数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F6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E45D">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38A4">
            <w:pPr>
              <w:jc w:val="center"/>
            </w:pPr>
            <w:r>
              <w:rPr>
                <w:rFonts w:ascii="宋体" w:hAnsi="宋体" w:eastAsia="宋体"/>
                <w:sz w:val="16"/>
              </w:rPr>
              <w:t>=1411人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3C39">
            <w:pPr>
              <w:jc w:val="center"/>
            </w:pPr>
            <w:r>
              <w:rPr>
                <w:rFonts w:ascii="宋体" w:hAnsi="宋体" w:eastAsia="宋体"/>
                <w:sz w:val="16"/>
              </w:rPr>
              <w:t>141%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2C45">
            <w:pPr>
              <w:jc w:val="center"/>
            </w:pPr>
            <w:r>
              <w:rPr>
                <w:rFonts w:ascii="宋体" w:hAnsi="宋体" w:eastAsia="宋体"/>
                <w:sz w:val="16"/>
              </w:rPr>
              <w:t>4.72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8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9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5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D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0D93">
            <w:pPr>
              <w:jc w:val="center"/>
            </w:pPr>
            <w:r>
              <w:rPr>
                <w:rFonts w:ascii="宋体" w:hAnsi="宋体" w:eastAsia="宋体"/>
                <w:sz w:val="16"/>
              </w:rPr>
              <w:t>主要年初绩效目标值是按照上年度人数设置，实际管理人数按照动态管理，使得任务管理超额完成。</w:t>
            </w:r>
          </w:p>
        </w:tc>
      </w:tr>
      <w:tr w14:paraId="77109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CE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2B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AC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B83C">
            <w:pPr>
              <w:jc w:val="center"/>
            </w:pPr>
            <w:r>
              <w:rPr>
                <w:rFonts w:ascii="宋体" w:hAnsi="宋体" w:eastAsia="宋体"/>
                <w:sz w:val="16"/>
              </w:rPr>
              <w:t>居民健康档案电子化建档覆盖率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48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DA02">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B482">
            <w:pPr>
              <w:jc w:val="center"/>
            </w:pPr>
            <w:r>
              <w:rPr>
                <w:rFonts w:ascii="宋体" w:hAnsi="宋体" w:eastAsia="宋体"/>
                <w:sz w:val="16"/>
              </w:rPr>
              <w: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F2D2">
            <w:pPr>
              <w:jc w:val="center"/>
            </w:pPr>
            <w:r>
              <w:rPr>
                <w:rFonts w:ascii="宋体" w:hAnsi="宋体" w:eastAsia="宋体"/>
                <w:sz w:val="16"/>
              </w:rPr>
              <w:t>136.66%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00E3">
            <w:pPr>
              <w:jc w:val="center"/>
            </w:pPr>
            <w:r>
              <w:rPr>
                <w:rFonts w:ascii="宋体" w:hAnsi="宋体" w:eastAsia="宋体"/>
                <w:sz w:val="16"/>
              </w:rPr>
              <w:t>5.07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3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81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6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71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57F3">
            <w:pPr>
              <w:jc w:val="center"/>
            </w:pPr>
            <w:r>
              <w:rPr>
                <w:rFonts w:ascii="宋体" w:hAnsi="宋体" w:eastAsia="宋体"/>
                <w:sz w:val="16"/>
              </w:rPr>
              <w:t>主要年初绩效目标值是按照上年度人数设置，实际管理人数按照动态管理，使得任务管理超额完成。</w:t>
            </w:r>
          </w:p>
        </w:tc>
      </w:tr>
      <w:tr w14:paraId="545A8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3D3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BD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79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158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62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D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C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D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24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B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4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A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49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1EAB">
            <w:pPr>
              <w:jc w:val="center"/>
            </w:pPr>
          </w:p>
        </w:tc>
      </w:tr>
      <w:tr w14:paraId="71C5F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7F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72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DB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558F">
            <w:pPr>
              <w:jc w:val="center"/>
            </w:pPr>
            <w:r>
              <w:rPr>
                <w:rFonts w:ascii="宋体" w:hAnsi="宋体" w:eastAsia="宋体"/>
                <w:sz w:val="16"/>
              </w:rPr>
              <w:t>基本公共卫生服务成本费用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FC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0230">
            <w:pPr>
              <w:jc w:val="center"/>
            </w:pPr>
            <w:r>
              <w:rPr>
                <w:rFonts w:ascii="宋体" w:hAnsi="宋体" w:eastAsia="宋体"/>
                <w:sz w:val="16"/>
              </w:rPr>
              <w:t>&lt;=17.06万元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40CE">
            <w:pPr>
              <w:jc w:val="center"/>
            </w:pPr>
            <w:r>
              <w:rPr>
                <w:rFonts w:ascii="宋体" w:hAnsi="宋体" w:eastAsia="宋体"/>
                <w:sz w:val="16"/>
              </w:rPr>
              <w:t>=17.06万元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D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10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99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6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5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782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4B12">
            <w:pPr>
              <w:jc w:val="center"/>
            </w:pPr>
          </w:p>
        </w:tc>
      </w:tr>
      <w:tr w14:paraId="718D1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BE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70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AD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2D9A">
            <w:pPr>
              <w:jc w:val="center"/>
            </w:pPr>
            <w:r>
              <w:rPr>
                <w:rFonts w:ascii="宋体" w:hAnsi="宋体" w:eastAsia="宋体"/>
                <w:sz w:val="16"/>
              </w:rPr>
              <w:t>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77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F3BC">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4BAF">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57C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11F2">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E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5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23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E9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EB50">
            <w:pPr>
              <w:jc w:val="center"/>
            </w:pPr>
            <w:r>
              <w:rPr>
                <w:rFonts w:ascii="宋体" w:hAnsi="宋体" w:eastAsia="宋体"/>
                <w:sz w:val="16"/>
              </w:rPr>
              <w:t>主要年初绩效目标值是按照上年度人数设置，实际管理人数按照动态管理，使得任务管理超额完成。</w:t>
            </w:r>
          </w:p>
        </w:tc>
      </w:tr>
      <w:tr w14:paraId="027F6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55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D6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8E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DB74">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D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80A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3B9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C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A4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C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93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B9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B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EABA">
            <w:pPr>
              <w:jc w:val="center"/>
            </w:pPr>
            <w:r>
              <w:rPr>
                <w:rFonts w:ascii="宋体" w:hAnsi="宋体" w:eastAsia="宋体"/>
                <w:sz w:val="16"/>
              </w:rPr>
              <w:t>受益对象满意度提升</w:t>
            </w:r>
          </w:p>
        </w:tc>
      </w:tr>
      <w:tr w14:paraId="3948D9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92D5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3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DB2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188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FB8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F1A1">
            <w:pPr>
              <w:jc w:val="center"/>
            </w:pPr>
            <w:r>
              <w:rPr>
                <w:rFonts w:ascii="宋体" w:hAnsi="宋体" w:eastAsia="宋体"/>
                <w:sz w:val="16"/>
              </w:rPr>
              <w:t>82.32分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E58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80E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96D0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81A8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DF58A"/>
        </w:tc>
      </w:tr>
    </w:tbl>
    <w:p w14:paraId="4C0581D4">
      <w:r>
        <w:br w:type="page"/>
      </w:r>
    </w:p>
    <w:p w14:paraId="2C7B1CF5">
      <w:pPr>
        <w:spacing w:line="640" w:lineRule="exact"/>
        <w:ind w:firstLine="640"/>
        <w:jc w:val="both"/>
        <w:outlineLvl w:val="2"/>
      </w:pPr>
      <w:r>
        <w:rPr>
          <w:rFonts w:ascii="黑体" w:hAnsi="黑体" w:eastAsia="黑体"/>
          <w:sz w:val="32"/>
        </w:rPr>
        <w:t>十二、其他需说明的事项</w:t>
      </w:r>
    </w:p>
    <w:p w14:paraId="0074574A">
      <w:pPr>
        <w:spacing w:line="580" w:lineRule="exact"/>
        <w:ind w:firstLine="640"/>
        <w:jc w:val="both"/>
      </w:pPr>
      <w:r>
        <w:rPr>
          <w:rFonts w:ascii="仿宋_GB2312" w:hAnsi="仿宋_GB2312" w:eastAsia="仿宋_GB2312"/>
          <w:b w:val="0"/>
          <w:sz w:val="32"/>
        </w:rPr>
        <w:t>本单位无其他需说明的事项。</w:t>
      </w:r>
    </w:p>
    <w:p w14:paraId="1B47EA7A">
      <w:r>
        <w:br w:type="page"/>
      </w:r>
    </w:p>
    <w:p w14:paraId="43888CA3">
      <w:pPr>
        <w:spacing w:line="240" w:lineRule="auto"/>
        <w:jc w:val="center"/>
        <w:outlineLvl w:val="1"/>
      </w:pPr>
      <w:r>
        <w:rPr>
          <w:rFonts w:ascii="黑体" w:hAnsi="黑体" w:eastAsia="黑体"/>
          <w:sz w:val="32"/>
        </w:rPr>
        <w:t>第三部分 专业名词解释</w:t>
      </w:r>
    </w:p>
    <w:p w14:paraId="3E04DDC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4C6DB0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7C91C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787FE0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E61BF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BA125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90079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955C1E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D0E26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F74183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C6C06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5BCF0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C471C2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F026D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191C97F">
      <w:r>
        <w:br w:type="page"/>
      </w:r>
    </w:p>
    <w:p w14:paraId="09E69EE4">
      <w:pPr>
        <w:spacing w:line="240" w:lineRule="auto"/>
        <w:jc w:val="center"/>
        <w:outlineLvl w:val="1"/>
      </w:pPr>
      <w:r>
        <w:rPr>
          <w:rFonts w:ascii="黑体" w:hAnsi="黑体" w:eastAsia="黑体"/>
          <w:sz w:val="32"/>
        </w:rPr>
        <w:t>第四部分 部门决算报表（见附表）</w:t>
      </w:r>
    </w:p>
    <w:p w14:paraId="53C5D9CA">
      <w:pPr>
        <w:spacing w:line="240" w:lineRule="auto"/>
        <w:ind w:firstLine="640"/>
        <w:jc w:val="both"/>
      </w:pPr>
      <w:r>
        <w:rPr>
          <w:rFonts w:ascii="仿宋_GB2312" w:hAnsi="仿宋_GB2312" w:eastAsia="仿宋_GB2312"/>
          <w:b w:val="0"/>
          <w:sz w:val="32"/>
        </w:rPr>
        <w:t>一、《收入支出决算总表》</w:t>
      </w:r>
    </w:p>
    <w:p w14:paraId="78043F08">
      <w:pPr>
        <w:spacing w:line="240" w:lineRule="auto"/>
        <w:ind w:firstLine="640"/>
        <w:jc w:val="both"/>
      </w:pPr>
      <w:r>
        <w:rPr>
          <w:rFonts w:ascii="仿宋_GB2312" w:hAnsi="仿宋_GB2312" w:eastAsia="仿宋_GB2312"/>
          <w:b w:val="0"/>
          <w:sz w:val="32"/>
        </w:rPr>
        <w:t>二、《收入决算表》</w:t>
      </w:r>
    </w:p>
    <w:p w14:paraId="0EF74DA3">
      <w:pPr>
        <w:spacing w:line="240" w:lineRule="auto"/>
        <w:ind w:firstLine="640"/>
        <w:jc w:val="both"/>
      </w:pPr>
      <w:r>
        <w:rPr>
          <w:rFonts w:ascii="仿宋_GB2312" w:hAnsi="仿宋_GB2312" w:eastAsia="仿宋_GB2312"/>
          <w:b w:val="0"/>
          <w:sz w:val="32"/>
        </w:rPr>
        <w:t>三、《支出决算表》</w:t>
      </w:r>
    </w:p>
    <w:p w14:paraId="781B8177">
      <w:pPr>
        <w:spacing w:line="240" w:lineRule="auto"/>
        <w:ind w:firstLine="640"/>
        <w:jc w:val="both"/>
      </w:pPr>
      <w:r>
        <w:rPr>
          <w:rFonts w:ascii="仿宋_GB2312" w:hAnsi="仿宋_GB2312" w:eastAsia="仿宋_GB2312"/>
          <w:b w:val="0"/>
          <w:sz w:val="32"/>
        </w:rPr>
        <w:t>四、《财政拨款收入支出决算总表》</w:t>
      </w:r>
    </w:p>
    <w:p w14:paraId="65848E08">
      <w:pPr>
        <w:spacing w:line="240" w:lineRule="auto"/>
        <w:ind w:firstLine="640"/>
        <w:jc w:val="both"/>
      </w:pPr>
      <w:r>
        <w:rPr>
          <w:rFonts w:ascii="仿宋_GB2312" w:hAnsi="仿宋_GB2312" w:eastAsia="仿宋_GB2312"/>
          <w:b w:val="0"/>
          <w:sz w:val="32"/>
        </w:rPr>
        <w:t>五、《一般公共预算财政拨款支出决算表》</w:t>
      </w:r>
    </w:p>
    <w:p w14:paraId="64B3924A">
      <w:pPr>
        <w:spacing w:line="240" w:lineRule="auto"/>
        <w:ind w:firstLine="640"/>
        <w:jc w:val="both"/>
      </w:pPr>
      <w:r>
        <w:rPr>
          <w:rFonts w:ascii="仿宋_GB2312" w:hAnsi="仿宋_GB2312" w:eastAsia="仿宋_GB2312"/>
          <w:b w:val="0"/>
          <w:sz w:val="32"/>
        </w:rPr>
        <w:t>六、《一般公共预算财政拨款基本支出决算表》</w:t>
      </w:r>
    </w:p>
    <w:p w14:paraId="1B7C4F36">
      <w:pPr>
        <w:spacing w:line="240" w:lineRule="auto"/>
        <w:ind w:firstLine="640"/>
        <w:jc w:val="both"/>
      </w:pPr>
      <w:r>
        <w:rPr>
          <w:rFonts w:ascii="仿宋_GB2312" w:hAnsi="仿宋_GB2312" w:eastAsia="仿宋_GB2312"/>
          <w:b w:val="0"/>
          <w:sz w:val="32"/>
        </w:rPr>
        <w:t>七、《政府性基金预算财政拨款收入支出决算表》</w:t>
      </w:r>
    </w:p>
    <w:p w14:paraId="34ABB7CE">
      <w:pPr>
        <w:spacing w:line="240" w:lineRule="auto"/>
        <w:ind w:firstLine="640"/>
        <w:jc w:val="both"/>
      </w:pPr>
      <w:r>
        <w:rPr>
          <w:rFonts w:ascii="仿宋_GB2312" w:hAnsi="仿宋_GB2312" w:eastAsia="仿宋_GB2312"/>
          <w:b w:val="0"/>
          <w:sz w:val="32"/>
        </w:rPr>
        <w:t>八、《国有资本经营预算财政拨款收入支出决算表》</w:t>
      </w:r>
    </w:p>
    <w:p w14:paraId="25E8A8A1">
      <w:pPr>
        <w:spacing w:line="240" w:lineRule="auto"/>
        <w:ind w:firstLine="640"/>
        <w:jc w:val="both"/>
      </w:pPr>
      <w:r>
        <w:rPr>
          <w:rFonts w:ascii="仿宋_GB2312" w:hAnsi="仿宋_GB2312" w:eastAsia="仿宋_GB2312"/>
          <w:b w:val="0"/>
          <w:sz w:val="32"/>
        </w:rPr>
        <w:t>九、《财政拨款“三公”经费支出决算表》</w:t>
      </w:r>
    </w:p>
    <w:p w14:paraId="20D1FF15">
      <w:pPr>
        <w:spacing w:line="240" w:lineRule="auto"/>
        <w:ind w:firstLine="640"/>
        <w:jc w:val="both"/>
      </w:pPr>
    </w:p>
    <w:p w14:paraId="44DFCADB">
      <w:pPr>
        <w:spacing w:line="240" w:lineRule="auto"/>
        <w:ind w:firstLine="640"/>
        <w:jc w:val="both"/>
      </w:pPr>
    </w:p>
    <w:p w14:paraId="15E9C755">
      <w:pPr>
        <w:spacing w:line="240" w:lineRule="auto"/>
        <w:ind w:firstLine="640"/>
        <w:jc w:val="both"/>
      </w:pPr>
    </w:p>
    <w:p w14:paraId="67F1CD68">
      <w:pPr>
        <w:spacing w:line="240" w:lineRule="auto"/>
        <w:ind w:firstLine="640"/>
        <w:jc w:val="both"/>
      </w:pPr>
    </w:p>
    <w:p w14:paraId="1F7DED5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FBDF79-2A41-4383-B8DF-90EBE15F73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F459F41-9CDB-4478-A86D-61CCF5432E06}"/>
  </w:font>
  <w:font w:name="仿宋_GB2312">
    <w:panose1 w:val="02010609030101010101"/>
    <w:charset w:val="86"/>
    <w:family w:val="modern"/>
    <w:pitch w:val="default"/>
    <w:sig w:usb0="00000001" w:usb1="080E0000" w:usb2="00000000" w:usb3="00000000" w:csb0="00040000" w:csb1="00000000"/>
    <w:embedRegular r:id="rId3" w:fontKey="{73E72EA4-8BBC-49E4-822B-DF5385226D81}"/>
  </w:font>
  <w:font w:name="楷体_GB2312">
    <w:panose1 w:val="02010609030101010101"/>
    <w:charset w:val="86"/>
    <w:family w:val="auto"/>
    <w:pitch w:val="default"/>
    <w:sig w:usb0="00000001" w:usb1="080E0000" w:usb2="00000000" w:usb3="00000000" w:csb0="00040000" w:csb1="00000000"/>
    <w:embedRegular r:id="rId4" w:fontKey="{DB246D4D-5D0D-4BC9-A340-28455D138D5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A87AD1"/>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2641F1"/>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3201</Words>
  <Characters>3722</Characters>
  <Lines>0</Lines>
  <Paragraphs>0</Paragraphs>
  <TotalTime>24</TotalTime>
  <ScaleCrop>false</ScaleCrop>
  <LinksUpToDate>false</LinksUpToDate>
  <CharactersWithSpaces>3730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2025-10-14T02:37:17Z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