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783981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吉木萨尔县准东五彩湾学校2024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882A80">
      <w:r>
        <w:br w:type="page"/>
      </w:r>
    </w:p>
    <w:p w14:paraId="5D5D0C3A">
      <w:pPr>
        <w:spacing w:line="640" w:lineRule="exact"/>
        <w:jc w:val="center"/>
        <w:outlineLvl w:val="1"/>
      </w:pPr>
      <w:r>
        <w:rPr>
          <w:rFonts w:ascii="黑体" w:hAnsi="黑体" w:eastAsia="黑体"/>
          <w:sz w:val="32"/>
        </w:rPr>
        <w:t>第一部分 单位概况</w:t>
      </w:r>
    </w:p>
    <w:p w14:paraId="72BEDDED">
      <w:pPr>
        <w:spacing w:line="640" w:lineRule="exact"/>
        <w:ind w:firstLine="640"/>
        <w:jc w:val="both"/>
        <w:outlineLvl w:val="2"/>
      </w:pPr>
      <w:r>
        <w:rPr>
          <w:rFonts w:ascii="黑体" w:hAnsi="黑体" w:eastAsia="黑体"/>
          <w:sz w:val="32"/>
        </w:rPr>
        <w:t>一、主要职能</w:t>
      </w:r>
    </w:p>
    <w:p w14:paraId="6287348E">
      <w:pPr>
        <w:spacing w:line="580" w:lineRule="exact"/>
        <w:ind w:firstLine="640"/>
        <w:jc w:val="both"/>
      </w:pPr>
      <w:r>
        <w:rPr>
          <w:rFonts w:ascii="仿宋_GB2312" w:hAnsi="仿宋_GB2312" w:eastAsia="仿宋_GB2312"/>
          <w:sz w:val="32"/>
        </w:rPr>
        <w:t>（一）实施小学教育、促进基础教育发展。</w:t>
      </w:r>
    </w:p>
    <w:p w14:paraId="1E1EB116">
      <w:pPr>
        <w:spacing w:line="580" w:lineRule="exact"/>
        <w:ind w:firstLine="640"/>
        <w:jc w:val="both"/>
      </w:pPr>
      <w:r>
        <w:rPr>
          <w:rFonts w:ascii="仿宋_GB2312" w:hAnsi="仿宋_GB2312" w:eastAsia="仿宋_GB2312"/>
          <w:sz w:val="32"/>
        </w:rPr>
        <w:t>（二）认真完成普及初等教育的任务，严格执行小学教学大纲，保证完成小学教育，力争“四率”均达到省教委要求；按教育规律办事，坚持“德、智、体、美、劳”全面发展；积极进行教育思想、教学内容、教学方法和教育手段的改革；为初中输送合格的新生。</w:t>
      </w:r>
    </w:p>
    <w:p w14:paraId="56141B86">
      <w:pPr>
        <w:spacing w:line="580" w:lineRule="exact"/>
        <w:ind w:firstLine="640"/>
        <w:jc w:val="both"/>
      </w:pPr>
      <w:r>
        <w:rPr>
          <w:rFonts w:ascii="仿宋_GB2312" w:hAnsi="仿宋_GB2312" w:eastAsia="仿宋_GB2312"/>
          <w:sz w:val="32"/>
        </w:rPr>
        <w:t>（三）积极开展以普及为主的课外群体活动和体育传统项目运动队的训练；开展以预防为主、防治结合的卫生保健工作，做好常见病、多发病的预防和矫治。</w:t>
      </w:r>
    </w:p>
    <w:p w14:paraId="34441800">
      <w:pPr>
        <w:spacing w:line="580" w:lineRule="exact"/>
        <w:ind w:firstLine="640"/>
        <w:jc w:val="both"/>
      </w:pPr>
      <w:r>
        <w:rPr>
          <w:rFonts w:ascii="仿宋_GB2312" w:hAnsi="仿宋_GB2312" w:eastAsia="仿宋_GB2312"/>
          <w:sz w:val="32"/>
        </w:rPr>
        <w:t>（四）学校打造五彩教育优质品牌，以“求真崇善，笃行至美”为校训，营造“和谐、诚信、创新”的校风。学校以赋予每位学生真善美的生命底色为使命，全力培养保全真的性情、遵从善的原则、修习美的品行、厚植爱国情怀，符合时代发展需求的德智体美劳全面发展的“准东少年”。学校推行小班化教学，采用混合式教学模式，为学生提供个别指导、自主探究、合作学习、教师助教等多样化学习路径，精准满足学生的个性化学习需求，让每个学生都能在最适宜的环境中茁壮成长，绽放独特光彩。</w:t>
      </w:r>
    </w:p>
    <w:p w14:paraId="6D515923">
      <w:pPr>
        <w:spacing w:line="640" w:lineRule="exact"/>
        <w:ind w:firstLine="640"/>
        <w:jc w:val="both"/>
        <w:outlineLvl w:val="2"/>
      </w:pPr>
      <w:r>
        <w:rPr>
          <w:rFonts w:ascii="黑体" w:hAnsi="黑体" w:eastAsia="黑体"/>
          <w:sz w:val="32"/>
        </w:rPr>
        <w:t>二、机构设置及人员情况</w:t>
      </w:r>
    </w:p>
    <w:p w14:paraId="75357055">
      <w:pPr>
        <w:spacing w:line="580" w:lineRule="exact"/>
        <w:ind w:firstLine="640"/>
        <w:jc w:val="both"/>
      </w:pPr>
      <w:r>
        <w:rPr>
          <w:rFonts w:ascii="仿宋_GB2312" w:hAnsi="仿宋_GB2312" w:eastAsia="仿宋_GB2312"/>
          <w:sz w:val="32"/>
        </w:rPr>
        <w:t>吉木萨尔县准东五彩湾学校2024年度，实有人数24人，其中：在职人员24人，增加24人；离休人员0人，增加0人；退休人员0人,增加0人。</w:t>
      </w:r>
    </w:p>
    <w:p w14:paraId="479F0316">
      <w:pPr>
        <w:spacing w:line="580" w:lineRule="exact"/>
        <w:ind w:firstLine="640"/>
        <w:jc w:val="both"/>
      </w:pPr>
      <w:r>
        <w:rPr>
          <w:rFonts w:ascii="仿宋_GB2312" w:hAnsi="仿宋_GB2312" w:eastAsia="仿宋_GB2312"/>
          <w:sz w:val="32"/>
        </w:rPr>
        <w:t>吉木萨尔县准东五彩湾学校无下属预算单位，下设7个科室，分别是：行政办、党建办、政教处、教务室、教研室、总务处、安全办。</w:t>
      </w:r>
    </w:p>
    <w:p w14:paraId="1BABF4FF">
      <w:r>
        <w:br w:type="page"/>
      </w:r>
    </w:p>
    <w:p w14:paraId="2DA320BA">
      <w:pPr>
        <w:spacing w:line="240" w:lineRule="auto"/>
        <w:jc w:val="center"/>
        <w:outlineLvl w:val="1"/>
      </w:pPr>
      <w:r>
        <w:rPr>
          <w:rFonts w:ascii="黑体" w:hAnsi="黑体" w:eastAsia="黑体"/>
          <w:sz w:val="32"/>
        </w:rPr>
        <w:t>第二部分 部门决算情况说明</w:t>
      </w:r>
    </w:p>
    <w:p w14:paraId="41DA9D48">
      <w:pPr>
        <w:spacing w:line="640" w:lineRule="exact"/>
        <w:ind w:firstLine="640"/>
        <w:jc w:val="both"/>
        <w:outlineLvl w:val="2"/>
      </w:pPr>
      <w:r>
        <w:rPr>
          <w:rFonts w:ascii="黑体" w:hAnsi="黑体" w:eastAsia="黑体"/>
          <w:sz w:val="32"/>
        </w:rPr>
        <w:t>一、收入支出决算总体情况说明</w:t>
      </w:r>
    </w:p>
    <w:p w14:paraId="774BC3AF">
      <w:pPr>
        <w:spacing w:line="580" w:lineRule="exact"/>
        <w:ind w:firstLine="640"/>
        <w:jc w:val="both"/>
      </w:pPr>
      <w:r>
        <w:rPr>
          <w:rFonts w:ascii="仿宋_GB2312" w:hAnsi="仿宋_GB2312" w:eastAsia="仿宋_GB2312"/>
          <w:b/>
          <w:sz w:val="32"/>
        </w:rPr>
        <w:t>2024年度收入总计401.06万元，</w:t>
      </w:r>
      <w:r>
        <w:rPr>
          <w:rFonts w:ascii="仿宋_GB2312" w:hAnsi="仿宋_GB2312" w:eastAsia="仿宋_GB2312"/>
          <w:b w:val="0"/>
          <w:sz w:val="32"/>
        </w:rPr>
        <w:t>其中：本年收入合计386.01万元，使用非财政拨款结余（含专用结余）0.00万元，年初结转和结余15.05万元。</w:t>
      </w:r>
    </w:p>
    <w:p w14:paraId="0E165BE1">
      <w:pPr>
        <w:spacing w:line="580" w:lineRule="exact"/>
        <w:ind w:firstLine="640"/>
        <w:jc w:val="both"/>
      </w:pPr>
      <w:r>
        <w:rPr>
          <w:rFonts w:ascii="仿宋_GB2312" w:hAnsi="仿宋_GB2312" w:eastAsia="仿宋_GB2312"/>
          <w:b/>
          <w:sz w:val="32"/>
        </w:rPr>
        <w:t>2024年度支出总计401.06万元，</w:t>
      </w:r>
      <w:r>
        <w:rPr>
          <w:rFonts w:ascii="仿宋_GB2312" w:hAnsi="仿宋_GB2312" w:eastAsia="仿宋_GB2312"/>
          <w:b w:val="0"/>
          <w:sz w:val="32"/>
        </w:rPr>
        <w:t>其中：本年支出合计401.00万元，结余分配0.00万元，年末结转和结余0.06万元。</w:t>
      </w:r>
    </w:p>
    <w:p w14:paraId="6133E0A0">
      <w:pPr>
        <w:spacing w:line="580" w:lineRule="exact"/>
        <w:ind w:firstLine="640"/>
        <w:jc w:val="both"/>
      </w:pPr>
      <w:r>
        <w:rPr>
          <w:rFonts w:ascii="仿宋_GB2312" w:hAnsi="仿宋_GB2312" w:eastAsia="仿宋_GB2312"/>
          <w:b w:val="0"/>
          <w:sz w:val="32"/>
        </w:rPr>
        <w:t>收入支出总体与上年相比，增加401.06万元，增长100.00%，主要原因是：本单位为2024年新成立单位，无上年对比数据，因此较上年增长100%。</w:t>
      </w:r>
    </w:p>
    <w:p w14:paraId="7E842D0B">
      <w:pPr>
        <w:spacing w:line="640" w:lineRule="exact"/>
        <w:ind w:firstLine="640"/>
        <w:jc w:val="both"/>
        <w:outlineLvl w:val="2"/>
      </w:pPr>
      <w:r>
        <w:rPr>
          <w:rFonts w:ascii="黑体" w:hAnsi="黑体" w:eastAsia="黑体"/>
          <w:sz w:val="32"/>
        </w:rPr>
        <w:t>二、收入决算情况说明</w:t>
      </w:r>
    </w:p>
    <w:p w14:paraId="6BA88676">
      <w:pPr>
        <w:spacing w:line="580" w:lineRule="exact"/>
        <w:ind w:firstLine="640"/>
        <w:jc w:val="both"/>
      </w:pPr>
      <w:r>
        <w:rPr>
          <w:rFonts w:ascii="仿宋_GB2312" w:hAnsi="仿宋_GB2312" w:eastAsia="仿宋_GB2312"/>
          <w:b/>
          <w:sz w:val="32"/>
        </w:rPr>
        <w:t>本年收入386.01万元，</w:t>
      </w:r>
      <w:r>
        <w:rPr>
          <w:rFonts w:ascii="仿宋_GB2312" w:hAnsi="仿宋_GB2312" w:eastAsia="仿宋_GB2312"/>
          <w:b w:val="0"/>
          <w:sz w:val="32"/>
        </w:rPr>
        <w:t>其中：财政拨款收入385.91万元，占99.97%；上级补助收入0.00万元，占0.00%；事业收入0.00万元，占0.00%；经营收入0.00万元，占0.00%；附属单位上缴收入0.00万元，占0.00%；其他收入0.10万元，占0.03%。</w:t>
      </w:r>
    </w:p>
    <w:p w14:paraId="43D34DC3">
      <w:pPr>
        <w:spacing w:line="640" w:lineRule="exact"/>
        <w:ind w:firstLine="640"/>
        <w:jc w:val="both"/>
        <w:outlineLvl w:val="2"/>
      </w:pPr>
      <w:r>
        <w:rPr>
          <w:rFonts w:ascii="黑体" w:hAnsi="黑体" w:eastAsia="黑体"/>
          <w:sz w:val="32"/>
        </w:rPr>
        <w:t>三、支出决算情况说明</w:t>
      </w:r>
    </w:p>
    <w:p w14:paraId="79759E33">
      <w:pPr>
        <w:spacing w:line="580" w:lineRule="exact"/>
        <w:ind w:firstLine="640"/>
        <w:jc w:val="both"/>
      </w:pPr>
      <w:r>
        <w:rPr>
          <w:rFonts w:ascii="仿宋_GB2312" w:hAnsi="仿宋_GB2312" w:eastAsia="仿宋_GB2312"/>
          <w:b/>
          <w:sz w:val="32"/>
        </w:rPr>
        <w:t>本年支出401.00万元，</w:t>
      </w:r>
      <w:r>
        <w:rPr>
          <w:rFonts w:ascii="仿宋_GB2312" w:hAnsi="仿宋_GB2312" w:eastAsia="仿宋_GB2312"/>
          <w:b w:val="0"/>
          <w:sz w:val="32"/>
        </w:rPr>
        <w:t>其中：基本支出401.00万元，占100.00%；项目支出0.00万元，占0.00%；上缴上级支出0.00万元，占0.00%；经营支出0.00万元，占0.00%；对附属单位补助支出0.00万元，占0.00%。</w:t>
      </w:r>
    </w:p>
    <w:p w14:paraId="46236C87">
      <w:pPr>
        <w:spacing w:line="640" w:lineRule="exact"/>
        <w:ind w:firstLine="640"/>
        <w:jc w:val="both"/>
        <w:outlineLvl w:val="2"/>
      </w:pPr>
      <w:r>
        <w:rPr>
          <w:rFonts w:ascii="黑体" w:hAnsi="黑体" w:eastAsia="黑体"/>
          <w:sz w:val="32"/>
        </w:rPr>
        <w:t>四、财政拨款收入支出决算总体情况说明</w:t>
      </w:r>
    </w:p>
    <w:p w14:paraId="2F94B208">
      <w:pPr>
        <w:spacing w:line="580" w:lineRule="exact"/>
        <w:ind w:firstLine="640"/>
        <w:jc w:val="both"/>
      </w:pPr>
      <w:r>
        <w:rPr>
          <w:rFonts w:ascii="仿宋_GB2312" w:hAnsi="仿宋_GB2312" w:eastAsia="仿宋_GB2312"/>
          <w:b/>
          <w:sz w:val="32"/>
        </w:rPr>
        <w:t>2024年度财政拨款收入总计385.91万元，</w:t>
      </w:r>
      <w:r>
        <w:rPr>
          <w:rFonts w:ascii="仿宋_GB2312" w:hAnsi="仿宋_GB2312" w:eastAsia="仿宋_GB2312"/>
          <w:b w:val="0"/>
          <w:sz w:val="32"/>
        </w:rPr>
        <w:t>其中：年初财政拨款结转和结余0.00万元，本年财政拨款收入385.91万元。</w:t>
      </w:r>
      <w:r>
        <w:rPr>
          <w:rFonts w:ascii="仿宋_GB2312" w:hAnsi="仿宋_GB2312" w:eastAsia="仿宋_GB2312"/>
          <w:b/>
          <w:sz w:val="32"/>
        </w:rPr>
        <w:t>财政拨款支出总计385.91万元，</w:t>
      </w:r>
      <w:r>
        <w:rPr>
          <w:rFonts w:ascii="仿宋_GB2312" w:hAnsi="仿宋_GB2312" w:eastAsia="仿宋_GB2312"/>
          <w:b w:val="0"/>
          <w:sz w:val="32"/>
        </w:rPr>
        <w:t>其中：年末财政拨款结转和结余0.00万元，本年财政拨款支出385.91万元。</w:t>
      </w:r>
    </w:p>
    <w:p w14:paraId="5B5D33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增加385.91万元，增长100.00%，主要原因是：本单位为2024年新成立单位，无上年对比数据，因此较上年增长100%。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年初预算数387.00万元，决算数385.91万元，预决算差异率-0.28%，主要原因是：严格落实中央八项规定精神，厉行节约，减少不必要的开支。</w:t>
      </w:r>
    </w:p>
    <w:p w14:paraId="7D6DADDC">
      <w:pPr>
        <w:spacing w:line="640" w:lineRule="exact"/>
        <w:ind w:firstLine="640"/>
        <w:jc w:val="both"/>
        <w:outlineLvl w:val="2"/>
      </w:pPr>
      <w:r>
        <w:rPr>
          <w:rFonts w:ascii="黑体" w:hAnsi="黑体" w:eastAsia="黑体"/>
          <w:sz w:val="32"/>
        </w:rPr>
        <w:t>五、一般公共预算财政拨款支出决算情况说明</w:t>
      </w:r>
    </w:p>
    <w:p w14:paraId="37BCB4E6">
      <w:pPr>
        <w:spacing w:line="640" w:lineRule="exact"/>
        <w:ind w:firstLine="640"/>
        <w:jc w:val="both"/>
        <w:outlineLvl w:val="3"/>
      </w:pPr>
      <w:r>
        <w:rPr>
          <w:rFonts w:ascii="楷体_GB2312" w:hAnsi="楷体_GB2312" w:eastAsia="楷体_GB2312"/>
          <w:b/>
          <w:sz w:val="32"/>
        </w:rPr>
        <w:t>（一）一般公共预算财政拨款支出决算总体情况</w:t>
      </w:r>
    </w:p>
    <w:p w14:paraId="698AC224">
      <w:pPr>
        <w:spacing w:line="580" w:lineRule="exact"/>
        <w:ind w:firstLine="640"/>
        <w:jc w:val="both"/>
      </w:pPr>
      <w:r>
        <w:rPr>
          <w:rFonts w:ascii="仿宋_GB2312" w:hAnsi="仿宋_GB2312" w:eastAsia="仿宋_GB2312"/>
          <w:b/>
          <w:sz w:val="32"/>
        </w:rPr>
        <w:t>2024年度一般公共预算财政拨款支出385.91万元，</w:t>
      </w:r>
      <w:r>
        <w:rPr>
          <w:rFonts w:ascii="仿宋_GB2312" w:hAnsi="仿宋_GB2312" w:eastAsia="仿宋_GB2312"/>
          <w:b w:val="0"/>
          <w:sz w:val="32"/>
        </w:rPr>
        <w:t>占本年支出合计的96.24%。</w:t>
      </w:r>
      <w:r>
        <w:rPr>
          <w:rFonts w:ascii="仿宋_GB2312" w:hAnsi="仿宋_GB2312" w:eastAsia="仿宋_GB2312"/>
          <w:b/>
          <w:sz w:val="32"/>
        </w:rPr>
        <w:t>与上年相比，</w:t>
      </w:r>
      <w:r>
        <w:rPr>
          <w:rFonts w:ascii="仿宋_GB2312" w:hAnsi="仿宋_GB2312" w:eastAsia="仿宋_GB2312"/>
          <w:b w:val="0"/>
          <w:sz w:val="32"/>
        </w:rPr>
        <w:t>增加385.91万元，增长100.00%，主要原因是：本单位为2024年新成立单位，无上年对比数据，因此较上年增长100%。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年初预算数387.00万元，决算数385.91万元，预决算差异率-0.28%，主要原因是：严格落实中央八项规定精神，厉行节约，减少不必要的开支。</w:t>
      </w:r>
    </w:p>
    <w:p w14:paraId="2A37A48B">
      <w:pPr>
        <w:spacing w:line="640" w:lineRule="exact"/>
        <w:ind w:firstLine="640"/>
        <w:jc w:val="both"/>
        <w:outlineLvl w:val="3"/>
      </w:pPr>
      <w:r>
        <w:rPr>
          <w:rFonts w:ascii="楷体_GB2312" w:hAnsi="楷体_GB2312" w:eastAsia="楷体_GB2312"/>
          <w:b/>
          <w:sz w:val="32"/>
        </w:rPr>
        <w:t>（二）一般公共预算财政拨款支出决算结构情况</w:t>
      </w:r>
    </w:p>
    <w:p w14:paraId="1989BFC6">
      <w:pPr>
        <w:spacing w:line="580" w:lineRule="exact"/>
        <w:ind w:firstLine="640"/>
        <w:jc w:val="both"/>
      </w:pPr>
      <w:r>
        <w:rPr>
          <w:rFonts w:ascii="仿宋_GB2312" w:hAnsi="仿宋_GB2312" w:eastAsia="仿宋_GB2312"/>
          <w:b w:val="0"/>
          <w:sz w:val="32"/>
        </w:rPr>
        <w:t>1.教育支出(类)385.91万元,占100.00%。</w:t>
      </w:r>
    </w:p>
    <w:p w14:paraId="514B6FB5">
      <w:pPr>
        <w:spacing w:line="640" w:lineRule="exact"/>
        <w:ind w:firstLine="640"/>
        <w:jc w:val="both"/>
        <w:outlineLvl w:val="3"/>
      </w:pPr>
      <w:r>
        <w:rPr>
          <w:rFonts w:ascii="楷体_GB2312" w:hAnsi="楷体_GB2312" w:eastAsia="楷体_GB2312"/>
          <w:b/>
          <w:sz w:val="32"/>
        </w:rPr>
        <w:t>（三）一般公共预算财政拨款支出决算具体情况</w:t>
      </w:r>
    </w:p>
    <w:p w14:paraId="1A0DE6D7">
      <w:pPr>
        <w:spacing w:line="580" w:lineRule="exact"/>
        <w:ind w:firstLine="640"/>
        <w:jc w:val="both"/>
      </w:pPr>
      <w:r>
        <w:rPr>
          <w:rFonts w:ascii="仿宋_GB2312" w:hAnsi="仿宋_GB2312" w:eastAsia="仿宋_GB2312"/>
          <w:b w:val="0"/>
          <w:sz w:val="32"/>
        </w:rPr>
        <w:t>1.教育支出(类)普通教育(款)小学教育(项):支出决算数为382.51万元，比上年决算增加382.51万元，增长100.00%,主要原因是：本单位为2024年新成立单位，无上年对比数据，因此较上年增长100%。</w:t>
      </w:r>
    </w:p>
    <w:p w14:paraId="43B2208D">
      <w:pPr>
        <w:spacing w:line="580" w:lineRule="exact"/>
        <w:ind w:firstLine="640"/>
        <w:jc w:val="both"/>
      </w:pPr>
      <w:r>
        <w:rPr>
          <w:rFonts w:ascii="仿宋_GB2312" w:hAnsi="仿宋_GB2312" w:eastAsia="仿宋_GB2312"/>
          <w:b w:val="0"/>
          <w:sz w:val="32"/>
        </w:rPr>
        <w:t>2.教育支出(类)普通教育(款)初中教育(项):支出决算数为3.41万元，比上年决算增加3.41万元，增长100.00%,主要原因是：本单位为2024年新成立单位，无上年对比数据，因此较上年增长100%。</w:t>
      </w:r>
    </w:p>
    <w:p w14:paraId="0BB338C3">
      <w:pPr>
        <w:spacing w:line="640" w:lineRule="exact"/>
        <w:ind w:firstLine="640"/>
        <w:jc w:val="both"/>
        <w:outlineLvl w:val="2"/>
      </w:pPr>
      <w:r>
        <w:rPr>
          <w:rFonts w:ascii="黑体" w:hAnsi="黑体" w:eastAsia="黑体"/>
          <w:sz w:val="32"/>
        </w:rPr>
        <w:t>六、一般公共预算财政拨款基本支出决算情况说明</w:t>
      </w:r>
    </w:p>
    <w:p w14:paraId="3F98EF5F">
      <w:pPr>
        <w:spacing w:line="580" w:lineRule="exact"/>
        <w:ind w:firstLine="640"/>
        <w:jc w:val="both"/>
      </w:pPr>
      <w:r>
        <w:rPr>
          <w:rFonts w:ascii="仿宋_GB2312" w:hAnsi="仿宋_GB2312" w:eastAsia="仿宋_GB2312"/>
          <w:b w:val="0"/>
          <w:sz w:val="32"/>
        </w:rPr>
        <w:t>2024年度一般公共预算财政拨款基本支出385.91万元，其中：</w:t>
      </w:r>
      <w:r>
        <w:rPr>
          <w:rFonts w:ascii="仿宋_GB2312" w:hAnsi="仿宋_GB2312" w:eastAsia="仿宋_GB2312"/>
          <w:b/>
          <w:sz w:val="32"/>
        </w:rPr>
        <w:t>人员经费359.19万元，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包括：基本工资、津贴补贴、奖金、绩效工资、机关事业单位基本养老保险缴费、职业年金缴费、职工基本医疗保险缴费、公务员医疗补助缴费、其他社会保障缴费、住房公积金、助学金。</w:t>
      </w:r>
    </w:p>
    <w:p w14:paraId="47FA5274">
      <w:pPr>
        <w:spacing w:line="580" w:lineRule="exact"/>
        <w:ind w:firstLine="640"/>
        <w:jc w:val="both"/>
      </w:pPr>
      <w:r>
        <w:rPr>
          <w:rFonts w:ascii="仿宋_GB2312" w:hAnsi="仿宋_GB2312" w:eastAsia="仿宋_GB2312"/>
          <w:b/>
          <w:sz w:val="32"/>
        </w:rPr>
        <w:t>公用经费26.72万元，</w:t>
      </w:r>
      <w:r>
        <w:rPr>
          <w:rFonts w:ascii="仿宋_GB2312" w:hAnsi="仿宋_GB2312" w:eastAsia="仿宋_GB2312"/>
          <w:b w:val="0"/>
          <w:sz w:val="32"/>
        </w:rPr>
        <w:t>包括：办公费、印刷费、邮电费、维修（护）费、培训费、专用材料费、工会经费、其他商品和服务支出。</w:t>
      </w:r>
    </w:p>
    <w:p w14:paraId="0F122236">
      <w:pPr>
        <w:spacing w:line="640" w:lineRule="exact"/>
        <w:ind w:firstLine="640"/>
        <w:jc w:val="both"/>
        <w:outlineLvl w:val="2"/>
      </w:pPr>
      <w:r>
        <w:rPr>
          <w:rFonts w:ascii="黑体" w:hAnsi="黑体" w:eastAsia="黑体"/>
          <w:sz w:val="32"/>
        </w:rPr>
        <w:t>七、政府性基金预算财政拨款收入支出决算情况说明</w:t>
      </w:r>
    </w:p>
    <w:p w14:paraId="32D37B7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6A34986">
      <w:pPr>
        <w:spacing w:line="640" w:lineRule="exact"/>
        <w:ind w:firstLine="640"/>
        <w:jc w:val="both"/>
        <w:outlineLvl w:val="2"/>
      </w:pPr>
      <w:r>
        <w:rPr>
          <w:rFonts w:ascii="黑体" w:hAnsi="黑体" w:eastAsia="黑体"/>
          <w:sz w:val="32"/>
        </w:rPr>
        <w:t>八、国有资本经营预算财政拨款收入支出决算情况说明</w:t>
      </w:r>
    </w:p>
    <w:p w14:paraId="76CD1FA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332632">
      <w:pPr>
        <w:spacing w:line="640" w:lineRule="exact"/>
        <w:ind w:firstLine="640"/>
        <w:jc w:val="both"/>
        <w:outlineLvl w:val="2"/>
      </w:pPr>
      <w:r>
        <w:rPr>
          <w:rFonts w:ascii="黑体" w:hAnsi="黑体" w:eastAsia="黑体"/>
          <w:sz w:val="32"/>
        </w:rPr>
        <w:t>九、财政拨款“三公”经费支出决算情况说明</w:t>
      </w:r>
    </w:p>
    <w:p w14:paraId="6C105DF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51200FEF">
      <w:pPr>
        <w:spacing w:line="580" w:lineRule="exact"/>
        <w:ind w:firstLine="640"/>
        <w:jc w:val="both"/>
      </w:pPr>
      <w:r>
        <w:rPr>
          <w:rFonts w:ascii="仿宋_GB2312" w:hAnsi="仿宋_GB2312" w:eastAsia="仿宋_GB2312"/>
          <w:b/>
          <w:sz w:val="32"/>
        </w:rPr>
        <w:t>具体情况如下：</w:t>
      </w:r>
    </w:p>
    <w:p w14:paraId="04F38E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542961">
      <w:pPr>
        <w:spacing w:line="580" w:lineRule="exact"/>
        <w:ind w:firstLine="640"/>
        <w:jc w:val="both"/>
        <w:rPr>
          <w:spacing w:val="-6"/>
          <w:sz w:val="32"/>
        </w:rPr>
      </w:pPr>
      <w:r>
        <w:rPr>
          <w:rFonts w:ascii="仿宋_GB2312" w:hAnsi="仿宋_GB2312" w:eastAsia="仿宋_GB2312"/>
          <w:b w:val="0"/>
          <w:spacing w:val="-6"/>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380E3B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DD5D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522CC3D">
      <w:pPr>
        <w:spacing w:line="640" w:lineRule="exact"/>
        <w:ind w:firstLine="640"/>
        <w:jc w:val="both"/>
        <w:outlineLvl w:val="2"/>
      </w:pPr>
      <w:r>
        <w:rPr>
          <w:rFonts w:ascii="黑体" w:hAnsi="黑体" w:eastAsia="黑体"/>
          <w:sz w:val="32"/>
        </w:rPr>
        <w:t>十、其他重要事项的情况说明</w:t>
      </w:r>
    </w:p>
    <w:p w14:paraId="40A948D5">
      <w:pPr>
        <w:spacing w:line="640" w:lineRule="exact"/>
        <w:ind w:firstLine="640"/>
        <w:jc w:val="both"/>
        <w:outlineLvl w:val="3"/>
      </w:pPr>
      <w:r>
        <w:rPr>
          <w:rFonts w:ascii="楷体_GB2312" w:hAnsi="楷体_GB2312" w:eastAsia="楷体_GB2312"/>
          <w:b/>
          <w:sz w:val="32"/>
        </w:rPr>
        <w:t>（一）机关运行经费及公用经费支出情况</w:t>
      </w:r>
    </w:p>
    <w:p w14:paraId="1A99407F">
      <w:pPr>
        <w:spacing w:line="580" w:lineRule="exact"/>
        <w:ind w:firstLine="640"/>
        <w:jc w:val="both"/>
      </w:pPr>
      <w:r>
        <w:rPr>
          <w:rFonts w:ascii="仿宋_GB2312" w:hAnsi="仿宋_GB2312" w:eastAsia="仿宋_GB2312"/>
          <w:b w:val="0"/>
          <w:sz w:val="32"/>
        </w:rPr>
        <w:t>2024年度吉木萨尔县准东五彩湾学校（事业单位）公用经费支出26.72万元，比上年增加26.72万元，增长100.00%，主要原因是：本单位为2024年新成立单位，无上年对比数据，因此较上年增长100%。</w:t>
      </w:r>
    </w:p>
    <w:p w14:paraId="42A51C06">
      <w:pPr>
        <w:spacing w:line="640" w:lineRule="exact"/>
        <w:ind w:firstLine="640"/>
        <w:jc w:val="both"/>
        <w:outlineLvl w:val="3"/>
      </w:pPr>
      <w:r>
        <w:rPr>
          <w:rFonts w:ascii="楷体_GB2312" w:hAnsi="楷体_GB2312" w:eastAsia="楷体_GB2312"/>
          <w:b/>
          <w:sz w:val="32"/>
        </w:rPr>
        <w:t>（二）政府采购情况</w:t>
      </w:r>
    </w:p>
    <w:p w14:paraId="516DEC86">
      <w:pPr>
        <w:spacing w:line="580" w:lineRule="exact"/>
        <w:ind w:firstLine="640"/>
        <w:jc w:val="both"/>
      </w:pPr>
      <w:r>
        <w:rPr>
          <w:rFonts w:ascii="仿宋_GB2312" w:hAnsi="仿宋_GB2312" w:eastAsia="仿宋_GB2312"/>
          <w:b w:val="0"/>
          <w:sz w:val="32"/>
        </w:rPr>
        <w:t>2024年度政府采购支出总额2.31万元，其中：政府采购货物支出1.45万元、政府采购工程支出0.00万元、政府采购服务支出0.86万元。</w:t>
      </w:r>
    </w:p>
    <w:p w14:paraId="3008E55A">
      <w:pPr>
        <w:spacing w:line="580" w:lineRule="exact"/>
        <w:ind w:firstLine="640"/>
        <w:jc w:val="both"/>
      </w:pPr>
      <w:r>
        <w:rPr>
          <w:rFonts w:ascii="仿宋_GB2312" w:hAnsi="仿宋_GB2312" w:eastAsia="仿宋_GB2312"/>
          <w:b w:val="0"/>
          <w:sz w:val="32"/>
        </w:rPr>
        <w:t>授予中小企业合同金额2.31万元，占政府采购支出总额的100.00%，其中：授予小微企业合同金额2.31万元，占政府采购支出总额的100.00%。</w:t>
      </w:r>
    </w:p>
    <w:p w14:paraId="5F9915E6">
      <w:pPr>
        <w:spacing w:line="640" w:lineRule="exact"/>
        <w:ind w:firstLine="640"/>
        <w:jc w:val="both"/>
        <w:outlineLvl w:val="3"/>
      </w:pPr>
      <w:r>
        <w:rPr>
          <w:rFonts w:ascii="楷体_GB2312" w:hAnsi="楷体_GB2312" w:eastAsia="楷体_GB2312"/>
          <w:b/>
          <w:sz w:val="32"/>
        </w:rPr>
        <w:t>（三）国有资产占用情况说明</w:t>
      </w:r>
    </w:p>
    <w:p w14:paraId="307977B5">
      <w:pPr>
        <w:spacing w:line="580" w:lineRule="exact"/>
        <w:ind w:firstLine="640"/>
        <w:jc w:val="both"/>
      </w:pPr>
      <w:r>
        <w:rPr>
          <w:rFonts w:ascii="仿宋_GB2312" w:hAnsi="仿宋_GB2312" w:eastAsia="仿宋_GB2312"/>
          <w:b w:val="0"/>
          <w:sz w:val="32"/>
        </w:rPr>
        <w:t>截至2024年1</w:t>
      </w:r>
      <w:bookmarkStart w:id="0" w:name="_GoBack"/>
      <w:r>
        <w:rPr>
          <w:rFonts w:ascii="仿宋_GB2312" w:hAnsi="仿宋_GB2312" w:eastAsia="仿宋_GB2312"/>
          <w:b w:val="0"/>
          <w:sz w:val="32"/>
        </w:rPr>
        <w:t>2月31日</w:t>
      </w:r>
      <w:bookmarkEnd w:id="0"/>
      <w:r>
        <w:rPr>
          <w:rFonts w:ascii="仿宋_GB2312" w:hAnsi="仿宋_GB2312" w:eastAsia="仿宋_GB2312"/>
          <w:b w:val="0"/>
          <w:sz w:val="32"/>
        </w:rPr>
        <w:t>，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BC20375">
      <w:pPr>
        <w:spacing w:line="640" w:lineRule="exact"/>
        <w:ind w:firstLine="640"/>
        <w:jc w:val="both"/>
        <w:outlineLvl w:val="2"/>
      </w:pPr>
      <w:r>
        <w:rPr>
          <w:rFonts w:ascii="黑体" w:hAnsi="黑体" w:eastAsia="黑体"/>
          <w:sz w:val="32"/>
        </w:rPr>
        <w:t>十一、预算绩效的情况说明</w:t>
      </w:r>
    </w:p>
    <w:p w14:paraId="5983E66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401.06万元，实际执行总额401.00万元；预算绩效评价项目3个，全年预算数39.26万元，全年执行数39.26万元。预算绩效管理取得的成效：一是建立健全了预算管理规章制度，各部门严格按照预算编制和要求做好当年预算编制工作，在预算绩效管理工作中，做到合理安排各项资金，重点保障基本支出，切实优化资源配置，提高了资金使用的效率和效果；二是进一步完善单位财务制度，严格执行财务管理，按财政部门的要求进行决算、编制财务报告，并到相关业务科室进行审核，能按要求时间准时上报财政部门。发现的问题及原因：</w:t>
      </w:r>
      <w:r>
        <w:rPr>
          <w:rFonts w:hint="eastAsia" w:ascii="仿宋_GB2312" w:hAnsi="宋体" w:eastAsia="仿宋_GB2312" w:cs="宋体"/>
          <w:color w:val="auto"/>
          <w:kern w:val="0"/>
          <w:sz w:val="32"/>
          <w:szCs w:val="32"/>
          <w:lang w:val="en-US" w:eastAsia="zh-CN"/>
        </w:rPr>
        <w:t>绩效管理专业人员匮乏，规范管理有盲点。预算绩效管理工作的覆盖面广、专业性强，不论预算单位在开展日常管理，还是财政部门组织实施绩效评价，都需要具备一定专业素养和实战经验的人力资源。</w:t>
      </w:r>
      <w:r>
        <w:rPr>
          <w:rFonts w:ascii="仿宋_GB2312" w:hAnsi="仿宋_GB2312" w:eastAsia="仿宋_GB2312"/>
          <w:b w:val="0"/>
          <w:sz w:val="32"/>
        </w:rPr>
        <w:t>下一步改进措施：一是加强预算绩效目标编制的培训学习，科学合理编制预算，严格执行预算，提高财务信息质量；二是进一步加强单位内部机构的预算管理意识，严格按照预算编制的相关制度和要求进行预算编制，加强单位财务管理，健全单位财务管理制度体系，规范单位财务行为。具体附整体支出绩效自评表，项目支出绩效自评表。</w:t>
      </w:r>
    </w:p>
    <w:p w14:paraId="4EAD5EB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334125">
        <w:tblPrEx>
          <w:tblCellMar>
            <w:top w:w="0" w:type="dxa"/>
            <w:left w:w="108" w:type="dxa"/>
            <w:bottom w:w="0" w:type="dxa"/>
            <w:right w:w="108" w:type="dxa"/>
          </w:tblCellMar>
        </w:tblPrEx>
        <w:tc>
          <w:tcPr>
            <w:tcW w:w="8847" w:type="dxa"/>
            <w:gridSpan w:val="9"/>
            <w:vAlign w:val="center"/>
          </w:tcPr>
          <w:p w14:paraId="06C4AAA4">
            <w:pPr>
              <w:jc w:val="center"/>
            </w:pPr>
            <w:r>
              <w:rPr>
                <w:rFonts w:ascii="宋体" w:hAnsi="宋体" w:eastAsia="宋体"/>
                <w:sz w:val="24"/>
              </w:rPr>
              <w:t>单位整体支出绩效自评表</w:t>
            </w:r>
          </w:p>
        </w:tc>
      </w:tr>
      <w:tr w14:paraId="0B419822">
        <w:tblPrEx>
          <w:tblCellMar>
            <w:top w:w="0" w:type="dxa"/>
            <w:left w:w="108" w:type="dxa"/>
            <w:bottom w:w="0" w:type="dxa"/>
            <w:right w:w="108" w:type="dxa"/>
          </w:tblCellMar>
        </w:tblPrEx>
        <w:tc>
          <w:tcPr>
            <w:tcW w:w="8847" w:type="dxa"/>
            <w:gridSpan w:val="9"/>
            <w:vAlign w:val="center"/>
          </w:tcPr>
          <w:p w14:paraId="735EA650">
            <w:pPr>
              <w:jc w:val="center"/>
            </w:pPr>
            <w:r>
              <w:rPr>
                <w:rFonts w:ascii="宋体" w:hAnsi="宋体" w:eastAsia="宋体"/>
                <w:sz w:val="24"/>
              </w:rPr>
              <w:t>（2024年度）</w:t>
            </w:r>
          </w:p>
        </w:tc>
      </w:tr>
      <w:tr w14:paraId="407F3C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7BF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249B39">
            <w:pPr>
              <w:jc w:val="center"/>
            </w:pPr>
            <w:r>
              <w:rPr>
                <w:rFonts w:ascii="宋体" w:hAnsi="宋体" w:eastAsia="宋体"/>
                <w:sz w:val="16"/>
              </w:rPr>
              <w:t>吉木萨尔县准东五彩湾学校</w:t>
            </w:r>
          </w:p>
        </w:tc>
      </w:tr>
      <w:tr w14:paraId="344324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CF391">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AE3C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1F6F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6474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263E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139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92D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EF05">
            <w:pPr>
              <w:jc w:val="center"/>
            </w:pPr>
            <w:r>
              <w:rPr>
                <w:rFonts w:ascii="宋体" w:hAnsi="宋体" w:eastAsia="宋体"/>
                <w:sz w:val="16"/>
              </w:rPr>
              <w:t>得分</w:t>
            </w:r>
          </w:p>
        </w:tc>
      </w:tr>
      <w:tr w14:paraId="674258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E57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5EE2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79FF">
            <w:pPr>
              <w:jc w:val="center"/>
            </w:pPr>
            <w:r>
              <w:rPr>
                <w:rFonts w:ascii="宋体" w:hAnsi="宋体" w:eastAsia="宋体"/>
                <w:sz w:val="16"/>
              </w:rPr>
              <w:t>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04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DF5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B8E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DEA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52FC">
            <w:pPr>
              <w:jc w:val="center"/>
            </w:pPr>
            <w:r>
              <w:rPr>
                <w:rFonts w:ascii="宋体" w:hAnsi="宋体" w:eastAsia="宋体"/>
                <w:sz w:val="16"/>
              </w:rPr>
              <w:t>-</w:t>
            </w:r>
          </w:p>
        </w:tc>
      </w:tr>
      <w:tr w14:paraId="3A4B3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84D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0E7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D3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FD864">
            <w:pPr>
              <w:jc w:val="center"/>
            </w:pPr>
            <w:r>
              <w:rPr>
                <w:rFonts w:ascii="宋体" w:hAnsi="宋体" w:eastAsia="宋体"/>
                <w:sz w:val="16"/>
              </w:rPr>
              <w:t>401.06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31CD6">
            <w:pPr>
              <w:jc w:val="center"/>
            </w:pPr>
            <w:r>
              <w:rPr>
                <w:rFonts w:ascii="宋体" w:hAnsi="宋体" w:eastAsia="宋体"/>
                <w:sz w:val="16"/>
              </w:rPr>
              <w:t>401.00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B52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EC6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2DCA3">
            <w:pPr>
              <w:jc w:val="center"/>
            </w:pPr>
            <w:r>
              <w:rPr>
                <w:rFonts w:ascii="宋体" w:hAnsi="宋体" w:eastAsia="宋体"/>
                <w:sz w:val="16"/>
              </w:rPr>
              <w:t>-</w:t>
            </w:r>
          </w:p>
        </w:tc>
      </w:tr>
      <w:tr w14:paraId="656832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307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CA9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00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F79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21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00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1FD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422E7">
            <w:pPr>
              <w:jc w:val="center"/>
            </w:pPr>
            <w:r>
              <w:rPr>
                <w:rFonts w:ascii="宋体" w:hAnsi="宋体" w:eastAsia="宋体"/>
                <w:sz w:val="16"/>
              </w:rPr>
              <w:t>-</w:t>
            </w:r>
          </w:p>
        </w:tc>
      </w:tr>
      <w:tr w14:paraId="39777A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F6C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9678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10289">
            <w:pPr>
              <w:jc w:val="center"/>
            </w:pPr>
            <w:r>
              <w:rPr>
                <w:rFonts w:ascii="宋体" w:hAnsi="宋体" w:eastAsia="宋体"/>
                <w:sz w:val="16"/>
              </w:rPr>
              <w:t>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BCA95">
            <w:pPr>
              <w:jc w:val="center"/>
            </w:pPr>
            <w:r>
              <w:rPr>
                <w:rFonts w:ascii="宋体" w:hAnsi="宋体" w:eastAsia="宋体"/>
                <w:sz w:val="16"/>
              </w:rPr>
              <w:t>401.06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7D31">
            <w:pPr>
              <w:jc w:val="center"/>
            </w:pPr>
            <w:r>
              <w:rPr>
                <w:rFonts w:ascii="宋体" w:hAnsi="宋体" w:eastAsia="宋体"/>
                <w:sz w:val="16"/>
              </w:rPr>
              <w:t>401.00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40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55B4">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6E153">
            <w:pPr>
              <w:jc w:val="center"/>
            </w:pPr>
            <w:r>
              <w:rPr>
                <w:rFonts w:ascii="宋体" w:hAnsi="宋体" w:eastAsia="宋体"/>
                <w:sz w:val="16"/>
              </w:rPr>
              <w:t>9.99</w:t>
            </w:r>
          </w:p>
        </w:tc>
      </w:tr>
      <w:tr w14:paraId="126FF9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399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BDE5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DE9484">
            <w:pPr>
              <w:jc w:val="center"/>
            </w:pPr>
            <w:r>
              <w:rPr>
                <w:rFonts w:ascii="宋体" w:hAnsi="宋体" w:eastAsia="宋体"/>
                <w:sz w:val="16"/>
              </w:rPr>
              <w:t>实际完成情况</w:t>
            </w:r>
          </w:p>
        </w:tc>
      </w:tr>
      <w:tr w14:paraId="6E660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BDF0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5A7AA6">
            <w:pPr>
              <w:jc w:val="both"/>
            </w:pPr>
            <w:r>
              <w:rPr>
                <w:rFonts w:ascii="宋体" w:hAnsi="宋体" w:eastAsia="宋体"/>
                <w:sz w:val="16"/>
              </w:rPr>
              <w:t>坚持“质量立校，特色强校”的办学思路，严谨治学，求真务实，走优质教育的内涵开展之路，艰辛奋斗，自强不息，培养学生全面发展，塑造学生的健全人格</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4717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401.06万元，全年执行数为401.00万元，主要完成实际内容如下：1.制定和完善工作计划，开展教师培训；2.定期组织教师开展教学研讨，提升教学方法和技巧；3.提高培优辅困质量，探索新思路；4.加强作业管理，确保作业适量且有效；5.加强师资队伍建设，定期组织教师培训，提升教师专业素养；6.定期对工作计划的执行情况进行评估和总结，及时调整和优化工作计划，确保各项工作目标的实现。</w:t>
            </w:r>
          </w:p>
        </w:tc>
      </w:tr>
      <w:tr w14:paraId="07A78F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BC0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882D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D17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03CD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41E9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9701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DC8E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6870">
            <w:pPr>
              <w:jc w:val="center"/>
            </w:pPr>
            <w:r>
              <w:rPr>
                <w:rFonts w:ascii="宋体" w:hAnsi="宋体" w:eastAsia="宋体"/>
                <w:sz w:val="16"/>
              </w:rPr>
              <w:t>得分</w:t>
            </w:r>
          </w:p>
        </w:tc>
      </w:tr>
      <w:tr w14:paraId="7CA8C5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79455">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F66C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7C486">
            <w:pPr>
              <w:jc w:val="center"/>
            </w:pPr>
            <w:r>
              <w:rPr>
                <w:rFonts w:ascii="宋体" w:hAnsi="宋体" w:eastAsia="宋体"/>
                <w:sz w:val="16"/>
              </w:rPr>
              <w:t>招生人数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56391">
            <w:pPr>
              <w:jc w:val="center"/>
            </w:pPr>
            <w:r>
              <w:rPr>
                <w:rFonts w:ascii="宋体" w:hAnsi="宋体" w:eastAsia="宋体"/>
                <w:sz w:val="16"/>
              </w:rPr>
              <w:t>&gt;=243人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D0288">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DA9A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C4B0B">
            <w:pPr>
              <w:jc w:val="center"/>
            </w:pPr>
            <w:r>
              <w:rPr>
                <w:rFonts w:ascii="宋体" w:hAnsi="宋体" w:eastAsia="宋体"/>
                <w:sz w:val="16"/>
              </w:rPr>
              <w:t>475人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4A446">
            <w:pPr>
              <w:jc w:val="center"/>
            </w:pPr>
            <w:r>
              <w:rPr>
                <w:rFonts w:ascii="宋体" w:hAnsi="宋体" w:eastAsia="宋体"/>
                <w:sz w:val="16"/>
              </w:rPr>
              <w:t>15</w:t>
            </w:r>
          </w:p>
        </w:tc>
      </w:tr>
      <w:tr w14:paraId="643EE7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012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69F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B6CA">
            <w:pPr>
              <w:jc w:val="center"/>
            </w:pPr>
            <w:r>
              <w:rPr>
                <w:rFonts w:ascii="宋体" w:hAnsi="宋体" w:eastAsia="宋体"/>
                <w:sz w:val="16"/>
              </w:rPr>
              <w:t>在校教职工人数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C729">
            <w:pPr>
              <w:jc w:val="center"/>
            </w:pPr>
            <w:r>
              <w:rPr>
                <w:rFonts w:ascii="宋体" w:hAnsi="宋体" w:eastAsia="宋体"/>
                <w:sz w:val="16"/>
              </w:rPr>
              <w:t>&gt;=55人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57C4">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C146">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470F">
            <w:pPr>
              <w:jc w:val="center"/>
            </w:pPr>
            <w:r>
              <w:rPr>
                <w:rFonts w:ascii="宋体" w:hAnsi="宋体" w:eastAsia="宋体"/>
                <w:sz w:val="16"/>
              </w:rPr>
              <w: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C63D">
            <w:pPr>
              <w:jc w:val="center"/>
            </w:pPr>
            <w:r>
              <w:rPr>
                <w:rFonts w:ascii="宋体" w:hAnsi="宋体" w:eastAsia="宋体"/>
                <w:sz w:val="16"/>
              </w:rPr>
              <w:t>14</w:t>
            </w:r>
          </w:p>
        </w:tc>
      </w:tr>
      <w:tr w14:paraId="620121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C85A6">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BC7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FD3AD">
            <w:pPr>
              <w:jc w:val="center"/>
            </w:pPr>
            <w:r>
              <w:rPr>
                <w:rFonts w:ascii="宋体" w:hAnsi="宋体" w:eastAsia="宋体"/>
                <w:sz w:val="16"/>
              </w:rPr>
              <w:t>教育教学完成情况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1B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98443">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01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D2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200C2">
            <w:pPr>
              <w:jc w:val="center"/>
            </w:pPr>
            <w:r>
              <w:rPr>
                <w:rFonts w:ascii="宋体" w:hAnsi="宋体" w:eastAsia="宋体"/>
                <w:sz w:val="16"/>
              </w:rPr>
              <w:t>20</w:t>
            </w:r>
          </w:p>
        </w:tc>
      </w:tr>
      <w:tr w14:paraId="603AD1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C6C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4AD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C4CEF">
            <w:pPr>
              <w:jc w:val="center"/>
            </w:pPr>
            <w:r>
              <w:rPr>
                <w:rFonts w:ascii="宋体" w:hAnsi="宋体" w:eastAsia="宋体"/>
                <w:sz w:val="16"/>
              </w:rPr>
              <w:t>组织开展研学活动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83BA">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1640">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8B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B8A7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A5F65">
            <w:pPr>
              <w:jc w:val="center"/>
            </w:pPr>
            <w:r>
              <w:rPr>
                <w:rFonts w:ascii="宋体" w:hAnsi="宋体" w:eastAsia="宋体"/>
                <w:sz w:val="16"/>
              </w:rPr>
              <w:t>2</w:t>
            </w:r>
          </w:p>
        </w:tc>
      </w:tr>
      <w:tr w14:paraId="17B013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A25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428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2BBB7">
            <w:pPr>
              <w:jc w:val="center"/>
            </w:pPr>
            <w:r>
              <w:rPr>
                <w:rFonts w:ascii="宋体" w:hAnsi="宋体" w:eastAsia="宋体"/>
                <w:sz w:val="16"/>
              </w:rPr>
              <w:t>毕业生升学人数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579F">
            <w:pPr>
              <w:jc w:val="center"/>
            </w:pPr>
            <w:r>
              <w:rPr>
                <w:rFonts w:ascii="宋体" w:hAnsi="宋体" w:eastAsia="宋体"/>
                <w:sz w:val="16"/>
              </w:rPr>
              <w:t>&gt;=29人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9522B">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819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7C09C">
            <w:pPr>
              <w:jc w:val="center"/>
            </w:pPr>
            <w:r>
              <w:rPr>
                <w:rFonts w:ascii="宋体" w:hAnsi="宋体" w:eastAsia="宋体"/>
                <w:sz w:val="16"/>
              </w:rPr>
              <w: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FC5E1">
            <w:pPr>
              <w:jc w:val="center"/>
            </w:pPr>
            <w:r>
              <w:rPr>
                <w:rFonts w:ascii="宋体" w:hAnsi="宋体" w:eastAsia="宋体"/>
                <w:sz w:val="16"/>
              </w:rPr>
              <w:t>15</w:t>
            </w:r>
          </w:p>
        </w:tc>
      </w:tr>
      <w:tr w14:paraId="45F8C2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933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A2711">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AAD9F">
            <w:pPr>
              <w:jc w:val="center"/>
            </w:pPr>
            <w:r>
              <w:rPr>
                <w:rFonts w:ascii="宋体" w:hAnsi="宋体" w:eastAsia="宋体"/>
                <w:sz w:val="16"/>
              </w:rPr>
              <w:t>组织开展教职工培训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EB268">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F178">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B5B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A5260">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643B">
            <w:pPr>
              <w:jc w:val="center"/>
            </w:pPr>
            <w:r>
              <w:rPr>
                <w:rFonts w:ascii="宋体" w:hAnsi="宋体" w:eastAsia="宋体"/>
                <w:sz w:val="16"/>
              </w:rPr>
              <w:t>8</w:t>
            </w:r>
          </w:p>
        </w:tc>
      </w:tr>
      <w:tr w14:paraId="5F577D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88E24">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45557">
            <w:pPr>
              <w:jc w:val="center"/>
            </w:pPr>
            <w:r>
              <w:rPr>
                <w:rFonts w:ascii="宋体" w:hAnsi="宋体" w:eastAsia="宋体"/>
                <w:sz w:val="16"/>
              </w:rPr>
              <w:t>服务对象满意度</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A2FD">
            <w:pPr>
              <w:jc w:val="center"/>
            </w:pPr>
            <w:r>
              <w:rPr>
                <w:rFonts w:ascii="宋体" w:hAnsi="宋体" w:eastAsia="宋体"/>
                <w:sz w:val="16"/>
              </w:rPr>
              <w:t>受益学生家长满意度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0E90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40472">
            <w:pPr>
              <w:jc w:val="center"/>
            </w:pPr>
            <w:r>
              <w:rPr>
                <w:rFonts w:ascii="宋体" w:hAnsi="宋体" w:eastAsia="宋体"/>
                <w:sz w:val="16"/>
              </w:rPr>
              <w:t>三年发展规划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8B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BEB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A8E43">
            <w:pPr>
              <w:jc w:val="center"/>
            </w:pPr>
            <w:r>
              <w:rPr>
                <w:rFonts w:ascii="宋体" w:hAnsi="宋体" w:eastAsia="宋体"/>
                <w:sz w:val="16"/>
              </w:rPr>
              <w:t>10</w:t>
            </w:r>
          </w:p>
        </w:tc>
      </w:tr>
    </w:tbl>
    <w:p w14:paraId="7527C1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93"/>
        <w:gridCol w:w="535"/>
        <w:gridCol w:w="632"/>
        <w:gridCol w:w="632"/>
        <w:gridCol w:w="632"/>
        <w:gridCol w:w="632"/>
        <w:gridCol w:w="632"/>
        <w:gridCol w:w="531"/>
        <w:gridCol w:w="733"/>
        <w:gridCol w:w="632"/>
        <w:gridCol w:w="632"/>
      </w:tblGrid>
      <w:tr w14:paraId="5EA0B5C5">
        <w:tblPrEx>
          <w:tblCellMar>
            <w:top w:w="0" w:type="dxa"/>
            <w:left w:w="108" w:type="dxa"/>
            <w:bottom w:w="0" w:type="dxa"/>
            <w:right w:w="108" w:type="dxa"/>
          </w:tblCellMar>
        </w:tblPrEx>
        <w:tc>
          <w:tcPr>
            <w:tcW w:w="8912" w:type="dxa"/>
            <w:gridSpan w:val="14"/>
            <w:vAlign w:val="center"/>
          </w:tcPr>
          <w:p w14:paraId="3FEA89FB">
            <w:pPr>
              <w:jc w:val="center"/>
            </w:pPr>
            <w:r>
              <w:rPr>
                <w:rFonts w:ascii="宋体" w:hAnsi="宋体" w:eastAsia="宋体"/>
                <w:sz w:val="24"/>
              </w:rPr>
              <w:t>项目支出绩效自评表</w:t>
            </w:r>
          </w:p>
        </w:tc>
      </w:tr>
      <w:tr w14:paraId="17901BB3">
        <w:tblPrEx>
          <w:tblCellMar>
            <w:top w:w="0" w:type="dxa"/>
            <w:left w:w="108" w:type="dxa"/>
            <w:bottom w:w="0" w:type="dxa"/>
            <w:right w:w="108" w:type="dxa"/>
          </w:tblCellMar>
        </w:tblPrEx>
        <w:tc>
          <w:tcPr>
            <w:tcW w:w="8912" w:type="dxa"/>
            <w:gridSpan w:val="14"/>
            <w:vAlign w:val="center"/>
          </w:tcPr>
          <w:p w14:paraId="487A3249">
            <w:pPr>
              <w:jc w:val="center"/>
            </w:pPr>
            <w:r>
              <w:rPr>
                <w:rFonts w:ascii="宋体" w:hAnsi="宋体" w:eastAsia="宋体"/>
                <w:sz w:val="24"/>
              </w:rPr>
              <w:t>(2024年度)</w:t>
            </w:r>
          </w:p>
        </w:tc>
      </w:tr>
      <w:tr w14:paraId="7638C0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7B22">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512B50">
            <w:pPr>
              <w:jc w:val="center"/>
            </w:pPr>
            <w:r>
              <w:rPr>
                <w:rFonts w:ascii="宋体" w:hAnsi="宋体" w:eastAsia="宋体"/>
                <w:sz w:val="16"/>
              </w:rPr>
              <w:t>小学家庭经济困难学生生活补助</w:t>
            </w:r>
          </w:p>
        </w:tc>
      </w:tr>
      <w:tr w14:paraId="20962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9C7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AE75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54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C54A99">
            <w:pPr>
              <w:jc w:val="center"/>
            </w:pPr>
            <w:r>
              <w:rPr>
                <w:rFonts w:ascii="宋体" w:hAnsi="宋体" w:eastAsia="宋体"/>
                <w:sz w:val="16"/>
              </w:rPr>
              <w:t>吉木萨尔县准东五彩湾学校</w:t>
            </w:r>
          </w:p>
        </w:tc>
      </w:tr>
      <w:tr w14:paraId="07E4D6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8749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E501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24D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DC3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E97B">
            <w:pPr>
              <w:jc w:val="center"/>
            </w:pPr>
            <w:r>
              <w:rPr>
                <w:rFonts w:ascii="宋体" w:hAnsi="宋体" w:eastAsia="宋体"/>
                <w:sz w:val="16"/>
              </w:rPr>
              <w:t>全年执行数</w:t>
            </w:r>
          </w:p>
        </w:tc>
        <w:tc>
          <w:tcPr>
            <w:tcW w:w="1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58D9C">
            <w:pPr>
              <w:jc w:val="center"/>
            </w:pPr>
            <w:r>
              <w:rPr>
                <w:rFonts w:ascii="宋体" w:hAnsi="宋体" w:eastAsia="宋体"/>
                <w:sz w:val="16"/>
              </w:rPr>
              <w:t>分值</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AAE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505D">
            <w:pPr>
              <w:jc w:val="center"/>
            </w:pPr>
            <w:r>
              <w:rPr>
                <w:rFonts w:ascii="宋体" w:hAnsi="宋体" w:eastAsia="宋体"/>
                <w:sz w:val="16"/>
              </w:rPr>
              <w:t>得分</w:t>
            </w:r>
          </w:p>
        </w:tc>
      </w:tr>
      <w:tr w14:paraId="6DCED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F08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C0BD0">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3F748">
            <w:pPr>
              <w:jc w:val="center"/>
            </w:pPr>
            <w:r>
              <w:rPr>
                <w:rFonts w:ascii="宋体" w:hAnsi="宋体" w:eastAsia="宋体"/>
                <w:sz w:val="16"/>
              </w:rPr>
              <w:t>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475B">
            <w:pPr>
              <w:jc w:val="center"/>
            </w:pPr>
            <w:r>
              <w:rPr>
                <w:rFonts w:ascii="宋体" w:hAnsi="宋体" w:eastAsia="宋体"/>
                <w:sz w:val="16"/>
              </w:rPr>
              <w:t>18.15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D981">
            <w:pPr>
              <w:jc w:val="center"/>
            </w:pPr>
            <w:r>
              <w:rPr>
                <w:rFonts w:ascii="宋体" w:hAnsi="宋体" w:eastAsia="宋体"/>
                <w:sz w:val="16"/>
              </w:rPr>
              <w:t>18.15</w:t>
            </w:r>
          </w:p>
        </w:tc>
        <w:tc>
          <w:tcPr>
            <w:tcW w:w="1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48548">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17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01B0">
            <w:pPr>
              <w:jc w:val="center"/>
            </w:pPr>
            <w:r>
              <w:rPr>
                <w:rFonts w:ascii="宋体" w:hAnsi="宋体" w:eastAsia="宋体"/>
                <w:sz w:val="16"/>
              </w:rPr>
              <w:t>10.00</w:t>
            </w:r>
          </w:p>
        </w:tc>
      </w:tr>
      <w:tr w14:paraId="2F5B1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857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1587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2E94">
            <w:pPr>
              <w:jc w:val="center"/>
            </w:pPr>
            <w:r>
              <w:rPr>
                <w:rFonts w:ascii="宋体" w:hAnsi="宋体" w:eastAsia="宋体"/>
                <w:sz w:val="16"/>
              </w:rPr>
              <w:t>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5D33E">
            <w:pPr>
              <w:jc w:val="center"/>
            </w:pPr>
            <w:r>
              <w:rPr>
                <w:rFonts w:ascii="宋体" w:hAnsi="宋体" w:eastAsia="宋体"/>
                <w:sz w:val="16"/>
              </w:rPr>
              <w:t>18.15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E227">
            <w:pPr>
              <w:jc w:val="center"/>
            </w:pPr>
            <w:r>
              <w:rPr>
                <w:rFonts w:ascii="宋体" w:hAnsi="宋体" w:eastAsia="宋体"/>
                <w:sz w:val="16"/>
              </w:rPr>
              <w:t>18.15</w:t>
            </w:r>
          </w:p>
        </w:tc>
        <w:tc>
          <w:tcPr>
            <w:tcW w:w="1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07C6">
            <w:pPr>
              <w:jc w:val="center"/>
            </w:pPr>
            <w:r>
              <w:rPr>
                <w:rFonts w:ascii="宋体" w:hAnsi="宋体" w:eastAsia="宋体"/>
                <w:sz w:val="16"/>
              </w:rPr>
              <w:t>—</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5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8CF0">
            <w:pPr>
              <w:jc w:val="center"/>
            </w:pPr>
            <w:r>
              <w:rPr>
                <w:rFonts w:ascii="宋体" w:hAnsi="宋体" w:eastAsia="宋体"/>
                <w:sz w:val="16"/>
              </w:rPr>
              <w:t>—</w:t>
            </w:r>
          </w:p>
        </w:tc>
      </w:tr>
      <w:tr w14:paraId="0DA3D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0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35303">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AF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B5D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A1A49">
            <w:pPr>
              <w:jc w:val="center"/>
            </w:pPr>
            <w:r>
              <w:rPr>
                <w:rFonts w:ascii="宋体" w:hAnsi="宋体" w:eastAsia="宋体"/>
                <w:sz w:val="16"/>
              </w:rPr>
              <w:t>0.00</w:t>
            </w:r>
          </w:p>
        </w:tc>
        <w:tc>
          <w:tcPr>
            <w:tcW w:w="1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67BF">
            <w:pPr>
              <w:jc w:val="center"/>
            </w:pPr>
            <w:r>
              <w:rPr>
                <w:rFonts w:ascii="宋体" w:hAnsi="宋体" w:eastAsia="宋体"/>
                <w:sz w:val="16"/>
              </w:rPr>
              <w:t>—</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B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A2B8">
            <w:pPr>
              <w:jc w:val="center"/>
            </w:pPr>
            <w:r>
              <w:rPr>
                <w:rFonts w:ascii="宋体" w:hAnsi="宋体" w:eastAsia="宋体"/>
                <w:sz w:val="16"/>
              </w:rPr>
              <w:t>—</w:t>
            </w:r>
          </w:p>
        </w:tc>
      </w:tr>
      <w:tr w14:paraId="585B73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ADE8">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180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9E0A7">
            <w:pPr>
              <w:jc w:val="center"/>
            </w:pPr>
            <w:r>
              <w:rPr>
                <w:rFonts w:ascii="宋体" w:hAnsi="宋体" w:eastAsia="宋体"/>
                <w:sz w:val="16"/>
              </w:rPr>
              <w:t>实际完成情况</w:t>
            </w:r>
          </w:p>
        </w:tc>
      </w:tr>
      <w:tr w14:paraId="458E0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BA41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EFC15">
            <w:pPr>
              <w:jc w:val="both"/>
            </w:pPr>
            <w:r>
              <w:rPr>
                <w:rFonts w:ascii="宋体" w:hAnsi="宋体" w:eastAsia="宋体"/>
                <w:sz w:val="16"/>
              </w:rPr>
              <w:t>家庭经济困难学生应</w:t>
            </w:r>
            <w:r>
              <w:rPr>
                <w:rFonts w:hint="eastAsia" w:ascii="宋体" w:hAnsi="宋体"/>
                <w:sz w:val="16"/>
                <w:lang w:eastAsia="zh-CN"/>
              </w:rPr>
              <w:t>享受</w:t>
            </w:r>
            <w:r>
              <w:rPr>
                <w:rFonts w:ascii="宋体" w:hAnsi="宋体" w:eastAsia="宋体"/>
                <w:sz w:val="16"/>
              </w:rPr>
              <w:t>资助，保障义务教育普及型，补助学生人数336人。发放非寄宿生补助费用6.65万元，寄宿生生活补助用于支付食材款费用11.5万元，补助政策知晓率达到90%以上，争取使受益学生及家长满意度不低于90%。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C1249">
            <w:pPr>
              <w:jc w:val="both"/>
            </w:pPr>
            <w:r>
              <w:rPr>
                <w:rFonts w:hint="eastAsia" w:ascii="宋体" w:hAnsi="宋体"/>
                <w:sz w:val="16"/>
                <w:lang w:eastAsia="zh-CN"/>
              </w:rPr>
              <w:t>截至</w:t>
            </w:r>
            <w:r>
              <w:rPr>
                <w:rFonts w:ascii="宋体" w:hAnsi="宋体" w:eastAsia="宋体"/>
                <w:sz w:val="16"/>
              </w:rPr>
              <w:t>2024年12月31日，本项目实际支出资金18.15万元，预算执行率为100%，实际已完成家庭经济困难学生生活补助发放，通过实施本项目，受补助学生和家长满意度达95%。</w:t>
            </w:r>
          </w:p>
        </w:tc>
      </w:tr>
      <w:tr w14:paraId="568FA0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730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99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90CE">
            <w:pPr>
              <w:jc w:val="center"/>
            </w:pPr>
            <w:r>
              <w:rPr>
                <w:rFonts w:ascii="宋体" w:hAnsi="宋体" w:eastAsia="宋体"/>
                <w:sz w:val="16"/>
              </w:rPr>
              <w:t>二级指标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23F9596B">
            <w:pPr>
              <w:jc w:val="center"/>
            </w:pPr>
            <w:r>
              <w:rPr>
                <w:rFonts w:ascii="宋体" w:hAnsi="宋体" w:eastAsia="宋体"/>
                <w:sz w:val="16"/>
              </w:rPr>
              <w:t>三级指标</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6FCF46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853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CDC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9B3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2DF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F3E3">
            <w:pPr>
              <w:jc w:val="center"/>
            </w:pPr>
            <w:r>
              <w:rPr>
                <w:rFonts w:ascii="宋体" w:hAnsi="宋体" w:eastAsia="宋体"/>
                <w:sz w:val="16"/>
              </w:rPr>
              <w:t>指标值设定依据</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1DF1E1C4">
            <w:pPr>
              <w:jc w:val="center"/>
            </w:pPr>
            <w:r>
              <w:rPr>
                <w:rFonts w:ascii="宋体" w:hAnsi="宋体" w:eastAsia="宋体"/>
                <w:sz w:val="16"/>
              </w:rPr>
              <w:t>上年完成情况</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8B416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E1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DFEC">
            <w:pPr>
              <w:jc w:val="center"/>
            </w:pPr>
            <w:r>
              <w:rPr>
                <w:rFonts w:ascii="宋体" w:hAnsi="宋体" w:eastAsia="宋体"/>
                <w:sz w:val="16"/>
              </w:rPr>
              <w:t>偏差原因分析及改进措施</w:t>
            </w:r>
          </w:p>
        </w:tc>
      </w:tr>
      <w:tr w14:paraId="03E0E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583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935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94CE">
            <w:pPr>
              <w:jc w:val="center"/>
            </w:pPr>
            <w:r>
              <w:rPr>
                <w:rFonts w:ascii="宋体" w:hAnsi="宋体" w:eastAsia="宋体"/>
                <w:sz w:val="16"/>
              </w:rPr>
              <w:t>数量指标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68CF7014">
            <w:pPr>
              <w:jc w:val="center"/>
            </w:pPr>
            <w:r>
              <w:rPr>
                <w:rFonts w:ascii="宋体" w:hAnsi="宋体" w:eastAsia="宋体"/>
                <w:sz w:val="16"/>
              </w:rPr>
              <w:t>补助学生人数（人）</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6C82C9E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C50E">
            <w:pPr>
              <w:jc w:val="center"/>
            </w:pPr>
            <w:r>
              <w:rPr>
                <w:rFonts w:ascii="宋体" w:hAnsi="宋体" w:eastAsia="宋体"/>
                <w:sz w:val="16"/>
              </w:rPr>
              <w:t>&gt;=336人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3C2B">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F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81F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48EC">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6F40F550">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970D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D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FF5A">
            <w:pPr>
              <w:jc w:val="center"/>
            </w:pPr>
          </w:p>
        </w:tc>
      </w:tr>
      <w:tr w14:paraId="48B06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9D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A6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6AC7">
            <w:pPr>
              <w:jc w:val="center"/>
            </w:pPr>
            <w:r>
              <w:rPr>
                <w:rFonts w:ascii="宋体" w:hAnsi="宋体" w:eastAsia="宋体"/>
                <w:sz w:val="16"/>
              </w:rPr>
              <w:t>质量指标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7B88DCCA">
            <w:pPr>
              <w:jc w:val="center"/>
            </w:pPr>
            <w:r>
              <w:rPr>
                <w:rFonts w:ascii="宋体" w:hAnsi="宋体" w:eastAsia="宋体"/>
                <w:sz w:val="16"/>
              </w:rPr>
              <w:t>补助资格符合率（%）</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4533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A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4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7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F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6EA7">
            <w:pPr>
              <w:jc w:val="center"/>
            </w:pPr>
            <w:r>
              <w:rPr>
                <w:rFonts w:ascii="宋体" w:hAnsi="宋体" w:eastAsia="宋体"/>
                <w:sz w:val="16"/>
              </w:rPr>
              <w:t>行业标准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6C5B0A45">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4784D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2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AD8D">
            <w:pPr>
              <w:jc w:val="center"/>
            </w:pPr>
          </w:p>
        </w:tc>
      </w:tr>
      <w:tr w14:paraId="1FA8A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C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04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8B16">
            <w:pPr>
              <w:jc w:val="center"/>
            </w:pPr>
            <w:r>
              <w:rPr>
                <w:rFonts w:ascii="宋体" w:hAnsi="宋体" w:eastAsia="宋体"/>
                <w:sz w:val="16"/>
              </w:rPr>
              <w:t>时效指标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2939D01F">
            <w:pPr>
              <w:jc w:val="center"/>
            </w:pPr>
            <w:r>
              <w:rPr>
                <w:rFonts w:ascii="宋体" w:hAnsi="宋体" w:eastAsia="宋体"/>
                <w:sz w:val="16"/>
              </w:rPr>
              <w:t>补助资金发放到位及时率（%）</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13CDEC5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5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2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5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C8F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64ED">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74C6280A">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99A3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F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4646">
            <w:pPr>
              <w:jc w:val="center"/>
            </w:pPr>
          </w:p>
        </w:tc>
      </w:tr>
      <w:tr w14:paraId="55256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6B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802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E06CF">
            <w:pPr>
              <w:jc w:val="center"/>
            </w:pPr>
            <w:r>
              <w:rPr>
                <w:rFonts w:ascii="宋体" w:hAnsi="宋体" w:eastAsia="宋体"/>
                <w:sz w:val="16"/>
              </w:rPr>
              <w:t>经济成本指标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464449E2">
            <w:pPr>
              <w:jc w:val="center"/>
            </w:pPr>
            <w:r>
              <w:rPr>
                <w:rFonts w:ascii="宋体" w:hAnsi="宋体" w:eastAsia="宋体"/>
                <w:sz w:val="16"/>
              </w:rPr>
              <w:t>发放非寄宿生补助费用</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34502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E9CC">
            <w:pPr>
              <w:jc w:val="center"/>
            </w:pPr>
            <w:r>
              <w:rPr>
                <w:rFonts w:ascii="宋体" w:hAnsi="宋体" w:eastAsia="宋体"/>
                <w:sz w:val="16"/>
              </w:rPr>
              <w:t>=6.65万元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42CF">
            <w:pPr>
              <w:jc w:val="center"/>
            </w:pPr>
            <w:r>
              <w:rPr>
                <w:rFonts w:ascii="宋体" w:hAnsi="宋体" w:eastAsia="宋体"/>
                <w:sz w:val="16"/>
              </w:rPr>
              <w:t>=6.65万元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B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B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BA55">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0F73FD2F">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D927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00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C568">
            <w:pPr>
              <w:jc w:val="center"/>
            </w:pPr>
          </w:p>
        </w:tc>
      </w:tr>
      <w:tr w14:paraId="6F774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AC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A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DC7D"/>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01B3849C">
            <w:pPr>
              <w:jc w:val="center"/>
            </w:pPr>
            <w:r>
              <w:rPr>
                <w:rFonts w:ascii="宋体" w:hAnsi="宋体" w:eastAsia="宋体"/>
                <w:sz w:val="16"/>
              </w:rPr>
              <w:t>寄宿生生活补助用于支付食材款费用</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1BC28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278B">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EDFC">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8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5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031B">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171D0B2D">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7D125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04D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E7DF">
            <w:pPr>
              <w:jc w:val="center"/>
            </w:pPr>
          </w:p>
        </w:tc>
      </w:tr>
      <w:tr w14:paraId="432EA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FD0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0C9D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7D9EA">
            <w:pPr>
              <w:jc w:val="center"/>
            </w:pPr>
            <w:r>
              <w:rPr>
                <w:rFonts w:ascii="宋体" w:hAnsi="宋体" w:eastAsia="宋体"/>
                <w:sz w:val="16"/>
              </w:rPr>
              <w:t>社会效益指标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2D0EAC75">
            <w:pPr>
              <w:jc w:val="center"/>
            </w:pPr>
            <w:r>
              <w:rPr>
                <w:rFonts w:ascii="宋体" w:hAnsi="宋体" w:eastAsia="宋体"/>
                <w:sz w:val="16"/>
              </w:rPr>
              <w:t>补助政策知晓率（%）</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31DB8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86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0C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72A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C3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DC8B">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6F34E63B">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94E8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A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1B62">
            <w:pPr>
              <w:jc w:val="center"/>
            </w:pPr>
            <w:r>
              <w:rPr>
                <w:rFonts w:ascii="宋体" w:hAnsi="宋体" w:eastAsia="宋体"/>
                <w:sz w:val="16"/>
              </w:rPr>
              <w:t>项目的实施使得受益学生和家长均比较满意。</w:t>
            </w:r>
          </w:p>
        </w:tc>
      </w:tr>
      <w:tr w14:paraId="0C3C0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C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9D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4B76"/>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379CC593">
            <w:pPr>
              <w:jc w:val="center"/>
            </w:pPr>
            <w:r>
              <w:rPr>
                <w:rFonts w:ascii="宋体" w:hAnsi="宋体" w:eastAsia="宋体"/>
                <w:sz w:val="16"/>
              </w:rPr>
              <w:t>保障义务教育普及型</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773A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33F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7E1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4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2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6D30">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6DCA224F">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5B18D1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6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19CC">
            <w:pPr>
              <w:jc w:val="center"/>
            </w:pPr>
          </w:p>
        </w:tc>
      </w:tr>
      <w:tr w14:paraId="6FB8E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0E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4571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5F4A0">
            <w:pPr>
              <w:jc w:val="center"/>
            </w:pPr>
            <w:r>
              <w:rPr>
                <w:rFonts w:ascii="宋体" w:hAnsi="宋体" w:eastAsia="宋体"/>
                <w:sz w:val="16"/>
              </w:rPr>
              <w:t>满意度指标</w:t>
            </w:r>
          </w:p>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271E230A">
            <w:pPr>
              <w:jc w:val="center"/>
            </w:pPr>
            <w:r>
              <w:rPr>
                <w:rFonts w:ascii="宋体" w:hAnsi="宋体" w:eastAsia="宋体"/>
                <w:sz w:val="16"/>
              </w:rPr>
              <w:t>受益学生满意度（%）</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87327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BE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1F7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A8F6">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86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1C26">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50630743">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4B442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1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A0A4">
            <w:pPr>
              <w:jc w:val="center"/>
            </w:pPr>
            <w:r>
              <w:rPr>
                <w:rFonts w:ascii="宋体" w:hAnsi="宋体" w:eastAsia="宋体"/>
                <w:sz w:val="16"/>
              </w:rPr>
              <w:t>项目的实施使得受益学生和家长均比较满意。</w:t>
            </w:r>
          </w:p>
        </w:tc>
      </w:tr>
      <w:tr w14:paraId="26258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F7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7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746A1"/>
        </w:tc>
        <w:tc>
          <w:tcPr>
            <w:tcW w:w="793" w:type="dxa"/>
            <w:tcBorders>
              <w:top w:val="single" w:color="auto" w:sz="10" w:space="0"/>
              <w:left w:val="single" w:color="auto" w:sz="10" w:space="0"/>
              <w:bottom w:val="single" w:color="auto" w:sz="10" w:space="0"/>
              <w:right w:val="single" w:color="auto" w:sz="10" w:space="0"/>
              <w:insideV w:val="single" w:sz="10" w:space="0"/>
            </w:tcBorders>
            <w:vAlign w:val="center"/>
          </w:tcPr>
          <w:p w14:paraId="49C74F79">
            <w:pPr>
              <w:jc w:val="center"/>
            </w:pPr>
            <w:r>
              <w:rPr>
                <w:rFonts w:ascii="宋体" w:hAnsi="宋体" w:eastAsia="宋体"/>
                <w:sz w:val="16"/>
              </w:rPr>
              <w:t>受益学生家长满意度</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779967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CC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4C8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716A">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4E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D71E">
            <w:pPr>
              <w:jc w:val="center"/>
            </w:pPr>
            <w:r>
              <w:rPr>
                <w:rFonts w:ascii="宋体" w:hAnsi="宋体" w:eastAsia="宋体"/>
                <w:sz w:val="16"/>
              </w:rPr>
              <w:t>计划标准</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47B6D1A7">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188D6A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5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FEE6">
            <w:pPr>
              <w:jc w:val="center"/>
            </w:pPr>
            <w:r>
              <w:rPr>
                <w:rFonts w:ascii="宋体" w:hAnsi="宋体" w:eastAsia="宋体"/>
                <w:sz w:val="16"/>
              </w:rPr>
              <w:t>项目的实施使得受益学生和家长均比较满意。</w:t>
            </w:r>
          </w:p>
        </w:tc>
      </w:tr>
      <w:tr w14:paraId="08C4958F">
        <w:tblPrEx>
          <w:tblCellMar>
            <w:top w:w="0" w:type="dxa"/>
            <w:left w:w="108" w:type="dxa"/>
            <w:bottom w:w="0" w:type="dxa"/>
            <w:right w:w="108" w:type="dxa"/>
          </w:tblCellMar>
        </w:tblPrEx>
        <w:tc>
          <w:tcPr>
            <w:tcW w:w="268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A902E4">
            <w:pPr>
              <w:jc w:val="center"/>
            </w:pPr>
            <w:r>
              <w:rPr>
                <w:rFonts w:ascii="宋体" w:hAnsi="宋体" w:eastAsia="宋体"/>
                <w:sz w:val="16"/>
              </w:rPr>
              <w:t>总分</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8A5D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89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04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89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AD19">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ACAA3"/>
        </w:tc>
        <w:tc>
          <w:tcPr>
            <w:tcW w:w="531" w:type="dxa"/>
            <w:tcBorders>
              <w:top w:val="single" w:color="auto" w:sz="10" w:space="0"/>
              <w:left w:val="single" w:color="auto" w:sz="10" w:space="0"/>
              <w:bottom w:val="single" w:color="auto" w:sz="10" w:space="0"/>
              <w:right w:val="single" w:color="auto" w:sz="10" w:space="0"/>
              <w:insideV w:val="single" w:sz="10" w:space="0"/>
            </w:tcBorders>
          </w:tcPr>
          <w:p w14:paraId="087CF52B"/>
        </w:tc>
        <w:tc>
          <w:tcPr>
            <w:tcW w:w="733" w:type="dxa"/>
            <w:tcBorders>
              <w:top w:val="single" w:color="auto" w:sz="10" w:space="0"/>
              <w:left w:val="single" w:color="auto" w:sz="10" w:space="0"/>
              <w:bottom w:val="single" w:color="auto" w:sz="10" w:space="0"/>
              <w:right w:val="single" w:color="auto" w:sz="10" w:space="0"/>
              <w:insideV w:val="single" w:sz="10" w:space="0"/>
            </w:tcBorders>
          </w:tcPr>
          <w:p w14:paraId="4FECD0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1BC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33503"/>
        </w:tc>
      </w:tr>
    </w:tbl>
    <w:p w14:paraId="2317205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631"/>
        <w:gridCol w:w="696"/>
        <w:gridCol w:w="629"/>
        <w:gridCol w:w="696"/>
        <w:gridCol w:w="624"/>
        <w:gridCol w:w="624"/>
        <w:gridCol w:w="624"/>
        <w:gridCol w:w="626"/>
        <w:gridCol w:w="776"/>
      </w:tblGrid>
      <w:tr w14:paraId="7DC600F4">
        <w:tblPrEx>
          <w:tblCellMar>
            <w:top w:w="0" w:type="dxa"/>
            <w:left w:w="108" w:type="dxa"/>
            <w:bottom w:w="0" w:type="dxa"/>
            <w:right w:w="108" w:type="dxa"/>
          </w:tblCellMar>
        </w:tblPrEx>
        <w:tc>
          <w:tcPr>
            <w:tcW w:w="8848" w:type="dxa"/>
            <w:gridSpan w:val="14"/>
            <w:vAlign w:val="center"/>
          </w:tcPr>
          <w:p w14:paraId="04A0F4C4">
            <w:pPr>
              <w:jc w:val="center"/>
            </w:pPr>
            <w:r>
              <w:rPr>
                <w:rFonts w:ascii="宋体" w:hAnsi="宋体" w:eastAsia="宋体"/>
                <w:sz w:val="24"/>
              </w:rPr>
              <w:t>项目支出绩效自评表</w:t>
            </w:r>
          </w:p>
        </w:tc>
      </w:tr>
      <w:tr w14:paraId="4D81CCF4">
        <w:tblPrEx>
          <w:tblCellMar>
            <w:top w:w="0" w:type="dxa"/>
            <w:left w:w="108" w:type="dxa"/>
            <w:bottom w:w="0" w:type="dxa"/>
            <w:right w:w="108" w:type="dxa"/>
          </w:tblCellMar>
        </w:tblPrEx>
        <w:tc>
          <w:tcPr>
            <w:tcW w:w="8848" w:type="dxa"/>
            <w:gridSpan w:val="14"/>
            <w:vAlign w:val="center"/>
          </w:tcPr>
          <w:p w14:paraId="2B9127F4">
            <w:pPr>
              <w:jc w:val="center"/>
            </w:pPr>
            <w:r>
              <w:rPr>
                <w:rFonts w:ascii="宋体" w:hAnsi="宋体" w:eastAsia="宋体"/>
                <w:sz w:val="24"/>
              </w:rPr>
              <w:t>(2024年度)</w:t>
            </w:r>
          </w:p>
        </w:tc>
      </w:tr>
      <w:tr w14:paraId="211DC3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3C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EDAD78">
            <w:pPr>
              <w:jc w:val="center"/>
            </w:pPr>
            <w:r>
              <w:rPr>
                <w:rFonts w:ascii="宋体" w:hAnsi="宋体" w:eastAsia="宋体"/>
                <w:sz w:val="16"/>
              </w:rPr>
              <w:t>自治区义务教育阶段班主任津贴补助经费</w:t>
            </w:r>
          </w:p>
        </w:tc>
      </w:tr>
      <w:tr w14:paraId="13A2E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DA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3A15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2E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A7E40">
            <w:pPr>
              <w:jc w:val="center"/>
            </w:pPr>
            <w:r>
              <w:rPr>
                <w:rFonts w:ascii="宋体" w:hAnsi="宋体" w:eastAsia="宋体"/>
                <w:sz w:val="16"/>
              </w:rPr>
              <w:t>吉木萨尔县准东五彩湾学校</w:t>
            </w:r>
          </w:p>
        </w:tc>
      </w:tr>
      <w:tr w14:paraId="1D8A28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132B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96A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112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DF6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E04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C7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67A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D007">
            <w:pPr>
              <w:jc w:val="center"/>
            </w:pPr>
            <w:r>
              <w:rPr>
                <w:rFonts w:ascii="宋体" w:hAnsi="宋体" w:eastAsia="宋体"/>
                <w:sz w:val="16"/>
              </w:rPr>
              <w:t>得分</w:t>
            </w:r>
          </w:p>
        </w:tc>
      </w:tr>
      <w:tr w14:paraId="31DDB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F04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AD3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A412">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E82E7">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0EF5">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70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74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03A7">
            <w:pPr>
              <w:jc w:val="center"/>
            </w:pPr>
            <w:r>
              <w:rPr>
                <w:rFonts w:ascii="宋体" w:hAnsi="宋体" w:eastAsia="宋体"/>
                <w:sz w:val="16"/>
              </w:rPr>
              <w:t>10.00</w:t>
            </w:r>
          </w:p>
        </w:tc>
      </w:tr>
      <w:tr w14:paraId="07218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92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CA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B99A">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D4B18">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54FF">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47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68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5D85">
            <w:pPr>
              <w:jc w:val="center"/>
            </w:pPr>
            <w:r>
              <w:rPr>
                <w:rFonts w:ascii="宋体" w:hAnsi="宋体" w:eastAsia="宋体"/>
                <w:sz w:val="16"/>
              </w:rPr>
              <w:t>—</w:t>
            </w:r>
          </w:p>
        </w:tc>
      </w:tr>
      <w:tr w14:paraId="7C420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67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94B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ADE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FF7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A4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DC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D5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DA60">
            <w:pPr>
              <w:jc w:val="center"/>
            </w:pPr>
            <w:r>
              <w:rPr>
                <w:rFonts w:ascii="宋体" w:hAnsi="宋体" w:eastAsia="宋体"/>
                <w:sz w:val="16"/>
              </w:rPr>
              <w:t>—</w:t>
            </w:r>
          </w:p>
        </w:tc>
      </w:tr>
      <w:tr w14:paraId="6D0DE7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604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262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5B136A">
            <w:pPr>
              <w:jc w:val="center"/>
            </w:pPr>
            <w:r>
              <w:rPr>
                <w:rFonts w:ascii="宋体" w:hAnsi="宋体" w:eastAsia="宋体"/>
                <w:sz w:val="16"/>
              </w:rPr>
              <w:t>实际完成情况</w:t>
            </w:r>
          </w:p>
        </w:tc>
      </w:tr>
      <w:tr w14:paraId="6642D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98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DE96B">
            <w:pPr>
              <w:jc w:val="both"/>
            </w:pPr>
            <w:r>
              <w:rPr>
                <w:rFonts w:ascii="宋体" w:hAnsi="宋体" w:eastAsia="宋体"/>
                <w:sz w:val="16"/>
              </w:rPr>
              <w:t>2024年班主任津贴补助经费共计2.88万元，学校现有班主任15人，均承担教学任务，确保班主任津贴补助及时、按时发放。使得教学质量提高，争取使师生满意度不低于90%。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12356">
            <w:pPr>
              <w:jc w:val="both"/>
            </w:pPr>
            <w:r>
              <w:rPr>
                <w:rFonts w:hint="eastAsia" w:ascii="宋体" w:hAnsi="宋体"/>
                <w:sz w:val="16"/>
                <w:lang w:eastAsia="zh-CN"/>
              </w:rPr>
              <w:t>截至2024</w:t>
            </w:r>
            <w:r>
              <w:rPr>
                <w:rFonts w:ascii="宋体" w:hAnsi="宋体" w:eastAsia="宋体"/>
                <w:sz w:val="16"/>
              </w:rPr>
              <w:t>年12月31日，本项目实际支出资金2.88万元，预算执行率为100%，实际已完成15名班主任</w:t>
            </w:r>
            <w:r>
              <w:rPr>
                <w:rFonts w:hint="eastAsia" w:ascii="宋体" w:hAnsi="宋体"/>
                <w:sz w:val="16"/>
                <w:lang w:eastAsia="zh-CN"/>
              </w:rPr>
              <w:t>津贴补贴发放</w:t>
            </w:r>
            <w:r>
              <w:rPr>
                <w:rFonts w:ascii="宋体" w:hAnsi="宋体" w:eastAsia="宋体"/>
                <w:sz w:val="16"/>
              </w:rPr>
              <w:t>，通过实施本项目，提高了班主任工作积极性，教学质量也得到了显著提升。</w:t>
            </w:r>
          </w:p>
        </w:tc>
      </w:tr>
      <w:tr w14:paraId="2F59D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B67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28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69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29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A6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C3E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EF0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83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9BE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89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65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23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0D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8025">
            <w:pPr>
              <w:jc w:val="center"/>
            </w:pPr>
            <w:r>
              <w:rPr>
                <w:rFonts w:ascii="宋体" w:hAnsi="宋体" w:eastAsia="宋体"/>
                <w:sz w:val="16"/>
              </w:rPr>
              <w:t>偏差原因分析及改进措施</w:t>
            </w:r>
          </w:p>
        </w:tc>
      </w:tr>
      <w:tr w14:paraId="6889AF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22E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2D2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44F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E908">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C2E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522C">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548B">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5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68D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E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0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1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3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AA95">
            <w:pPr>
              <w:jc w:val="center"/>
            </w:pPr>
          </w:p>
        </w:tc>
      </w:tr>
      <w:tr w14:paraId="131EB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41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1E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24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B73F">
            <w:pPr>
              <w:jc w:val="center"/>
            </w:pPr>
            <w:r>
              <w:rPr>
                <w:rFonts w:ascii="宋体" w:hAnsi="宋体" w:eastAsia="宋体"/>
                <w:sz w:val="16"/>
              </w:rPr>
              <w:t>学校班主任总人数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51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BCE1">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C95B">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9A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E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7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2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6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CF15">
            <w:pPr>
              <w:jc w:val="center"/>
            </w:pPr>
          </w:p>
        </w:tc>
      </w:tr>
      <w:tr w14:paraId="35BF0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29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6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95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F165">
            <w:pPr>
              <w:jc w:val="center"/>
            </w:pPr>
            <w:r>
              <w:rPr>
                <w:rFonts w:ascii="宋体" w:hAnsi="宋体" w:eastAsia="宋体"/>
                <w:sz w:val="16"/>
              </w:rPr>
              <w:t>班主任津贴发放覆盖率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8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1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4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0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1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7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B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B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E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D6DA">
            <w:pPr>
              <w:jc w:val="center"/>
            </w:pPr>
          </w:p>
        </w:tc>
      </w:tr>
      <w:tr w14:paraId="319BB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E7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2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5D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3F61">
            <w:pPr>
              <w:jc w:val="center"/>
            </w:pPr>
            <w:r>
              <w:rPr>
                <w:rFonts w:ascii="宋体" w:hAnsi="宋体" w:eastAsia="宋体"/>
                <w:sz w:val="16"/>
              </w:rPr>
              <w:t>班主任</w:t>
            </w:r>
            <w:r>
              <w:rPr>
                <w:rFonts w:hint="eastAsia" w:ascii="宋体" w:hAnsi="宋体"/>
                <w:sz w:val="16"/>
                <w:lang w:eastAsia="zh-CN"/>
              </w:rPr>
              <w:t>津贴补贴发放及时</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67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F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8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0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83A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2C0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4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B9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7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5929">
            <w:pPr>
              <w:jc w:val="center"/>
            </w:pPr>
          </w:p>
        </w:tc>
      </w:tr>
      <w:tr w14:paraId="570D6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B8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B0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70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9B51">
            <w:pPr>
              <w:jc w:val="center"/>
            </w:pPr>
            <w:r>
              <w:rPr>
                <w:rFonts w:ascii="宋体" w:hAnsi="宋体" w:eastAsia="宋体"/>
                <w:sz w:val="16"/>
              </w:rPr>
              <w:t>班主任津贴补助经费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9B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0E6B">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2203">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A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E2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F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1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F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74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9D89">
            <w:pPr>
              <w:jc w:val="center"/>
            </w:pPr>
          </w:p>
        </w:tc>
      </w:tr>
      <w:tr w14:paraId="687E4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5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E9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90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677F">
            <w:pPr>
              <w:jc w:val="center"/>
            </w:pPr>
            <w:r>
              <w:rPr>
                <w:rFonts w:ascii="宋体" w:hAnsi="宋体" w:eastAsia="宋体"/>
                <w:sz w:val="16"/>
              </w:rPr>
              <w:t>教学质量提高率（%）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21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24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77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2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F9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C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F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D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3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4B2F">
            <w:pPr>
              <w:jc w:val="center"/>
            </w:pPr>
          </w:p>
        </w:tc>
      </w:tr>
      <w:tr w14:paraId="28D45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AF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EB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70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7DB6">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1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89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2E6A">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2918">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70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B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F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8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DE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AE8B">
            <w:pPr>
              <w:jc w:val="center"/>
            </w:pPr>
            <w:r>
              <w:rPr>
                <w:rFonts w:ascii="宋体" w:hAnsi="宋体" w:eastAsia="宋体"/>
                <w:sz w:val="16"/>
              </w:rPr>
              <w:t>通过调研问卷，项目的实施</w:t>
            </w:r>
            <w:r>
              <w:rPr>
                <w:rFonts w:hint="eastAsia" w:ascii="宋体" w:hAnsi="宋体"/>
                <w:sz w:val="16"/>
                <w:lang w:eastAsia="zh-CN"/>
              </w:rPr>
              <w:t>对</w:t>
            </w:r>
            <w:r>
              <w:rPr>
                <w:rFonts w:ascii="宋体" w:hAnsi="宋体" w:eastAsia="宋体"/>
                <w:sz w:val="16"/>
              </w:rPr>
              <w:t>师生满意度，从而使得满意度达到92.3%。</w:t>
            </w:r>
          </w:p>
        </w:tc>
      </w:tr>
      <w:tr w14:paraId="28EF40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28E1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8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B23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AB0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4A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3F2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1BC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06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046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7D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AE01F"/>
        </w:tc>
      </w:tr>
    </w:tbl>
    <w:p w14:paraId="0B68D248">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96"/>
        <w:gridCol w:w="619"/>
        <w:gridCol w:w="776"/>
        <w:gridCol w:w="776"/>
        <w:gridCol w:w="625"/>
        <w:gridCol w:w="631"/>
        <w:gridCol w:w="613"/>
        <w:gridCol w:w="613"/>
        <w:gridCol w:w="613"/>
        <w:gridCol w:w="619"/>
        <w:gridCol w:w="631"/>
      </w:tblGrid>
      <w:tr w14:paraId="6B4D2129">
        <w:tblPrEx>
          <w:tblCellMar>
            <w:top w:w="0" w:type="dxa"/>
            <w:left w:w="108" w:type="dxa"/>
            <w:bottom w:w="0" w:type="dxa"/>
            <w:right w:w="108" w:type="dxa"/>
          </w:tblCellMar>
        </w:tblPrEx>
        <w:tc>
          <w:tcPr>
            <w:tcW w:w="8848" w:type="dxa"/>
            <w:gridSpan w:val="14"/>
            <w:vAlign w:val="center"/>
          </w:tcPr>
          <w:p w14:paraId="46D6EF93">
            <w:pPr>
              <w:jc w:val="center"/>
            </w:pPr>
            <w:r>
              <w:rPr>
                <w:rFonts w:ascii="宋体" w:hAnsi="宋体" w:eastAsia="宋体"/>
                <w:sz w:val="24"/>
              </w:rPr>
              <w:t>项目支出绩效自评表</w:t>
            </w:r>
          </w:p>
        </w:tc>
      </w:tr>
      <w:tr w14:paraId="233D47BD">
        <w:tblPrEx>
          <w:tblCellMar>
            <w:top w:w="0" w:type="dxa"/>
            <w:left w:w="108" w:type="dxa"/>
            <w:bottom w:w="0" w:type="dxa"/>
            <w:right w:w="108" w:type="dxa"/>
          </w:tblCellMar>
        </w:tblPrEx>
        <w:tc>
          <w:tcPr>
            <w:tcW w:w="8848" w:type="dxa"/>
            <w:gridSpan w:val="14"/>
            <w:vAlign w:val="center"/>
          </w:tcPr>
          <w:p w14:paraId="551EDAC9">
            <w:pPr>
              <w:jc w:val="center"/>
            </w:pPr>
            <w:r>
              <w:rPr>
                <w:rFonts w:ascii="宋体" w:hAnsi="宋体" w:eastAsia="宋体"/>
                <w:sz w:val="24"/>
              </w:rPr>
              <w:t>(2024年度)</w:t>
            </w:r>
          </w:p>
        </w:tc>
      </w:tr>
      <w:tr w14:paraId="7B294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D4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6604B9">
            <w:pPr>
              <w:jc w:val="center"/>
            </w:pPr>
            <w:r>
              <w:rPr>
                <w:rFonts w:ascii="宋体" w:hAnsi="宋体" w:eastAsia="宋体"/>
                <w:sz w:val="16"/>
              </w:rPr>
              <w:t>中央/自治区直达资金（小学公用经费）</w:t>
            </w:r>
          </w:p>
        </w:tc>
      </w:tr>
      <w:tr w14:paraId="26A726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E6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273F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18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DAD905">
            <w:pPr>
              <w:jc w:val="center"/>
            </w:pPr>
            <w:r>
              <w:rPr>
                <w:rFonts w:ascii="宋体" w:hAnsi="宋体" w:eastAsia="宋体"/>
                <w:sz w:val="16"/>
              </w:rPr>
              <w:t>吉木萨尔县准东五彩湾学校</w:t>
            </w:r>
          </w:p>
        </w:tc>
      </w:tr>
      <w:tr w14:paraId="4690A6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26A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EF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A9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99E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94A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93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72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2C50">
            <w:pPr>
              <w:jc w:val="center"/>
            </w:pPr>
            <w:r>
              <w:rPr>
                <w:rFonts w:ascii="宋体" w:hAnsi="宋体" w:eastAsia="宋体"/>
                <w:sz w:val="16"/>
              </w:rPr>
              <w:t>得分</w:t>
            </w:r>
          </w:p>
        </w:tc>
      </w:tr>
      <w:tr w14:paraId="6C761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73A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95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9737">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FE50">
            <w:pPr>
              <w:jc w:val="center"/>
            </w:pPr>
            <w:r>
              <w:rPr>
                <w:rFonts w:ascii="宋体" w:hAnsi="宋体" w:eastAsia="宋体"/>
                <w:sz w:val="16"/>
              </w:rPr>
              <w:t>18.23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68A2">
            <w:pPr>
              <w:jc w:val="center"/>
            </w:pPr>
            <w:r>
              <w:rPr>
                <w:rFonts w:ascii="宋体" w:hAnsi="宋体" w:eastAsia="宋体"/>
                <w:sz w:val="16"/>
              </w:rPr>
              <w:t>18.23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C9D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BB3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56AE">
            <w:pPr>
              <w:jc w:val="center"/>
            </w:pPr>
            <w:r>
              <w:rPr>
                <w:rFonts w:ascii="宋体" w:hAnsi="宋体" w:eastAsia="宋体"/>
                <w:sz w:val="16"/>
              </w:rPr>
              <w:t>10.00</w:t>
            </w:r>
          </w:p>
        </w:tc>
      </w:tr>
      <w:tr w14:paraId="6972E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46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A0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C58C">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5E1D">
            <w:pPr>
              <w:jc w:val="center"/>
            </w:pPr>
            <w:r>
              <w:rPr>
                <w:rFonts w:ascii="宋体" w:hAnsi="宋体" w:eastAsia="宋体"/>
                <w:sz w:val="16"/>
              </w:rPr>
              <w:t>18.23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51F0">
            <w:pPr>
              <w:jc w:val="center"/>
            </w:pPr>
            <w:r>
              <w:rPr>
                <w:rFonts w:ascii="宋体" w:hAnsi="宋体" w:eastAsia="宋体"/>
                <w:sz w:val="16"/>
              </w:rPr>
              <w:t>18.23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96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C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FC89">
            <w:pPr>
              <w:jc w:val="center"/>
            </w:pPr>
            <w:r>
              <w:rPr>
                <w:rFonts w:ascii="宋体" w:hAnsi="宋体" w:eastAsia="宋体"/>
                <w:sz w:val="16"/>
              </w:rPr>
              <w:t>—</w:t>
            </w:r>
          </w:p>
        </w:tc>
      </w:tr>
      <w:tr w14:paraId="4CF5B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62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DF8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B9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8B5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8C9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13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D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DCE6">
            <w:pPr>
              <w:jc w:val="center"/>
            </w:pPr>
            <w:r>
              <w:rPr>
                <w:rFonts w:ascii="宋体" w:hAnsi="宋体" w:eastAsia="宋体"/>
                <w:sz w:val="16"/>
              </w:rPr>
              <w:t>—</w:t>
            </w:r>
          </w:p>
        </w:tc>
      </w:tr>
      <w:tr w14:paraId="1270B7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2EC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8EC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B4CB1">
            <w:pPr>
              <w:jc w:val="center"/>
            </w:pPr>
            <w:r>
              <w:rPr>
                <w:rFonts w:ascii="宋体" w:hAnsi="宋体" w:eastAsia="宋体"/>
                <w:sz w:val="16"/>
              </w:rPr>
              <w:t>实际完成情况</w:t>
            </w:r>
          </w:p>
        </w:tc>
      </w:tr>
      <w:tr w14:paraId="3FAD3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623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B64F0">
            <w:pPr>
              <w:jc w:val="both"/>
            </w:pPr>
            <w:r>
              <w:rPr>
                <w:rFonts w:ascii="宋体" w:hAnsi="宋体" w:eastAsia="宋体"/>
                <w:sz w:val="16"/>
              </w:rPr>
              <w:t>保障2024年学校工作正常运行。后勤保障人员配备数22人，保障教职工配备数55</w:t>
            </w:r>
            <w:r>
              <w:rPr>
                <w:rFonts w:hint="eastAsia" w:ascii="宋体" w:hAnsi="宋体"/>
                <w:sz w:val="16"/>
                <w:lang w:eastAsia="zh-CN"/>
              </w:rPr>
              <w:t>人</w:t>
            </w:r>
            <w:r>
              <w:rPr>
                <w:rFonts w:ascii="宋体" w:hAnsi="宋体" w:eastAsia="宋体"/>
                <w:sz w:val="16"/>
              </w:rPr>
              <w:t>，后勤人员培训合格率达到100%，培训课时完成及时性达到100%。商品和服务费用支出18.23万元。争取使受益师生满意度不低于90%。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73DF25">
            <w:pPr>
              <w:jc w:val="both"/>
            </w:pPr>
            <w:r>
              <w:rPr>
                <w:rFonts w:hint="eastAsia" w:ascii="宋体" w:hAnsi="宋体"/>
                <w:sz w:val="16"/>
                <w:lang w:eastAsia="zh-CN"/>
              </w:rPr>
              <w:t>截至</w:t>
            </w:r>
            <w:r>
              <w:rPr>
                <w:rFonts w:ascii="宋体" w:hAnsi="宋体" w:eastAsia="宋体"/>
                <w:sz w:val="16"/>
              </w:rPr>
              <w:t>2024年12月31日，本项目实际支出资金18.23万元，预算执行率为100%，实际已完成2024年学校教育教学工作保障，通过实施本项目，学校教职工、家长、学生满意度达到95%。</w:t>
            </w:r>
          </w:p>
        </w:tc>
      </w:tr>
      <w:tr w14:paraId="1CB23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0C6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19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1C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B1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32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AE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04A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D9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39C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6E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BA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B9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A8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3D48">
            <w:pPr>
              <w:jc w:val="center"/>
            </w:pPr>
            <w:r>
              <w:rPr>
                <w:rFonts w:ascii="宋体" w:hAnsi="宋体" w:eastAsia="宋体"/>
                <w:sz w:val="16"/>
              </w:rPr>
              <w:t>偏差原因分析及改进措施</w:t>
            </w:r>
          </w:p>
        </w:tc>
      </w:tr>
      <w:tr w14:paraId="444476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E3D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007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EA8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77DE">
            <w:pPr>
              <w:jc w:val="center"/>
            </w:pPr>
            <w:r>
              <w:rPr>
                <w:rFonts w:ascii="宋体" w:hAnsi="宋体" w:eastAsia="宋体"/>
                <w:sz w:val="16"/>
              </w:rPr>
              <w:t>后勤保障人员配备数（人）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C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50C5">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B197">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B178">
            <w:pPr>
              <w:jc w:val="center"/>
            </w:pPr>
            <w:r>
              <w:rPr>
                <w:rFonts w:ascii="宋体" w:hAnsi="宋体" w:eastAsia="宋体"/>
                <w:sz w:val="16"/>
              </w:rPr>
              <w:t>131%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4855">
            <w:pPr>
              <w:jc w:val="center"/>
            </w:pPr>
            <w:r>
              <w:rPr>
                <w:rFonts w:ascii="宋体" w:hAnsi="宋体" w:eastAsia="宋体"/>
                <w:sz w:val="16"/>
              </w:rPr>
              <w:t>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C73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5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3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7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5E28">
            <w:pPr>
              <w:jc w:val="center"/>
            </w:pPr>
            <w:r>
              <w:rPr>
                <w:rFonts w:ascii="宋体" w:hAnsi="宋体" w:eastAsia="宋体"/>
                <w:sz w:val="16"/>
              </w:rPr>
              <w:t>设置绩效指标是目标值设置较低导致。</w:t>
            </w:r>
          </w:p>
        </w:tc>
      </w:tr>
      <w:tr w14:paraId="4316F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06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3B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A5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42AB">
            <w:pPr>
              <w:jc w:val="center"/>
            </w:pPr>
            <w:r>
              <w:rPr>
                <w:rFonts w:ascii="宋体" w:hAnsi="宋体" w:eastAsia="宋体"/>
                <w:sz w:val="16"/>
              </w:rPr>
              <w:t>保障教职工配备数（人）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2FE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20E0">
            <w:pPr>
              <w:jc w:val="center"/>
            </w:pPr>
            <w:r>
              <w:rPr>
                <w:rFonts w:ascii="宋体" w:hAnsi="宋体" w:eastAsia="宋体"/>
                <w:sz w:val="16"/>
              </w:rPr>
              <w:t>&gt;=55个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4E89">
            <w:pPr>
              <w:jc w:val="center"/>
            </w:pPr>
            <w:r>
              <w:rPr>
                <w:rFonts w:ascii="宋体" w:hAnsi="宋体" w:eastAsia="宋体"/>
                <w:sz w:val="16"/>
              </w:rPr>
              <w:t>=75个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D6E1">
            <w:pPr>
              <w:jc w:val="center"/>
            </w:pPr>
            <w:r>
              <w:rPr>
                <w:rFonts w:ascii="宋体" w:hAnsi="宋体" w:eastAsia="宋体"/>
                <w:sz w:val="16"/>
              </w:rPr>
              <w:t>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2468">
            <w:pPr>
              <w:jc w:val="center"/>
            </w:pPr>
            <w:r>
              <w:rPr>
                <w:rFonts w:ascii="宋体" w:hAnsi="宋体" w:eastAsia="宋体"/>
                <w:sz w:val="16"/>
              </w:rPr>
              <w:t>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AC0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3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18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8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D197">
            <w:pPr>
              <w:jc w:val="center"/>
            </w:pPr>
            <w:r>
              <w:rPr>
                <w:rFonts w:ascii="宋体" w:hAnsi="宋体" w:eastAsia="宋体"/>
                <w:sz w:val="16"/>
              </w:rPr>
              <w:t>设置绩效指标是目标值设置较低导致。</w:t>
            </w:r>
          </w:p>
        </w:tc>
      </w:tr>
      <w:tr w14:paraId="44A1D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72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2E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60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9B87">
            <w:pPr>
              <w:jc w:val="center"/>
            </w:pPr>
            <w:r>
              <w:rPr>
                <w:rFonts w:ascii="宋体" w:hAnsi="宋体" w:eastAsia="宋体"/>
                <w:sz w:val="16"/>
              </w:rPr>
              <w:t>后勤人员培训合格率（%）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4B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53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5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417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BB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36B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B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95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3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4F6B">
            <w:pPr>
              <w:jc w:val="center"/>
            </w:pPr>
            <w:r>
              <w:rPr>
                <w:rFonts w:ascii="宋体" w:hAnsi="宋体" w:eastAsia="宋体"/>
                <w:sz w:val="16"/>
              </w:rPr>
              <w:t>设置绩效指标是目标值设置较低导致。</w:t>
            </w:r>
          </w:p>
        </w:tc>
      </w:tr>
      <w:tr w14:paraId="7D357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9F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F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E0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9422">
            <w:pPr>
              <w:jc w:val="center"/>
            </w:pPr>
            <w:r>
              <w:rPr>
                <w:rFonts w:ascii="宋体" w:hAnsi="宋体" w:eastAsia="宋体"/>
                <w:sz w:val="16"/>
              </w:rPr>
              <w:t>培训课时完成及时性（%）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CF6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18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6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70F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1EF4">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455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88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5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1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3B0D">
            <w:pPr>
              <w:jc w:val="center"/>
            </w:pPr>
            <w:r>
              <w:rPr>
                <w:rFonts w:ascii="宋体" w:hAnsi="宋体" w:eastAsia="宋体"/>
                <w:sz w:val="16"/>
              </w:rPr>
              <w:t>设置绩效指标是目标值设置较低导致。</w:t>
            </w:r>
          </w:p>
        </w:tc>
      </w:tr>
      <w:tr w14:paraId="41274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B3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8B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95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3494">
            <w:pPr>
              <w:jc w:val="center"/>
            </w:pPr>
            <w:r>
              <w:rPr>
                <w:rFonts w:ascii="宋体" w:hAnsi="宋体" w:eastAsia="宋体"/>
                <w:sz w:val="16"/>
              </w:rPr>
              <w:t>商品和服务费用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86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AE0E">
            <w:pPr>
              <w:jc w:val="center"/>
            </w:pPr>
            <w:r>
              <w:rPr>
                <w:rFonts w:ascii="宋体" w:hAnsi="宋体" w:eastAsia="宋体"/>
                <w:sz w:val="16"/>
              </w:rPr>
              <w:t>&lt;=18.23万元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7F0F">
            <w:pPr>
              <w:jc w:val="center"/>
            </w:pPr>
            <w:r>
              <w:rPr>
                <w:rFonts w:ascii="宋体" w:hAnsi="宋体" w:eastAsia="宋体"/>
                <w:sz w:val="16"/>
              </w:rPr>
              <w:t>=18.23万元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B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BD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C3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B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F5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ABB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E2BD">
            <w:pPr>
              <w:jc w:val="center"/>
            </w:pPr>
          </w:p>
        </w:tc>
      </w:tr>
      <w:tr w14:paraId="76A89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87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EE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B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DCF2">
            <w:pPr>
              <w:jc w:val="center"/>
            </w:pPr>
            <w:r>
              <w:rPr>
                <w:rFonts w:ascii="宋体" w:hAnsi="宋体" w:eastAsia="宋体"/>
                <w:sz w:val="16"/>
              </w:rPr>
              <w:t>保障学校正常运转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CF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7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6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A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F9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EC8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0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E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5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78D8">
            <w:pPr>
              <w:jc w:val="center"/>
            </w:pPr>
          </w:p>
        </w:tc>
      </w:tr>
      <w:tr w14:paraId="2841B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44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A3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05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C2A7">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9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AE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5ADA">
            <w:pPr>
              <w:jc w:val="center"/>
            </w:pPr>
            <w:r>
              <w:rPr>
                <w:rFonts w:ascii="宋体" w:hAnsi="宋体" w:eastAsia="宋体"/>
                <w:sz w:val="16"/>
              </w:rPr>
              <w:t>=96.82%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E229">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A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F92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4B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46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A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8DB">
            <w:pPr>
              <w:jc w:val="center"/>
            </w:pPr>
            <w:r>
              <w:rPr>
                <w:rFonts w:ascii="宋体" w:hAnsi="宋体" w:eastAsia="宋体"/>
                <w:sz w:val="16"/>
              </w:rPr>
              <w:t>设置绩效指标是目标值设置较低导致。</w:t>
            </w:r>
          </w:p>
        </w:tc>
      </w:tr>
      <w:tr w14:paraId="527F12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F2DA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2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52A6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EF1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04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A284">
            <w:pPr>
              <w:jc w:val="center"/>
            </w:pPr>
            <w:r>
              <w:rPr>
                <w:rFonts w:ascii="宋体" w:hAnsi="宋体" w:eastAsia="宋体"/>
                <w:sz w:val="16"/>
              </w:rPr>
              <w:t>91.23分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A5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5E8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F75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100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687C6"/>
        </w:tc>
      </w:tr>
    </w:tbl>
    <w:p w14:paraId="1EB30F8D">
      <w:r>
        <w:br w:type="page"/>
      </w:r>
    </w:p>
    <w:p w14:paraId="637A74BD">
      <w:pPr>
        <w:spacing w:line="640" w:lineRule="exact"/>
        <w:ind w:firstLine="640"/>
        <w:jc w:val="both"/>
        <w:outlineLvl w:val="2"/>
      </w:pPr>
      <w:r>
        <w:rPr>
          <w:rFonts w:ascii="黑体" w:hAnsi="黑体" w:eastAsia="黑体"/>
          <w:sz w:val="32"/>
        </w:rPr>
        <w:t>十二、其他需说明的事项</w:t>
      </w:r>
    </w:p>
    <w:p w14:paraId="27361710">
      <w:pPr>
        <w:spacing w:line="580" w:lineRule="exact"/>
        <w:ind w:firstLine="640"/>
        <w:jc w:val="both"/>
      </w:pPr>
      <w:r>
        <w:rPr>
          <w:rFonts w:ascii="仿宋_GB2312" w:hAnsi="仿宋_GB2312" w:eastAsia="仿宋_GB2312"/>
          <w:b w:val="0"/>
          <w:sz w:val="32"/>
        </w:rPr>
        <w:t>本单位无其他需说明的事项。</w:t>
      </w:r>
    </w:p>
    <w:p w14:paraId="4A2652B1">
      <w:r>
        <w:br w:type="page"/>
      </w:r>
    </w:p>
    <w:p w14:paraId="639B37C1">
      <w:pPr>
        <w:spacing w:line="240" w:lineRule="auto"/>
        <w:jc w:val="center"/>
        <w:outlineLvl w:val="1"/>
      </w:pPr>
      <w:r>
        <w:rPr>
          <w:rFonts w:ascii="黑体" w:hAnsi="黑体" w:eastAsia="黑体"/>
          <w:sz w:val="32"/>
        </w:rPr>
        <w:t>第三部分 专业名词解释</w:t>
      </w:r>
    </w:p>
    <w:p w14:paraId="26CF6F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C2E5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B89D0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645F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C6F84C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0AB03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5D5E5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5ECB5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746F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FE9D6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8737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3E56B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C47F7A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A1A17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696E12">
      <w:r>
        <w:br w:type="page"/>
      </w:r>
    </w:p>
    <w:p w14:paraId="44E67FE0">
      <w:pPr>
        <w:spacing w:line="240" w:lineRule="auto"/>
        <w:jc w:val="center"/>
        <w:outlineLvl w:val="1"/>
      </w:pPr>
      <w:r>
        <w:rPr>
          <w:rFonts w:ascii="黑体" w:hAnsi="黑体" w:eastAsia="黑体"/>
          <w:sz w:val="32"/>
        </w:rPr>
        <w:t>第四部分 部门决算报表（见附表）</w:t>
      </w:r>
    </w:p>
    <w:p w14:paraId="7CE5D1AA">
      <w:pPr>
        <w:spacing w:line="240" w:lineRule="auto"/>
        <w:ind w:firstLine="640"/>
        <w:jc w:val="both"/>
      </w:pPr>
      <w:r>
        <w:rPr>
          <w:rFonts w:ascii="仿宋_GB2312" w:hAnsi="仿宋_GB2312" w:eastAsia="仿宋_GB2312"/>
          <w:b w:val="0"/>
          <w:sz w:val="32"/>
        </w:rPr>
        <w:t>一、《收入支出决算总表》</w:t>
      </w:r>
    </w:p>
    <w:p w14:paraId="38300EEC">
      <w:pPr>
        <w:spacing w:line="240" w:lineRule="auto"/>
        <w:ind w:firstLine="640"/>
        <w:jc w:val="both"/>
      </w:pPr>
      <w:r>
        <w:rPr>
          <w:rFonts w:ascii="仿宋_GB2312" w:hAnsi="仿宋_GB2312" w:eastAsia="仿宋_GB2312"/>
          <w:b w:val="0"/>
          <w:sz w:val="32"/>
        </w:rPr>
        <w:t>二、《收入决算表》</w:t>
      </w:r>
    </w:p>
    <w:p w14:paraId="1CC8E793">
      <w:pPr>
        <w:spacing w:line="240" w:lineRule="auto"/>
        <w:ind w:firstLine="640"/>
        <w:jc w:val="both"/>
      </w:pPr>
      <w:r>
        <w:rPr>
          <w:rFonts w:ascii="仿宋_GB2312" w:hAnsi="仿宋_GB2312" w:eastAsia="仿宋_GB2312"/>
          <w:b w:val="0"/>
          <w:sz w:val="32"/>
        </w:rPr>
        <w:t>三、《支出决算表》</w:t>
      </w:r>
    </w:p>
    <w:p w14:paraId="1CD42F55">
      <w:pPr>
        <w:spacing w:line="240" w:lineRule="auto"/>
        <w:ind w:firstLine="640"/>
        <w:jc w:val="both"/>
      </w:pPr>
      <w:r>
        <w:rPr>
          <w:rFonts w:ascii="仿宋_GB2312" w:hAnsi="仿宋_GB2312" w:eastAsia="仿宋_GB2312"/>
          <w:b w:val="0"/>
          <w:sz w:val="32"/>
        </w:rPr>
        <w:t>四、《财政拨款收入支出决算总表》</w:t>
      </w:r>
    </w:p>
    <w:p w14:paraId="328B9D88">
      <w:pPr>
        <w:spacing w:line="240" w:lineRule="auto"/>
        <w:ind w:firstLine="640"/>
        <w:jc w:val="both"/>
      </w:pPr>
      <w:r>
        <w:rPr>
          <w:rFonts w:ascii="仿宋_GB2312" w:hAnsi="仿宋_GB2312" w:eastAsia="仿宋_GB2312"/>
          <w:b w:val="0"/>
          <w:sz w:val="32"/>
        </w:rPr>
        <w:t>五、《一般公共预算财政拨款支出决算表》</w:t>
      </w:r>
    </w:p>
    <w:p w14:paraId="21D66511">
      <w:pPr>
        <w:spacing w:line="240" w:lineRule="auto"/>
        <w:ind w:firstLine="640"/>
        <w:jc w:val="both"/>
      </w:pPr>
      <w:r>
        <w:rPr>
          <w:rFonts w:ascii="仿宋_GB2312" w:hAnsi="仿宋_GB2312" w:eastAsia="仿宋_GB2312"/>
          <w:b w:val="0"/>
          <w:sz w:val="32"/>
        </w:rPr>
        <w:t>六、《一般公共预算财政拨款基本支出决算表》</w:t>
      </w:r>
    </w:p>
    <w:p w14:paraId="7E3B40E6">
      <w:pPr>
        <w:spacing w:line="240" w:lineRule="auto"/>
        <w:ind w:firstLine="640"/>
        <w:jc w:val="both"/>
      </w:pPr>
      <w:r>
        <w:rPr>
          <w:rFonts w:ascii="仿宋_GB2312" w:hAnsi="仿宋_GB2312" w:eastAsia="仿宋_GB2312"/>
          <w:b w:val="0"/>
          <w:sz w:val="32"/>
        </w:rPr>
        <w:t>七、《政府性基金预算财政拨款收入支出决算表》</w:t>
      </w:r>
    </w:p>
    <w:p w14:paraId="00207F13">
      <w:pPr>
        <w:spacing w:line="240" w:lineRule="auto"/>
        <w:ind w:firstLine="640"/>
        <w:jc w:val="both"/>
      </w:pPr>
      <w:r>
        <w:rPr>
          <w:rFonts w:ascii="仿宋_GB2312" w:hAnsi="仿宋_GB2312" w:eastAsia="仿宋_GB2312"/>
          <w:b w:val="0"/>
          <w:sz w:val="32"/>
        </w:rPr>
        <w:t>八、《国有资本经营预算财政拨款收入支出决算表》</w:t>
      </w:r>
    </w:p>
    <w:p w14:paraId="0ADAA743">
      <w:pPr>
        <w:spacing w:line="240" w:lineRule="auto"/>
        <w:ind w:firstLine="640"/>
        <w:jc w:val="both"/>
      </w:pPr>
      <w:r>
        <w:rPr>
          <w:rFonts w:ascii="仿宋_GB2312" w:hAnsi="仿宋_GB2312" w:eastAsia="仿宋_GB2312"/>
          <w:b w:val="0"/>
          <w:sz w:val="32"/>
        </w:rPr>
        <w:t>九、《财政拨款“三公”经费支出决算表》</w:t>
      </w:r>
    </w:p>
    <w:p w14:paraId="41A2762F">
      <w:pPr>
        <w:spacing w:line="240" w:lineRule="auto"/>
        <w:ind w:firstLine="640"/>
        <w:jc w:val="both"/>
      </w:pPr>
    </w:p>
    <w:p w14:paraId="05130A44">
      <w:pPr>
        <w:spacing w:line="240" w:lineRule="auto"/>
        <w:ind w:firstLine="640"/>
        <w:jc w:val="both"/>
      </w:pPr>
    </w:p>
    <w:p w14:paraId="5940A0ED">
      <w:pPr>
        <w:spacing w:line="240" w:lineRule="auto"/>
        <w:ind w:firstLine="640"/>
        <w:jc w:val="both"/>
      </w:pPr>
    </w:p>
    <w:p w14:paraId="4317834C">
      <w:pPr>
        <w:spacing w:line="240" w:lineRule="auto"/>
        <w:ind w:firstLine="640"/>
        <w:jc w:val="both"/>
      </w:pPr>
    </w:p>
    <w:p w14:paraId="30DD63B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4B79FF"/>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350A5"/>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7967</Words>
  <Characters>9164</Characters>
  <Lines>0</Lines>
  <Paragraphs>0</Paragraphs>
  <TotalTime>1</TotalTime>
  <ScaleCrop>false</ScaleCrop>
  <LinksUpToDate>false</LinksUpToDate>
  <CharactersWithSpaces>9180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