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4BB305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D6364A">
      <w:r>
        <w:br w:type="page"/>
      </w:r>
    </w:p>
    <w:p w14:paraId="77C2F3A8">
      <w:pPr>
        <w:spacing w:line="640" w:lineRule="exact"/>
        <w:jc w:val="center"/>
        <w:outlineLvl w:val="1"/>
      </w:pPr>
      <w:r>
        <w:rPr>
          <w:rFonts w:ascii="黑体" w:hAnsi="黑体" w:eastAsia="黑体"/>
          <w:sz w:val="32"/>
        </w:rPr>
        <w:t>第一部分 单位概况</w:t>
      </w:r>
    </w:p>
    <w:p w14:paraId="384677EA">
      <w:pPr>
        <w:spacing w:line="640" w:lineRule="exact"/>
        <w:ind w:firstLine="640"/>
        <w:jc w:val="both"/>
        <w:outlineLvl w:val="2"/>
      </w:pPr>
      <w:r>
        <w:rPr>
          <w:rFonts w:ascii="黑体" w:hAnsi="黑体" w:eastAsia="黑体"/>
          <w:sz w:val="32"/>
        </w:rPr>
        <w:t>一、主要职能</w:t>
      </w:r>
    </w:p>
    <w:p w14:paraId="69C68F8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负责筹备和组织县人民政府召开各种会议及重大活动，并做好记录整理和重要情况等相关工作。</w:t>
      </w:r>
    </w:p>
    <w:p w14:paraId="74E0F3E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组织起草、审核、印发以县人民政府办公室名义发布的公文。</w:t>
      </w:r>
    </w:p>
    <w:p w14:paraId="180CCB0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研究县人民政府各部门和各乡镇人民政府请示县人民政府的问题，提出审核意见，报人民政府领导审批。</w:t>
      </w:r>
    </w:p>
    <w:p w14:paraId="3059345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根据县人民政府工作需要和县人民政府领导的请示，组织协调县人民政府有关部门工作，对有争议的问题提出处理意见报县人民政府领导审定。</w:t>
      </w:r>
    </w:p>
    <w:p w14:paraId="30000EA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督促检查县人民政府公文、会议决定事项及县人民政府领导同志有关指示的执行落实情况并跟踪调研，及时向县人民政府领导同志报告；负责县领导亲自进行督促检查的服务工作和组织协调工作。</w:t>
      </w:r>
    </w:p>
    <w:p w14:paraId="6195FFFA">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组织和协同县人民政府有关部门根</w:t>
      </w:r>
      <w:r>
        <w:rPr>
          <w:rFonts w:hint="eastAsia" w:ascii="仿宋_GB2312" w:hAnsi="仿宋_GB2312" w:eastAsia="仿宋_GB2312"/>
          <w:sz w:val="32"/>
          <w:lang w:eastAsia="zh-CN"/>
        </w:rPr>
        <w:t>据县</w:t>
      </w:r>
      <w:r>
        <w:rPr>
          <w:rFonts w:ascii="仿宋_GB2312" w:hAnsi="仿宋_GB2312" w:eastAsia="仿宋_GB2312"/>
          <w:sz w:val="32"/>
        </w:rPr>
        <w:t>人民政府的工作部署和县人民政府领导的指示，做好各个时期中心工作和专项工作的调查研究，收集信息，及时向县人民政府反映情况，为县人民政府贯彻上级指示，制定本地区社会发展战略和方针、政策、措施提供参考意见和可供选择的方案，当好参谋。</w:t>
      </w:r>
    </w:p>
    <w:p w14:paraId="75EF7E52">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负责人大代表的建议、批评意见和政协委员提案的办理和答复工作。</w:t>
      </w:r>
    </w:p>
    <w:p w14:paraId="18AB79FD">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负责做好县人民政府公文处理、纪要、通信、印信管理和县人民政府、县政府办公室档案收集、整理等方面的工作。</w:t>
      </w:r>
    </w:p>
    <w:p w14:paraId="61E71038">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组织县人民政府机关的各项公益活动。</w:t>
      </w:r>
    </w:p>
    <w:p w14:paraId="63FA8A16">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承担县外事办公室日常工作。</w:t>
      </w:r>
    </w:p>
    <w:p w14:paraId="45DA9B45">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负责县电子政务推广、应用及协调服务工作。</w:t>
      </w:r>
    </w:p>
    <w:p w14:paraId="45DBE2FB">
      <w:pPr>
        <w:spacing w:line="640" w:lineRule="exact"/>
        <w:ind w:firstLine="640"/>
        <w:jc w:val="both"/>
        <w:outlineLvl w:val="2"/>
      </w:pPr>
      <w:r>
        <w:rPr>
          <w:rFonts w:ascii="黑体" w:hAnsi="黑体" w:eastAsia="黑体"/>
          <w:sz w:val="32"/>
        </w:rPr>
        <w:t>二、机构设置及人员情况</w:t>
      </w:r>
    </w:p>
    <w:p w14:paraId="7530B040">
      <w:pPr>
        <w:spacing w:line="580" w:lineRule="exact"/>
        <w:ind w:firstLine="640"/>
        <w:jc w:val="both"/>
      </w:pPr>
      <w:r>
        <w:rPr>
          <w:rFonts w:ascii="仿宋_GB2312" w:hAnsi="仿宋_GB2312" w:eastAsia="仿宋_GB2312"/>
          <w:sz w:val="32"/>
        </w:rPr>
        <w:t>吉木萨尔县人民政府办公室2024年度，实有人数60人，其中：在职人员41人，增加2人；离休人员0人，增加0人；退休人员19人,增加1人。</w:t>
      </w:r>
    </w:p>
    <w:p w14:paraId="59A5414C">
      <w:pPr>
        <w:spacing w:line="580" w:lineRule="exact"/>
        <w:ind w:firstLine="640"/>
        <w:jc w:val="both"/>
      </w:pPr>
      <w:r>
        <w:rPr>
          <w:rFonts w:ascii="仿宋_GB2312" w:hAnsi="仿宋_GB2312" w:eastAsia="仿宋_GB2312"/>
          <w:sz w:val="32"/>
        </w:rPr>
        <w:t>吉木萨尔县人民政府办公室无下属预算单位，下设5个科室，分别是：综合室、文书室、行政室、督查室、信息室。</w:t>
      </w:r>
    </w:p>
    <w:p w14:paraId="6C3899A0">
      <w:r>
        <w:br w:type="page"/>
      </w:r>
    </w:p>
    <w:p w14:paraId="2EFE6FA6">
      <w:pPr>
        <w:spacing w:line="240" w:lineRule="auto"/>
        <w:jc w:val="center"/>
        <w:outlineLvl w:val="1"/>
      </w:pPr>
      <w:r>
        <w:rPr>
          <w:rFonts w:ascii="黑体" w:hAnsi="黑体" w:eastAsia="黑体"/>
          <w:sz w:val="32"/>
        </w:rPr>
        <w:t>第二部分 部门决算情况说明</w:t>
      </w:r>
    </w:p>
    <w:p w14:paraId="36A1B589">
      <w:pPr>
        <w:spacing w:line="640" w:lineRule="exact"/>
        <w:ind w:firstLine="640"/>
        <w:jc w:val="both"/>
        <w:outlineLvl w:val="2"/>
      </w:pPr>
      <w:r>
        <w:rPr>
          <w:rFonts w:ascii="黑体" w:hAnsi="黑体" w:eastAsia="黑体"/>
          <w:sz w:val="32"/>
        </w:rPr>
        <w:t>一、收入支出决算总体情况说明</w:t>
      </w:r>
    </w:p>
    <w:p w14:paraId="232E0A3F">
      <w:pPr>
        <w:spacing w:line="580" w:lineRule="exact"/>
        <w:ind w:firstLine="640"/>
        <w:jc w:val="both"/>
      </w:pPr>
      <w:r>
        <w:rPr>
          <w:rFonts w:ascii="仿宋_GB2312" w:hAnsi="仿宋_GB2312" w:eastAsia="仿宋_GB2312"/>
          <w:b/>
          <w:sz w:val="32"/>
        </w:rPr>
        <w:t>2024年度收入总计1,454.09万元，</w:t>
      </w:r>
      <w:r>
        <w:rPr>
          <w:rFonts w:ascii="仿宋_GB2312" w:hAnsi="仿宋_GB2312" w:eastAsia="仿宋_GB2312"/>
          <w:b w:val="0"/>
          <w:sz w:val="32"/>
        </w:rPr>
        <w:t>其中：本年收入合计1,441.52万元，使用非财政拨款结余（含专用结余）0.00万元，年初结转和结余12.57万元。</w:t>
      </w:r>
    </w:p>
    <w:p w14:paraId="72FA2A4D">
      <w:pPr>
        <w:spacing w:line="580" w:lineRule="exact"/>
        <w:ind w:firstLine="640"/>
        <w:jc w:val="both"/>
      </w:pPr>
      <w:r>
        <w:rPr>
          <w:rFonts w:ascii="仿宋_GB2312" w:hAnsi="仿宋_GB2312" w:eastAsia="仿宋_GB2312"/>
          <w:b/>
          <w:sz w:val="32"/>
        </w:rPr>
        <w:t>2024年度支出总计1,454.09万元，</w:t>
      </w:r>
      <w:r>
        <w:rPr>
          <w:rFonts w:ascii="仿宋_GB2312" w:hAnsi="仿宋_GB2312" w:eastAsia="仿宋_GB2312"/>
          <w:b w:val="0"/>
          <w:sz w:val="32"/>
        </w:rPr>
        <w:t>其中：本年支出合计1,442.05万元，结余分配0.00万元，年末结转和结余12.04万元。</w:t>
      </w:r>
    </w:p>
    <w:p w14:paraId="76E47F61">
      <w:pPr>
        <w:spacing w:line="580" w:lineRule="exact"/>
        <w:ind w:firstLine="640"/>
        <w:jc w:val="both"/>
      </w:pPr>
      <w:r>
        <w:rPr>
          <w:rFonts w:ascii="仿宋_GB2312" w:hAnsi="仿宋_GB2312" w:eastAsia="仿宋_GB2312"/>
          <w:b w:val="0"/>
          <w:sz w:val="32"/>
        </w:rPr>
        <w:t>收入支出总体与上年相比，增加117.11万元，增长8.76%，主要原因是：1.本年在职人员增加，在职人员工资调增、社保、公积金基数调增，人员经费增加。2.本年政府救助项目资金较上年增加。</w:t>
      </w:r>
    </w:p>
    <w:p w14:paraId="46092599">
      <w:pPr>
        <w:spacing w:line="640" w:lineRule="exact"/>
        <w:ind w:firstLine="640"/>
        <w:jc w:val="both"/>
        <w:outlineLvl w:val="2"/>
      </w:pPr>
      <w:r>
        <w:rPr>
          <w:rFonts w:ascii="黑体" w:hAnsi="黑体" w:eastAsia="黑体"/>
          <w:sz w:val="32"/>
        </w:rPr>
        <w:t>二、收入决算情况说明</w:t>
      </w:r>
    </w:p>
    <w:p w14:paraId="79D74653">
      <w:pPr>
        <w:spacing w:line="580" w:lineRule="exact"/>
        <w:ind w:firstLine="640"/>
        <w:jc w:val="both"/>
      </w:pPr>
      <w:r>
        <w:rPr>
          <w:rFonts w:ascii="仿宋_GB2312" w:hAnsi="仿宋_GB2312" w:eastAsia="仿宋_GB2312"/>
          <w:b/>
          <w:sz w:val="32"/>
        </w:rPr>
        <w:t>本年收入1,441.52万元，</w:t>
      </w:r>
      <w:r>
        <w:rPr>
          <w:rFonts w:ascii="仿宋_GB2312" w:hAnsi="仿宋_GB2312" w:eastAsia="仿宋_GB2312"/>
          <w:b w:val="0"/>
          <w:sz w:val="32"/>
        </w:rPr>
        <w:t>其中：财政拨款收入1,441.52万元，占100.00%；上级补助收入0.00万元，占0.00%；事业收入0.00万元，占0.00%；经营收入0.00万元，占0.00%；附属单位上缴收入0.00万元，占0.00%；其他收入0.00万元，占0.00%。</w:t>
      </w:r>
    </w:p>
    <w:p w14:paraId="7DB13B51">
      <w:pPr>
        <w:spacing w:line="640" w:lineRule="exact"/>
        <w:ind w:firstLine="640"/>
        <w:jc w:val="both"/>
        <w:outlineLvl w:val="2"/>
      </w:pPr>
      <w:r>
        <w:rPr>
          <w:rFonts w:ascii="黑体" w:hAnsi="黑体" w:eastAsia="黑体"/>
          <w:sz w:val="32"/>
        </w:rPr>
        <w:t>三、支出决算情况说明</w:t>
      </w:r>
    </w:p>
    <w:p w14:paraId="69167585">
      <w:pPr>
        <w:spacing w:line="580" w:lineRule="exact"/>
        <w:ind w:firstLine="640"/>
        <w:jc w:val="both"/>
      </w:pPr>
      <w:r>
        <w:rPr>
          <w:rFonts w:ascii="仿宋_GB2312" w:hAnsi="仿宋_GB2312" w:eastAsia="仿宋_GB2312"/>
          <w:b/>
          <w:sz w:val="32"/>
        </w:rPr>
        <w:t>本年支出1,442.05万元，</w:t>
      </w:r>
      <w:r>
        <w:rPr>
          <w:rFonts w:ascii="仿宋_GB2312" w:hAnsi="仿宋_GB2312" w:eastAsia="仿宋_GB2312"/>
          <w:b w:val="0"/>
          <w:sz w:val="32"/>
        </w:rPr>
        <w:t>其中：基本支出1,067.89万元，占74.05%；项目支出374.16万元，占25.95%；上缴上级支出0.00万元，占0.00%；经营支出0.00万元，占0.00%；对附属单位补助支出0.00万元，占0.00%。</w:t>
      </w:r>
    </w:p>
    <w:p w14:paraId="06858F6F">
      <w:pPr>
        <w:spacing w:line="640" w:lineRule="exact"/>
        <w:ind w:firstLine="640"/>
        <w:jc w:val="both"/>
        <w:outlineLvl w:val="2"/>
      </w:pPr>
      <w:r>
        <w:rPr>
          <w:rFonts w:ascii="黑体" w:hAnsi="黑体" w:eastAsia="黑体"/>
          <w:sz w:val="32"/>
        </w:rPr>
        <w:t>四、财政拨款收入支出决算总体情况说明</w:t>
      </w:r>
    </w:p>
    <w:p w14:paraId="32FE6D55">
      <w:pPr>
        <w:spacing w:line="580" w:lineRule="exact"/>
        <w:ind w:firstLine="640"/>
        <w:jc w:val="both"/>
      </w:pPr>
      <w:r>
        <w:rPr>
          <w:rFonts w:ascii="仿宋_GB2312" w:hAnsi="仿宋_GB2312" w:eastAsia="仿宋_GB2312"/>
          <w:b/>
          <w:sz w:val="32"/>
        </w:rPr>
        <w:t>2024年度财政拨款收入总计1,441.52万元，</w:t>
      </w:r>
      <w:r>
        <w:rPr>
          <w:rFonts w:ascii="仿宋_GB2312" w:hAnsi="仿宋_GB2312" w:eastAsia="仿宋_GB2312"/>
          <w:b w:val="0"/>
          <w:sz w:val="32"/>
        </w:rPr>
        <w:t>其中：年初财政拨款结转和结余0.00万元，本年财政拨款收入1,441.52万元。</w:t>
      </w:r>
      <w:r>
        <w:rPr>
          <w:rFonts w:ascii="仿宋_GB2312" w:hAnsi="仿宋_GB2312" w:eastAsia="仿宋_GB2312"/>
          <w:b/>
          <w:sz w:val="32"/>
        </w:rPr>
        <w:t>财政拨款支出总计1,441.52万元，</w:t>
      </w:r>
      <w:r>
        <w:rPr>
          <w:rFonts w:ascii="仿宋_GB2312" w:hAnsi="仿宋_GB2312" w:eastAsia="仿宋_GB2312"/>
          <w:b w:val="0"/>
          <w:sz w:val="32"/>
        </w:rPr>
        <w:t>其中：年末财政拨款结转和结余0.00万元，本年财政拨款支出1,441.52万元。</w:t>
      </w:r>
    </w:p>
    <w:p w14:paraId="73AE90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增加117.15万元，增长8.85%，主要原因是：1.本年在职人员增加，在职人员工资调增、社保、公积金基数调增，人员经费增加。2.本年政府救助项目较上年增加。</w:t>
      </w:r>
      <w:r>
        <w:rPr>
          <w:rFonts w:ascii="仿宋_GB2312" w:hAnsi="仿宋_GB2312" w:eastAsia="仿宋_GB2312"/>
          <w:b/>
          <w:sz w:val="32"/>
        </w:rPr>
        <w:t>与年初预算相比，</w:t>
      </w:r>
      <w:r>
        <w:rPr>
          <w:rFonts w:ascii="仿宋_GB2312" w:hAnsi="仿宋_GB2312" w:eastAsia="仿宋_GB2312"/>
          <w:b w:val="0"/>
          <w:sz w:val="32"/>
        </w:rPr>
        <w:t>年初预算数1,019.42万元，决算数1,441.52万元，预决算差异率41.41%，主要原因是：1.年中追加政府救助项目、网络运行维护项目、公车租赁费、为民办实事经费，导致预决算存在差异。2.本年在职人员增加，年中追加人员经费及人员工资、社保、公积金基数调增部分资金，导致预决算存在差异。</w:t>
      </w:r>
    </w:p>
    <w:p w14:paraId="024AA2D2">
      <w:pPr>
        <w:spacing w:line="640" w:lineRule="exact"/>
        <w:ind w:firstLine="640"/>
        <w:jc w:val="both"/>
        <w:outlineLvl w:val="2"/>
      </w:pPr>
      <w:r>
        <w:rPr>
          <w:rFonts w:ascii="黑体" w:hAnsi="黑体" w:eastAsia="黑体"/>
          <w:sz w:val="32"/>
        </w:rPr>
        <w:t>五、一般公共预算财政拨款支出决算情况说明</w:t>
      </w:r>
    </w:p>
    <w:p w14:paraId="5B0C32E9">
      <w:pPr>
        <w:spacing w:line="640" w:lineRule="exact"/>
        <w:ind w:firstLine="640"/>
        <w:jc w:val="both"/>
        <w:outlineLvl w:val="3"/>
      </w:pPr>
      <w:r>
        <w:rPr>
          <w:rFonts w:ascii="楷体_GB2312" w:hAnsi="楷体_GB2312" w:eastAsia="楷体_GB2312"/>
          <w:b/>
          <w:sz w:val="32"/>
        </w:rPr>
        <w:t>（一）一般公共预算财政拨款支出决算总体情况</w:t>
      </w:r>
    </w:p>
    <w:p w14:paraId="59F970DA">
      <w:pPr>
        <w:spacing w:line="580" w:lineRule="exact"/>
        <w:ind w:firstLine="640"/>
        <w:jc w:val="both"/>
      </w:pPr>
      <w:r>
        <w:rPr>
          <w:rFonts w:ascii="仿宋_GB2312" w:hAnsi="仿宋_GB2312" w:eastAsia="仿宋_GB2312"/>
          <w:b/>
          <w:sz w:val="32"/>
        </w:rPr>
        <w:t>2024年度一般公共预算财政拨款支出1,441.52万元，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增加117.15万元，增长8.85%，主要原因是：1.本年在职人员增加，在职人员工资调增、社保、公积金基数调增，人员经费增加。2.本年政府救助项目较上年增加。</w:t>
      </w:r>
      <w:r>
        <w:rPr>
          <w:rFonts w:ascii="仿宋_GB2312" w:hAnsi="仿宋_GB2312" w:eastAsia="仿宋_GB2312"/>
          <w:b/>
          <w:sz w:val="32"/>
        </w:rPr>
        <w:t>与年初预算相比,</w:t>
      </w:r>
      <w:r>
        <w:rPr>
          <w:rFonts w:ascii="仿宋_GB2312" w:hAnsi="仿宋_GB2312" w:eastAsia="仿宋_GB2312"/>
          <w:b w:val="0"/>
          <w:sz w:val="32"/>
        </w:rPr>
        <w:t>年初预算数1,019.42万元，决算数1,441.52万元，预决算差异率41.41%，主要原因是：1.年中追加政府救助项目、网络运行维护项目、公车租赁费、为民办实事经费，导致预决算存在差异。2.本年在职人员增加，年中追加人员经费及人员工资、社保、公积金基数调增部分资金，导致预决算存在差异。</w:t>
      </w:r>
    </w:p>
    <w:p w14:paraId="43CFCB1D">
      <w:pPr>
        <w:spacing w:line="640" w:lineRule="exact"/>
        <w:ind w:firstLine="640"/>
        <w:jc w:val="both"/>
        <w:outlineLvl w:val="3"/>
      </w:pPr>
      <w:r>
        <w:rPr>
          <w:rFonts w:ascii="楷体_GB2312" w:hAnsi="楷体_GB2312" w:eastAsia="楷体_GB2312"/>
          <w:b/>
          <w:sz w:val="32"/>
        </w:rPr>
        <w:t>（二）一般公共预算财政拨款支出决算结构情况</w:t>
      </w:r>
    </w:p>
    <w:p w14:paraId="35CAD8BE">
      <w:pPr>
        <w:spacing w:line="580" w:lineRule="exact"/>
        <w:ind w:firstLine="640"/>
        <w:jc w:val="both"/>
      </w:pPr>
      <w:r>
        <w:rPr>
          <w:rFonts w:ascii="仿宋_GB2312" w:hAnsi="仿宋_GB2312" w:eastAsia="仿宋_GB2312"/>
          <w:b w:val="0"/>
          <w:sz w:val="32"/>
        </w:rPr>
        <w:t>1.一般公共服务支出(类)879.82万元,占61.03%。</w:t>
      </w:r>
    </w:p>
    <w:p w14:paraId="26C14F29">
      <w:pPr>
        <w:spacing w:line="580" w:lineRule="exact"/>
        <w:ind w:firstLine="640"/>
        <w:jc w:val="both"/>
      </w:pPr>
      <w:r>
        <w:rPr>
          <w:rFonts w:ascii="仿宋_GB2312" w:hAnsi="仿宋_GB2312" w:eastAsia="仿宋_GB2312"/>
          <w:b w:val="0"/>
          <w:sz w:val="32"/>
        </w:rPr>
        <w:t>2.科学技术支出(类)6.60万元,占0.46%。</w:t>
      </w:r>
    </w:p>
    <w:p w14:paraId="650B3308">
      <w:pPr>
        <w:spacing w:line="580" w:lineRule="exact"/>
        <w:ind w:firstLine="640"/>
        <w:jc w:val="both"/>
      </w:pPr>
      <w:r>
        <w:rPr>
          <w:rFonts w:ascii="仿宋_GB2312" w:hAnsi="仿宋_GB2312" w:eastAsia="仿宋_GB2312"/>
          <w:b w:val="0"/>
          <w:sz w:val="32"/>
        </w:rPr>
        <w:t>3.社会保障和就业支出(类)125.84万元,占8.73%。</w:t>
      </w:r>
    </w:p>
    <w:p w14:paraId="5247EA49">
      <w:pPr>
        <w:spacing w:line="580" w:lineRule="exact"/>
        <w:ind w:firstLine="640"/>
        <w:jc w:val="both"/>
      </w:pPr>
      <w:r>
        <w:rPr>
          <w:rFonts w:ascii="仿宋_GB2312" w:hAnsi="仿宋_GB2312" w:eastAsia="仿宋_GB2312"/>
          <w:b w:val="0"/>
          <w:sz w:val="32"/>
        </w:rPr>
        <w:t>4.卫生健康支出(类)34.93万元,占2.42%。</w:t>
      </w:r>
    </w:p>
    <w:p w14:paraId="578AD76F">
      <w:pPr>
        <w:spacing w:line="580" w:lineRule="exact"/>
        <w:ind w:firstLine="640"/>
        <w:jc w:val="both"/>
      </w:pPr>
      <w:r>
        <w:rPr>
          <w:rFonts w:ascii="仿宋_GB2312" w:hAnsi="仿宋_GB2312" w:eastAsia="仿宋_GB2312"/>
          <w:b w:val="0"/>
          <w:sz w:val="32"/>
        </w:rPr>
        <w:t>5.农林水支出(类)342.00万元,占23.72%。</w:t>
      </w:r>
    </w:p>
    <w:p w14:paraId="6D28C103">
      <w:pPr>
        <w:spacing w:line="580" w:lineRule="exact"/>
        <w:ind w:firstLine="640"/>
        <w:jc w:val="both"/>
      </w:pPr>
      <w:r>
        <w:rPr>
          <w:rFonts w:ascii="仿宋_GB2312" w:hAnsi="仿宋_GB2312" w:eastAsia="仿宋_GB2312"/>
          <w:b w:val="0"/>
          <w:sz w:val="32"/>
        </w:rPr>
        <w:t>6.住房保障支出(类)52.34万元,占3.63%。</w:t>
      </w:r>
    </w:p>
    <w:p w14:paraId="509BE44F">
      <w:pPr>
        <w:spacing w:line="640" w:lineRule="exact"/>
        <w:ind w:firstLine="640"/>
        <w:jc w:val="both"/>
        <w:outlineLvl w:val="3"/>
      </w:pPr>
      <w:r>
        <w:rPr>
          <w:rFonts w:ascii="楷体_GB2312" w:hAnsi="楷体_GB2312" w:eastAsia="楷体_GB2312"/>
          <w:b/>
          <w:sz w:val="32"/>
        </w:rPr>
        <w:t>（三）一般公共预算财政拨款支出决算具体情况</w:t>
      </w:r>
    </w:p>
    <w:p w14:paraId="5C45C901">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1.一般公共服务支出(类)政府办公厅（室）及相关机构事务(款)行政运行(项):支出决算数为728.52万元，比上年决算减少23.70万元，下降3.15%,主要原因是：本年无新增死亡人员，抚恤金支出减少。</w:t>
      </w:r>
    </w:p>
    <w:p w14:paraId="60C813FC">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2.一般公共服务支出(类)政府办公厅（室）及相关机构事务(款)事业运行(项):支出决算数为117.02万元，比上年决算增加35.73万元，增长43.95%,主要原因是：本年在职人员增加，在职人员工资调增，相关费用增加。</w:t>
      </w:r>
    </w:p>
    <w:p w14:paraId="43879BA6">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32.16万元，比上年决算增加0.00万元，增长0.00%,主要原因是：本年政府办信息化项目库建设项目与上年一致，无变化。</w:t>
      </w:r>
    </w:p>
    <w:p w14:paraId="7675055F">
      <w:pPr>
        <w:spacing w:line="580" w:lineRule="exact"/>
        <w:ind w:firstLine="640"/>
        <w:jc w:val="both"/>
      </w:pPr>
      <w:r>
        <w:rPr>
          <w:rFonts w:ascii="仿宋_GB2312" w:hAnsi="仿宋_GB2312" w:eastAsia="仿宋_GB2312"/>
          <w:b w:val="0"/>
          <w:sz w:val="32"/>
        </w:rPr>
        <w:t>4.一般公共服务支出(类)组织事务(款)其他组织事务支出(项):支出决算数为2.12万元，比上年决算增加2.12万元，增长100.00%,主要原因是：本年增加工作队第一书记补助项目，导致经费较上年增加。</w:t>
      </w:r>
    </w:p>
    <w:p w14:paraId="16E00193">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5.科学技术支出(类)科技条件与服务(款)其他科技条件与服务支出(项):支出决算数为6.60万元，比上年决算增加6.60万元，增长100.00%,主要原因是：本年增加</w:t>
      </w:r>
      <w:r>
        <w:rPr>
          <w:rFonts w:hint="eastAsia" w:ascii="仿宋_GB2312" w:hAnsi="仿宋_GB2312" w:eastAsia="仿宋_GB2312"/>
          <w:b w:val="0"/>
          <w:sz w:val="32"/>
          <w:lang w:val="en-US" w:eastAsia="zh-CN"/>
        </w:rPr>
        <w:t>专项业务</w:t>
      </w:r>
      <w:r>
        <w:rPr>
          <w:rFonts w:ascii="仿宋_GB2312" w:hAnsi="仿宋_GB2312" w:eastAsia="仿宋_GB2312"/>
          <w:b w:val="0"/>
          <w:sz w:val="32"/>
        </w:rPr>
        <w:t>费用，导致经费较上年增加。</w:t>
      </w:r>
    </w:p>
    <w:p w14:paraId="2FD8196F">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6.社会保障和就业支出(类)行政事业单位养老支出(款)行政单位离退休(项):支出决算数为12.89万元，比上年决算增加8.02万元，增长164.68%,主要原因是：本年退休人员增加</w:t>
      </w:r>
      <w:r>
        <w:rPr>
          <w:rFonts w:hint="eastAsia" w:ascii="仿宋_GB2312" w:hAnsi="仿宋_GB2312" w:eastAsia="仿宋_GB2312"/>
          <w:b w:val="0"/>
          <w:sz w:val="32"/>
          <w:lang w:eastAsia="zh-CN"/>
        </w:rPr>
        <w:t>，</w:t>
      </w:r>
      <w:r>
        <w:rPr>
          <w:rFonts w:ascii="仿宋_GB2312" w:hAnsi="仿宋_GB2312" w:eastAsia="仿宋_GB2312"/>
          <w:b w:val="0"/>
          <w:sz w:val="32"/>
        </w:rPr>
        <w:t>增加退休人员基础绩效奖，退休费支出增加。</w:t>
      </w:r>
    </w:p>
    <w:p w14:paraId="6CF42BBC">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65.65万元，比上年决算增加4.38万元，增长7.15%,主要原因是：本年在职人员工资基数调增，养老缴费基数上涨，相应支出增加。</w:t>
      </w:r>
    </w:p>
    <w:p w14:paraId="695941E3">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8.社会保障和就业支出(类)行政事业单位养老支出(款)机关事业单位职业年金缴费支出(项):支出决算数为47.30万元，比上年决算增加18.82万元，增长66.08%,主要原因是：本年新增退休人员，职业年金缴费支出增加。</w:t>
      </w:r>
    </w:p>
    <w:p w14:paraId="06438868">
      <w:pPr>
        <w:spacing w:line="580" w:lineRule="exact"/>
        <w:ind w:firstLine="640"/>
        <w:jc w:val="both"/>
      </w:pPr>
      <w:r>
        <w:rPr>
          <w:rFonts w:ascii="仿宋_GB2312" w:hAnsi="仿宋_GB2312" w:eastAsia="仿宋_GB2312"/>
          <w:b w:val="0"/>
          <w:sz w:val="32"/>
        </w:rPr>
        <w:t>9.卫生健康支出(类)行政事业单位医疗(款)行政单位医疗(项):支出决算数为24.86万元，比上年决算减少7.11万元，下降22.24%,主要原因是：因退休人员医疗保险制度改革，退休人员基本医疗不再由单位缴纳，导致经费较上年减少。</w:t>
      </w:r>
    </w:p>
    <w:p w14:paraId="347DD298">
      <w:pPr>
        <w:spacing w:line="580" w:lineRule="exact"/>
        <w:ind w:firstLine="640"/>
        <w:jc w:val="both"/>
      </w:pPr>
      <w:r>
        <w:rPr>
          <w:rFonts w:ascii="仿宋_GB2312" w:hAnsi="仿宋_GB2312" w:eastAsia="仿宋_GB2312"/>
          <w:b w:val="0"/>
          <w:sz w:val="32"/>
        </w:rPr>
        <w:t>10.卫生健康支出(类)行政事业单位医疗(款)事业单位医疗(项):支出决算数为8.02万元，比上年决算增加2.49万元，增长45.03%,主要原因是：本年在职人员增加，事业单位医疗支出较上年增加。</w:t>
      </w:r>
    </w:p>
    <w:p w14:paraId="3B156744">
      <w:pPr>
        <w:spacing w:line="580" w:lineRule="exact"/>
        <w:ind w:firstLine="640"/>
        <w:jc w:val="both"/>
      </w:pPr>
      <w:r>
        <w:rPr>
          <w:rFonts w:ascii="仿宋_GB2312" w:hAnsi="仿宋_GB2312" w:eastAsia="仿宋_GB2312"/>
          <w:b w:val="0"/>
          <w:sz w:val="32"/>
        </w:rPr>
        <w:t>11.卫生健康支出(类)行政事业单位医疗(款)公务员医疗补助(项):支出决算数为2.05万元，比上年决算减少0.35万元，下降14.58%,主要原因是：因退休人员医疗保险制度改革，退休人员基本医疗不再由单位缴纳，导致经费较上年减少。</w:t>
      </w:r>
    </w:p>
    <w:p w14:paraId="522D99A7">
      <w:pPr>
        <w:spacing w:line="580" w:lineRule="exact"/>
        <w:ind w:firstLine="640"/>
        <w:jc w:val="both"/>
      </w:pPr>
      <w:r>
        <w:rPr>
          <w:rFonts w:ascii="仿宋_GB2312" w:hAnsi="仿宋_GB2312" w:eastAsia="仿宋_GB2312"/>
          <w:b w:val="0"/>
          <w:sz w:val="32"/>
        </w:rPr>
        <w:t>12.农林水支出(类)巩固脱贫攻坚成果衔接乡村振兴(款)其他巩固脱贫攻坚成果衔接乡村振兴支出(项):支出决算数为342.00万元，比上年决算增加63.00万元，增长22.58%,主要原因是：本年为更</w:t>
      </w:r>
      <w:r>
        <w:rPr>
          <w:rFonts w:hint="eastAsia" w:ascii="仿宋_GB2312" w:hAnsi="仿宋_GB2312" w:eastAsia="仿宋_GB2312"/>
          <w:b w:val="0"/>
          <w:sz w:val="32"/>
          <w:lang w:eastAsia="zh-CN"/>
        </w:rPr>
        <w:t>好地</w:t>
      </w:r>
      <w:r>
        <w:rPr>
          <w:rFonts w:ascii="仿宋_GB2312" w:hAnsi="仿宋_GB2312" w:eastAsia="仿宋_GB2312"/>
          <w:b w:val="0"/>
          <w:sz w:val="32"/>
        </w:rPr>
        <w:t>服务全县职工，政府救助项目较上年增加。</w:t>
      </w:r>
    </w:p>
    <w:p w14:paraId="0D8EE53B">
      <w:pPr>
        <w:spacing w:line="580" w:lineRule="exact"/>
        <w:ind w:firstLine="640"/>
        <w:jc w:val="both"/>
      </w:pPr>
      <w:r>
        <w:rPr>
          <w:rFonts w:ascii="仿宋_GB2312" w:hAnsi="仿宋_GB2312" w:eastAsia="仿宋_GB2312"/>
          <w:b w:val="0"/>
          <w:sz w:val="32"/>
        </w:rPr>
        <w:t>13.住房保障支出(类)住房改革支出(款)住房公积金(项):支出决算数为52.34万元，比上年决算增加7.16万元，增长15.85%,主要原因是：本年在职人员增加</w:t>
      </w:r>
      <w:r>
        <w:rPr>
          <w:rFonts w:hint="eastAsia" w:ascii="仿宋_GB2312" w:hAnsi="仿宋_GB2312" w:eastAsia="仿宋_GB2312"/>
          <w:b w:val="0"/>
          <w:sz w:val="32"/>
          <w:lang w:eastAsia="zh-CN"/>
        </w:rPr>
        <w:t>，</w:t>
      </w:r>
      <w:r>
        <w:rPr>
          <w:rFonts w:ascii="仿宋_GB2312" w:hAnsi="仿宋_GB2312" w:eastAsia="仿宋_GB2312"/>
          <w:b w:val="0"/>
          <w:sz w:val="32"/>
        </w:rPr>
        <w:t>在职人员工资基数调增，公积金缴费基数上涨，相应支出增加。</w:t>
      </w:r>
    </w:p>
    <w:p w14:paraId="6997A7E5">
      <w:pPr>
        <w:spacing w:line="640" w:lineRule="exact"/>
        <w:ind w:firstLine="640"/>
        <w:jc w:val="both"/>
        <w:outlineLvl w:val="2"/>
      </w:pPr>
      <w:r>
        <w:rPr>
          <w:rFonts w:ascii="黑体" w:hAnsi="黑体" w:eastAsia="黑体"/>
          <w:sz w:val="32"/>
        </w:rPr>
        <w:t>六、一般公共预算财政拨款基本支出决算情况说明</w:t>
      </w:r>
    </w:p>
    <w:p w14:paraId="74FC99AD">
      <w:pPr>
        <w:spacing w:line="580" w:lineRule="exact"/>
        <w:ind w:firstLine="640"/>
        <w:jc w:val="both"/>
      </w:pPr>
      <w:r>
        <w:rPr>
          <w:rFonts w:ascii="仿宋_GB2312" w:hAnsi="仿宋_GB2312" w:eastAsia="仿宋_GB2312"/>
          <w:b w:val="0"/>
          <w:sz w:val="32"/>
        </w:rPr>
        <w:t>2024年度一般公共预算财政拨款基本支出1,067.36万元，其中：</w:t>
      </w:r>
      <w:r>
        <w:rPr>
          <w:rFonts w:ascii="仿宋_GB2312" w:hAnsi="仿宋_GB2312" w:eastAsia="仿宋_GB2312"/>
          <w:b/>
          <w:sz w:val="32"/>
        </w:rPr>
        <w:t>人员经费751.49万元，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7AD52039">
      <w:pPr>
        <w:spacing w:line="580" w:lineRule="exact"/>
        <w:ind w:firstLine="640"/>
        <w:jc w:val="both"/>
      </w:pPr>
      <w:r>
        <w:rPr>
          <w:rFonts w:ascii="仿宋_GB2312" w:hAnsi="仿宋_GB2312" w:eastAsia="仿宋_GB2312"/>
          <w:b/>
          <w:sz w:val="32"/>
        </w:rPr>
        <w:t>公用经费315.86万元，</w:t>
      </w:r>
      <w:r>
        <w:rPr>
          <w:rFonts w:ascii="仿宋_GB2312" w:hAnsi="仿宋_GB2312" w:eastAsia="仿宋_GB2312"/>
          <w:b w:val="0"/>
          <w:sz w:val="32"/>
        </w:rPr>
        <w:t>包括：办公费、印刷费、咨询费、水费、电费、邮电费、物业管理费、差旅费、维修（护）费、租赁费、专用材料费、劳务费、工会经费、公务用车运行维护费、其他交通费用、其他商品和服务支出、专用设备购置。</w:t>
      </w:r>
    </w:p>
    <w:p w14:paraId="6B63B8BE">
      <w:pPr>
        <w:spacing w:line="640" w:lineRule="exact"/>
        <w:ind w:firstLine="640"/>
        <w:jc w:val="both"/>
        <w:outlineLvl w:val="2"/>
      </w:pPr>
      <w:r>
        <w:rPr>
          <w:rFonts w:ascii="黑体" w:hAnsi="黑体" w:eastAsia="黑体"/>
          <w:sz w:val="32"/>
        </w:rPr>
        <w:t>七、政府性基金预算财政拨款收入支出决算情况说明</w:t>
      </w:r>
    </w:p>
    <w:p w14:paraId="598EC44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733C6CB">
      <w:pPr>
        <w:spacing w:line="640" w:lineRule="exact"/>
        <w:ind w:firstLine="640"/>
        <w:jc w:val="both"/>
        <w:outlineLvl w:val="2"/>
      </w:pPr>
      <w:r>
        <w:rPr>
          <w:rFonts w:ascii="黑体" w:hAnsi="黑体" w:eastAsia="黑体"/>
          <w:sz w:val="32"/>
        </w:rPr>
        <w:t>八、国有资本经营预算财政拨款收入支出决算情况说明</w:t>
      </w:r>
    </w:p>
    <w:p w14:paraId="59BDB96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DF980B0">
      <w:pPr>
        <w:spacing w:line="640" w:lineRule="exact"/>
        <w:ind w:firstLine="640"/>
        <w:jc w:val="both"/>
        <w:outlineLvl w:val="2"/>
      </w:pPr>
      <w:r>
        <w:rPr>
          <w:rFonts w:ascii="黑体" w:hAnsi="黑体" w:eastAsia="黑体"/>
          <w:sz w:val="32"/>
        </w:rPr>
        <w:t>九、财政拨款“三公”经费支出决算情况说明</w:t>
      </w:r>
    </w:p>
    <w:p w14:paraId="6E3BE3A7">
      <w:pPr>
        <w:spacing w:line="580" w:lineRule="exact"/>
        <w:ind w:firstLine="640"/>
        <w:jc w:val="both"/>
      </w:pPr>
      <w:r>
        <w:rPr>
          <w:rFonts w:ascii="仿宋_GB2312" w:hAnsi="仿宋_GB2312" w:eastAsia="仿宋_GB2312"/>
          <w:b/>
          <w:sz w:val="32"/>
        </w:rPr>
        <w:t>2024年度财政拨款“三公”经费支出33.52万元，</w:t>
      </w:r>
      <w:r>
        <w:rPr>
          <w:rFonts w:ascii="仿宋_GB2312" w:hAnsi="仿宋_GB2312" w:eastAsia="仿宋_GB2312"/>
          <w:b w:val="0"/>
          <w:sz w:val="32"/>
        </w:rPr>
        <w:t>比上年减少0.02万元，下降0.06%，主要原因是：本单位严格落实中央八项规定精神，厉行节约，减少公务用车运行维护费。其中：因公出国（境）费支出0.00万元，占0.00%，比上年增加0.00万元，增长0.00%，主要原因是：2023年与2024年均未安排因公出国（境）费支出。公务用车购置及运行维护费支出33.52万元，占100.00%，比上年减少0.02万元，下降0.06%，主要原因是：本单位严格落实中央八项规定精神，厉行节约，减少公务用车运行维护费。公务接待费支出0.00万元，占0.00%，比上年增加0.00万元，增长0.00%，主要原因是：2023年与2024年均未安排公务接待费支出。</w:t>
      </w:r>
    </w:p>
    <w:p w14:paraId="590EB60B">
      <w:pPr>
        <w:spacing w:line="580" w:lineRule="exact"/>
        <w:ind w:firstLine="640"/>
        <w:jc w:val="both"/>
      </w:pPr>
      <w:r>
        <w:rPr>
          <w:rFonts w:ascii="仿宋_GB2312" w:hAnsi="仿宋_GB2312" w:eastAsia="仿宋_GB2312"/>
          <w:b/>
          <w:sz w:val="32"/>
        </w:rPr>
        <w:t>具体情况如下：</w:t>
      </w:r>
    </w:p>
    <w:p w14:paraId="546637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EAADDF">
      <w:pPr>
        <w:spacing w:line="580" w:lineRule="exact"/>
        <w:ind w:firstLine="640"/>
        <w:jc w:val="both"/>
      </w:pPr>
      <w:r>
        <w:rPr>
          <w:rFonts w:ascii="仿宋_GB2312" w:hAnsi="仿宋_GB2312" w:eastAsia="仿宋_GB2312"/>
          <w:b w:val="0"/>
          <w:sz w:val="32"/>
        </w:rPr>
        <w:t>公务用车购置及运行维护费33.52万元，其中：公务用车购置费0.00万元，公务用车运行维护费33.52万元。公务用车运行维护费开支内容包括车辆加油费、维修费、保险费、审车费、过路费等。公务用车购置数0辆，公务用车保有量11辆。国有资产占用情况中固定资产车辆3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差异车辆为借调车辆，车辆使用费用由</w:t>
      </w:r>
      <w:r>
        <w:rPr>
          <w:rFonts w:hint="eastAsia" w:ascii="仿宋_GB2312" w:hAnsi="仿宋_GB2312" w:eastAsia="仿宋_GB2312"/>
          <w:b w:val="0"/>
          <w:sz w:val="32"/>
          <w:lang w:eastAsia="zh-CN"/>
        </w:rPr>
        <w:t>本单位</w:t>
      </w:r>
      <w:r>
        <w:rPr>
          <w:rFonts w:ascii="仿宋_GB2312" w:hAnsi="仿宋_GB2312" w:eastAsia="仿宋_GB2312"/>
          <w:b w:val="0"/>
          <w:sz w:val="32"/>
        </w:rPr>
        <w:t>支付。</w:t>
      </w:r>
    </w:p>
    <w:p w14:paraId="580649F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2AF4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33.60万元，决算数33.52万元，预决算差异率-0.24%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33.60万元，决算数33.52万元，预决算差异率-0.24%，主要原因是</w:t>
      </w:r>
      <w:r>
        <w:rPr>
          <w:rFonts w:hint="eastAsia" w:ascii="仿宋_GB2312" w:hAnsi="仿宋_GB2312" w:eastAsia="仿宋_GB2312"/>
          <w:b w:val="0"/>
          <w:sz w:val="32"/>
          <w:lang w:eastAsia="zh-CN"/>
        </w:rPr>
        <w:t>：</w:t>
      </w:r>
      <w:r>
        <w:rPr>
          <w:rFonts w:ascii="仿宋_GB2312" w:hAnsi="仿宋_GB2312" w:eastAsia="仿宋_GB2312"/>
          <w:b w:val="0"/>
          <w:sz w:val="32"/>
        </w:rPr>
        <w:t>严格落实中央八项规定精神，厉行节约，减少经费支出。公务接待费全年预算数0.00万元，决算数0.00万元，预决算差异率0.00%，主要原因是：本单位无公务接待费。</w:t>
      </w:r>
    </w:p>
    <w:p w14:paraId="1B9CCD81">
      <w:pPr>
        <w:spacing w:line="640" w:lineRule="exact"/>
        <w:ind w:firstLine="640"/>
        <w:jc w:val="both"/>
        <w:outlineLvl w:val="2"/>
      </w:pPr>
      <w:r>
        <w:rPr>
          <w:rFonts w:ascii="黑体" w:hAnsi="黑体" w:eastAsia="黑体"/>
          <w:sz w:val="32"/>
        </w:rPr>
        <w:t>十、其他重要事项的情况说明</w:t>
      </w:r>
    </w:p>
    <w:p w14:paraId="0C95DFD0">
      <w:pPr>
        <w:spacing w:line="640" w:lineRule="exact"/>
        <w:ind w:firstLine="640"/>
        <w:jc w:val="both"/>
        <w:outlineLvl w:val="3"/>
      </w:pPr>
      <w:r>
        <w:rPr>
          <w:rFonts w:ascii="楷体_GB2312" w:hAnsi="楷体_GB2312" w:eastAsia="楷体_GB2312"/>
          <w:b/>
          <w:sz w:val="32"/>
        </w:rPr>
        <w:t>（一）机关运行经费及公用经费支出情况</w:t>
      </w:r>
    </w:p>
    <w:p w14:paraId="7304D064">
      <w:pPr>
        <w:spacing w:line="580" w:lineRule="exact"/>
        <w:ind w:firstLine="640"/>
        <w:jc w:val="both"/>
      </w:pPr>
      <w:r>
        <w:rPr>
          <w:rFonts w:ascii="仿宋_GB2312" w:hAnsi="仿宋_GB2312" w:eastAsia="仿宋_GB2312"/>
          <w:b w:val="0"/>
          <w:sz w:val="32"/>
        </w:rPr>
        <w:t>2024年度吉木萨尔县人民政府办公室（行政单位和参照公务员法管理事业单位）机关运行经费支出315.86万元，比上年增加18.05万元，增长6.06%，主要原因是：本年</w:t>
      </w:r>
      <w:r>
        <w:rPr>
          <w:rFonts w:hint="eastAsia" w:ascii="仿宋_GB2312" w:hAnsi="仿宋_GB2312" w:eastAsia="仿宋_GB2312"/>
          <w:b w:val="0"/>
          <w:sz w:val="32"/>
          <w:lang w:val="en-US" w:eastAsia="zh-CN"/>
        </w:rPr>
        <w:t>专项业务</w:t>
      </w:r>
      <w:bookmarkStart w:id="0" w:name="_GoBack"/>
      <w:bookmarkEnd w:id="0"/>
      <w:r>
        <w:rPr>
          <w:rFonts w:ascii="仿宋_GB2312" w:hAnsi="仿宋_GB2312" w:eastAsia="仿宋_GB2312"/>
          <w:b w:val="0"/>
          <w:sz w:val="32"/>
        </w:rPr>
        <w:t>费、为民办实事经费增加，导致机关运行经费较上年增加。</w:t>
      </w:r>
    </w:p>
    <w:p w14:paraId="3F263E9E">
      <w:pPr>
        <w:spacing w:line="640" w:lineRule="exact"/>
        <w:ind w:firstLine="640"/>
        <w:jc w:val="both"/>
        <w:outlineLvl w:val="3"/>
      </w:pPr>
      <w:r>
        <w:rPr>
          <w:rFonts w:ascii="楷体_GB2312" w:hAnsi="楷体_GB2312" w:eastAsia="楷体_GB2312"/>
          <w:b/>
          <w:sz w:val="32"/>
        </w:rPr>
        <w:t>（二）政府采购情况</w:t>
      </w:r>
    </w:p>
    <w:p w14:paraId="3F89D5A1">
      <w:pPr>
        <w:spacing w:line="580" w:lineRule="exact"/>
        <w:ind w:firstLine="640"/>
        <w:jc w:val="both"/>
      </w:pPr>
      <w:r>
        <w:rPr>
          <w:rFonts w:ascii="仿宋_GB2312" w:hAnsi="仿宋_GB2312" w:eastAsia="仿宋_GB2312"/>
          <w:b w:val="0"/>
          <w:sz w:val="32"/>
        </w:rPr>
        <w:t>2024年度政府采购支出总额31.03万元，其中：政府采购货物支出11.94万元、政府采购工程支出0.00万元、政府采购服务支出19.10万元。</w:t>
      </w:r>
    </w:p>
    <w:p w14:paraId="08F31419">
      <w:pPr>
        <w:spacing w:line="580" w:lineRule="exact"/>
        <w:ind w:firstLine="640"/>
        <w:jc w:val="both"/>
      </w:pPr>
      <w:r>
        <w:rPr>
          <w:rFonts w:ascii="仿宋_GB2312" w:hAnsi="仿宋_GB2312" w:eastAsia="仿宋_GB2312"/>
          <w:b w:val="0"/>
          <w:sz w:val="32"/>
        </w:rPr>
        <w:t>授予中小企业合同金额21.73万元，占政府采购支出总额的70.03%，其中：授予小微企业合同金额21.68万元，占政府采购支出总额的69.87%。</w:t>
      </w:r>
    </w:p>
    <w:p w14:paraId="03072816">
      <w:pPr>
        <w:spacing w:line="640" w:lineRule="exact"/>
        <w:ind w:firstLine="640"/>
        <w:jc w:val="both"/>
        <w:outlineLvl w:val="3"/>
      </w:pPr>
      <w:r>
        <w:rPr>
          <w:rFonts w:ascii="楷体_GB2312" w:hAnsi="楷体_GB2312" w:eastAsia="楷体_GB2312"/>
          <w:b/>
          <w:sz w:val="32"/>
        </w:rPr>
        <w:t>（三）国有资产占用情况说明</w:t>
      </w:r>
    </w:p>
    <w:p w14:paraId="1A0A241E">
      <w:pPr>
        <w:spacing w:line="580" w:lineRule="exact"/>
        <w:ind w:firstLine="640"/>
        <w:jc w:val="both"/>
      </w:pPr>
      <w:r>
        <w:rPr>
          <w:rFonts w:ascii="仿宋_GB2312" w:hAnsi="仿宋_GB2312" w:eastAsia="仿宋_GB2312"/>
          <w:b w:val="0"/>
          <w:sz w:val="32"/>
        </w:rPr>
        <w:t>截至2024年12月31日，房屋162.84平方米，价值37.91万元。车辆3辆，价值107.87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公务用车。单价100万元（含）以上设备（不含车辆）0台（套）。</w:t>
      </w:r>
    </w:p>
    <w:p w14:paraId="15AEF66C">
      <w:pPr>
        <w:spacing w:line="640" w:lineRule="exact"/>
        <w:ind w:firstLine="640"/>
        <w:jc w:val="both"/>
        <w:outlineLvl w:val="2"/>
      </w:pPr>
      <w:r>
        <w:rPr>
          <w:rFonts w:ascii="黑体" w:hAnsi="黑体" w:eastAsia="黑体"/>
          <w:sz w:val="32"/>
        </w:rPr>
        <w:t>十一、预算绩效的情况说明</w:t>
      </w:r>
    </w:p>
    <w:p w14:paraId="42558EB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1,454.09万元，实际执行总额1,442.05万元；预算绩效评价项目2个，全年预算数35.07万元，全年执行数35.07万元。预算绩效管理取得的成效：一是</w:t>
      </w:r>
      <w:r>
        <w:rPr>
          <w:rFonts w:hint="eastAsia" w:ascii="仿宋_GB2312" w:hAnsi="仿宋_GB2312" w:eastAsia="仿宋_GB2312"/>
          <w:b w:val="0"/>
          <w:sz w:val="32"/>
          <w:lang w:eastAsia="zh-CN"/>
        </w:rPr>
        <w:t>本单位</w:t>
      </w:r>
      <w:r>
        <w:rPr>
          <w:rFonts w:ascii="仿宋_GB2312" w:hAnsi="仿宋_GB2312" w:eastAsia="仿宋_GB2312"/>
          <w:b w:val="0"/>
          <w:sz w:val="32"/>
        </w:rPr>
        <w:t>明确职责分工和成本控制要求，严格按照资金管理办法，实行多重审批控制财政经费的支出，</w:t>
      </w:r>
      <w:r>
        <w:rPr>
          <w:rFonts w:hint="eastAsia" w:ascii="仿宋_GB2312" w:hAnsi="仿宋_GB2312" w:eastAsia="仿宋_GB2312"/>
          <w:b w:val="0"/>
          <w:sz w:val="32"/>
          <w:lang w:eastAsia="zh-CN"/>
        </w:rPr>
        <w:t>科学</w:t>
      </w:r>
      <w:r>
        <w:rPr>
          <w:rFonts w:ascii="仿宋_GB2312" w:hAnsi="仿宋_GB2312" w:eastAsia="仿宋_GB2312"/>
          <w:b w:val="0"/>
          <w:sz w:val="32"/>
        </w:rPr>
        <w:t>组织实施成本控制；二是支出严格控制在预算范围内，严格控制成本，本着节约成本，防止资源浪费的原则将资金效率发挥最大化。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一是改进措施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w:t>
      </w:r>
    </w:p>
    <w:p w14:paraId="28A2BD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2643CE">
        <w:tblPrEx>
          <w:tblCellMar>
            <w:top w:w="0" w:type="dxa"/>
            <w:left w:w="108" w:type="dxa"/>
            <w:bottom w:w="0" w:type="dxa"/>
            <w:right w:w="108" w:type="dxa"/>
          </w:tblCellMar>
        </w:tblPrEx>
        <w:tc>
          <w:tcPr>
            <w:tcW w:w="8847" w:type="dxa"/>
            <w:gridSpan w:val="9"/>
            <w:vAlign w:val="center"/>
          </w:tcPr>
          <w:p w14:paraId="3AAC0864">
            <w:pPr>
              <w:jc w:val="center"/>
            </w:pPr>
            <w:r>
              <w:rPr>
                <w:rFonts w:ascii="宋体" w:hAnsi="宋体" w:eastAsia="宋体"/>
                <w:sz w:val="24"/>
              </w:rPr>
              <w:t>单位整体支出绩效自评表</w:t>
            </w:r>
          </w:p>
        </w:tc>
      </w:tr>
      <w:tr w14:paraId="011E7DA1">
        <w:tblPrEx>
          <w:tblCellMar>
            <w:top w:w="0" w:type="dxa"/>
            <w:left w:w="108" w:type="dxa"/>
            <w:bottom w:w="0" w:type="dxa"/>
            <w:right w:w="108" w:type="dxa"/>
          </w:tblCellMar>
        </w:tblPrEx>
        <w:tc>
          <w:tcPr>
            <w:tcW w:w="8847" w:type="dxa"/>
            <w:gridSpan w:val="9"/>
            <w:vAlign w:val="center"/>
          </w:tcPr>
          <w:p w14:paraId="239CB6B9">
            <w:pPr>
              <w:jc w:val="center"/>
            </w:pPr>
            <w:r>
              <w:rPr>
                <w:rFonts w:ascii="宋体" w:hAnsi="宋体" w:eastAsia="宋体"/>
                <w:sz w:val="24"/>
              </w:rPr>
              <w:t>（2024年度）</w:t>
            </w:r>
          </w:p>
        </w:tc>
      </w:tr>
      <w:tr w14:paraId="20B584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675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90E449">
            <w:pPr>
              <w:jc w:val="center"/>
            </w:pPr>
            <w:r>
              <w:rPr>
                <w:rFonts w:ascii="宋体" w:hAnsi="宋体" w:eastAsia="宋体"/>
                <w:sz w:val="16"/>
              </w:rPr>
              <w:t>吉木萨尔县人民政府办公室</w:t>
            </w:r>
          </w:p>
        </w:tc>
      </w:tr>
      <w:tr w14:paraId="1F76E7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9991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13C3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E2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5E4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47B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55CE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79C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63AF">
            <w:pPr>
              <w:jc w:val="center"/>
            </w:pPr>
            <w:r>
              <w:rPr>
                <w:rFonts w:ascii="宋体" w:hAnsi="宋体" w:eastAsia="宋体"/>
                <w:sz w:val="16"/>
              </w:rPr>
              <w:t>得分</w:t>
            </w:r>
          </w:p>
        </w:tc>
      </w:tr>
      <w:tr w14:paraId="53234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312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2775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7D2F">
            <w:pPr>
              <w:jc w:val="center"/>
            </w:pPr>
            <w:r>
              <w:rPr>
                <w:rFonts w:ascii="宋体" w:hAnsi="宋体" w:eastAsia="宋体"/>
                <w:sz w:val="16"/>
              </w:rPr>
              <w:t>1,019.42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31521">
            <w:pPr>
              <w:jc w:val="center"/>
            </w:pPr>
            <w:r>
              <w:rPr>
                <w:rFonts w:ascii="宋体" w:hAnsi="宋体" w:eastAsia="宋体"/>
                <w:sz w:val="16"/>
              </w:rPr>
              <w:t>1,454.09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99F5">
            <w:pPr>
              <w:jc w:val="center"/>
            </w:pPr>
            <w:r>
              <w:rPr>
                <w:rFonts w:ascii="宋体" w:hAnsi="宋体" w:eastAsia="宋体"/>
                <w:sz w:val="16"/>
              </w:rPr>
              <w:t>1,442.05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BE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65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D648D">
            <w:pPr>
              <w:jc w:val="center"/>
            </w:pPr>
            <w:r>
              <w:rPr>
                <w:rFonts w:ascii="宋体" w:hAnsi="宋体" w:eastAsia="宋体"/>
                <w:sz w:val="16"/>
              </w:rPr>
              <w:t>-</w:t>
            </w:r>
          </w:p>
        </w:tc>
      </w:tr>
      <w:tr w14:paraId="28D33C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014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005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85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F4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09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60F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E9F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CA7F">
            <w:pPr>
              <w:jc w:val="center"/>
            </w:pPr>
            <w:r>
              <w:rPr>
                <w:rFonts w:ascii="宋体" w:hAnsi="宋体" w:eastAsia="宋体"/>
                <w:sz w:val="16"/>
              </w:rPr>
              <w:t>-</w:t>
            </w:r>
          </w:p>
        </w:tc>
      </w:tr>
      <w:tr w14:paraId="4C417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13A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33A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9193">
            <w:pPr>
              <w:jc w:val="center"/>
            </w:pPr>
            <w:r>
              <w:rPr>
                <w:rFonts w:ascii="宋体" w:hAnsi="宋体" w:eastAsia="宋体"/>
                <w:sz w:val="16"/>
              </w:rPr>
              <w:t>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86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37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7FE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62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3745">
            <w:pPr>
              <w:jc w:val="center"/>
            </w:pPr>
            <w:r>
              <w:rPr>
                <w:rFonts w:ascii="宋体" w:hAnsi="宋体" w:eastAsia="宋体"/>
                <w:sz w:val="16"/>
              </w:rPr>
              <w:t>-</w:t>
            </w:r>
          </w:p>
        </w:tc>
      </w:tr>
      <w:tr w14:paraId="260C99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517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CDB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4D8E7">
            <w:pPr>
              <w:jc w:val="center"/>
            </w:pPr>
            <w:r>
              <w:rPr>
                <w:rFonts w:ascii="宋体" w:hAnsi="宋体" w:eastAsia="宋体"/>
                <w:sz w:val="16"/>
              </w:rPr>
              <w:t>1,022.79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DE21">
            <w:pPr>
              <w:jc w:val="center"/>
            </w:pPr>
            <w:r>
              <w:rPr>
                <w:rFonts w:ascii="宋体" w:hAnsi="宋体" w:eastAsia="宋体"/>
                <w:sz w:val="16"/>
              </w:rPr>
              <w:t>1,454.09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A603">
            <w:pPr>
              <w:jc w:val="center"/>
            </w:pPr>
            <w:r>
              <w:rPr>
                <w:rFonts w:ascii="宋体" w:hAnsi="宋体" w:eastAsia="宋体"/>
                <w:sz w:val="16"/>
              </w:rPr>
              <w:t>1,442.05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AF3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877BC">
            <w:pPr>
              <w:jc w:val="center"/>
            </w:pPr>
            <w:r>
              <w:rPr>
                <w:rFonts w:ascii="宋体" w:hAnsi="宋体" w:eastAsia="宋体"/>
                <w:sz w:val="16"/>
              </w:rPr>
              <w:t>99.17%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94B5F">
            <w:pPr>
              <w:jc w:val="center"/>
            </w:pPr>
            <w:r>
              <w:rPr>
                <w:rFonts w:ascii="宋体" w:hAnsi="宋体" w:eastAsia="宋体"/>
                <w:sz w:val="16"/>
              </w:rPr>
              <w:t>9.91</w:t>
            </w:r>
          </w:p>
        </w:tc>
      </w:tr>
      <w:tr w14:paraId="0EDB7D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6738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F7E07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7C736">
            <w:pPr>
              <w:jc w:val="center"/>
            </w:pPr>
            <w:r>
              <w:rPr>
                <w:rFonts w:ascii="宋体" w:hAnsi="宋体" w:eastAsia="宋体"/>
                <w:sz w:val="16"/>
              </w:rPr>
              <w:t>实际完成情况</w:t>
            </w:r>
          </w:p>
        </w:tc>
      </w:tr>
      <w:tr w14:paraId="2F809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D6B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FB2FBB">
            <w:pPr>
              <w:jc w:val="both"/>
            </w:pPr>
            <w:r>
              <w:rPr>
                <w:rFonts w:ascii="宋体" w:hAnsi="宋体" w:eastAsia="宋体"/>
                <w:sz w:val="16"/>
              </w:rPr>
              <w:t>保障本单位在职人员工资、津贴、社保、医疗、住房公积金和控制岗工资社保以及退休人员的独生子女奖励金等人员类经费；保障本单位办公费、车辆运行维护费、四套班子运行经费、工会经费等行政运行正常运转；保障县领导视察、调研等各项工作的正常开展；围绕政府决策部署和中心工作，组织召开各类会议；以文辅助政起草政府工作报告、政府全体会议报告等各类综合文稿；加强对全县民生工程、重大事件的督查督办，确保政令畅通、工作落实。</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B6B15">
            <w:pPr>
              <w:jc w:val="both"/>
            </w:pPr>
            <w:r>
              <w:rPr>
                <w:rFonts w:ascii="宋体" w:hAnsi="宋体" w:eastAsia="宋体"/>
                <w:sz w:val="16"/>
              </w:rPr>
              <w:t>一是围绕“快”抓好督查督办。完成国务院、自治区“互联网 + 督查”事项21件，中国政府网网民留言16条。二是强调“会前准备、会中组织、会后落实”三个环节，认真制定方案，加强衔接协调，精简高效承办了党组会、常务会、专题会等重大会议370余场次，确保了各项重大决策的及时贯彻落实。三是围绕“谋”抓好综合文稿。始终把文稿服务作为办公室履行“三服务”职责的基础，注重文稿撰写的思想性、前瞻性、务实性，力求做到精益求精，体现领导意图，今年高质量起草了政府工作报告、政府全体会议报告等各类综合文稿600余篇。四是全县公开基础信息11665条，办理政府信息依申请公开12件，办结率100%。政策解读回应共17条，公开重点领域信息652条，政府公文22条，人事任免9条，共收到州、县领导信箱信件124条，已办理124条，办结率100%。五是完成国办、自治区、州约稿203篇，报送动态信息511篇。截至目前，国办、自治区、自治州各级共采用信息62条，全州信息排名第二。</w:t>
            </w:r>
          </w:p>
        </w:tc>
      </w:tr>
      <w:tr w14:paraId="741A5F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7FF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4DD4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AE6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051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197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3B3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115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7EA76">
            <w:pPr>
              <w:jc w:val="center"/>
            </w:pPr>
            <w:r>
              <w:rPr>
                <w:rFonts w:ascii="宋体" w:hAnsi="宋体" w:eastAsia="宋体"/>
                <w:sz w:val="16"/>
              </w:rPr>
              <w:t>得分</w:t>
            </w:r>
          </w:p>
        </w:tc>
      </w:tr>
      <w:tr w14:paraId="6DCADD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B115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B84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E0B8F">
            <w:pPr>
              <w:jc w:val="center"/>
            </w:pPr>
            <w:r>
              <w:rPr>
                <w:rFonts w:ascii="宋体" w:hAnsi="宋体" w:eastAsia="宋体"/>
                <w:sz w:val="16"/>
              </w:rPr>
              <w:t>关注民生督办各类事项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72C88">
            <w:pPr>
              <w:jc w:val="center"/>
            </w:pPr>
            <w:r>
              <w:rPr>
                <w:rFonts w:ascii="宋体" w:hAnsi="宋体" w:eastAsia="宋体"/>
                <w:sz w:val="16"/>
              </w:rPr>
              <w:t>&gt;=11条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F30EA">
            <w:pPr>
              <w:jc w:val="center"/>
            </w:pPr>
            <w:r>
              <w:rPr>
                <w:rFonts w:ascii="宋体" w:hAnsi="宋体" w:eastAsia="宋体"/>
                <w:sz w:val="16"/>
              </w:rPr>
              <w:t>政府办工作要点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60FD">
            <w:pPr>
              <w:jc w:val="center"/>
            </w:pPr>
            <w:r>
              <w:rPr>
                <w:rFonts w:ascii="宋体" w:hAnsi="宋体" w:eastAsia="宋体"/>
                <w:sz w:val="16"/>
              </w:rPr>
              <w:t>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FF816">
            <w:pPr>
              <w:jc w:val="center"/>
            </w:pPr>
            <w:r>
              <w:rPr>
                <w:rFonts w:ascii="宋体" w:hAnsi="宋体" w:eastAsia="宋体"/>
                <w:sz w:val="16"/>
              </w:rPr>
              <w:t>=16条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EDE6">
            <w:pPr>
              <w:jc w:val="center"/>
            </w:pPr>
            <w:r>
              <w:rPr>
                <w:rFonts w:ascii="宋体" w:hAnsi="宋体" w:eastAsia="宋体"/>
                <w:sz w:val="16"/>
              </w:rPr>
              <w:t>29</w:t>
            </w:r>
          </w:p>
        </w:tc>
      </w:tr>
      <w:tr w14:paraId="5B4FC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45A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28C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6AAD">
            <w:pPr>
              <w:jc w:val="center"/>
            </w:pPr>
            <w:r>
              <w:rPr>
                <w:rFonts w:ascii="宋体" w:hAnsi="宋体" w:eastAsia="宋体"/>
                <w:sz w:val="16"/>
              </w:rPr>
              <w:t>承办县政府的重大会议、常务会议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8E922">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9A017">
            <w:pPr>
              <w:jc w:val="center"/>
            </w:pPr>
            <w:r>
              <w:rPr>
                <w:rFonts w:ascii="宋体" w:hAnsi="宋体" w:eastAsia="宋体"/>
                <w:sz w:val="16"/>
              </w:rPr>
              <w:t>政府办工作要点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FE765">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244F">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5558E">
            <w:pPr>
              <w:jc w:val="center"/>
            </w:pPr>
            <w:r>
              <w:rPr>
                <w:rFonts w:ascii="宋体" w:hAnsi="宋体" w:eastAsia="宋体"/>
                <w:sz w:val="16"/>
              </w:rPr>
              <w:t>16</w:t>
            </w:r>
          </w:p>
        </w:tc>
      </w:tr>
      <w:tr w14:paraId="35B88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F1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BAE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CD933">
            <w:pPr>
              <w:jc w:val="center"/>
            </w:pPr>
            <w:r>
              <w:rPr>
                <w:rFonts w:ascii="宋体" w:hAnsi="宋体" w:eastAsia="宋体"/>
                <w:sz w:val="16"/>
              </w:rPr>
              <w:t>办理县政府收文、发文、起草文稿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49C2">
            <w:pPr>
              <w:jc w:val="center"/>
            </w:pPr>
            <w:r>
              <w:rPr>
                <w:rFonts w:ascii="宋体" w:hAnsi="宋体" w:eastAsia="宋体"/>
                <w:sz w:val="16"/>
              </w:rPr>
              <w:t>&gt;=600件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FFDD7">
            <w:pPr>
              <w:jc w:val="center"/>
            </w:pPr>
            <w:r>
              <w:rPr>
                <w:rFonts w:ascii="宋体" w:hAnsi="宋体" w:eastAsia="宋体"/>
                <w:sz w:val="16"/>
              </w:rPr>
              <w:t>政府办工作要点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F144">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FFF5D">
            <w:pPr>
              <w:jc w:val="center"/>
            </w:pPr>
            <w:r>
              <w:rPr>
                <w:rFonts w:ascii="宋体" w:hAnsi="宋体" w:eastAsia="宋体"/>
                <w:sz w:val="16"/>
              </w:rPr>
              <w:t>=600件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F3B71">
            <w:pPr>
              <w:jc w:val="center"/>
            </w:pPr>
            <w:r>
              <w:rPr>
                <w:rFonts w:ascii="宋体" w:hAnsi="宋体" w:eastAsia="宋体"/>
                <w:sz w:val="16"/>
              </w:rPr>
              <w:t>17</w:t>
            </w:r>
          </w:p>
        </w:tc>
      </w:tr>
      <w:tr w14:paraId="10544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2CE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84F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0538">
            <w:pPr>
              <w:jc w:val="center"/>
            </w:pPr>
            <w:r>
              <w:rPr>
                <w:rFonts w:ascii="宋体" w:hAnsi="宋体" w:eastAsia="宋体"/>
                <w:sz w:val="16"/>
              </w:rPr>
              <w:t>政府网站信息公开、政策解读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BF7D">
            <w:pPr>
              <w:jc w:val="center"/>
            </w:pPr>
            <w:r>
              <w:rPr>
                <w:rFonts w:ascii="宋体" w:hAnsi="宋体" w:eastAsia="宋体"/>
                <w:sz w:val="16"/>
              </w:rPr>
              <w:t>=500条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06E30">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C6D2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39FD">
            <w:pPr>
              <w:jc w:val="center"/>
            </w:pPr>
            <w:r>
              <w:rPr>
                <w:rFonts w:ascii="宋体" w:hAnsi="宋体" w:eastAsia="宋体"/>
                <w:sz w:val="16"/>
              </w:rPr>
              <w:t>=500条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D39EA">
            <w:pPr>
              <w:jc w:val="center"/>
            </w:pPr>
            <w:r>
              <w:rPr>
                <w:rFonts w:ascii="宋体" w:hAnsi="宋体" w:eastAsia="宋体"/>
                <w:sz w:val="16"/>
              </w:rPr>
              <w:t>15</w:t>
            </w:r>
          </w:p>
        </w:tc>
      </w:tr>
      <w:tr w14:paraId="67A8B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AC0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560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E9C7">
            <w:pPr>
              <w:jc w:val="center"/>
            </w:pPr>
            <w:r>
              <w:rPr>
                <w:rFonts w:ascii="宋体" w:hAnsi="宋体" w:eastAsia="宋体"/>
                <w:sz w:val="16"/>
              </w:rPr>
              <w:t>反映政府发展动态的政府调研报告、约稿、信息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83AC">
            <w:pPr>
              <w:jc w:val="center"/>
            </w:pPr>
            <w:r>
              <w:rPr>
                <w:rFonts w:ascii="宋体" w:hAnsi="宋体" w:eastAsia="宋体"/>
                <w:sz w:val="16"/>
              </w:rPr>
              <w:t>&gt;=510条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F05ED">
            <w:pPr>
              <w:jc w:val="center"/>
            </w:pPr>
            <w:r>
              <w:rPr>
                <w:rFonts w:ascii="宋体" w:hAnsi="宋体" w:eastAsia="宋体"/>
                <w:sz w:val="16"/>
              </w:rPr>
              <w:t>政府办工作要点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34B8">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24B55">
            <w:pPr>
              <w:jc w:val="center"/>
            </w:pPr>
            <w:r>
              <w:rPr>
                <w:rFonts w:ascii="宋体" w:hAnsi="宋体" w:eastAsia="宋体"/>
                <w:sz w:val="16"/>
              </w:rPr>
              <w:t>=511条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88D87">
            <w:pPr>
              <w:jc w:val="center"/>
            </w:pPr>
            <w:r>
              <w:rPr>
                <w:rFonts w:ascii="宋体" w:hAnsi="宋体" w:eastAsia="宋体"/>
                <w:sz w:val="16"/>
              </w:rPr>
              <w:t>13</w:t>
            </w:r>
          </w:p>
        </w:tc>
      </w:tr>
    </w:tbl>
    <w:p w14:paraId="1344A77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7"/>
        <w:gridCol w:w="627"/>
        <w:gridCol w:w="776"/>
        <w:gridCol w:w="696"/>
        <w:gridCol w:w="629"/>
        <w:gridCol w:w="696"/>
        <w:gridCol w:w="624"/>
        <w:gridCol w:w="624"/>
        <w:gridCol w:w="624"/>
        <w:gridCol w:w="627"/>
        <w:gridCol w:w="633"/>
      </w:tblGrid>
      <w:tr w14:paraId="4FBB566B">
        <w:tblPrEx>
          <w:tblCellMar>
            <w:top w:w="0" w:type="dxa"/>
            <w:left w:w="108" w:type="dxa"/>
            <w:bottom w:w="0" w:type="dxa"/>
            <w:right w:w="108" w:type="dxa"/>
          </w:tblCellMar>
        </w:tblPrEx>
        <w:tc>
          <w:tcPr>
            <w:tcW w:w="8848" w:type="dxa"/>
            <w:gridSpan w:val="14"/>
            <w:vAlign w:val="center"/>
          </w:tcPr>
          <w:p w14:paraId="1A5A5BED">
            <w:pPr>
              <w:jc w:val="center"/>
            </w:pPr>
            <w:r>
              <w:rPr>
                <w:rFonts w:ascii="宋体" w:hAnsi="宋体" w:eastAsia="宋体"/>
                <w:sz w:val="24"/>
              </w:rPr>
              <w:t>项目支出绩效自评表</w:t>
            </w:r>
          </w:p>
        </w:tc>
      </w:tr>
      <w:tr w14:paraId="5D80F74B">
        <w:tblPrEx>
          <w:tblCellMar>
            <w:top w:w="0" w:type="dxa"/>
            <w:left w:w="108" w:type="dxa"/>
            <w:bottom w:w="0" w:type="dxa"/>
            <w:right w:w="108" w:type="dxa"/>
          </w:tblCellMar>
        </w:tblPrEx>
        <w:tc>
          <w:tcPr>
            <w:tcW w:w="8848" w:type="dxa"/>
            <w:gridSpan w:val="14"/>
            <w:vAlign w:val="center"/>
          </w:tcPr>
          <w:p w14:paraId="060D56CC">
            <w:pPr>
              <w:jc w:val="center"/>
            </w:pPr>
            <w:r>
              <w:rPr>
                <w:rFonts w:ascii="宋体" w:hAnsi="宋体" w:eastAsia="宋体"/>
                <w:sz w:val="24"/>
              </w:rPr>
              <w:t>(2024年度)</w:t>
            </w:r>
          </w:p>
        </w:tc>
      </w:tr>
      <w:tr w14:paraId="190197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C9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39B82E">
            <w:pPr>
              <w:jc w:val="center"/>
            </w:pPr>
            <w:r>
              <w:rPr>
                <w:rFonts w:ascii="宋体" w:hAnsi="宋体" w:eastAsia="宋体"/>
                <w:sz w:val="16"/>
              </w:rPr>
              <w:t>吉木萨尔县人民政府网站改版升级和信息资源库建设项目</w:t>
            </w:r>
          </w:p>
        </w:tc>
      </w:tr>
      <w:tr w14:paraId="79D26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6A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F17A0">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B3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C5544">
            <w:pPr>
              <w:jc w:val="center"/>
            </w:pPr>
            <w:r>
              <w:rPr>
                <w:rFonts w:ascii="宋体" w:hAnsi="宋体" w:eastAsia="宋体"/>
                <w:sz w:val="16"/>
              </w:rPr>
              <w:t>吉木萨尔县人民政府办公室</w:t>
            </w:r>
          </w:p>
        </w:tc>
      </w:tr>
      <w:tr w14:paraId="33C576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501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40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246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22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EA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C6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5E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0E7B">
            <w:pPr>
              <w:jc w:val="center"/>
            </w:pPr>
            <w:r>
              <w:rPr>
                <w:rFonts w:ascii="宋体" w:hAnsi="宋体" w:eastAsia="宋体"/>
                <w:sz w:val="16"/>
              </w:rPr>
              <w:t>得分</w:t>
            </w:r>
          </w:p>
        </w:tc>
      </w:tr>
      <w:tr w14:paraId="7AA8E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1D1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8F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01DD">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06F1">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1757">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A3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D67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3671">
            <w:pPr>
              <w:jc w:val="center"/>
            </w:pPr>
            <w:r>
              <w:rPr>
                <w:rFonts w:ascii="宋体" w:hAnsi="宋体" w:eastAsia="宋体"/>
                <w:sz w:val="16"/>
              </w:rPr>
              <w:t>10.00</w:t>
            </w:r>
          </w:p>
        </w:tc>
      </w:tr>
      <w:tr w14:paraId="29492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F60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F62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17BE">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B288A">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6696">
            <w:pPr>
              <w:jc w:val="center"/>
            </w:pPr>
            <w:r>
              <w:rPr>
                <w:rFonts w:ascii="宋体" w:hAnsi="宋体" w:eastAsia="宋体"/>
                <w:sz w:val="16"/>
              </w:rPr>
              <w:t>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98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1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A3DA">
            <w:pPr>
              <w:jc w:val="center"/>
            </w:pPr>
            <w:r>
              <w:rPr>
                <w:rFonts w:ascii="宋体" w:hAnsi="宋体" w:eastAsia="宋体"/>
                <w:sz w:val="16"/>
              </w:rPr>
              <w:t>—</w:t>
            </w:r>
          </w:p>
        </w:tc>
      </w:tr>
      <w:tr w14:paraId="067DC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A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850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8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3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BB1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0D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9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F0A2">
            <w:pPr>
              <w:jc w:val="center"/>
            </w:pPr>
            <w:r>
              <w:rPr>
                <w:rFonts w:ascii="宋体" w:hAnsi="宋体" w:eastAsia="宋体"/>
                <w:sz w:val="16"/>
              </w:rPr>
              <w:t>—</w:t>
            </w:r>
          </w:p>
        </w:tc>
      </w:tr>
      <w:tr w14:paraId="00D5D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BC56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DA2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F9C71">
            <w:pPr>
              <w:jc w:val="center"/>
            </w:pPr>
            <w:r>
              <w:rPr>
                <w:rFonts w:ascii="宋体" w:hAnsi="宋体" w:eastAsia="宋体"/>
                <w:sz w:val="16"/>
              </w:rPr>
              <w:t>实际完成情况</w:t>
            </w:r>
          </w:p>
        </w:tc>
      </w:tr>
      <w:tr w14:paraId="1050D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510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645E7">
            <w:pPr>
              <w:jc w:val="both"/>
            </w:pPr>
            <w:r>
              <w:rPr>
                <w:rFonts w:ascii="宋体" w:hAnsi="宋体" w:eastAsia="宋体"/>
                <w:sz w:val="16"/>
              </w:rPr>
              <w:t>与自治州政府网站集约化数据接口对接。实现国家、自治区、自治州要闻实时自动发布，以及本级网站数据向上同步共享。 满足国务院关于网站无障碍浏览和适老化相关文件要求。 符合中华人民共和国通信行业标准 YD/T3118-2016《网站IPv6 支持度评测指标与测试方法》，各软件系统平台、中间件、数据库在IPv4和IPv6 环境各部署一套，并能实现结构化数据实时同步，非架构化数据采用OSS 对象存储。 网站错敏信息稿前预检系统。建设一个吉木萨尔县政府网站的综合性政务APP,通过数据采集、数据同步、数据交换等技术手段将吉木萨尔县的网站信息、互动服务和数据查询的数据进行聚合，为互联网用户提供吉木萨尔县政府网站公开的新闻动态、政策文件、办事服务等访问浏览服务支持统一身份认证登录。支持在内容发布系统发布内容后，在 APP 客户端也同步发布。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08F15">
            <w:pPr>
              <w:jc w:val="both"/>
            </w:pPr>
            <w:r>
              <w:rPr>
                <w:rFonts w:hint="eastAsia" w:ascii="宋体" w:hAnsi="宋体"/>
                <w:sz w:val="16"/>
                <w:lang w:eastAsia="zh-CN"/>
              </w:rPr>
              <w:t>截至</w:t>
            </w:r>
            <w:r>
              <w:rPr>
                <w:rFonts w:ascii="宋体" w:hAnsi="宋体" w:eastAsia="宋体"/>
                <w:sz w:val="16"/>
              </w:rPr>
              <w:t>2024年12月31日，项目实际支出32.16万元，预算执行率为100%。实现了与自治州政府网站集约化数据接口对接。实现国家、自治区、自治州要闻实时自动发布，以及本级网站数据向上同步共享。满足国务院关于网站无障碍浏览和适老化相关文件要求。对网站集约化平台、内容发布系统进行授权访问控制，网站错敏信息稿前预检系统，,建设一个吉木萨尔县政府网站的综合性政务APP,通过数据采集、数据同步、数据交换等技术手段将吉木萨尔县的网站信息、互动服务和数据查询的数据进行聚合，为互联网用户提供吉木萨尔县政府网站公开的新闻动态、政策文件、办事服务等访问浏览服务支持统一身份认证登录。支持在内容发布系统发布内容后，在APP客户端也同步发布。提高了政府网站工作效率。</w:t>
            </w:r>
          </w:p>
        </w:tc>
      </w:tr>
      <w:tr w14:paraId="557FC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49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0F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04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95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D1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8B4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50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19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9B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30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AA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91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60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19A6">
            <w:pPr>
              <w:jc w:val="center"/>
            </w:pPr>
            <w:r>
              <w:rPr>
                <w:rFonts w:ascii="宋体" w:hAnsi="宋体" w:eastAsia="宋体"/>
                <w:sz w:val="16"/>
              </w:rPr>
              <w:t>偏差原因分析及改进措施</w:t>
            </w:r>
          </w:p>
        </w:tc>
      </w:tr>
      <w:tr w14:paraId="49DA13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201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0A7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1D3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F3B7">
            <w:pPr>
              <w:jc w:val="center"/>
            </w:pPr>
            <w:r>
              <w:rPr>
                <w:rFonts w:ascii="宋体" w:hAnsi="宋体" w:eastAsia="宋体"/>
                <w:sz w:val="16"/>
              </w:rPr>
              <w:t>网站改版升级项目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09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EFD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B8A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3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89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2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D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6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5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BAE5">
            <w:pPr>
              <w:jc w:val="center"/>
            </w:pPr>
          </w:p>
        </w:tc>
      </w:tr>
      <w:tr w14:paraId="562D1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22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45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C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3519">
            <w:pPr>
              <w:jc w:val="center"/>
            </w:pPr>
            <w:r>
              <w:rPr>
                <w:rFonts w:ascii="宋体" w:hAnsi="宋体" w:eastAsia="宋体"/>
                <w:sz w:val="16"/>
              </w:rPr>
              <w:t>网站改版升级服务内容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9B9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E484">
            <w:pPr>
              <w:jc w:val="center"/>
            </w:pPr>
            <w:r>
              <w:rPr>
                <w:rFonts w:ascii="宋体" w:hAnsi="宋体" w:eastAsia="宋体"/>
                <w:sz w:val="16"/>
              </w:rPr>
              <w:t>&gt;=17个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DE7B">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A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3A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6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9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F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D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2C61">
            <w:pPr>
              <w:jc w:val="center"/>
            </w:pPr>
          </w:p>
        </w:tc>
      </w:tr>
      <w:tr w14:paraId="3B151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B9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38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72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49D4">
            <w:pPr>
              <w:jc w:val="center"/>
            </w:pPr>
            <w:r>
              <w:rPr>
                <w:rFonts w:ascii="宋体" w:hAnsi="宋体" w:eastAsia="宋体"/>
                <w:sz w:val="16"/>
              </w:rPr>
              <w:t>网站改版升级验收合格率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8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0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E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F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87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F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E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F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9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4D6F">
            <w:pPr>
              <w:jc w:val="center"/>
            </w:pPr>
          </w:p>
        </w:tc>
      </w:tr>
      <w:tr w14:paraId="5FDE7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1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E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62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42BF">
            <w:pPr>
              <w:jc w:val="center"/>
            </w:pPr>
            <w:r>
              <w:rPr>
                <w:rFonts w:ascii="宋体" w:hAnsi="宋体" w:eastAsia="宋体"/>
                <w:sz w:val="16"/>
              </w:rPr>
              <w:t>网站改版升级期限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92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148D">
            <w:pPr>
              <w:jc w:val="center"/>
            </w:pPr>
            <w:r>
              <w:rPr>
                <w:rFonts w:ascii="宋体" w:hAnsi="宋体" w:eastAsia="宋体"/>
                <w:sz w:val="16"/>
              </w:rPr>
              <w:t>&lt;=1年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0843">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5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D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2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A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D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7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2C7F">
            <w:pPr>
              <w:jc w:val="center"/>
            </w:pPr>
          </w:p>
        </w:tc>
      </w:tr>
      <w:tr w14:paraId="47A44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3E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63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2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649F">
            <w:pPr>
              <w:jc w:val="center"/>
            </w:pPr>
            <w:r>
              <w:rPr>
                <w:rFonts w:ascii="宋体" w:hAnsi="宋体" w:eastAsia="宋体"/>
                <w:sz w:val="16"/>
              </w:rPr>
              <w:t>目前支付50%款项费用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7B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8F5C">
            <w:pPr>
              <w:jc w:val="center"/>
            </w:pPr>
            <w:r>
              <w:rPr>
                <w:rFonts w:ascii="宋体" w:hAnsi="宋体" w:eastAsia="宋体"/>
                <w:sz w:val="16"/>
              </w:rPr>
              <w:t>&lt;=32.16万元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7B17">
            <w:pPr>
              <w:jc w:val="center"/>
            </w:pPr>
            <w:r>
              <w:rPr>
                <w:rFonts w:ascii="宋体" w:hAnsi="宋体" w:eastAsia="宋体"/>
                <w:sz w:val="16"/>
              </w:rPr>
              <w:t>=32.16万元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E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29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6A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0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6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AC1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6E30">
            <w:pPr>
              <w:jc w:val="center"/>
            </w:pPr>
          </w:p>
        </w:tc>
      </w:tr>
      <w:tr w14:paraId="07126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0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64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6B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DB1E">
            <w:pPr>
              <w:jc w:val="center"/>
            </w:pPr>
            <w:r>
              <w:rPr>
                <w:rFonts w:ascii="宋体" w:hAnsi="宋体" w:eastAsia="宋体"/>
                <w:sz w:val="16"/>
              </w:rPr>
              <w:t>提升网站浏览顺畅度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5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18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35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4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0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8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4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3C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7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DF53">
            <w:pPr>
              <w:jc w:val="center"/>
            </w:pPr>
          </w:p>
        </w:tc>
      </w:tr>
      <w:tr w14:paraId="65B55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6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03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99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0B43">
            <w:pPr>
              <w:jc w:val="center"/>
            </w:pPr>
            <w:r>
              <w:rPr>
                <w:rFonts w:ascii="宋体" w:hAnsi="宋体" w:eastAsia="宋体"/>
                <w:sz w:val="16"/>
              </w:rPr>
              <w:t>网站浏览人群满意度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1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1A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D7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8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0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9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7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42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8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E148">
            <w:pPr>
              <w:jc w:val="center"/>
            </w:pPr>
          </w:p>
        </w:tc>
      </w:tr>
      <w:tr w14:paraId="7370D7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D38A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F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AD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D9D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B3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054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994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52D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18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B0A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FD34C"/>
        </w:tc>
      </w:tr>
    </w:tbl>
    <w:p w14:paraId="324D58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6D0C0E39">
        <w:tblPrEx>
          <w:tblCellMar>
            <w:top w:w="0" w:type="dxa"/>
            <w:left w:w="108" w:type="dxa"/>
            <w:bottom w:w="0" w:type="dxa"/>
            <w:right w:w="108" w:type="dxa"/>
          </w:tblCellMar>
        </w:tblPrEx>
        <w:tc>
          <w:tcPr>
            <w:tcW w:w="8848" w:type="dxa"/>
            <w:gridSpan w:val="14"/>
            <w:vAlign w:val="center"/>
          </w:tcPr>
          <w:p w14:paraId="220AB926">
            <w:pPr>
              <w:jc w:val="center"/>
            </w:pPr>
            <w:r>
              <w:rPr>
                <w:rFonts w:ascii="宋体" w:hAnsi="宋体" w:eastAsia="宋体"/>
                <w:sz w:val="24"/>
              </w:rPr>
              <w:t>项目支出绩效自评表</w:t>
            </w:r>
          </w:p>
        </w:tc>
      </w:tr>
      <w:tr w14:paraId="42EFE25E">
        <w:tblPrEx>
          <w:tblCellMar>
            <w:top w:w="0" w:type="dxa"/>
            <w:left w:w="108" w:type="dxa"/>
            <w:bottom w:w="0" w:type="dxa"/>
            <w:right w:w="108" w:type="dxa"/>
          </w:tblCellMar>
        </w:tblPrEx>
        <w:tc>
          <w:tcPr>
            <w:tcW w:w="8848" w:type="dxa"/>
            <w:gridSpan w:val="14"/>
            <w:vAlign w:val="center"/>
          </w:tcPr>
          <w:p w14:paraId="20AD1731">
            <w:pPr>
              <w:jc w:val="center"/>
            </w:pPr>
            <w:r>
              <w:rPr>
                <w:rFonts w:ascii="宋体" w:hAnsi="宋体" w:eastAsia="宋体"/>
                <w:sz w:val="24"/>
              </w:rPr>
              <w:t>(2024年度)</w:t>
            </w:r>
          </w:p>
        </w:tc>
      </w:tr>
      <w:tr w14:paraId="66283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65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D582BB">
            <w:pPr>
              <w:jc w:val="center"/>
            </w:pPr>
            <w:r>
              <w:rPr>
                <w:rFonts w:ascii="宋体" w:hAnsi="宋体" w:eastAsia="宋体"/>
                <w:sz w:val="16"/>
              </w:rPr>
              <w:t>吉木萨尔镇昌州财建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w:t>
            </w:r>
          </w:p>
        </w:tc>
      </w:tr>
      <w:tr w14:paraId="152210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34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59299">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A5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806A1">
            <w:pPr>
              <w:jc w:val="center"/>
            </w:pPr>
            <w:r>
              <w:rPr>
                <w:rFonts w:ascii="宋体" w:hAnsi="宋体" w:eastAsia="宋体"/>
                <w:sz w:val="16"/>
              </w:rPr>
              <w:t>吉木萨尔县人民政府办公室</w:t>
            </w:r>
          </w:p>
        </w:tc>
      </w:tr>
      <w:tr w14:paraId="2D143C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B0A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EA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1E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4A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78E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F8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05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5459">
            <w:pPr>
              <w:jc w:val="center"/>
            </w:pPr>
            <w:r>
              <w:rPr>
                <w:rFonts w:ascii="宋体" w:hAnsi="宋体" w:eastAsia="宋体"/>
                <w:sz w:val="16"/>
              </w:rPr>
              <w:t>得分</w:t>
            </w:r>
          </w:p>
        </w:tc>
      </w:tr>
      <w:tr w14:paraId="76304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0D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B2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103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4A44C">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8675">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61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D6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0BFE">
            <w:pPr>
              <w:jc w:val="center"/>
            </w:pPr>
            <w:r>
              <w:rPr>
                <w:rFonts w:ascii="宋体" w:hAnsi="宋体" w:eastAsia="宋体"/>
                <w:sz w:val="16"/>
              </w:rPr>
              <w:t>10.00</w:t>
            </w:r>
          </w:p>
        </w:tc>
      </w:tr>
      <w:tr w14:paraId="7C625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EFA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1C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23C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798A">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7D590">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29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D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645B">
            <w:pPr>
              <w:jc w:val="center"/>
            </w:pPr>
            <w:r>
              <w:rPr>
                <w:rFonts w:ascii="宋体" w:hAnsi="宋体" w:eastAsia="宋体"/>
                <w:sz w:val="16"/>
              </w:rPr>
              <w:t>—</w:t>
            </w:r>
          </w:p>
        </w:tc>
      </w:tr>
      <w:tr w14:paraId="1091D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51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DCF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F99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B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2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57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8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4705">
            <w:pPr>
              <w:jc w:val="center"/>
            </w:pPr>
            <w:r>
              <w:rPr>
                <w:rFonts w:ascii="宋体" w:hAnsi="宋体" w:eastAsia="宋体"/>
                <w:sz w:val="16"/>
              </w:rPr>
              <w:t>—</w:t>
            </w:r>
          </w:p>
        </w:tc>
      </w:tr>
      <w:tr w14:paraId="5736FD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2B0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203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7FE7F">
            <w:pPr>
              <w:jc w:val="center"/>
            </w:pPr>
            <w:r>
              <w:rPr>
                <w:rFonts w:ascii="宋体" w:hAnsi="宋体" w:eastAsia="宋体"/>
                <w:sz w:val="16"/>
              </w:rPr>
              <w:t>实际完成情况</w:t>
            </w:r>
          </w:p>
        </w:tc>
      </w:tr>
      <w:tr w14:paraId="3838D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2E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917A6">
            <w:pPr>
              <w:jc w:val="both"/>
            </w:pPr>
            <w:r>
              <w:rPr>
                <w:rFonts w:ascii="宋体" w:hAnsi="宋体" w:eastAsia="宋体"/>
                <w:sz w:val="16"/>
              </w:rPr>
              <w:t>对国有企业退休人员进行慰问不少于1次，购买慰问品成本合计为2.91万元。按时完成走访慰问工作，为国有企业退休人员社会化管理工作更好</w:t>
            </w:r>
            <w:r>
              <w:rPr>
                <w:rFonts w:hint="eastAsia" w:ascii="宋体" w:hAnsi="宋体"/>
                <w:sz w:val="16"/>
                <w:lang w:eastAsia="zh-CN"/>
              </w:rPr>
              <w:t>地</w:t>
            </w:r>
            <w:r>
              <w:rPr>
                <w:rFonts w:ascii="宋体" w:hAnsi="宋体" w:eastAsia="宋体"/>
                <w:sz w:val="16"/>
              </w:rPr>
              <w:t>开展提供保障，保障国有企业退休人员慰问工作正常开展，使得退休人员满意。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1BADF2">
            <w:pPr>
              <w:jc w:val="both"/>
            </w:pPr>
            <w:r>
              <w:rPr>
                <w:rFonts w:ascii="宋体" w:hAnsi="宋体" w:eastAsia="宋体"/>
                <w:sz w:val="16"/>
              </w:rPr>
              <w:t>截止至2024年12月31日，本项目实际支出资金2.91万元，预算执行率100%，本项目的实施严格落实了昌州财建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关于下达2023年自治州本级国有企业退休人员社会化管理补助资金的通知文件的精神，通过实施本项目为国有企业退休人员社会化管理工作更好</w:t>
            </w:r>
            <w:r>
              <w:rPr>
                <w:rFonts w:hint="eastAsia" w:ascii="宋体" w:hAnsi="宋体"/>
                <w:sz w:val="16"/>
                <w:lang w:eastAsia="zh-CN"/>
              </w:rPr>
              <w:t>地</w:t>
            </w:r>
            <w:r>
              <w:rPr>
                <w:rFonts w:ascii="宋体" w:hAnsi="宋体" w:eastAsia="宋体"/>
                <w:sz w:val="16"/>
              </w:rPr>
              <w:t>开展提供保障，保障国有企业退休人员慰问工作正常开展。</w:t>
            </w:r>
          </w:p>
        </w:tc>
      </w:tr>
      <w:tr w14:paraId="6F194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0C9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8F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24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3B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6C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22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58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F6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B97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3A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39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39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80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C15C">
            <w:pPr>
              <w:jc w:val="center"/>
            </w:pPr>
            <w:r>
              <w:rPr>
                <w:rFonts w:ascii="宋体" w:hAnsi="宋体" w:eastAsia="宋体"/>
                <w:sz w:val="16"/>
              </w:rPr>
              <w:t>偏差原因分析及改进措施</w:t>
            </w:r>
          </w:p>
        </w:tc>
      </w:tr>
      <w:tr w14:paraId="0FEB1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D6A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5E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EC6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044C">
            <w:pPr>
              <w:jc w:val="center"/>
            </w:pPr>
            <w:r>
              <w:rPr>
                <w:rFonts w:ascii="宋体" w:hAnsi="宋体" w:eastAsia="宋体"/>
                <w:sz w:val="16"/>
              </w:rPr>
              <w:t>国有企业退休人员涉及社区数量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621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DB3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C53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3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098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4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2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8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A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DD9E">
            <w:pPr>
              <w:jc w:val="center"/>
            </w:pPr>
          </w:p>
        </w:tc>
      </w:tr>
      <w:tr w14:paraId="38A28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34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C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EF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B2FB">
            <w:pPr>
              <w:jc w:val="center"/>
            </w:pPr>
            <w:r>
              <w:rPr>
                <w:rFonts w:ascii="宋体" w:hAnsi="宋体" w:eastAsia="宋体"/>
                <w:sz w:val="16"/>
              </w:rPr>
              <w:t>国有企业退休人员人数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55B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FDDC">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04C0">
            <w:pPr>
              <w:jc w:val="center"/>
            </w:pPr>
            <w:r>
              <w:rPr>
                <w:rFonts w:ascii="宋体" w:hAnsi="宋体" w:eastAsia="宋体"/>
                <w:sz w:val="16"/>
              </w:rPr>
              <w:t>=112人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2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76D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4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4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2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F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BE6A">
            <w:pPr>
              <w:jc w:val="center"/>
            </w:pPr>
          </w:p>
        </w:tc>
      </w:tr>
      <w:tr w14:paraId="47C5F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E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36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34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79E9">
            <w:pPr>
              <w:jc w:val="center"/>
            </w:pPr>
            <w:r>
              <w:rPr>
                <w:rFonts w:ascii="宋体" w:hAnsi="宋体" w:eastAsia="宋体"/>
                <w:sz w:val="16"/>
              </w:rPr>
              <w:t>慰问品验收合格率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1E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7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4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C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66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8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8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7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3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2E16">
            <w:pPr>
              <w:jc w:val="center"/>
            </w:pPr>
          </w:p>
        </w:tc>
      </w:tr>
      <w:tr w14:paraId="3493A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31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1A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E8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02AC">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FE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5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5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5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1C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4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B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4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3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3431">
            <w:pPr>
              <w:jc w:val="center"/>
            </w:pPr>
          </w:p>
        </w:tc>
      </w:tr>
      <w:tr w14:paraId="65825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C0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84D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A8C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15C1">
            <w:pPr>
              <w:jc w:val="center"/>
            </w:pPr>
            <w:r>
              <w:rPr>
                <w:rFonts w:ascii="宋体" w:hAnsi="宋体" w:eastAsia="宋体"/>
                <w:sz w:val="16"/>
              </w:rPr>
              <w:t>为国有企业退休人员购买葵花籽油总成本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9FE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D964">
            <w:pPr>
              <w:jc w:val="center"/>
            </w:pPr>
            <w:r>
              <w:rPr>
                <w:rFonts w:ascii="宋体" w:hAnsi="宋体" w:eastAsia="宋体"/>
                <w:sz w:val="16"/>
              </w:rPr>
              <w:t>&lt;=1.06万元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C9F2">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3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6B4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D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7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C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3A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FA78">
            <w:pPr>
              <w:jc w:val="center"/>
            </w:pPr>
          </w:p>
        </w:tc>
      </w:tr>
      <w:tr w14:paraId="153EF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7B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08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A5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9F8A">
            <w:pPr>
              <w:jc w:val="center"/>
            </w:pPr>
            <w:r>
              <w:rPr>
                <w:rFonts w:ascii="宋体" w:hAnsi="宋体" w:eastAsia="宋体"/>
                <w:sz w:val="16"/>
              </w:rPr>
              <w:t>为国有企业退休人员购买夏凉被总成本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66E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4BD7">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655D">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E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526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7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F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E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E1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CCBF">
            <w:pPr>
              <w:jc w:val="center"/>
            </w:pPr>
          </w:p>
        </w:tc>
      </w:tr>
      <w:tr w14:paraId="7AF9A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3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DF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49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E5C6">
            <w:pPr>
              <w:jc w:val="center"/>
            </w:pPr>
            <w:r>
              <w:rPr>
                <w:rFonts w:ascii="宋体" w:hAnsi="宋体" w:eastAsia="宋体"/>
                <w:sz w:val="16"/>
              </w:rPr>
              <w:t>国有企业退休人员慰问工作正常开展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7A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6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4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99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2C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9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E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6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6F60">
            <w:pPr>
              <w:jc w:val="center"/>
            </w:pPr>
          </w:p>
        </w:tc>
      </w:tr>
      <w:tr w14:paraId="078F2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25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2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7D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F4E5">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B7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72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D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17E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7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1DE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2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16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C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24A5">
            <w:pPr>
              <w:jc w:val="center"/>
            </w:pPr>
            <w:r>
              <w:rPr>
                <w:rFonts w:ascii="宋体" w:hAnsi="宋体" w:eastAsia="宋体"/>
                <w:sz w:val="16"/>
              </w:rPr>
              <w:t>通过定期对退休人员进行慰问，使得退休人员满意度达到100%。</w:t>
            </w:r>
          </w:p>
        </w:tc>
      </w:tr>
      <w:tr w14:paraId="5101AB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D7F9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9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B27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6CE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4DC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631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8D2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473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9E0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31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FA27F"/>
        </w:tc>
      </w:tr>
    </w:tbl>
    <w:p w14:paraId="6D9E3A4B">
      <w:r>
        <w:br w:type="page"/>
      </w:r>
    </w:p>
    <w:p w14:paraId="14AC8A6D">
      <w:pPr>
        <w:spacing w:line="640" w:lineRule="exact"/>
        <w:ind w:firstLine="640"/>
        <w:jc w:val="both"/>
        <w:outlineLvl w:val="2"/>
      </w:pPr>
      <w:r>
        <w:rPr>
          <w:rFonts w:ascii="黑体" w:hAnsi="黑体" w:eastAsia="黑体"/>
          <w:sz w:val="32"/>
        </w:rPr>
        <w:t>十二、其他需说明的事项</w:t>
      </w:r>
    </w:p>
    <w:p w14:paraId="63484BC6">
      <w:pPr>
        <w:spacing w:line="580" w:lineRule="exact"/>
        <w:ind w:firstLine="640"/>
        <w:jc w:val="both"/>
      </w:pPr>
      <w:r>
        <w:rPr>
          <w:rFonts w:ascii="仿宋_GB2312" w:hAnsi="仿宋_GB2312" w:eastAsia="仿宋_GB2312"/>
          <w:b w:val="0"/>
          <w:sz w:val="32"/>
        </w:rPr>
        <w:t>本单位无其他需说明的事项。</w:t>
      </w:r>
    </w:p>
    <w:p w14:paraId="0419BC7F">
      <w:r>
        <w:br w:type="page"/>
      </w:r>
    </w:p>
    <w:p w14:paraId="5DE87598">
      <w:pPr>
        <w:spacing w:line="240" w:lineRule="auto"/>
        <w:jc w:val="center"/>
        <w:outlineLvl w:val="1"/>
      </w:pPr>
      <w:r>
        <w:rPr>
          <w:rFonts w:ascii="黑体" w:hAnsi="黑体" w:eastAsia="黑体"/>
          <w:sz w:val="32"/>
        </w:rPr>
        <w:t>第三部分 专业名词解释</w:t>
      </w:r>
    </w:p>
    <w:p w14:paraId="33C718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6958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1924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A2148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6073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9076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5EFD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71401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FEAB0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50895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29A1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C42C4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CF10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6996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348D0A">
      <w:r>
        <w:br w:type="page"/>
      </w:r>
    </w:p>
    <w:p w14:paraId="7A4C7F23">
      <w:pPr>
        <w:spacing w:line="240" w:lineRule="auto"/>
        <w:jc w:val="center"/>
        <w:outlineLvl w:val="1"/>
      </w:pPr>
      <w:r>
        <w:rPr>
          <w:rFonts w:ascii="黑体" w:hAnsi="黑体" w:eastAsia="黑体"/>
          <w:sz w:val="32"/>
        </w:rPr>
        <w:t>第四部分 部门决算报表（见附表）</w:t>
      </w:r>
    </w:p>
    <w:p w14:paraId="61CB09E2">
      <w:pPr>
        <w:spacing w:line="240" w:lineRule="auto"/>
        <w:ind w:firstLine="640"/>
        <w:jc w:val="both"/>
      </w:pPr>
      <w:r>
        <w:rPr>
          <w:rFonts w:ascii="仿宋_GB2312" w:hAnsi="仿宋_GB2312" w:eastAsia="仿宋_GB2312"/>
          <w:b w:val="0"/>
          <w:sz w:val="32"/>
        </w:rPr>
        <w:t>一、《收入支出决算总表》</w:t>
      </w:r>
    </w:p>
    <w:p w14:paraId="654CBF5D">
      <w:pPr>
        <w:spacing w:line="240" w:lineRule="auto"/>
        <w:ind w:firstLine="640"/>
        <w:jc w:val="both"/>
      </w:pPr>
      <w:r>
        <w:rPr>
          <w:rFonts w:ascii="仿宋_GB2312" w:hAnsi="仿宋_GB2312" w:eastAsia="仿宋_GB2312"/>
          <w:b w:val="0"/>
          <w:sz w:val="32"/>
        </w:rPr>
        <w:t>二、《收入决算表》</w:t>
      </w:r>
    </w:p>
    <w:p w14:paraId="13FE788A">
      <w:pPr>
        <w:spacing w:line="240" w:lineRule="auto"/>
        <w:ind w:firstLine="640"/>
        <w:jc w:val="both"/>
      </w:pPr>
      <w:r>
        <w:rPr>
          <w:rFonts w:ascii="仿宋_GB2312" w:hAnsi="仿宋_GB2312" w:eastAsia="仿宋_GB2312"/>
          <w:b w:val="0"/>
          <w:sz w:val="32"/>
        </w:rPr>
        <w:t>三、《支出决算表》</w:t>
      </w:r>
    </w:p>
    <w:p w14:paraId="379D90DE">
      <w:pPr>
        <w:spacing w:line="240" w:lineRule="auto"/>
        <w:ind w:firstLine="640"/>
        <w:jc w:val="both"/>
      </w:pPr>
      <w:r>
        <w:rPr>
          <w:rFonts w:ascii="仿宋_GB2312" w:hAnsi="仿宋_GB2312" w:eastAsia="仿宋_GB2312"/>
          <w:b w:val="0"/>
          <w:sz w:val="32"/>
        </w:rPr>
        <w:t>四、《财政拨款收入支出决算总表》</w:t>
      </w:r>
    </w:p>
    <w:p w14:paraId="6DC63884">
      <w:pPr>
        <w:spacing w:line="240" w:lineRule="auto"/>
        <w:ind w:firstLine="640"/>
        <w:jc w:val="both"/>
      </w:pPr>
      <w:r>
        <w:rPr>
          <w:rFonts w:ascii="仿宋_GB2312" w:hAnsi="仿宋_GB2312" w:eastAsia="仿宋_GB2312"/>
          <w:b w:val="0"/>
          <w:sz w:val="32"/>
        </w:rPr>
        <w:t>五、《一般公共预算财政拨款支出决算表》</w:t>
      </w:r>
    </w:p>
    <w:p w14:paraId="5E0AC53A">
      <w:pPr>
        <w:spacing w:line="240" w:lineRule="auto"/>
        <w:ind w:firstLine="640"/>
        <w:jc w:val="both"/>
      </w:pPr>
      <w:r>
        <w:rPr>
          <w:rFonts w:ascii="仿宋_GB2312" w:hAnsi="仿宋_GB2312" w:eastAsia="仿宋_GB2312"/>
          <w:b w:val="0"/>
          <w:sz w:val="32"/>
        </w:rPr>
        <w:t>六、《一般公共预算财政拨款基本支出决算表》</w:t>
      </w:r>
    </w:p>
    <w:p w14:paraId="234435E0">
      <w:pPr>
        <w:spacing w:line="240" w:lineRule="auto"/>
        <w:ind w:firstLine="640"/>
        <w:jc w:val="both"/>
      </w:pPr>
      <w:r>
        <w:rPr>
          <w:rFonts w:ascii="仿宋_GB2312" w:hAnsi="仿宋_GB2312" w:eastAsia="仿宋_GB2312"/>
          <w:b w:val="0"/>
          <w:sz w:val="32"/>
        </w:rPr>
        <w:t>七、《政府性基金预算财政拨款收入支出决算表》</w:t>
      </w:r>
    </w:p>
    <w:p w14:paraId="7B220891">
      <w:pPr>
        <w:spacing w:line="240" w:lineRule="auto"/>
        <w:ind w:firstLine="640"/>
        <w:jc w:val="both"/>
      </w:pPr>
      <w:r>
        <w:rPr>
          <w:rFonts w:ascii="仿宋_GB2312" w:hAnsi="仿宋_GB2312" w:eastAsia="仿宋_GB2312"/>
          <w:b w:val="0"/>
          <w:sz w:val="32"/>
        </w:rPr>
        <w:t>八、《国有资本经营预算财政拨款收入支出决算表》</w:t>
      </w:r>
    </w:p>
    <w:p w14:paraId="33FBC885">
      <w:pPr>
        <w:spacing w:line="240" w:lineRule="auto"/>
        <w:ind w:firstLine="640"/>
        <w:jc w:val="both"/>
      </w:pPr>
      <w:r>
        <w:rPr>
          <w:rFonts w:ascii="仿宋_GB2312" w:hAnsi="仿宋_GB2312" w:eastAsia="仿宋_GB2312"/>
          <w:b w:val="0"/>
          <w:sz w:val="32"/>
        </w:rPr>
        <w:t>九、《财政拨款“三公”经费支出决算表》</w:t>
      </w:r>
    </w:p>
    <w:p w14:paraId="0BB243DE">
      <w:pPr>
        <w:spacing w:line="240" w:lineRule="auto"/>
        <w:ind w:firstLine="640"/>
        <w:jc w:val="both"/>
      </w:pPr>
    </w:p>
    <w:p w14:paraId="25A8BEA0">
      <w:pPr>
        <w:spacing w:line="240" w:lineRule="auto"/>
        <w:ind w:firstLine="640"/>
        <w:jc w:val="both"/>
      </w:pPr>
    </w:p>
    <w:p w14:paraId="349E966A">
      <w:pPr>
        <w:spacing w:line="240" w:lineRule="auto"/>
        <w:ind w:firstLine="640"/>
        <w:jc w:val="both"/>
      </w:pPr>
    </w:p>
    <w:p w14:paraId="27EF22A7">
      <w:pPr>
        <w:spacing w:line="240" w:lineRule="auto"/>
        <w:ind w:firstLine="640"/>
        <w:jc w:val="both"/>
      </w:pPr>
    </w:p>
    <w:p w14:paraId="4AB5DD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473C21-8499-4839-86F6-0059208D54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38D665B-D540-4C58-8952-8990A5A71A31}"/>
  </w:font>
  <w:font w:name="仿宋_GB2312">
    <w:panose1 w:val="02010609030101010101"/>
    <w:charset w:val="86"/>
    <w:family w:val="modern"/>
    <w:pitch w:val="default"/>
    <w:sig w:usb0="00000001" w:usb1="080E0000" w:usb2="00000000" w:usb3="00000000" w:csb0="00040000" w:csb1="00000000"/>
    <w:embedRegular r:id="rId3" w:fontKey="{281867C6-7C44-4872-ADEB-9C1E15A65642}"/>
  </w:font>
  <w:font w:name="楷体_GB2312">
    <w:panose1 w:val="02010609030101010101"/>
    <w:charset w:val="86"/>
    <w:family w:val="auto"/>
    <w:pitch w:val="default"/>
    <w:sig w:usb0="00000001" w:usb1="080E0000" w:usb2="00000000" w:usb3="00000000" w:csb0="00040000" w:csb1="00000000"/>
    <w:embedRegular r:id="rId4" w:fontKey="{505763E5-D57F-4EA3-A01C-3D5A27DCC18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4E62E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F82E56"/>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5C0A9C"/>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84150D"/>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5740</Words>
  <Characters>6576</Characters>
  <Lines>0</Lines>
  <Paragraphs>0</Paragraphs>
  <TotalTime>0</TotalTime>
  <ScaleCrop>false</ScaleCrop>
  <LinksUpToDate>false</LinksUpToDate>
  <CharactersWithSpaces>6584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