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吉木萨尔县中医医院2024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D84F5C4">
      <w:r>
        <w:br w:type="page"/>
      </w:r>
    </w:p>
    <w:p w14:paraId="3D421205">
      <w:pPr>
        <w:spacing w:line="640" w:lineRule="exact"/>
        <w:jc w:val="center"/>
        <w:outlineLvl w:val="1"/>
      </w:pPr>
      <w:r>
        <w:rPr>
          <w:rFonts w:ascii="黑体" w:hAnsi="黑体" w:eastAsia="黑体"/>
          <w:sz w:val="32"/>
        </w:rPr>
        <w:t>第一部分 单位概况</w:t>
      </w:r>
    </w:p>
    <w:p w14:paraId="729FF624">
      <w:pPr>
        <w:spacing w:line="640" w:lineRule="exact"/>
        <w:ind w:firstLine="640"/>
        <w:jc w:val="both"/>
        <w:outlineLvl w:val="2"/>
      </w:pPr>
      <w:r>
        <w:rPr>
          <w:rFonts w:ascii="黑体" w:hAnsi="黑体" w:eastAsia="黑体"/>
          <w:sz w:val="32"/>
        </w:rPr>
        <w:t>一、主要职能</w:t>
      </w:r>
    </w:p>
    <w:p w14:paraId="79732760">
      <w:pPr>
        <w:spacing w:line="580" w:lineRule="exact"/>
        <w:ind w:firstLine="640"/>
        <w:jc w:val="both"/>
      </w:pPr>
      <w:r>
        <w:rPr>
          <w:rFonts w:ascii="仿宋_GB2312" w:hAnsi="仿宋_GB2312" w:eastAsia="仿宋_GB2312"/>
          <w:sz w:val="32"/>
        </w:rPr>
        <w:t>负责全县范围内的医疗诊治、预防保健、意外事故救治、初级卫生保健规划实施合作医疗组织与管理、卫生监督与卫生信息管理工作。</w:t>
      </w:r>
    </w:p>
    <w:p w14:paraId="51764F31">
      <w:pPr>
        <w:spacing w:line="640" w:lineRule="exact"/>
        <w:ind w:firstLine="640"/>
        <w:jc w:val="both"/>
        <w:outlineLvl w:val="2"/>
      </w:pPr>
      <w:r>
        <w:rPr>
          <w:rFonts w:ascii="黑体" w:hAnsi="黑体" w:eastAsia="黑体"/>
          <w:sz w:val="32"/>
        </w:rPr>
        <w:t>二、机构设置及人员情况</w:t>
      </w:r>
    </w:p>
    <w:p w14:paraId="66C7BD85">
      <w:pPr>
        <w:spacing w:line="580" w:lineRule="exact"/>
        <w:ind w:firstLine="640"/>
        <w:jc w:val="both"/>
      </w:pPr>
      <w:r>
        <w:rPr>
          <w:rFonts w:ascii="仿宋_GB2312" w:hAnsi="仿宋_GB2312" w:eastAsia="仿宋_GB2312"/>
          <w:sz w:val="32"/>
        </w:rPr>
        <w:t>吉木萨尔县中医医院2024年度，实有人数88人，其中：在职人员75人，增加2人；离休人员0人，增加0人；退休人员13人,增加2人。</w:t>
      </w:r>
    </w:p>
    <w:p w14:paraId="1624DF19">
      <w:pPr>
        <w:spacing w:line="580" w:lineRule="exact"/>
        <w:ind w:firstLine="640"/>
        <w:jc w:val="both"/>
      </w:pPr>
      <w:r>
        <w:rPr>
          <w:rFonts w:ascii="仿宋_GB2312" w:hAnsi="仿宋_GB2312" w:eastAsia="仿宋_GB2312"/>
          <w:sz w:val="32"/>
        </w:rPr>
        <w:t>吉木萨尔县中医医院无下属预算单位，下设8个科室，分别是：针灸科、内一科、内二科、内三科、外一科、外二科、急诊科、手术麻醉科。</w:t>
      </w:r>
    </w:p>
    <w:p w14:paraId="0260517E">
      <w:r>
        <w:br w:type="page"/>
      </w:r>
    </w:p>
    <w:p w14:paraId="6F8C3138">
      <w:pPr>
        <w:spacing w:line="240" w:lineRule="auto"/>
        <w:jc w:val="center"/>
        <w:outlineLvl w:val="1"/>
      </w:pPr>
      <w:r>
        <w:rPr>
          <w:rFonts w:ascii="黑体" w:hAnsi="黑体" w:eastAsia="黑体"/>
          <w:sz w:val="32"/>
        </w:rPr>
        <w:t>第二部分 部门决算情况说明</w:t>
      </w:r>
    </w:p>
    <w:p w14:paraId="20D2E364">
      <w:pPr>
        <w:spacing w:line="640" w:lineRule="exact"/>
        <w:ind w:firstLine="640"/>
        <w:jc w:val="both"/>
        <w:outlineLvl w:val="2"/>
      </w:pPr>
      <w:r>
        <w:rPr>
          <w:rFonts w:ascii="黑体" w:hAnsi="黑体" w:eastAsia="黑体"/>
          <w:sz w:val="32"/>
        </w:rPr>
        <w:t>一、收入支出决算总体情况说明</w:t>
      </w:r>
    </w:p>
    <w:p w14:paraId="69040936">
      <w:pPr>
        <w:spacing w:line="580" w:lineRule="exact"/>
        <w:ind w:firstLine="640"/>
        <w:jc w:val="both"/>
      </w:pPr>
      <w:r>
        <w:rPr>
          <w:rFonts w:ascii="仿宋_GB2312" w:hAnsi="仿宋_GB2312" w:eastAsia="仿宋_GB2312"/>
          <w:b/>
          <w:sz w:val="32"/>
        </w:rPr>
        <w:t>2024年度收入总计8,783.66万元，</w:t>
      </w:r>
      <w:r>
        <w:rPr>
          <w:rFonts w:ascii="仿宋_GB2312" w:hAnsi="仿宋_GB2312" w:eastAsia="仿宋_GB2312"/>
          <w:b w:val="0"/>
          <w:sz w:val="32"/>
        </w:rPr>
        <w:t>其中：本年收入合计8,027.57万元，使用非财政拨款结余（含专用结余）0.00万元，年初结转和结余756.08万元。</w:t>
      </w:r>
    </w:p>
    <w:p w14:paraId="3E919191">
      <w:pPr>
        <w:spacing w:line="580" w:lineRule="exact"/>
        <w:ind w:firstLine="640"/>
        <w:jc w:val="both"/>
      </w:pPr>
      <w:r>
        <w:rPr>
          <w:rFonts w:ascii="仿宋_GB2312" w:hAnsi="仿宋_GB2312" w:eastAsia="仿宋_GB2312"/>
          <w:b/>
          <w:sz w:val="32"/>
        </w:rPr>
        <w:t>2024年度支出总计8,783.66万元，</w:t>
      </w:r>
      <w:r>
        <w:rPr>
          <w:rFonts w:ascii="仿宋_GB2312" w:hAnsi="仿宋_GB2312" w:eastAsia="仿宋_GB2312"/>
          <w:b w:val="0"/>
          <w:sz w:val="32"/>
        </w:rPr>
        <w:t>其中：本年支出合计8,722.72万元，结余分配60.94万元，年末结转和结余0.00万元。</w:t>
      </w:r>
    </w:p>
    <w:p w14:paraId="3772D523">
      <w:pPr>
        <w:spacing w:line="580" w:lineRule="exact"/>
        <w:ind w:firstLine="640"/>
        <w:jc w:val="both"/>
      </w:pPr>
      <w:r>
        <w:rPr>
          <w:rFonts w:ascii="仿宋_GB2312" w:hAnsi="仿宋_GB2312" w:eastAsia="仿宋_GB2312"/>
          <w:b w:val="0"/>
          <w:sz w:val="32"/>
        </w:rPr>
        <w:t>收入支出总体与上年相比，减少3,677.11万元，下降29.51%，主要原因是：本年减少医共体财务项目专项债项目资金。</w:t>
      </w:r>
    </w:p>
    <w:p w14:paraId="2227D8C3">
      <w:pPr>
        <w:spacing w:line="640" w:lineRule="exact"/>
        <w:ind w:firstLine="640"/>
        <w:jc w:val="both"/>
        <w:outlineLvl w:val="2"/>
      </w:pPr>
      <w:r>
        <w:rPr>
          <w:rFonts w:ascii="黑体" w:hAnsi="黑体" w:eastAsia="黑体"/>
          <w:sz w:val="32"/>
        </w:rPr>
        <w:t>二、收入决算情况说明</w:t>
      </w:r>
    </w:p>
    <w:p w14:paraId="64F4379E">
      <w:pPr>
        <w:spacing w:line="580" w:lineRule="exact"/>
        <w:ind w:firstLine="640"/>
        <w:jc w:val="both"/>
      </w:pPr>
      <w:r>
        <w:rPr>
          <w:rFonts w:ascii="仿宋_GB2312" w:hAnsi="仿宋_GB2312" w:eastAsia="仿宋_GB2312"/>
          <w:b/>
          <w:sz w:val="32"/>
        </w:rPr>
        <w:t>本年收入8,027.57万元，</w:t>
      </w:r>
      <w:r>
        <w:rPr>
          <w:rFonts w:ascii="仿宋_GB2312" w:hAnsi="仿宋_GB2312" w:eastAsia="仿宋_GB2312"/>
          <w:b w:val="0"/>
          <w:sz w:val="32"/>
        </w:rPr>
        <w:t>其中：财政拨款收入2,576.31万元，占32.09%；上级补助收入0.00万元，占0.00%；事业收入4,326.42万元，占53.89%；经营收入0.00万元，占0.00%；附属单位上缴收入0.00万元，占0.00%；其他收入1,124.84万元，占14.01%。</w:t>
      </w:r>
    </w:p>
    <w:p w14:paraId="4932CD74">
      <w:pPr>
        <w:spacing w:line="640" w:lineRule="exact"/>
        <w:ind w:firstLine="640"/>
        <w:jc w:val="both"/>
        <w:outlineLvl w:val="2"/>
      </w:pPr>
      <w:r>
        <w:rPr>
          <w:rFonts w:ascii="黑体" w:hAnsi="黑体" w:eastAsia="黑体"/>
          <w:sz w:val="32"/>
        </w:rPr>
        <w:t>三、支出决算情况说明</w:t>
      </w:r>
    </w:p>
    <w:p w14:paraId="2E928BC1">
      <w:pPr>
        <w:spacing w:line="580" w:lineRule="exact"/>
        <w:ind w:firstLine="640"/>
        <w:jc w:val="both"/>
      </w:pPr>
      <w:r>
        <w:rPr>
          <w:rFonts w:ascii="仿宋_GB2312" w:hAnsi="仿宋_GB2312" w:eastAsia="仿宋_GB2312"/>
          <w:b/>
          <w:sz w:val="32"/>
        </w:rPr>
        <w:t>本年支出8,722.72万元，</w:t>
      </w:r>
      <w:r>
        <w:rPr>
          <w:rFonts w:ascii="仿宋_GB2312" w:hAnsi="仿宋_GB2312" w:eastAsia="仿宋_GB2312"/>
          <w:b w:val="0"/>
          <w:sz w:val="32"/>
        </w:rPr>
        <w:t>其中：基本支出7,492.44万元，占85.90%；项目支出1,230.28万元，占14.10%；上缴上级支出0.00万元，占0.00%；经营支出0.00万元，占0.00%；对附属单位补助支出0.00万元，占0.00%。</w:t>
      </w:r>
    </w:p>
    <w:p w14:paraId="7CC23226">
      <w:pPr>
        <w:spacing w:line="640" w:lineRule="exact"/>
        <w:ind w:firstLine="640"/>
        <w:jc w:val="both"/>
        <w:outlineLvl w:val="2"/>
      </w:pPr>
      <w:r>
        <w:rPr>
          <w:rFonts w:ascii="黑体" w:hAnsi="黑体" w:eastAsia="黑体"/>
          <w:sz w:val="32"/>
        </w:rPr>
        <w:t>四、财政拨款收入支出决算总体情况说明</w:t>
      </w:r>
    </w:p>
    <w:p w14:paraId="3A6BF9FF">
      <w:pPr>
        <w:spacing w:line="580" w:lineRule="exact"/>
        <w:ind w:firstLine="640"/>
        <w:jc w:val="both"/>
      </w:pPr>
      <w:r>
        <w:rPr>
          <w:rFonts w:ascii="仿宋_GB2312" w:hAnsi="仿宋_GB2312" w:eastAsia="仿宋_GB2312"/>
          <w:b/>
          <w:sz w:val="32"/>
        </w:rPr>
        <w:t>2024年度财政拨款收入总计2,576.31万元，</w:t>
      </w:r>
      <w:r>
        <w:rPr>
          <w:rFonts w:ascii="仿宋_GB2312" w:hAnsi="仿宋_GB2312" w:eastAsia="仿宋_GB2312"/>
          <w:b w:val="0"/>
          <w:sz w:val="32"/>
        </w:rPr>
        <w:t>其中：年初财政拨款结转和结余0.00万元，本年财政拨款收入2,576.31万元。</w:t>
      </w:r>
      <w:r>
        <w:rPr>
          <w:rFonts w:ascii="仿宋_GB2312" w:hAnsi="仿宋_GB2312" w:eastAsia="仿宋_GB2312"/>
          <w:b/>
          <w:sz w:val="32"/>
        </w:rPr>
        <w:t>财政拨款支出总计2,576.31万元，</w:t>
      </w:r>
      <w:r>
        <w:rPr>
          <w:rFonts w:ascii="仿宋_GB2312" w:hAnsi="仿宋_GB2312" w:eastAsia="仿宋_GB2312"/>
          <w:b w:val="0"/>
          <w:sz w:val="32"/>
        </w:rPr>
        <w:t>其中：年末财政拨款结转和结余0.00万元，本年财政拨款支出2,576.31万元。</w:t>
      </w:r>
    </w:p>
    <w:p w14:paraId="5546A3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4,145.48万元，下降61.67%，主要原因是：本年减少医共体财务项目专项债项目资金、药品零差率补助资金、平乐郭氏正骨治疗桡骨远端骨折技术推广、两专科一中心中医药适宜技术应用推广、中西医结合治疗泌尿系结石应用推广等项目经费的支出。</w:t>
      </w:r>
      <w:r>
        <w:rPr>
          <w:rFonts w:ascii="仿宋_GB2312" w:hAnsi="仿宋_GB2312" w:eastAsia="仿宋_GB2312"/>
          <w:b/>
          <w:sz w:val="32"/>
        </w:rPr>
        <w:t>与年初预算相比，</w:t>
      </w:r>
      <w:r>
        <w:rPr>
          <w:rFonts w:ascii="仿宋_GB2312" w:hAnsi="仿宋_GB2312" w:eastAsia="仿宋_GB2312"/>
          <w:b w:val="0"/>
          <w:sz w:val="32"/>
        </w:rPr>
        <w:t>年初预算数1,693.86万元，决算数2,576.31万元，预决算差异率52.10%，主要原因是：本年在职人员增加，年中追加人员经费及人员工资、社保、公积金基数调增部分资金；年中追加外立面改造工程建设项目资金、中医医院2024年医院运维费、昌吉州“庭州英才”人才计划支持资金、发改委前期费、中央医疗服务与保障能力提升（公立医院综合改革）补助资金、医疗服务与保障能力提升（医疗卫生机构能力建设）补助资金，导致预决算存在差异。</w:t>
      </w:r>
    </w:p>
    <w:p w14:paraId="6C60C5E3">
      <w:pPr>
        <w:spacing w:line="640" w:lineRule="exact"/>
        <w:ind w:firstLine="640"/>
        <w:jc w:val="both"/>
        <w:outlineLvl w:val="2"/>
      </w:pPr>
      <w:r>
        <w:rPr>
          <w:rFonts w:ascii="黑体" w:hAnsi="黑体" w:eastAsia="黑体"/>
          <w:sz w:val="32"/>
        </w:rPr>
        <w:t>五、一般公共预算财政拨款支出决算情况说明</w:t>
      </w:r>
    </w:p>
    <w:p w14:paraId="311209EA">
      <w:pPr>
        <w:spacing w:line="640" w:lineRule="exact"/>
        <w:ind w:firstLine="640"/>
        <w:jc w:val="both"/>
        <w:outlineLvl w:val="3"/>
      </w:pPr>
      <w:r>
        <w:rPr>
          <w:rFonts w:ascii="楷体_GB2312" w:hAnsi="楷体_GB2312" w:eastAsia="楷体_GB2312"/>
          <w:b/>
          <w:sz w:val="32"/>
        </w:rPr>
        <w:t>（一）一般公共预算财政拨款支出决算总体情况</w:t>
      </w:r>
    </w:p>
    <w:p w14:paraId="75124C7A">
      <w:pPr>
        <w:spacing w:line="580" w:lineRule="exact"/>
        <w:ind w:firstLine="640"/>
        <w:jc w:val="both"/>
      </w:pPr>
      <w:r>
        <w:rPr>
          <w:rFonts w:ascii="仿宋_GB2312" w:hAnsi="仿宋_GB2312" w:eastAsia="仿宋_GB2312"/>
          <w:b/>
          <w:sz w:val="32"/>
        </w:rPr>
        <w:t>2024年度一般公共预算财政拨款支出2,576.31万元，</w:t>
      </w:r>
      <w:r>
        <w:rPr>
          <w:rFonts w:ascii="仿宋_GB2312" w:hAnsi="仿宋_GB2312" w:eastAsia="仿宋_GB2312"/>
          <w:b w:val="0"/>
          <w:sz w:val="32"/>
        </w:rPr>
        <w:t>占本年支出合计的29.54%。</w:t>
      </w:r>
      <w:r>
        <w:rPr>
          <w:rFonts w:ascii="仿宋_GB2312" w:hAnsi="仿宋_GB2312" w:eastAsia="仿宋_GB2312"/>
          <w:b/>
          <w:sz w:val="32"/>
        </w:rPr>
        <w:t>与上年相比，</w:t>
      </w:r>
      <w:r>
        <w:rPr>
          <w:rFonts w:ascii="仿宋_GB2312" w:hAnsi="仿宋_GB2312" w:eastAsia="仿宋_GB2312"/>
          <w:b w:val="0"/>
          <w:sz w:val="32"/>
        </w:rPr>
        <w:t>减少145.48万元，下降5.35%，主要原因是：本年减少药品零差率补助资金、平乐郭氏正骨治疗桡骨远端骨折技术推广、两专科一中心中医药适宜技术应用推广、中西医结合治疗泌尿系结石应用推广等项目经费的支出。</w:t>
      </w:r>
      <w:r>
        <w:rPr>
          <w:rFonts w:ascii="仿宋_GB2312" w:hAnsi="仿宋_GB2312" w:eastAsia="仿宋_GB2312"/>
          <w:b/>
          <w:sz w:val="32"/>
        </w:rPr>
        <w:t>与年初预算相比,</w:t>
      </w:r>
      <w:r>
        <w:rPr>
          <w:rFonts w:ascii="仿宋_GB2312" w:hAnsi="仿宋_GB2312" w:eastAsia="仿宋_GB2312"/>
          <w:b w:val="0"/>
          <w:sz w:val="32"/>
        </w:rPr>
        <w:t>年初预算数1,693.86万元，决算数2,576.31万元，预决算差异率52.10%，主要原因是：本年在职人员增加，年中追加人员经费及人员工资、社保、公积金基数调增部分资金；年中追加外立面改造工程建设项目资金、中医医院2024年医院运维费、昌吉州“庭州英才”人才计划支持资金、发改委前期费、中央医疗服务与保障能力提升（公立医院综合改革）补助资金、医疗服务与保障能力提升（医疗卫生机构能力建设）补助资金，导致预决算存在差异。</w:t>
      </w:r>
    </w:p>
    <w:p w14:paraId="43086C66">
      <w:pPr>
        <w:spacing w:line="640" w:lineRule="exact"/>
        <w:ind w:firstLine="640"/>
        <w:jc w:val="both"/>
        <w:outlineLvl w:val="3"/>
      </w:pPr>
      <w:r>
        <w:rPr>
          <w:rFonts w:ascii="楷体_GB2312" w:hAnsi="楷体_GB2312" w:eastAsia="楷体_GB2312"/>
          <w:b/>
          <w:sz w:val="32"/>
        </w:rPr>
        <w:t>（二）一般公共预算财政拨款支出决算结构情况</w:t>
      </w:r>
    </w:p>
    <w:p w14:paraId="79D66502">
      <w:pPr>
        <w:spacing w:line="580" w:lineRule="exact"/>
        <w:ind w:firstLine="640"/>
        <w:jc w:val="both"/>
      </w:pPr>
      <w:r>
        <w:rPr>
          <w:rFonts w:ascii="仿宋_GB2312" w:hAnsi="仿宋_GB2312" w:eastAsia="仿宋_GB2312"/>
          <w:b w:val="0"/>
          <w:sz w:val="32"/>
        </w:rPr>
        <w:t>1.科学技术支出(类)80.59万元,占3.13%。</w:t>
      </w:r>
    </w:p>
    <w:p w14:paraId="6C220F6B">
      <w:pPr>
        <w:spacing w:line="580" w:lineRule="exact"/>
        <w:ind w:firstLine="640"/>
        <w:jc w:val="both"/>
      </w:pPr>
      <w:r>
        <w:rPr>
          <w:rFonts w:ascii="仿宋_GB2312" w:hAnsi="仿宋_GB2312" w:eastAsia="仿宋_GB2312"/>
          <w:b w:val="0"/>
          <w:sz w:val="32"/>
        </w:rPr>
        <w:t>2.社会保障和就业支出(类)157.85万元,占6.13%。</w:t>
      </w:r>
    </w:p>
    <w:p w14:paraId="0D53E702">
      <w:pPr>
        <w:spacing w:line="580" w:lineRule="exact"/>
        <w:ind w:firstLine="640"/>
        <w:jc w:val="both"/>
      </w:pPr>
      <w:r>
        <w:rPr>
          <w:rFonts w:ascii="仿宋_GB2312" w:hAnsi="仿宋_GB2312" w:eastAsia="仿宋_GB2312"/>
          <w:b w:val="0"/>
          <w:sz w:val="32"/>
        </w:rPr>
        <w:t>3.卫生健康支出(类)2,263.33万元,占87.85%。</w:t>
      </w:r>
    </w:p>
    <w:p w14:paraId="5F68E05E">
      <w:pPr>
        <w:spacing w:line="580" w:lineRule="exact"/>
        <w:ind w:firstLine="640"/>
        <w:jc w:val="both"/>
      </w:pPr>
      <w:r>
        <w:rPr>
          <w:rFonts w:ascii="仿宋_GB2312" w:hAnsi="仿宋_GB2312" w:eastAsia="仿宋_GB2312"/>
          <w:b w:val="0"/>
          <w:sz w:val="32"/>
        </w:rPr>
        <w:t>4.住房保障支出(类)74.54万元,占2.89%。</w:t>
      </w:r>
    </w:p>
    <w:p w14:paraId="56D45073">
      <w:pPr>
        <w:spacing w:line="640" w:lineRule="exact"/>
        <w:ind w:firstLine="640"/>
        <w:jc w:val="both"/>
        <w:outlineLvl w:val="3"/>
      </w:pPr>
      <w:r>
        <w:rPr>
          <w:rFonts w:ascii="楷体_GB2312" w:hAnsi="楷体_GB2312" w:eastAsia="楷体_GB2312"/>
          <w:b/>
          <w:sz w:val="32"/>
        </w:rPr>
        <w:t>（三）一般公共预算财政拨款支出决算具体情况</w:t>
      </w:r>
    </w:p>
    <w:p w14:paraId="0346EF1F">
      <w:pPr>
        <w:spacing w:line="580" w:lineRule="exact"/>
        <w:ind w:firstLine="640"/>
        <w:jc w:val="both"/>
      </w:pPr>
      <w:r>
        <w:rPr>
          <w:rFonts w:ascii="仿宋_GB2312" w:hAnsi="仿宋_GB2312" w:eastAsia="仿宋_GB2312"/>
          <w:b w:val="0"/>
          <w:sz w:val="32"/>
        </w:rPr>
        <w:t>1.科学技术支出(类)基础研究(款)科技人才队伍建设(项):支出决算数为80.59万元，比上年决算增加80.59万元，增长100.00%,主要原因是：本年科目调整，人才引进经费，上年度在中医（民族）医院科目列支，本年度在科技人才队伍建设科目列支，导致经费较上年增加。</w:t>
      </w:r>
    </w:p>
    <w:p w14:paraId="2CD83869">
      <w:pPr>
        <w:spacing w:line="580" w:lineRule="exact"/>
        <w:ind w:firstLine="640"/>
        <w:jc w:val="both"/>
      </w:pPr>
      <w:r>
        <w:rPr>
          <w:rFonts w:ascii="仿宋_GB2312" w:hAnsi="仿宋_GB2312" w:eastAsia="仿宋_GB2312"/>
          <w:b w:val="0"/>
          <w:sz w:val="32"/>
        </w:rPr>
        <w:t>2.科学技术支出(类)技术研究与开发(款)其他技术研究与开发支出(项):支出决算数为0.00万元，比上年决算减少309.94万元，下降100.00%,主要原因是：2024年减少平乐郭氏正骨治疗桡骨远端骨折技术推广、两专科一中心中医药适宜技术应用推广、中西医结合治疗泌尿系结石应用推广项目经费支出。</w:t>
      </w:r>
    </w:p>
    <w:p w14:paraId="0B826032">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3.社会保障和就业支出(类)行政事业单位养老支出(款)事业单位离退休(项):支出决算数为8.61万元，比上年决算增加5.82万元，增长208.60%,主要原因是：本年退休人员增加，退休人员经费支出增加。</w:t>
      </w:r>
    </w:p>
    <w:p w14:paraId="1F484C23">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99.49万元，比上年决算增加16.03万元，增长19.21%,主要原因是：本年在职人员工资基数调增，养老缴费基数上涨，相应支出增加。</w:t>
      </w:r>
    </w:p>
    <w:p w14:paraId="0B82495A">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49.74万元，比上年决算增加8.05万元，增长19.31%,主要原因是：本年在职人员工资基数调增，职业年金缴费基数上涨，相应支出增加。</w:t>
      </w:r>
    </w:p>
    <w:p w14:paraId="61563C2D">
      <w:pPr>
        <w:spacing w:line="580" w:lineRule="exact"/>
        <w:ind w:firstLine="640"/>
        <w:jc w:val="both"/>
      </w:pPr>
      <w:r>
        <w:rPr>
          <w:rFonts w:ascii="仿宋_GB2312" w:hAnsi="仿宋_GB2312" w:eastAsia="仿宋_GB2312"/>
          <w:b w:val="0"/>
          <w:sz w:val="32"/>
        </w:rPr>
        <w:t>6.卫生健康支出(类)公立医院(款)中医（民族）医院(项):支出决算数为1,462.17万元，比上年决算减少415.34万元，下降22.12%,主要原因是：本年减少药品零差率补助资金、新疆第一批重大人才支持资金、健康证费用、中医院债务化解资金；本年科目调整，人才引进经费，上年度在中医（民族）医院科目列支，本年度在科技人才队伍建设科目列支，导致经费较上年减少。</w:t>
      </w:r>
    </w:p>
    <w:p w14:paraId="7A14DDC4">
      <w:pPr>
        <w:spacing w:line="580" w:lineRule="exact"/>
        <w:ind w:firstLine="640"/>
        <w:jc w:val="both"/>
      </w:pPr>
      <w:r>
        <w:rPr>
          <w:rFonts w:ascii="仿宋_GB2312" w:hAnsi="仿宋_GB2312" w:eastAsia="仿宋_GB2312"/>
          <w:b w:val="0"/>
          <w:sz w:val="32"/>
        </w:rPr>
        <w:t>7.卫生健康支出(类)公立医院(款)其他公立医院支出(项):支出决算数为611.01万元，比上年决算增加550.01万元，增长901.66%,主要原因是：本年新增外立面改造工程建设项目资金、中医医院2024年医院运维费、昌吉州“庭州英才”人才计划支持资金、发改委前期费、中央医疗服务与保障能力提升（公立医院综合改革）补助资金。</w:t>
      </w:r>
    </w:p>
    <w:p w14:paraId="0023CD75">
      <w:pPr>
        <w:spacing w:line="580" w:lineRule="exact"/>
        <w:ind w:firstLine="640"/>
        <w:jc w:val="both"/>
      </w:pPr>
      <w:r>
        <w:rPr>
          <w:rFonts w:ascii="仿宋_GB2312" w:hAnsi="仿宋_GB2312" w:eastAsia="仿宋_GB2312"/>
          <w:b w:val="0"/>
          <w:sz w:val="32"/>
        </w:rPr>
        <w:t>8.卫生健康支出(类)基层医疗卫生机构(款)其他基层医疗卫生机构支出(项):支出决算数为70.00万元，比上年决算增加70.00万元，增长100.00%,主要原因是：本年新增医疗服务与保障能力提升（医疗卫生机构能力建设）补助资金。</w:t>
      </w:r>
    </w:p>
    <w:p w14:paraId="2F516D41">
      <w:pPr>
        <w:spacing w:line="580" w:lineRule="exact"/>
        <w:ind w:firstLine="640"/>
        <w:jc w:val="both"/>
      </w:pPr>
      <w:r>
        <w:rPr>
          <w:rFonts w:ascii="仿宋_GB2312" w:hAnsi="仿宋_GB2312" w:eastAsia="仿宋_GB2312"/>
          <w:b w:val="0"/>
          <w:sz w:val="32"/>
        </w:rPr>
        <w:t>9.卫生健康支出(类)公共卫生(款)基本公共卫生服务(项):支出决算数为3.00万元，比上年决算减少19.85万元，下降86.87%,主要原因是：本年减少全民健康体检项目资金。</w:t>
      </w:r>
    </w:p>
    <w:p w14:paraId="58ECEAC8">
      <w:pPr>
        <w:spacing w:line="580" w:lineRule="exact"/>
        <w:ind w:firstLine="640"/>
        <w:jc w:val="both"/>
      </w:pPr>
      <w:r>
        <w:rPr>
          <w:rFonts w:ascii="仿宋_GB2312" w:hAnsi="仿宋_GB2312" w:eastAsia="仿宋_GB2312"/>
          <w:b w:val="0"/>
          <w:sz w:val="32"/>
        </w:rPr>
        <w:t>10.卫生健康支出(类)公共卫生(款)重大公共卫生服务(项):支出决算数为0.50万元，比上年决算减少0.39万元，下降43.82%,主要原因是：本年减少中央重大传染病补助资金。</w:t>
      </w:r>
    </w:p>
    <w:p w14:paraId="7D79AB73">
      <w:pPr>
        <w:spacing w:line="580" w:lineRule="exact"/>
        <w:ind w:firstLine="640"/>
        <w:jc w:val="both"/>
      </w:pPr>
      <w:r>
        <w:rPr>
          <w:rFonts w:ascii="仿宋_GB2312" w:hAnsi="仿宋_GB2312" w:eastAsia="仿宋_GB2312"/>
          <w:b w:val="0"/>
          <w:sz w:val="32"/>
        </w:rPr>
        <w:t>11.卫生健康支出(类)公共卫生(款)突发公共卫生事件应急处理(项):支出决算数为0.00万元，比上年决算减少59.40万元，下降100.00%,主要原因是：本年无医务人员临时性工作补助。</w:t>
      </w:r>
    </w:p>
    <w:p w14:paraId="42726A1F">
      <w:pPr>
        <w:spacing w:line="580" w:lineRule="exact"/>
        <w:ind w:firstLine="640"/>
        <w:jc w:val="both"/>
      </w:pPr>
      <w:r>
        <w:rPr>
          <w:rFonts w:ascii="仿宋_GB2312" w:hAnsi="仿宋_GB2312" w:eastAsia="仿宋_GB2312"/>
          <w:b w:val="0"/>
          <w:sz w:val="32"/>
        </w:rPr>
        <w:t>12.卫生健康支出(类)公共卫生(款)其他公共卫生支出(项):支出决算数为13.80万元，比上年决算增加9.20万元，增长200.00%,主要原因是：本年增加公共卫生服务[地方公共卫生]补助资金。</w:t>
      </w:r>
    </w:p>
    <w:p w14:paraId="3B6AB50B">
      <w:pPr>
        <w:spacing w:line="580" w:lineRule="exact"/>
        <w:ind w:firstLine="640"/>
        <w:jc w:val="both"/>
      </w:pPr>
      <w:r>
        <w:rPr>
          <w:rFonts w:ascii="仿宋_GB2312" w:hAnsi="仿宋_GB2312" w:eastAsia="仿宋_GB2312"/>
          <w:b w:val="0"/>
          <w:sz w:val="32"/>
        </w:rPr>
        <w:t>13.卫生健康支出(类)中医药(款)中医（民族医）药专项(项):支出决算数为0.00万元，比上年决算减少150.00万元，下降100.00%,主要原因是：本年科目调整，中央财政医疗服务与保障能力提升（中医药事业传承与发展部分）补助资金，上年度在中医药(款)中医（民族医）药专项科目列支，本年度在中医药事务(款)中医（民族医）药专项科目列支，导致经费较上年减少。</w:t>
      </w:r>
    </w:p>
    <w:p w14:paraId="7473F3BA">
      <w:pPr>
        <w:spacing w:line="580" w:lineRule="exact"/>
        <w:ind w:firstLine="640"/>
        <w:jc w:val="both"/>
      </w:pPr>
      <w:r>
        <w:rPr>
          <w:rFonts w:ascii="仿宋_GB2312" w:hAnsi="仿宋_GB2312" w:eastAsia="仿宋_GB2312"/>
          <w:b w:val="0"/>
          <w:sz w:val="32"/>
        </w:rPr>
        <w:t>14.卫生健康支出(类)行政事业单位医疗(款)事业单位医疗(项):支出决算数为49.74万元，比上年决算增加7.83万元，增长18.68%,主要原因是：本年在职人员增加，人员工资基数调增，医疗缴费基数上涨，相应支出增加。</w:t>
      </w:r>
    </w:p>
    <w:p w14:paraId="58D69B55">
      <w:pPr>
        <w:spacing w:line="580" w:lineRule="exact"/>
        <w:ind w:firstLine="640"/>
        <w:jc w:val="both"/>
      </w:pPr>
      <w:r>
        <w:rPr>
          <w:rFonts w:ascii="仿宋_GB2312" w:hAnsi="仿宋_GB2312" w:eastAsia="仿宋_GB2312"/>
          <w:b w:val="0"/>
          <w:sz w:val="32"/>
        </w:rPr>
        <w:t>15.卫生健康支出(类)行政事业单位医疗(款)公务员医疗补助(项):支出决算数为3.11万元，比上年决算增加0.49万元，增长18.70%,主要原因是：本年在职人员增加，人员工资基数调增，医疗缴费基数上涨，相应支出增加。</w:t>
      </w:r>
    </w:p>
    <w:p w14:paraId="40318796">
      <w:pPr>
        <w:spacing w:line="580" w:lineRule="exact"/>
        <w:ind w:firstLine="640"/>
        <w:jc w:val="both"/>
      </w:pPr>
      <w:r>
        <w:rPr>
          <w:rFonts w:ascii="仿宋_GB2312" w:hAnsi="仿宋_GB2312" w:eastAsia="仿宋_GB2312"/>
          <w:b w:val="0"/>
          <w:sz w:val="32"/>
        </w:rPr>
        <w:t>16.卫生健康支出(类)中医药事务(款)中医（民族医）药专项(项):支出决算数为50.00万元，比上年决算增加50.00万元，增长100.00%,主要原因是：本年科目调整，中央财政医疗服务与保障能力提升（中医药事业传承与发展部分）补助资金，上年度在中医药(款)中医（民族医）药专项科目列支，本年度在中医药事务(款)中医（民族医）药专项科目列支，导致经费较上年增加。</w:t>
      </w:r>
    </w:p>
    <w:p w14:paraId="0971EC8C">
      <w:pPr>
        <w:spacing w:line="580" w:lineRule="exact"/>
        <w:ind w:firstLine="640"/>
        <w:jc w:val="both"/>
      </w:pPr>
      <w:r>
        <w:rPr>
          <w:rFonts w:ascii="仿宋_GB2312" w:hAnsi="仿宋_GB2312" w:eastAsia="仿宋_GB2312"/>
          <w:b w:val="0"/>
          <w:sz w:val="32"/>
        </w:rPr>
        <w:t>17.住房保障支出(类)住房改革支出(款)住房公积金(项):支出决算数为74.54万元，比上年决算增加11.42万元，增长18.09%,主要原因是：本年在职人员增加，在职人员工资基数调增，公积金缴费基数上涨，住房公积金支出较上年增加。</w:t>
      </w:r>
    </w:p>
    <w:p w14:paraId="7FC2D5C9">
      <w:pPr>
        <w:spacing w:line="640" w:lineRule="exact"/>
        <w:ind w:firstLine="640"/>
        <w:jc w:val="both"/>
        <w:outlineLvl w:val="2"/>
      </w:pPr>
      <w:r>
        <w:rPr>
          <w:rFonts w:ascii="黑体" w:hAnsi="黑体" w:eastAsia="黑体"/>
          <w:sz w:val="32"/>
        </w:rPr>
        <w:t>六、一般公共预算财政拨款基本支出决算情况说明</w:t>
      </w:r>
    </w:p>
    <w:p w14:paraId="0D9ED1D6">
      <w:pPr>
        <w:spacing w:line="580" w:lineRule="exact"/>
        <w:ind w:firstLine="640"/>
        <w:jc w:val="both"/>
      </w:pPr>
      <w:r>
        <w:rPr>
          <w:rFonts w:ascii="仿宋_GB2312" w:hAnsi="仿宋_GB2312" w:eastAsia="仿宋_GB2312"/>
          <w:b w:val="0"/>
          <w:sz w:val="32"/>
        </w:rPr>
        <w:t>2024年度一般公共预算财政拨款基本支出1,346.03万元，其中：</w:t>
      </w:r>
      <w:r>
        <w:rPr>
          <w:rFonts w:ascii="仿宋_GB2312" w:hAnsi="仿宋_GB2312" w:eastAsia="仿宋_GB2312"/>
          <w:b/>
          <w:sz w:val="32"/>
        </w:rPr>
        <w:t>人员经费1,346.03万元，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37BF339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823037A">
      <w:pPr>
        <w:spacing w:line="640" w:lineRule="exact"/>
        <w:ind w:firstLine="640"/>
        <w:jc w:val="both"/>
        <w:outlineLvl w:val="2"/>
      </w:pPr>
      <w:r>
        <w:rPr>
          <w:rFonts w:ascii="黑体" w:hAnsi="黑体" w:eastAsia="黑体"/>
          <w:sz w:val="32"/>
        </w:rPr>
        <w:t>七、政府性基金预算财政拨款收入支出决算情况说明</w:t>
      </w:r>
    </w:p>
    <w:p w14:paraId="155037E5">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48ECBF6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减少4,000.00万元，下降100.00%，主要原因是：本年减少医共体财务项目专项债项目资金。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年初预算数0.00万元，决算数0.00万元，预决算差异率0.00%，主要原因是：本单位无政府性基金预算财政拨款。</w:t>
      </w:r>
    </w:p>
    <w:p w14:paraId="0D3A7427">
      <w:pPr>
        <w:spacing w:line="580" w:lineRule="exact"/>
        <w:ind w:firstLine="640"/>
        <w:jc w:val="both"/>
      </w:pPr>
      <w:r>
        <w:rPr>
          <w:rFonts w:ascii="仿宋_GB2312" w:hAnsi="仿宋_GB2312" w:eastAsia="仿宋_GB2312"/>
          <w:b w:val="0"/>
          <w:sz w:val="32"/>
        </w:rPr>
        <w:t>政府性基金预算财政拨款支出0.00万元。</w:t>
      </w:r>
    </w:p>
    <w:p w14:paraId="3A99C617">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4,000.00万元，下降100.00%,主要原因是：本年减少医共体财务项目专项债项目资金。</w:t>
      </w:r>
    </w:p>
    <w:p w14:paraId="1A2542F0">
      <w:pPr>
        <w:spacing w:line="640" w:lineRule="exact"/>
        <w:ind w:firstLine="640"/>
        <w:jc w:val="both"/>
        <w:outlineLvl w:val="2"/>
      </w:pPr>
      <w:r>
        <w:rPr>
          <w:rFonts w:ascii="黑体" w:hAnsi="黑体" w:eastAsia="黑体"/>
          <w:sz w:val="32"/>
        </w:rPr>
        <w:t>八、国有资本经营预算财政拨款收入支出决算情况说明</w:t>
      </w:r>
    </w:p>
    <w:p w14:paraId="0D8B2FF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A8A2A8">
      <w:pPr>
        <w:spacing w:line="640" w:lineRule="exact"/>
        <w:ind w:firstLine="640"/>
        <w:jc w:val="both"/>
        <w:outlineLvl w:val="2"/>
      </w:pPr>
      <w:r>
        <w:rPr>
          <w:rFonts w:ascii="黑体" w:hAnsi="黑体" w:eastAsia="黑体"/>
          <w:sz w:val="32"/>
        </w:rPr>
        <w:t>九、财政拨款“三公”经费支出决算情况说明</w:t>
      </w:r>
    </w:p>
    <w:p w14:paraId="6BB181A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1EDFC32">
      <w:pPr>
        <w:spacing w:line="580" w:lineRule="exact"/>
        <w:ind w:firstLine="640"/>
        <w:jc w:val="both"/>
      </w:pPr>
      <w:r>
        <w:rPr>
          <w:rFonts w:ascii="仿宋_GB2312" w:hAnsi="仿宋_GB2312" w:eastAsia="仿宋_GB2312"/>
          <w:b/>
          <w:sz w:val="32"/>
        </w:rPr>
        <w:t>具体情况如下：</w:t>
      </w:r>
    </w:p>
    <w:p w14:paraId="420D09F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3AD5B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10辆，与公务用车保有量差异原因是：差异车辆为一般业务用车，预算未安排公务用车运行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使用医疗收入支出车辆运行维护费</w:t>
      </w:r>
      <w:r>
        <w:rPr>
          <w:rFonts w:ascii="仿宋_GB2312" w:hAnsi="仿宋_GB2312" w:eastAsia="仿宋_GB2312"/>
          <w:b w:val="0"/>
          <w:sz w:val="32"/>
        </w:rPr>
        <w:t>。</w:t>
      </w:r>
    </w:p>
    <w:p w14:paraId="35248CE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ADF27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84BF32B">
      <w:pPr>
        <w:spacing w:line="640" w:lineRule="exact"/>
        <w:ind w:firstLine="640"/>
        <w:jc w:val="both"/>
        <w:outlineLvl w:val="2"/>
      </w:pPr>
      <w:r>
        <w:rPr>
          <w:rFonts w:ascii="黑体" w:hAnsi="黑体" w:eastAsia="黑体"/>
          <w:sz w:val="32"/>
        </w:rPr>
        <w:t>十、其他重要事项的情况说明</w:t>
      </w:r>
    </w:p>
    <w:p w14:paraId="143F6715">
      <w:pPr>
        <w:spacing w:line="640" w:lineRule="exact"/>
        <w:ind w:firstLine="640"/>
        <w:jc w:val="both"/>
        <w:outlineLvl w:val="3"/>
      </w:pPr>
      <w:r>
        <w:rPr>
          <w:rFonts w:ascii="楷体_GB2312" w:hAnsi="楷体_GB2312" w:eastAsia="楷体_GB2312"/>
          <w:b/>
          <w:sz w:val="32"/>
        </w:rPr>
        <w:t>（一）机关运行经费及公用经费支出情况</w:t>
      </w:r>
    </w:p>
    <w:p w14:paraId="44D1C6AB">
      <w:pPr>
        <w:spacing w:line="580" w:lineRule="exact"/>
        <w:ind w:firstLine="640"/>
        <w:jc w:val="both"/>
      </w:pPr>
      <w:r>
        <w:rPr>
          <w:rFonts w:ascii="仿宋_GB2312" w:hAnsi="仿宋_GB2312" w:eastAsia="仿宋_GB2312"/>
          <w:b w:val="0"/>
          <w:sz w:val="32"/>
        </w:rPr>
        <w:t>2024年度吉木萨尔县中医医院（事业单位）公用经费支出0.00万元，比上年增加0.00万元，增长0.00%，主要原因是：2023年与2024年均未安排公用经费支出。</w:t>
      </w:r>
    </w:p>
    <w:p w14:paraId="39F628F2">
      <w:pPr>
        <w:spacing w:line="640" w:lineRule="exact"/>
        <w:ind w:firstLine="640"/>
        <w:jc w:val="both"/>
        <w:outlineLvl w:val="3"/>
      </w:pPr>
      <w:r>
        <w:rPr>
          <w:rFonts w:ascii="楷体_GB2312" w:hAnsi="楷体_GB2312" w:eastAsia="楷体_GB2312"/>
          <w:b/>
          <w:sz w:val="32"/>
        </w:rPr>
        <w:t>（二）政府采购情况</w:t>
      </w:r>
    </w:p>
    <w:p w14:paraId="2DB013BF">
      <w:pPr>
        <w:spacing w:line="580" w:lineRule="exact"/>
        <w:ind w:firstLine="640"/>
        <w:jc w:val="both"/>
      </w:pPr>
      <w:r>
        <w:rPr>
          <w:rFonts w:ascii="仿宋_GB2312" w:hAnsi="仿宋_GB2312" w:eastAsia="仿宋_GB2312"/>
          <w:b w:val="0"/>
          <w:sz w:val="32"/>
        </w:rPr>
        <w:t>2024年度政府采购支出总额352.56万元，其中：政府采购货物支出29.60万元、政府采购工程支出31.26万元、政府采购服务支出291.71万元。</w:t>
      </w:r>
    </w:p>
    <w:p w14:paraId="38C62013">
      <w:pPr>
        <w:spacing w:line="580" w:lineRule="exact"/>
        <w:ind w:firstLine="640"/>
        <w:jc w:val="both"/>
      </w:pPr>
      <w:r>
        <w:rPr>
          <w:rFonts w:ascii="仿宋_GB2312" w:hAnsi="仿宋_GB2312" w:eastAsia="仿宋_GB2312"/>
          <w:b w:val="0"/>
          <w:sz w:val="32"/>
        </w:rPr>
        <w:t>授予中小企业合同金额334.39万元，占政府采购支出总额的94.85%，其中：授予小微企业合同金额239.59万元，占政府采购支出总额的67.96%。</w:t>
      </w:r>
    </w:p>
    <w:p w14:paraId="2B98AD23">
      <w:pPr>
        <w:spacing w:line="640" w:lineRule="exact"/>
        <w:ind w:firstLine="640"/>
        <w:jc w:val="both"/>
        <w:outlineLvl w:val="3"/>
      </w:pPr>
      <w:r>
        <w:rPr>
          <w:rFonts w:ascii="楷体_GB2312" w:hAnsi="楷体_GB2312" w:eastAsia="楷体_GB2312"/>
          <w:b/>
          <w:sz w:val="32"/>
        </w:rPr>
        <w:t>（三）国有资产占用情况说明</w:t>
      </w:r>
    </w:p>
    <w:p w14:paraId="34FC9CAF">
      <w:pPr>
        <w:spacing w:line="580" w:lineRule="exact"/>
        <w:ind w:firstLine="640"/>
        <w:jc w:val="both"/>
      </w:pPr>
      <w:r>
        <w:rPr>
          <w:rFonts w:ascii="仿宋_GB2312" w:hAnsi="仿宋_GB2312" w:eastAsia="仿宋_GB2312"/>
          <w:b w:val="0"/>
          <w:sz w:val="32"/>
        </w:rPr>
        <w:t>截至2024年12月31日，房屋36,375.58平方米，价值13,184.51万元。车辆10辆，价值413.27万元，其中：副部（省）级及以上领导用车0辆、主要负责人用车0辆、机要通信用车0辆、应急保障用车0辆、执法执勤用车0辆、特种专业技术用车9辆、离退休干部服务用车0辆、其他用车1辆，其他用车主要是：单位业务用车。单价100万元（含）以上设备（不含车辆）22台（套）。</w:t>
      </w:r>
    </w:p>
    <w:p w14:paraId="4A6DFA4D">
      <w:pPr>
        <w:spacing w:line="640" w:lineRule="exact"/>
        <w:ind w:firstLine="640"/>
        <w:jc w:val="both"/>
        <w:outlineLvl w:val="2"/>
      </w:pPr>
      <w:r>
        <w:rPr>
          <w:rFonts w:ascii="黑体" w:hAnsi="黑体" w:eastAsia="黑体"/>
          <w:sz w:val="32"/>
        </w:rPr>
        <w:t>十一、预算绩效的情况说明</w:t>
      </w:r>
    </w:p>
    <w:p w14:paraId="00D229A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8,783.66万元，实际执行总额8,722.72万元；预算绩效评价项目9个，全年预算数706.68万元，全年执行数706.68万元。预算绩效管理取得的成效：一是提升资金使用效率：通过全面预算管理，实现预算执行可视化，提升了资金使用和资源利用率。二是降低成本：将绩效管理理念融入日常运营，各科室</w:t>
      </w:r>
      <w:r>
        <w:rPr>
          <w:rFonts w:hint="eastAsia" w:ascii="仿宋_GB2312" w:hAnsi="仿宋_GB2312" w:eastAsia="仿宋_GB2312"/>
          <w:b w:val="0"/>
          <w:sz w:val="32"/>
          <w:lang w:eastAsia="zh-CN"/>
        </w:rPr>
        <w:t>负责人</w:t>
      </w:r>
      <w:r>
        <w:rPr>
          <w:rFonts w:ascii="仿宋_GB2312" w:hAnsi="仿宋_GB2312" w:eastAsia="仿宋_GB2312"/>
          <w:b w:val="0"/>
          <w:sz w:val="32"/>
        </w:rPr>
        <w:t>对本部门的预算执行和绩效结果负责，提高了全院范围内的节约意识和成本管控能力。发现的问题及原因：一是预算编制不够科学精细：预算编制还是“基数加增长”的老办法，缺乏对科室和项目的精细化论证。二是信息化支撑能力薄弱：预算管理系统、会计核算系统、HIS系统等数据不通，形成“信息孤岛”。数据难以共享，预算分析、监控和评价工作效率低下。下一步改进措施：一是强化“一体化”管理思维：推动预算绩效管理与临床业务、学科建设、科研教学、运营管理等核心环节更紧密</w:t>
      </w:r>
      <w:r>
        <w:rPr>
          <w:rFonts w:hint="eastAsia" w:ascii="仿宋_GB2312" w:hAnsi="仿宋_GB2312" w:eastAsia="仿宋_GB2312"/>
          <w:b w:val="0"/>
          <w:sz w:val="32"/>
          <w:lang w:eastAsia="zh-CN"/>
        </w:rPr>
        <w:t>地</w:t>
      </w:r>
      <w:r>
        <w:rPr>
          <w:rFonts w:ascii="仿宋_GB2312" w:hAnsi="仿宋_GB2312" w:eastAsia="仿宋_GB2312"/>
          <w:b w:val="0"/>
          <w:sz w:val="32"/>
        </w:rPr>
        <w:t>融合。二是细化成本核算：加快推进基于DRG的病种成本核算、医疗服务项目成本核算及科室成本核算。将精准的成本数据作为预算编制和绩效评价的核心依据，实现“算为管用，算管结合”。具体附整体支出绩效自评表，项目支出绩效自评表和评价报告。</w:t>
      </w:r>
    </w:p>
    <w:p w14:paraId="01488DC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193"/>
        <w:gridCol w:w="773"/>
        <w:gridCol w:w="983"/>
        <w:gridCol w:w="983"/>
      </w:tblGrid>
      <w:tr w14:paraId="01BB1FD0">
        <w:tblPrEx>
          <w:tblCellMar>
            <w:top w:w="0" w:type="dxa"/>
            <w:left w:w="108" w:type="dxa"/>
            <w:bottom w:w="0" w:type="dxa"/>
            <w:right w:w="108" w:type="dxa"/>
          </w:tblCellMar>
        </w:tblPrEx>
        <w:tc>
          <w:tcPr>
            <w:tcW w:w="8847" w:type="dxa"/>
            <w:gridSpan w:val="9"/>
            <w:vAlign w:val="center"/>
          </w:tcPr>
          <w:p w14:paraId="7DE41AE5">
            <w:pPr>
              <w:jc w:val="center"/>
            </w:pPr>
            <w:r>
              <w:rPr>
                <w:rFonts w:ascii="宋体" w:hAnsi="宋体" w:eastAsia="宋体"/>
                <w:sz w:val="24"/>
              </w:rPr>
              <w:t>单位整体支出绩效自评表</w:t>
            </w:r>
          </w:p>
        </w:tc>
      </w:tr>
      <w:tr w14:paraId="2E3888D5">
        <w:tblPrEx>
          <w:tblCellMar>
            <w:top w:w="0" w:type="dxa"/>
            <w:left w:w="108" w:type="dxa"/>
            <w:bottom w:w="0" w:type="dxa"/>
            <w:right w:w="108" w:type="dxa"/>
          </w:tblCellMar>
        </w:tblPrEx>
        <w:tc>
          <w:tcPr>
            <w:tcW w:w="8847" w:type="dxa"/>
            <w:gridSpan w:val="9"/>
            <w:vAlign w:val="center"/>
          </w:tcPr>
          <w:p w14:paraId="1F2E97B9">
            <w:pPr>
              <w:jc w:val="center"/>
            </w:pPr>
            <w:r>
              <w:rPr>
                <w:rFonts w:ascii="宋体" w:hAnsi="宋体" w:eastAsia="宋体"/>
                <w:sz w:val="24"/>
              </w:rPr>
              <w:t>（2024年度）</w:t>
            </w:r>
          </w:p>
        </w:tc>
      </w:tr>
      <w:tr w14:paraId="4BEC92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78E1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BE0CB8">
            <w:pPr>
              <w:jc w:val="center"/>
            </w:pPr>
            <w:r>
              <w:rPr>
                <w:rFonts w:ascii="宋体" w:hAnsi="宋体" w:eastAsia="宋体"/>
                <w:sz w:val="16"/>
              </w:rPr>
              <w:t>吉木萨尔县中医医院</w:t>
            </w:r>
          </w:p>
        </w:tc>
      </w:tr>
      <w:tr w14:paraId="3126A5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2B5C4">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684B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309B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3CBB8">
            <w:pPr>
              <w:jc w:val="center"/>
            </w:pPr>
            <w:r>
              <w:rPr>
                <w:rFonts w:ascii="宋体" w:hAnsi="宋体" w:eastAsia="宋体"/>
                <w:sz w:val="16"/>
              </w:rPr>
              <w:t>全年预算数</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13BC93F1">
            <w:pPr>
              <w:jc w:val="center"/>
            </w:pPr>
            <w:r>
              <w:rPr>
                <w:rFonts w:ascii="宋体" w:hAnsi="宋体" w:eastAsia="宋体"/>
                <w:sz w:val="16"/>
              </w:rPr>
              <w:t>全年执行数</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2F9C6D2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6D62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B113">
            <w:pPr>
              <w:jc w:val="center"/>
            </w:pPr>
            <w:r>
              <w:rPr>
                <w:rFonts w:ascii="宋体" w:hAnsi="宋体" w:eastAsia="宋体"/>
                <w:sz w:val="16"/>
              </w:rPr>
              <w:t>得分</w:t>
            </w:r>
          </w:p>
        </w:tc>
      </w:tr>
      <w:tr w14:paraId="0A97E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9DF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FA68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C43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BB25">
            <w:pPr>
              <w:jc w:val="center"/>
            </w:pPr>
            <w:r>
              <w:rPr>
                <w:rFonts w:ascii="宋体" w:hAnsi="宋体" w:eastAsia="宋体"/>
                <w:sz w:val="16"/>
              </w:rPr>
              <w:t>383.95</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150EB2C0">
            <w:pPr>
              <w:jc w:val="center"/>
            </w:pPr>
            <w:r>
              <w:rPr>
                <w:rFonts w:ascii="宋体" w:hAnsi="宋体" w:eastAsia="宋体"/>
                <w:sz w:val="16"/>
              </w:rPr>
              <w:t>383.95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57DBCA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C9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AD6E1">
            <w:pPr>
              <w:jc w:val="center"/>
            </w:pPr>
            <w:r>
              <w:rPr>
                <w:rFonts w:ascii="宋体" w:hAnsi="宋体" w:eastAsia="宋体"/>
                <w:sz w:val="16"/>
              </w:rPr>
              <w:t>-</w:t>
            </w:r>
          </w:p>
        </w:tc>
      </w:tr>
      <w:tr w14:paraId="7FAEE0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2F3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B76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44C1A">
            <w:pPr>
              <w:jc w:val="center"/>
            </w:pPr>
            <w:r>
              <w:rPr>
                <w:rFonts w:ascii="宋体" w:hAnsi="宋体" w:eastAsia="宋体"/>
                <w:sz w:val="16"/>
              </w:rPr>
              <w:t>1,693.85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EB86A">
            <w:pPr>
              <w:jc w:val="center"/>
            </w:pPr>
            <w:r>
              <w:rPr>
                <w:rFonts w:ascii="宋体" w:hAnsi="宋体" w:eastAsia="宋体"/>
                <w:sz w:val="16"/>
              </w:rPr>
              <w:t>8,399.71</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0795656">
            <w:pPr>
              <w:jc w:val="center"/>
            </w:pPr>
            <w:r>
              <w:rPr>
                <w:rFonts w:ascii="宋体" w:hAnsi="宋体" w:eastAsia="宋体"/>
                <w:sz w:val="16"/>
              </w:rPr>
              <w:t>8,338.77</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6C695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8DC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715B">
            <w:pPr>
              <w:jc w:val="center"/>
            </w:pPr>
            <w:r>
              <w:rPr>
                <w:rFonts w:ascii="宋体" w:hAnsi="宋体" w:eastAsia="宋体"/>
                <w:sz w:val="16"/>
              </w:rPr>
              <w:t>-</w:t>
            </w:r>
          </w:p>
        </w:tc>
      </w:tr>
      <w:tr w14:paraId="5FA81F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633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B2E8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BCCA3">
            <w:pPr>
              <w:jc w:val="center"/>
            </w:pPr>
            <w:r>
              <w:rPr>
                <w:rFonts w:ascii="宋体" w:hAnsi="宋体" w:eastAsia="宋体"/>
                <w:sz w:val="16"/>
              </w:rPr>
              <w:t>5,667.67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2175D">
            <w:pPr>
              <w:jc w:val="center"/>
            </w:pPr>
            <w:r>
              <w:rPr>
                <w:rFonts w:ascii="宋体" w:hAnsi="宋体" w:eastAsia="宋体"/>
                <w:sz w:val="16"/>
              </w:rPr>
              <w:t>0.00</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111B8731">
            <w:pPr>
              <w:jc w:val="center"/>
            </w:pPr>
            <w:r>
              <w:rPr>
                <w:rFonts w:ascii="宋体" w:hAnsi="宋体" w:eastAsia="宋体"/>
                <w:sz w:val="16"/>
              </w:rPr>
              <w:t>0.00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01518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7C4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12624">
            <w:pPr>
              <w:jc w:val="center"/>
            </w:pPr>
            <w:r>
              <w:rPr>
                <w:rFonts w:ascii="宋体" w:hAnsi="宋体" w:eastAsia="宋体"/>
                <w:sz w:val="16"/>
              </w:rPr>
              <w:t>-</w:t>
            </w:r>
          </w:p>
        </w:tc>
      </w:tr>
      <w:tr w14:paraId="7E439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A70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50DA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C360">
            <w:pPr>
              <w:jc w:val="center"/>
            </w:pPr>
            <w:r>
              <w:rPr>
                <w:rFonts w:ascii="宋体" w:hAnsi="宋体" w:eastAsia="宋体"/>
                <w:sz w:val="16"/>
              </w:rPr>
              <w:t>7,361.52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6BF15">
            <w:pPr>
              <w:jc w:val="center"/>
            </w:pPr>
            <w:r>
              <w:rPr>
                <w:rFonts w:ascii="宋体" w:hAnsi="宋体" w:eastAsia="宋体"/>
                <w:sz w:val="16"/>
              </w:rPr>
              <w:t>8,783.66</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057A33A7">
            <w:pPr>
              <w:jc w:val="center"/>
            </w:pPr>
            <w:r>
              <w:rPr>
                <w:rFonts w:ascii="宋体" w:hAnsi="宋体" w:eastAsia="宋体"/>
                <w:sz w:val="16"/>
              </w:rPr>
              <w:t>8,722.72</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25A9C7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A8375">
            <w:pPr>
              <w:jc w:val="center"/>
            </w:pPr>
            <w:r>
              <w:rPr>
                <w:rFonts w:ascii="宋体" w:hAnsi="宋体" w:eastAsia="宋体"/>
                <w:sz w:val="16"/>
              </w:rPr>
              <w:t>99.31%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C64BA">
            <w:pPr>
              <w:jc w:val="center"/>
            </w:pPr>
            <w:r>
              <w:rPr>
                <w:rFonts w:ascii="宋体" w:hAnsi="宋体" w:eastAsia="宋体"/>
                <w:sz w:val="16"/>
              </w:rPr>
              <w:t>9.93</w:t>
            </w:r>
          </w:p>
        </w:tc>
      </w:tr>
      <w:tr w14:paraId="085809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E27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36C75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266B21">
            <w:pPr>
              <w:jc w:val="center"/>
            </w:pPr>
            <w:r>
              <w:rPr>
                <w:rFonts w:ascii="宋体" w:hAnsi="宋体" w:eastAsia="宋体"/>
                <w:sz w:val="16"/>
              </w:rPr>
              <w:t>实际完成情况</w:t>
            </w:r>
          </w:p>
        </w:tc>
      </w:tr>
      <w:tr w14:paraId="65A6CD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5A8F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EE1E1B">
            <w:pPr>
              <w:jc w:val="both"/>
            </w:pPr>
            <w:r>
              <w:rPr>
                <w:rFonts w:ascii="宋体" w:hAnsi="宋体" w:eastAsia="宋体"/>
                <w:sz w:val="16"/>
              </w:rPr>
              <w:t>吉木萨尔县中医医院2024年为全县人民身体健康提供医疗、护理、保健、科研教育、康复等服务，负责全县范围内医疗诊治、预防保健、意外事故救治、初级卫生保健规划实施，合作医疗组织管理，卫生监督与卫生信息管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DD715E">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8783.66万元，全年执行数为8722.72万元,预算执行率为99.31%，主要完成以下内容：吉木萨尔县中医医院2024年为全县人民身体健康提供医疗、护理、保健、科研教学、康复等服务，负责全县范围内医疗诊治、预防保健、意外事故救治、初级卫生保健规划实施，合作医疗组织管理，卫生监督与卫生信息管理。1、保障医院74位在职人员经费及时发放，提高医疗服务水平。2、保障医院220位政府购买岗补助及时到位，按时发放政府购买岗工资。3及时发放11名退休人员交通费、独生子女费。4、各类项目资金及时支付完毕。</w:t>
            </w:r>
          </w:p>
        </w:tc>
      </w:tr>
      <w:tr w14:paraId="5C742D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8E5A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D000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7CF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1F95B">
            <w:pPr>
              <w:jc w:val="center"/>
            </w:pPr>
            <w:r>
              <w:rPr>
                <w:rFonts w:ascii="宋体" w:hAnsi="宋体" w:eastAsia="宋体"/>
                <w:sz w:val="16"/>
              </w:rPr>
              <w:t>预期指标值</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3FFEE3C6">
            <w:pPr>
              <w:jc w:val="center"/>
            </w:pPr>
            <w:r>
              <w:rPr>
                <w:rFonts w:ascii="宋体" w:hAnsi="宋体" w:eastAsia="宋体"/>
                <w:sz w:val="16"/>
              </w:rPr>
              <w:t>指标值设定依据</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05D17D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FBE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FA74">
            <w:pPr>
              <w:jc w:val="center"/>
            </w:pPr>
            <w:r>
              <w:rPr>
                <w:rFonts w:ascii="宋体" w:hAnsi="宋体" w:eastAsia="宋体"/>
                <w:sz w:val="16"/>
              </w:rPr>
              <w:t>得分</w:t>
            </w:r>
          </w:p>
        </w:tc>
      </w:tr>
      <w:tr w14:paraId="3C1DDA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5BE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2C6F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60E3">
            <w:pPr>
              <w:jc w:val="center"/>
            </w:pPr>
            <w:r>
              <w:rPr>
                <w:rFonts w:ascii="宋体" w:hAnsi="宋体" w:eastAsia="宋体"/>
                <w:sz w:val="16"/>
              </w:rPr>
              <w:t>出院者平均住院天数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DC39C">
            <w:pPr>
              <w:jc w:val="center"/>
            </w:pPr>
            <w:r>
              <w:rPr>
                <w:rFonts w:ascii="宋体" w:hAnsi="宋体" w:eastAsia="宋体"/>
                <w:sz w:val="16"/>
              </w:rPr>
              <w:t>&lt;=10天</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4E20EA0F">
            <w:pPr>
              <w:jc w:val="center"/>
            </w:pPr>
            <w:r>
              <w:rPr>
                <w:rFonts w:ascii="宋体" w:hAnsi="宋体" w:eastAsia="宋体"/>
                <w:sz w:val="16"/>
              </w:rPr>
              <w:t>2023年卫生财务年报</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01921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E7118">
            <w:pPr>
              <w:jc w:val="center"/>
            </w:pPr>
            <w:r>
              <w:rPr>
                <w:rFonts w:ascii="宋体" w:hAnsi="宋体" w:eastAsia="宋体"/>
                <w:sz w:val="16"/>
              </w:rPr>
              <w:t>=7天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6D2A">
            <w:pPr>
              <w:jc w:val="center"/>
            </w:pPr>
            <w:r>
              <w:rPr>
                <w:rFonts w:ascii="宋体" w:hAnsi="宋体" w:eastAsia="宋体"/>
                <w:sz w:val="16"/>
              </w:rPr>
              <w:t>20</w:t>
            </w:r>
          </w:p>
        </w:tc>
      </w:tr>
      <w:tr w14:paraId="796F0C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00E42">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379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029E0">
            <w:pPr>
              <w:jc w:val="center"/>
            </w:pPr>
            <w:r>
              <w:rPr>
                <w:rFonts w:ascii="宋体" w:hAnsi="宋体" w:eastAsia="宋体"/>
                <w:sz w:val="16"/>
              </w:rPr>
              <w:t>门急诊人次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E9FED">
            <w:pPr>
              <w:jc w:val="center"/>
            </w:pPr>
            <w:r>
              <w:rPr>
                <w:rFonts w:ascii="宋体" w:hAnsi="宋体" w:eastAsia="宋体"/>
                <w:sz w:val="16"/>
              </w:rPr>
              <w:t>&gt;=95000人</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6E5F3C6D">
            <w:pPr>
              <w:jc w:val="center"/>
            </w:pPr>
            <w:r>
              <w:rPr>
                <w:rFonts w:ascii="宋体" w:hAnsi="宋体" w:eastAsia="宋体"/>
                <w:sz w:val="16"/>
              </w:rPr>
              <w:t>2023年卫生财务年报</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26D40B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CD8B5">
            <w:pPr>
              <w:jc w:val="center"/>
            </w:pPr>
            <w:r>
              <w:rPr>
                <w:rFonts w:ascii="宋体" w:hAnsi="宋体" w:eastAsia="宋体"/>
                <w:sz w:val="16"/>
              </w:rPr>
              <w:t>=109105人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1CA47">
            <w:pPr>
              <w:jc w:val="center"/>
            </w:pPr>
            <w:r>
              <w:rPr>
                <w:rFonts w:ascii="宋体" w:hAnsi="宋体" w:eastAsia="宋体"/>
                <w:sz w:val="16"/>
              </w:rPr>
              <w:t>20</w:t>
            </w:r>
          </w:p>
        </w:tc>
      </w:tr>
      <w:tr w14:paraId="67BC7E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DFF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AC9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09B40">
            <w:pPr>
              <w:jc w:val="center"/>
            </w:pPr>
            <w:r>
              <w:rPr>
                <w:rFonts w:ascii="宋体" w:hAnsi="宋体" w:eastAsia="宋体"/>
                <w:sz w:val="16"/>
              </w:rPr>
              <w:t>出院人次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373F9">
            <w:pPr>
              <w:jc w:val="center"/>
            </w:pPr>
            <w:r>
              <w:rPr>
                <w:rFonts w:ascii="宋体" w:hAnsi="宋体" w:eastAsia="宋体"/>
                <w:sz w:val="16"/>
              </w:rPr>
              <w:t>&gt;=6500人</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53D0959">
            <w:pPr>
              <w:jc w:val="center"/>
            </w:pPr>
            <w:r>
              <w:rPr>
                <w:rFonts w:ascii="宋体" w:hAnsi="宋体" w:eastAsia="宋体"/>
                <w:sz w:val="16"/>
              </w:rPr>
              <w:t>2023年卫生财务年报</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6EF484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07899">
            <w:pPr>
              <w:jc w:val="center"/>
            </w:pPr>
            <w:r>
              <w:rPr>
                <w:rFonts w:ascii="宋体" w:hAnsi="宋体" w:eastAsia="宋体"/>
                <w:sz w:val="16"/>
              </w:rPr>
              <w:t>=5423人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7211C">
            <w:pPr>
              <w:jc w:val="center"/>
            </w:pPr>
            <w:r>
              <w:rPr>
                <w:rFonts w:ascii="宋体" w:hAnsi="宋体" w:eastAsia="宋体"/>
                <w:sz w:val="16"/>
              </w:rPr>
              <w:t>16.69</w:t>
            </w:r>
          </w:p>
        </w:tc>
      </w:tr>
      <w:tr w14:paraId="7E82C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750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111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89CF">
            <w:pPr>
              <w:jc w:val="center"/>
            </w:pPr>
            <w:r>
              <w:rPr>
                <w:rFonts w:ascii="宋体" w:hAnsi="宋体" w:eastAsia="宋体"/>
                <w:sz w:val="16"/>
              </w:rPr>
              <w:t>实际占用总床日数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387E">
            <w:pPr>
              <w:jc w:val="center"/>
            </w:pPr>
            <w:r>
              <w:rPr>
                <w:rFonts w:ascii="宋体" w:hAnsi="宋体" w:eastAsia="宋体"/>
                <w:sz w:val="16"/>
              </w:rPr>
              <w:t>&gt;=40000床日</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5985AD77">
            <w:pPr>
              <w:jc w:val="center"/>
            </w:pPr>
            <w:r>
              <w:rPr>
                <w:rFonts w:ascii="宋体" w:hAnsi="宋体" w:eastAsia="宋体"/>
                <w:sz w:val="16"/>
              </w:rPr>
              <w:t>2023年卫生财务年报</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41E6B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D92BE">
            <w:pPr>
              <w:jc w:val="center"/>
            </w:pPr>
            <w:r>
              <w:rPr>
                <w:rFonts w:ascii="宋体" w:hAnsi="宋体" w:eastAsia="宋体"/>
                <w:sz w:val="16"/>
              </w:rPr>
              <w:t>=39693床日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EF98">
            <w:pPr>
              <w:jc w:val="center"/>
            </w:pPr>
            <w:r>
              <w:rPr>
                <w:rFonts w:ascii="宋体" w:hAnsi="宋体" w:eastAsia="宋体"/>
                <w:sz w:val="16"/>
              </w:rPr>
              <w:t>9.92</w:t>
            </w:r>
          </w:p>
        </w:tc>
      </w:tr>
      <w:tr w14:paraId="0DF12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7F1E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9A8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6BE99">
            <w:pPr>
              <w:jc w:val="center"/>
            </w:pPr>
            <w:r>
              <w:rPr>
                <w:rFonts w:ascii="宋体" w:hAnsi="宋体" w:eastAsia="宋体"/>
                <w:sz w:val="16"/>
              </w:rPr>
              <w:t>出院者占用总床日数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6FA4A">
            <w:pPr>
              <w:jc w:val="center"/>
            </w:pPr>
            <w:r>
              <w:rPr>
                <w:rFonts w:ascii="宋体" w:hAnsi="宋体" w:eastAsia="宋体"/>
                <w:sz w:val="16"/>
              </w:rPr>
              <w:t>&gt;=40000床日</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4DCD97F">
            <w:pPr>
              <w:jc w:val="center"/>
            </w:pPr>
            <w:r>
              <w:rPr>
                <w:rFonts w:ascii="宋体" w:hAnsi="宋体" w:eastAsia="宋体"/>
                <w:sz w:val="16"/>
              </w:rPr>
              <w:t>2023年卫生财务年报</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DA96C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E12A">
            <w:pPr>
              <w:jc w:val="center"/>
            </w:pPr>
            <w:r>
              <w:rPr>
                <w:rFonts w:ascii="宋体" w:hAnsi="宋体" w:eastAsia="宋体"/>
                <w:sz w:val="16"/>
              </w:rPr>
              <w:t>=39398床日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E221C">
            <w:pPr>
              <w:jc w:val="center"/>
            </w:pPr>
            <w:r>
              <w:rPr>
                <w:rFonts w:ascii="宋体" w:hAnsi="宋体" w:eastAsia="宋体"/>
                <w:sz w:val="16"/>
              </w:rPr>
              <w:t>9.85</w:t>
            </w:r>
          </w:p>
        </w:tc>
      </w:tr>
      <w:tr w14:paraId="57D6F3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A8D4C">
            <w:pPr>
              <w:jc w:val="center"/>
            </w:pPr>
            <w:r>
              <w:rPr>
                <w:rFonts w:ascii="宋体" w:hAnsi="宋体" w:eastAsia="宋体"/>
                <w:sz w:val="16"/>
              </w:rPr>
              <w:t>服务对象满意度</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D712A">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E0A89">
            <w:pPr>
              <w:jc w:val="center"/>
            </w:pPr>
            <w:r>
              <w:rPr>
                <w:rFonts w:ascii="宋体" w:hAnsi="宋体" w:eastAsia="宋体"/>
                <w:sz w:val="16"/>
              </w:rPr>
              <w:t>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87F08">
            <w:pPr>
              <w:jc w:val="center"/>
            </w:pPr>
            <w:r>
              <w:rPr>
                <w:rFonts w:ascii="宋体" w:hAnsi="宋体" w:eastAsia="宋体"/>
                <w:sz w:val="16"/>
              </w:rPr>
              <w:t>&gt;=95%</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23DB1D1">
            <w:pPr>
              <w:jc w:val="center"/>
            </w:pPr>
            <w:r>
              <w:rPr>
                <w:rFonts w:ascii="宋体" w:hAnsi="宋体" w:eastAsia="宋体"/>
                <w:sz w:val="16"/>
              </w:rPr>
              <w:t>调查问卷报告</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AB1952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01F0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0D4D">
            <w:pPr>
              <w:jc w:val="center"/>
            </w:pPr>
            <w:r>
              <w:rPr>
                <w:rFonts w:ascii="宋体" w:hAnsi="宋体" w:eastAsia="宋体"/>
                <w:sz w:val="16"/>
              </w:rPr>
              <w:t>5</w:t>
            </w:r>
          </w:p>
        </w:tc>
      </w:tr>
      <w:tr w14:paraId="18BB36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70C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89E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8D7C1">
            <w:pPr>
              <w:jc w:val="center"/>
            </w:pPr>
            <w:r>
              <w:rPr>
                <w:rFonts w:ascii="宋体" w:hAnsi="宋体" w:eastAsia="宋体"/>
                <w:sz w:val="16"/>
              </w:rPr>
              <w:t>就医患者满意度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ACA7">
            <w:pPr>
              <w:jc w:val="center"/>
            </w:pPr>
            <w:r>
              <w:rPr>
                <w:rFonts w:ascii="宋体" w:hAnsi="宋体" w:eastAsia="宋体"/>
                <w:sz w:val="16"/>
              </w:rPr>
              <w:t>&gt;=95%</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09679530">
            <w:pPr>
              <w:jc w:val="center"/>
            </w:pPr>
            <w:r>
              <w:rPr>
                <w:rFonts w:ascii="宋体" w:hAnsi="宋体" w:eastAsia="宋体"/>
                <w:sz w:val="16"/>
              </w:rPr>
              <w:t>调查问卷报告</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48834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FA3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D96AF">
            <w:pPr>
              <w:jc w:val="center"/>
            </w:pPr>
            <w:r>
              <w:rPr>
                <w:rFonts w:ascii="宋体" w:hAnsi="宋体" w:eastAsia="宋体"/>
                <w:sz w:val="16"/>
              </w:rPr>
              <w:t>5</w:t>
            </w:r>
          </w:p>
        </w:tc>
      </w:tr>
    </w:tbl>
    <w:p w14:paraId="40FC1C9B">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03"/>
        <w:gridCol w:w="612"/>
        <w:gridCol w:w="630"/>
        <w:gridCol w:w="1016"/>
        <w:gridCol w:w="621"/>
        <w:gridCol w:w="696"/>
        <w:gridCol w:w="603"/>
        <w:gridCol w:w="604"/>
        <w:gridCol w:w="604"/>
        <w:gridCol w:w="613"/>
        <w:gridCol w:w="631"/>
      </w:tblGrid>
      <w:tr w14:paraId="33E2E452">
        <w:tc>
          <w:tcPr>
            <w:tcW w:w="8848" w:type="dxa"/>
            <w:gridSpan w:val="14"/>
            <w:vAlign w:val="center"/>
          </w:tcPr>
          <w:p w14:paraId="3BD2C594">
            <w:pPr>
              <w:jc w:val="center"/>
            </w:pPr>
            <w:r>
              <w:rPr>
                <w:rFonts w:ascii="宋体" w:hAnsi="宋体" w:eastAsia="宋体"/>
                <w:sz w:val="24"/>
              </w:rPr>
              <w:t>项目支出绩效自评表</w:t>
            </w:r>
          </w:p>
        </w:tc>
      </w:tr>
      <w:tr w14:paraId="0CA10CF1">
        <w:tblPrEx>
          <w:tblCellMar>
            <w:top w:w="0" w:type="dxa"/>
            <w:left w:w="108" w:type="dxa"/>
            <w:bottom w:w="0" w:type="dxa"/>
            <w:right w:w="108" w:type="dxa"/>
          </w:tblCellMar>
        </w:tblPrEx>
        <w:tc>
          <w:tcPr>
            <w:tcW w:w="8848" w:type="dxa"/>
            <w:gridSpan w:val="14"/>
            <w:vAlign w:val="center"/>
          </w:tcPr>
          <w:p w14:paraId="72BCAA2A">
            <w:pPr>
              <w:jc w:val="center"/>
            </w:pPr>
            <w:r>
              <w:rPr>
                <w:rFonts w:ascii="宋体" w:hAnsi="宋体" w:eastAsia="宋体"/>
                <w:sz w:val="24"/>
              </w:rPr>
              <w:t>(2024年度)</w:t>
            </w:r>
          </w:p>
        </w:tc>
      </w:tr>
      <w:tr w14:paraId="305B8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23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148C5A">
            <w:pPr>
              <w:jc w:val="center"/>
            </w:pPr>
            <w:r>
              <w:rPr>
                <w:rFonts w:ascii="宋体" w:hAnsi="宋体" w:eastAsia="宋体"/>
                <w:sz w:val="16"/>
              </w:rPr>
              <w:t>2024年中央医疗服务与保障能力提升（公立医院综合改革）补助资金预算</w:t>
            </w:r>
          </w:p>
        </w:tc>
      </w:tr>
      <w:tr w14:paraId="1DB49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A9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A299E">
            <w:pPr>
              <w:jc w:val="center"/>
            </w:pPr>
            <w:r>
              <w:rPr>
                <w:rFonts w:ascii="宋体" w:hAnsi="宋体" w:eastAsia="宋体"/>
                <w:sz w:val="16"/>
              </w:rPr>
              <w:t>吉木萨尔县中医医院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3A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A71E63">
            <w:pPr>
              <w:jc w:val="center"/>
            </w:pPr>
            <w:r>
              <w:rPr>
                <w:rFonts w:ascii="宋体" w:hAnsi="宋体" w:eastAsia="宋体"/>
                <w:sz w:val="16"/>
              </w:rPr>
              <w:t>吉木萨尔县中医医院</w:t>
            </w:r>
          </w:p>
        </w:tc>
      </w:tr>
      <w:tr w14:paraId="72884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89E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EF0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B94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E4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AA3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6F4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A8C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8F40">
            <w:pPr>
              <w:jc w:val="center"/>
            </w:pPr>
            <w:r>
              <w:rPr>
                <w:rFonts w:ascii="宋体" w:hAnsi="宋体" w:eastAsia="宋体"/>
                <w:sz w:val="16"/>
              </w:rPr>
              <w:t>得分</w:t>
            </w:r>
          </w:p>
        </w:tc>
      </w:tr>
      <w:tr w14:paraId="03D76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8BC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F4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EA38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946A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286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226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E5C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22B0">
            <w:pPr>
              <w:jc w:val="center"/>
            </w:pPr>
            <w:r>
              <w:rPr>
                <w:rFonts w:ascii="宋体" w:hAnsi="宋体" w:eastAsia="宋体"/>
                <w:sz w:val="16"/>
              </w:rPr>
              <w:t>10.00</w:t>
            </w:r>
          </w:p>
        </w:tc>
      </w:tr>
      <w:tr w14:paraId="0F47B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21C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FD4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EC2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FEB7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297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DF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87E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BB04">
            <w:pPr>
              <w:jc w:val="center"/>
            </w:pPr>
            <w:r>
              <w:rPr>
                <w:rFonts w:ascii="宋体" w:hAnsi="宋体" w:eastAsia="宋体"/>
                <w:sz w:val="16"/>
              </w:rPr>
              <w:t>—</w:t>
            </w:r>
          </w:p>
        </w:tc>
      </w:tr>
      <w:tr w14:paraId="1E6E1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79A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A7F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76F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F26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B87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974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C2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F1D4">
            <w:pPr>
              <w:jc w:val="center"/>
            </w:pPr>
            <w:r>
              <w:rPr>
                <w:rFonts w:ascii="宋体" w:hAnsi="宋体" w:eastAsia="宋体"/>
                <w:sz w:val="16"/>
              </w:rPr>
              <w:t>—</w:t>
            </w:r>
          </w:p>
        </w:tc>
      </w:tr>
      <w:tr w14:paraId="2CAF2E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EF4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6399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EAE07">
            <w:pPr>
              <w:jc w:val="center"/>
            </w:pPr>
            <w:r>
              <w:rPr>
                <w:rFonts w:ascii="宋体" w:hAnsi="宋体" w:eastAsia="宋体"/>
                <w:sz w:val="16"/>
              </w:rPr>
              <w:t>实际完成情况</w:t>
            </w:r>
          </w:p>
        </w:tc>
      </w:tr>
      <w:tr w14:paraId="7652A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D6F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9CF81">
            <w:pPr>
              <w:jc w:val="both"/>
            </w:pPr>
            <w:r>
              <w:rPr>
                <w:rFonts w:ascii="宋体" w:hAnsi="宋体" w:eastAsia="宋体"/>
                <w:sz w:val="16"/>
              </w:rPr>
              <w:t>聘请福建亿能达信息技术股份有限公司工分制绩效管理系统、奖金二次分配系统、综合质量考评管理系统。购买系统14套，以及设备9台，并验收合格，投入使用后系统能够自动化</w:t>
            </w:r>
            <w:r>
              <w:rPr>
                <w:rFonts w:hint="eastAsia" w:ascii="宋体" w:hAnsi="宋体"/>
                <w:sz w:val="16"/>
                <w:lang w:eastAsia="zh-CN"/>
              </w:rPr>
              <w:t>地</w:t>
            </w:r>
            <w:r>
              <w:rPr>
                <w:rFonts w:ascii="宋体" w:hAnsi="宋体" w:eastAsia="宋体"/>
                <w:sz w:val="16"/>
              </w:rPr>
              <w:t>采集和处理医院各科室和员工的工作数据，减少人工操作，提高管理效率，能够及时</w:t>
            </w:r>
            <w:r>
              <w:rPr>
                <w:rFonts w:hint="eastAsia" w:ascii="宋体" w:hAnsi="宋体"/>
                <w:sz w:val="16"/>
                <w:lang w:eastAsia="zh-CN"/>
              </w:rPr>
              <w:t>反映</w:t>
            </w:r>
            <w:r>
              <w:rPr>
                <w:rFonts w:ascii="宋体" w:hAnsi="宋体" w:eastAsia="宋体"/>
                <w:sz w:val="16"/>
              </w:rPr>
              <w:t>员工的工作量和质量，使管理层能够迅速了解医院运营状况，及时做出决策。工分制绩效系统通过设定明确的考核标准和计算方法，确保绩效考核的公平性和透明度，还可以激发员工的工作积极性和创造力，通过绩效考核结果，医院可以对优秀员工进行奖励，形成正向激励机制。工分制绩效系统通常会将患者满意度纳入考核范围，促使医务人员提高服务质量，增强患者就医体验，通过提高患者满意度，医院能够吸引更多患者前来就诊，增加医院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B8691">
            <w:pPr>
              <w:jc w:val="both"/>
            </w:pPr>
            <w:r>
              <w:rPr>
                <w:rFonts w:ascii="宋体" w:hAnsi="宋体" w:eastAsia="宋体"/>
                <w:sz w:val="16"/>
              </w:rPr>
              <w:t>2024年1</w:t>
            </w:r>
            <w:bookmarkStart w:id="0" w:name="_GoBack"/>
            <w:r>
              <w:rPr>
                <w:rFonts w:ascii="宋体" w:hAnsi="宋体" w:eastAsia="宋体"/>
                <w:sz w:val="16"/>
              </w:rPr>
              <w:t>2月31日</w:t>
            </w:r>
            <w:bookmarkEnd w:id="0"/>
            <w:r>
              <w:rPr>
                <w:rFonts w:ascii="宋体" w:hAnsi="宋体" w:eastAsia="宋体"/>
                <w:sz w:val="16"/>
              </w:rPr>
              <w:t>，本项目实际支出资金50万元，预算执行率100%，通过实施本项目，福建亿能达信息技术股份有限公司完成率工分制绩效管理系统、奖金二次分配系统、综合质量考评管理系统。购买完成系统14套，以及设备9台，并验收合格，投入使用后系统自动化</w:t>
            </w:r>
            <w:r>
              <w:rPr>
                <w:rFonts w:hint="eastAsia" w:ascii="宋体" w:hAnsi="宋体"/>
                <w:sz w:val="16"/>
                <w:lang w:eastAsia="zh-CN"/>
              </w:rPr>
              <w:t>地</w:t>
            </w:r>
            <w:r>
              <w:rPr>
                <w:rFonts w:ascii="宋体" w:hAnsi="宋体" w:eastAsia="宋体"/>
                <w:sz w:val="16"/>
              </w:rPr>
              <w:t>采集和处理医院各科室和员工的工作数据，减少人工操作，提高管理效率，能够及时</w:t>
            </w:r>
            <w:r>
              <w:rPr>
                <w:rFonts w:hint="eastAsia" w:ascii="宋体" w:hAnsi="宋体"/>
                <w:sz w:val="16"/>
                <w:lang w:eastAsia="zh-CN"/>
              </w:rPr>
              <w:t>反映</w:t>
            </w:r>
            <w:r>
              <w:rPr>
                <w:rFonts w:ascii="宋体" w:hAnsi="宋体" w:eastAsia="宋体"/>
                <w:sz w:val="16"/>
              </w:rPr>
              <w:t>员工的工作量和质量，使管理层能够迅速了解医院运营状况，及时做出决策。工分制绩效系统通过设定明确的考核标准和计算方法，确保绩效考核的公平性和透明度，还可以激发员工的工作积极性和创造力，通过绩效考核结果，医院可以对优秀员工进行奖励，形成正向激励机制。工分制绩效系统通常会将患者满意度纳入考核范围，促使医务人员提高服务质量，增强患者就医体验，通过提高患者满意度，医院能够吸引更多患者前来就诊，增加医院收入。</w:t>
            </w:r>
          </w:p>
        </w:tc>
      </w:tr>
      <w:tr w14:paraId="099F2E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A0D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A1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74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CD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81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E13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807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1F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F94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0A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EF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58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48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9E52">
            <w:pPr>
              <w:jc w:val="center"/>
            </w:pPr>
            <w:r>
              <w:rPr>
                <w:rFonts w:ascii="宋体" w:hAnsi="宋体" w:eastAsia="宋体"/>
                <w:sz w:val="16"/>
              </w:rPr>
              <w:t>偏差原因分析及改进措施</w:t>
            </w:r>
          </w:p>
        </w:tc>
      </w:tr>
      <w:tr w14:paraId="4E2C07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CF2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2F5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947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F5E0">
            <w:pPr>
              <w:jc w:val="center"/>
            </w:pPr>
            <w:r>
              <w:rPr>
                <w:rFonts w:ascii="宋体" w:hAnsi="宋体" w:eastAsia="宋体"/>
                <w:sz w:val="16"/>
              </w:rPr>
              <w:t>购买系统数量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5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29DA">
            <w:pPr>
              <w:jc w:val="center"/>
            </w:pPr>
            <w:r>
              <w:rPr>
                <w:rFonts w:ascii="宋体" w:hAnsi="宋体" w:eastAsia="宋体"/>
                <w:sz w:val="16"/>
              </w:rPr>
              <w:t>&gt;=14套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526E">
            <w:pPr>
              <w:jc w:val="center"/>
            </w:pPr>
            <w:r>
              <w:rPr>
                <w:rFonts w:ascii="宋体" w:hAnsi="宋体" w:eastAsia="宋体"/>
                <w:sz w:val="16"/>
              </w:rPr>
              <w:t>=14套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7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4A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F94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1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4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3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1303">
            <w:pPr>
              <w:jc w:val="center"/>
            </w:pPr>
          </w:p>
        </w:tc>
      </w:tr>
      <w:tr w14:paraId="02D9C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2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D3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FF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A23C">
            <w:pPr>
              <w:jc w:val="center"/>
            </w:pPr>
            <w:r>
              <w:rPr>
                <w:rFonts w:ascii="宋体" w:hAnsi="宋体" w:eastAsia="宋体"/>
                <w:sz w:val="16"/>
              </w:rPr>
              <w:t>购买设备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FC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B5A5">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7B67">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B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39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0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A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3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4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D4D9">
            <w:pPr>
              <w:jc w:val="center"/>
            </w:pPr>
          </w:p>
        </w:tc>
      </w:tr>
      <w:tr w14:paraId="63870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1C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3A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B7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9131">
            <w:pPr>
              <w:jc w:val="center"/>
            </w:pPr>
            <w:r>
              <w:rPr>
                <w:rFonts w:ascii="宋体" w:hAnsi="宋体" w:eastAsia="宋体"/>
                <w:sz w:val="16"/>
              </w:rPr>
              <w:t>系统及设备验收合格率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C7D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9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A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3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415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74D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9E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D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B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C098">
            <w:pPr>
              <w:jc w:val="center"/>
            </w:pPr>
          </w:p>
        </w:tc>
      </w:tr>
      <w:tr w14:paraId="05096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84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E8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5C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5EB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8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D34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DC33">
            <w:pPr>
              <w:jc w:val="center"/>
            </w:pPr>
            <w:r>
              <w:rPr>
                <w:rFonts w:ascii="宋体" w:hAnsi="宋体" w:eastAsia="宋体"/>
                <w:sz w:val="16"/>
              </w:rPr>
              <w:t>2024.12.31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4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F5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3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1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A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A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F65F">
            <w:pPr>
              <w:jc w:val="center"/>
            </w:pPr>
          </w:p>
        </w:tc>
      </w:tr>
      <w:tr w14:paraId="00479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49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80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B9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D727">
            <w:pPr>
              <w:jc w:val="center"/>
            </w:pPr>
            <w:r>
              <w:rPr>
                <w:rFonts w:ascii="宋体" w:hAnsi="宋体" w:eastAsia="宋体"/>
                <w:sz w:val="16"/>
              </w:rPr>
              <w:t>支付进度款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12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EC4F">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F69E">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0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A0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93F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9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BB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E9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6F9A">
            <w:pPr>
              <w:jc w:val="center"/>
            </w:pPr>
          </w:p>
        </w:tc>
      </w:tr>
      <w:tr w14:paraId="0E8C8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0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60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03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86F7">
            <w:pPr>
              <w:jc w:val="center"/>
            </w:pPr>
            <w:r>
              <w:rPr>
                <w:rFonts w:ascii="宋体" w:hAnsi="宋体" w:eastAsia="宋体"/>
                <w:sz w:val="16"/>
              </w:rPr>
              <w:t>有效提升管理效率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46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90B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03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D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44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600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F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9B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8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C2AE">
            <w:pPr>
              <w:jc w:val="center"/>
            </w:pPr>
          </w:p>
        </w:tc>
      </w:tr>
      <w:tr w14:paraId="673F9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534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3491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CC5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E0F1">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F8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3B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827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0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3D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E45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2F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AB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9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29ED">
            <w:pPr>
              <w:jc w:val="center"/>
            </w:pPr>
          </w:p>
        </w:tc>
      </w:tr>
      <w:tr w14:paraId="3ECF7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0C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D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20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F26B">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CE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C3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0CC4">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5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2E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AD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2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E1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A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50DA">
            <w:pPr>
              <w:jc w:val="center"/>
            </w:pPr>
          </w:p>
        </w:tc>
      </w:tr>
      <w:tr w14:paraId="5AC9EC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C2CB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9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FAA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6B5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06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72A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F56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A7C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C1A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17F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5A4A1"/>
        </w:tc>
      </w:tr>
    </w:tbl>
    <w:p w14:paraId="583430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62E41F33">
        <w:tblPrEx>
          <w:tblCellMar>
            <w:top w:w="0" w:type="dxa"/>
            <w:left w:w="108" w:type="dxa"/>
            <w:bottom w:w="0" w:type="dxa"/>
            <w:right w:w="108" w:type="dxa"/>
          </w:tblCellMar>
        </w:tblPrEx>
        <w:tc>
          <w:tcPr>
            <w:tcW w:w="8848" w:type="dxa"/>
            <w:gridSpan w:val="14"/>
            <w:vAlign w:val="center"/>
          </w:tcPr>
          <w:p w14:paraId="23A4F71C">
            <w:pPr>
              <w:jc w:val="center"/>
            </w:pPr>
            <w:r>
              <w:rPr>
                <w:rFonts w:ascii="宋体" w:hAnsi="宋体" w:eastAsia="宋体"/>
                <w:sz w:val="24"/>
              </w:rPr>
              <w:t>项目支出绩效自评表</w:t>
            </w:r>
          </w:p>
        </w:tc>
      </w:tr>
      <w:tr w14:paraId="3A766253">
        <w:tblPrEx>
          <w:tblCellMar>
            <w:top w:w="0" w:type="dxa"/>
            <w:left w:w="108" w:type="dxa"/>
            <w:bottom w:w="0" w:type="dxa"/>
            <w:right w:w="108" w:type="dxa"/>
          </w:tblCellMar>
        </w:tblPrEx>
        <w:tc>
          <w:tcPr>
            <w:tcW w:w="8848" w:type="dxa"/>
            <w:gridSpan w:val="14"/>
            <w:vAlign w:val="center"/>
          </w:tcPr>
          <w:p w14:paraId="5084067C">
            <w:pPr>
              <w:jc w:val="center"/>
            </w:pPr>
            <w:r>
              <w:rPr>
                <w:rFonts w:ascii="宋体" w:hAnsi="宋体" w:eastAsia="宋体"/>
                <w:sz w:val="24"/>
              </w:rPr>
              <w:t>(2024年度)</w:t>
            </w:r>
          </w:p>
        </w:tc>
      </w:tr>
      <w:tr w14:paraId="36D4A1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F5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54FB88">
            <w:pPr>
              <w:jc w:val="center"/>
            </w:pPr>
            <w:r>
              <w:rPr>
                <w:rFonts w:ascii="宋体" w:hAnsi="宋体" w:eastAsia="宋体"/>
                <w:sz w:val="16"/>
              </w:rPr>
              <w:t>2024年中央医疗服务与保障能力提升（医疗卫生机构能力建设）补助资金</w:t>
            </w:r>
          </w:p>
        </w:tc>
      </w:tr>
      <w:tr w14:paraId="198D80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0E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6EACB">
            <w:pPr>
              <w:jc w:val="center"/>
            </w:pPr>
            <w:r>
              <w:rPr>
                <w:rFonts w:ascii="宋体" w:hAnsi="宋体" w:eastAsia="宋体"/>
                <w:sz w:val="16"/>
              </w:rPr>
              <w:t>吉木萨尔县中医医院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C3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7F49A">
            <w:pPr>
              <w:jc w:val="center"/>
            </w:pPr>
            <w:r>
              <w:rPr>
                <w:rFonts w:ascii="宋体" w:hAnsi="宋体" w:eastAsia="宋体"/>
                <w:sz w:val="16"/>
              </w:rPr>
              <w:t>吉木萨尔县中医医院</w:t>
            </w:r>
          </w:p>
        </w:tc>
      </w:tr>
      <w:tr w14:paraId="715FB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2A9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B60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4D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F7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577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B8E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FD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A9CD">
            <w:pPr>
              <w:jc w:val="center"/>
            </w:pPr>
            <w:r>
              <w:rPr>
                <w:rFonts w:ascii="宋体" w:hAnsi="宋体" w:eastAsia="宋体"/>
                <w:sz w:val="16"/>
              </w:rPr>
              <w:t>得分</w:t>
            </w:r>
          </w:p>
        </w:tc>
      </w:tr>
      <w:tr w14:paraId="4E507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F10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70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A9699">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A16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ADD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F60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1C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6F33">
            <w:pPr>
              <w:jc w:val="center"/>
            </w:pPr>
            <w:r>
              <w:rPr>
                <w:rFonts w:ascii="宋体" w:hAnsi="宋体" w:eastAsia="宋体"/>
                <w:sz w:val="16"/>
              </w:rPr>
              <w:t>10.00</w:t>
            </w:r>
          </w:p>
        </w:tc>
      </w:tr>
      <w:tr w14:paraId="1B350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841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871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FC03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F701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902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735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F7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6A18">
            <w:pPr>
              <w:jc w:val="center"/>
            </w:pPr>
            <w:r>
              <w:rPr>
                <w:rFonts w:ascii="宋体" w:hAnsi="宋体" w:eastAsia="宋体"/>
                <w:sz w:val="16"/>
              </w:rPr>
              <w:t>—</w:t>
            </w:r>
          </w:p>
        </w:tc>
      </w:tr>
      <w:tr w14:paraId="61E23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966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14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AF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4D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8F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536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8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C94C">
            <w:pPr>
              <w:jc w:val="center"/>
            </w:pPr>
            <w:r>
              <w:rPr>
                <w:rFonts w:ascii="宋体" w:hAnsi="宋体" w:eastAsia="宋体"/>
                <w:sz w:val="16"/>
              </w:rPr>
              <w:t>—</w:t>
            </w:r>
          </w:p>
        </w:tc>
      </w:tr>
      <w:tr w14:paraId="162C07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6BC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E56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199E5A">
            <w:pPr>
              <w:jc w:val="center"/>
            </w:pPr>
            <w:r>
              <w:rPr>
                <w:rFonts w:ascii="宋体" w:hAnsi="宋体" w:eastAsia="宋体"/>
                <w:sz w:val="16"/>
              </w:rPr>
              <w:t>实际完成情况</w:t>
            </w:r>
          </w:p>
        </w:tc>
      </w:tr>
      <w:tr w14:paraId="648DE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48B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CD3EF">
            <w:pPr>
              <w:jc w:val="both"/>
            </w:pPr>
            <w:r>
              <w:rPr>
                <w:rFonts w:ascii="宋体" w:hAnsi="宋体" w:eastAsia="宋体"/>
                <w:sz w:val="16"/>
              </w:rPr>
              <w:t>用于支付新疆鑫宇众成商贸有限公司医用热成像仪款33.015万元；用于支付新疆德康达因苏商贸有限公司中医四诊仪款29.33万元。通过实施项目提升诊断准确率，使得设备正常使用，争取使受益职工及患者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9F4DEE">
            <w:pPr>
              <w:jc w:val="both"/>
            </w:pPr>
            <w:r>
              <w:rPr>
                <w:rFonts w:ascii="宋体" w:hAnsi="宋体" w:eastAsia="宋体"/>
                <w:sz w:val="16"/>
              </w:rPr>
              <w:t>截至2024年12月31日，本项目实际支出资金70万元，预算执行率100%，通过实施项目提升诊断准确率，使得设备正常使用，争取使受益职工及患者满意度达到96%。</w:t>
            </w:r>
          </w:p>
        </w:tc>
      </w:tr>
      <w:tr w14:paraId="29887C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E50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28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9C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0F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96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611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36D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E2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DEB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6F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94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E4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69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0720">
            <w:pPr>
              <w:jc w:val="center"/>
            </w:pPr>
            <w:r>
              <w:rPr>
                <w:rFonts w:ascii="宋体" w:hAnsi="宋体" w:eastAsia="宋体"/>
                <w:sz w:val="16"/>
              </w:rPr>
              <w:t>偏差原因分析及改进措施</w:t>
            </w:r>
          </w:p>
        </w:tc>
      </w:tr>
      <w:tr w14:paraId="796BFF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C67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CC8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C9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857E">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932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7E51">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821E">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C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311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C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4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930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072F">
            <w:pPr>
              <w:jc w:val="center"/>
            </w:pPr>
          </w:p>
        </w:tc>
      </w:tr>
      <w:tr w14:paraId="7B32F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80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E9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A8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A8B0">
            <w:pPr>
              <w:jc w:val="center"/>
            </w:pPr>
            <w:r>
              <w:rPr>
                <w:rFonts w:ascii="宋体" w:hAnsi="宋体" w:eastAsia="宋体"/>
                <w:sz w:val="16"/>
              </w:rPr>
              <w:t>设备入库合格率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4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4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F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3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C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F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EC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F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CBF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39CD">
            <w:pPr>
              <w:jc w:val="center"/>
            </w:pPr>
          </w:p>
        </w:tc>
      </w:tr>
      <w:tr w14:paraId="1C138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50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18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8A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429A">
            <w:pPr>
              <w:jc w:val="center"/>
            </w:pPr>
            <w:r>
              <w:rPr>
                <w:rFonts w:ascii="宋体" w:hAnsi="宋体" w:eastAsia="宋体"/>
                <w:sz w:val="16"/>
              </w:rPr>
              <w:t>设备验收及时率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7D8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1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5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2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866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C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2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A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6AA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4E89">
            <w:pPr>
              <w:jc w:val="center"/>
            </w:pPr>
          </w:p>
        </w:tc>
      </w:tr>
      <w:tr w14:paraId="41797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5F1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50E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04B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089E">
            <w:pPr>
              <w:jc w:val="center"/>
            </w:pPr>
            <w:r>
              <w:rPr>
                <w:rFonts w:ascii="宋体" w:hAnsi="宋体" w:eastAsia="宋体"/>
                <w:sz w:val="16"/>
              </w:rPr>
              <w:t>支付新疆德康达因苏商贸有限公司中医四诊仪款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E48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768D">
            <w:pPr>
              <w:jc w:val="center"/>
            </w:pPr>
            <w:r>
              <w:rPr>
                <w:rFonts w:ascii="宋体" w:hAnsi="宋体" w:eastAsia="宋体"/>
                <w:sz w:val="16"/>
              </w:rPr>
              <w:t>=29.33万元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9BCD">
            <w:pPr>
              <w:jc w:val="center"/>
            </w:pPr>
            <w:r>
              <w:rPr>
                <w:rFonts w:ascii="宋体" w:hAnsi="宋体" w:eastAsia="宋体"/>
                <w:sz w:val="16"/>
              </w:rPr>
              <w:t>=29.33万元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2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92B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E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E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F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15E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6222">
            <w:pPr>
              <w:jc w:val="center"/>
            </w:pPr>
          </w:p>
        </w:tc>
      </w:tr>
      <w:tr w14:paraId="4E376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59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C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98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298B">
            <w:pPr>
              <w:jc w:val="center"/>
            </w:pPr>
            <w:r>
              <w:rPr>
                <w:rFonts w:ascii="宋体" w:hAnsi="宋体" w:eastAsia="宋体"/>
                <w:sz w:val="16"/>
              </w:rPr>
              <w:t>支付新疆鑫宇众成商贸有限公司医用热成像仪款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9C3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6E52">
            <w:pPr>
              <w:jc w:val="center"/>
            </w:pPr>
            <w:r>
              <w:rPr>
                <w:rFonts w:ascii="宋体" w:hAnsi="宋体" w:eastAsia="宋体"/>
                <w:sz w:val="16"/>
              </w:rPr>
              <w:t>=33.02万元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FED2">
            <w:pPr>
              <w:jc w:val="center"/>
            </w:pPr>
            <w:r>
              <w:rPr>
                <w:rFonts w:ascii="宋体" w:hAnsi="宋体" w:eastAsia="宋体"/>
                <w:sz w:val="16"/>
              </w:rPr>
              <w:t>=33.02万元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2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035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3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F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0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9E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2214">
            <w:pPr>
              <w:jc w:val="center"/>
            </w:pPr>
          </w:p>
        </w:tc>
      </w:tr>
      <w:tr w14:paraId="291B0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C10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05B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E46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0179">
            <w:pPr>
              <w:jc w:val="center"/>
            </w:pPr>
            <w:r>
              <w:rPr>
                <w:rFonts w:ascii="宋体" w:hAnsi="宋体" w:eastAsia="宋体"/>
                <w:sz w:val="16"/>
              </w:rPr>
              <w:t>设备正常运转率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9C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7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C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C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7C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7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A7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3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25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312D">
            <w:pPr>
              <w:jc w:val="center"/>
            </w:pPr>
          </w:p>
        </w:tc>
      </w:tr>
      <w:tr w14:paraId="51CFA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5E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67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E7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854D">
            <w:pPr>
              <w:jc w:val="center"/>
            </w:pPr>
            <w:r>
              <w:rPr>
                <w:rFonts w:ascii="宋体" w:hAnsi="宋体" w:eastAsia="宋体"/>
                <w:sz w:val="16"/>
              </w:rPr>
              <w:t>有效提升诊断准确率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B3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05A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72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4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A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B57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5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A5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6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F5AD">
            <w:pPr>
              <w:jc w:val="center"/>
            </w:pPr>
          </w:p>
        </w:tc>
      </w:tr>
      <w:tr w14:paraId="33113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C9D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F1A1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587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6B38">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F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CF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BBA8">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A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9C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26C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0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2E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8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903">
            <w:pPr>
              <w:jc w:val="center"/>
            </w:pPr>
          </w:p>
        </w:tc>
      </w:tr>
      <w:tr w14:paraId="6B508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E7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D9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B7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2EFE">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6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C6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92F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7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5E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165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C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DB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6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E5D4">
            <w:pPr>
              <w:jc w:val="center"/>
            </w:pPr>
          </w:p>
        </w:tc>
      </w:tr>
      <w:tr w14:paraId="06AB5A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2943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1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76D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DE6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A64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EA7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013D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354F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24C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EA3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EE7AF"/>
        </w:tc>
      </w:tr>
    </w:tbl>
    <w:p w14:paraId="3DC1D46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0CEE741A">
        <w:tblPrEx>
          <w:tblCellMar>
            <w:top w:w="0" w:type="dxa"/>
            <w:left w:w="108" w:type="dxa"/>
            <w:bottom w:w="0" w:type="dxa"/>
            <w:right w:w="108" w:type="dxa"/>
          </w:tblCellMar>
        </w:tblPrEx>
        <w:tc>
          <w:tcPr>
            <w:tcW w:w="8848" w:type="dxa"/>
            <w:gridSpan w:val="14"/>
            <w:vAlign w:val="center"/>
          </w:tcPr>
          <w:p w14:paraId="49AFFE60">
            <w:pPr>
              <w:jc w:val="center"/>
            </w:pPr>
            <w:r>
              <w:rPr>
                <w:rFonts w:ascii="宋体" w:hAnsi="宋体" w:eastAsia="宋体"/>
                <w:sz w:val="24"/>
              </w:rPr>
              <w:t>项目支出绩效自评表</w:t>
            </w:r>
          </w:p>
        </w:tc>
      </w:tr>
      <w:tr w14:paraId="6E77FF1F">
        <w:tblPrEx>
          <w:tblCellMar>
            <w:top w:w="0" w:type="dxa"/>
            <w:left w:w="108" w:type="dxa"/>
            <w:bottom w:w="0" w:type="dxa"/>
            <w:right w:w="108" w:type="dxa"/>
          </w:tblCellMar>
        </w:tblPrEx>
        <w:tc>
          <w:tcPr>
            <w:tcW w:w="8848" w:type="dxa"/>
            <w:gridSpan w:val="14"/>
            <w:vAlign w:val="center"/>
          </w:tcPr>
          <w:p w14:paraId="583A6DEE">
            <w:pPr>
              <w:jc w:val="center"/>
            </w:pPr>
            <w:r>
              <w:rPr>
                <w:rFonts w:ascii="宋体" w:hAnsi="宋体" w:eastAsia="宋体"/>
                <w:sz w:val="24"/>
              </w:rPr>
              <w:t>(2024年度)</w:t>
            </w:r>
          </w:p>
        </w:tc>
      </w:tr>
      <w:tr w14:paraId="07D8B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AD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011D5B">
            <w:pPr>
              <w:jc w:val="center"/>
            </w:pPr>
            <w:r>
              <w:rPr>
                <w:rFonts w:ascii="宋体" w:hAnsi="宋体" w:eastAsia="宋体"/>
                <w:sz w:val="16"/>
              </w:rPr>
              <w:t>2024年中央财政医疗服务与保障能力提升（中医药事业传承与发展部分）补助资金</w:t>
            </w:r>
          </w:p>
        </w:tc>
      </w:tr>
      <w:tr w14:paraId="3A43B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38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69AE2">
            <w:pPr>
              <w:jc w:val="center"/>
            </w:pPr>
            <w:r>
              <w:rPr>
                <w:rFonts w:ascii="宋体" w:hAnsi="宋体" w:eastAsia="宋体"/>
                <w:sz w:val="16"/>
              </w:rPr>
              <w:t>吉木萨尔县中医医院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BD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678021">
            <w:pPr>
              <w:jc w:val="center"/>
            </w:pPr>
            <w:r>
              <w:rPr>
                <w:rFonts w:ascii="宋体" w:hAnsi="宋体" w:eastAsia="宋体"/>
                <w:sz w:val="16"/>
              </w:rPr>
              <w:t>吉木萨尔县中医医院</w:t>
            </w:r>
          </w:p>
        </w:tc>
      </w:tr>
      <w:tr w14:paraId="545523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AE5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59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88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800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66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FA0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0B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2C60">
            <w:pPr>
              <w:jc w:val="center"/>
            </w:pPr>
            <w:r>
              <w:rPr>
                <w:rFonts w:ascii="宋体" w:hAnsi="宋体" w:eastAsia="宋体"/>
                <w:sz w:val="16"/>
              </w:rPr>
              <w:t>得分</w:t>
            </w:r>
          </w:p>
        </w:tc>
      </w:tr>
      <w:tr w14:paraId="540B7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DD2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304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797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BF53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93F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84B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105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E664">
            <w:pPr>
              <w:jc w:val="center"/>
            </w:pPr>
            <w:r>
              <w:rPr>
                <w:rFonts w:ascii="宋体" w:hAnsi="宋体" w:eastAsia="宋体"/>
                <w:sz w:val="16"/>
              </w:rPr>
              <w:t>10.00</w:t>
            </w:r>
          </w:p>
        </w:tc>
      </w:tr>
      <w:tr w14:paraId="46114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15C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9F7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2F8B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27F7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99F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0F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D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402C">
            <w:pPr>
              <w:jc w:val="center"/>
            </w:pPr>
            <w:r>
              <w:rPr>
                <w:rFonts w:ascii="宋体" w:hAnsi="宋体" w:eastAsia="宋体"/>
                <w:sz w:val="16"/>
              </w:rPr>
              <w:t>—</w:t>
            </w:r>
          </w:p>
        </w:tc>
      </w:tr>
      <w:tr w14:paraId="59E2C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37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04F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A78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307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2FF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961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97A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966F">
            <w:pPr>
              <w:jc w:val="center"/>
            </w:pPr>
            <w:r>
              <w:rPr>
                <w:rFonts w:ascii="宋体" w:hAnsi="宋体" w:eastAsia="宋体"/>
                <w:sz w:val="16"/>
              </w:rPr>
              <w:t>—</w:t>
            </w:r>
          </w:p>
        </w:tc>
      </w:tr>
      <w:tr w14:paraId="439056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826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523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E34267">
            <w:pPr>
              <w:jc w:val="center"/>
            </w:pPr>
            <w:r>
              <w:rPr>
                <w:rFonts w:ascii="宋体" w:hAnsi="宋体" w:eastAsia="宋体"/>
                <w:sz w:val="16"/>
              </w:rPr>
              <w:t>实际完成情况</w:t>
            </w:r>
          </w:p>
        </w:tc>
      </w:tr>
      <w:tr w14:paraId="19740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DED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FD887">
            <w:pPr>
              <w:jc w:val="both"/>
            </w:pPr>
            <w:r>
              <w:rPr>
                <w:rFonts w:ascii="宋体" w:hAnsi="宋体" w:eastAsia="宋体"/>
                <w:sz w:val="16"/>
              </w:rPr>
              <w:t>财政拨付50万元，用于支付瑞丰恒艺材料款0.26万元，用于支付北京豪辰博物公司医用标本款16.1352万元，用于支付吉木萨尔县宏鑫建筑有限公司维修款23.6047万元。医用标本在医学教育、科学研究、疾病诊断和临床治疗中发挥着重要作用，通过学习人体解剖、生理病理变化，</w:t>
            </w:r>
            <w:r>
              <w:rPr>
                <w:rFonts w:hint="eastAsia" w:ascii="宋体" w:hAnsi="宋体"/>
                <w:sz w:val="16"/>
                <w:lang w:eastAsia="zh-CN"/>
              </w:rPr>
              <w:t>医师</w:t>
            </w:r>
            <w:r>
              <w:rPr>
                <w:rFonts w:ascii="宋体" w:hAnsi="宋体" w:eastAsia="宋体"/>
                <w:sz w:val="16"/>
              </w:rPr>
              <w:t>可以更准确</w:t>
            </w:r>
            <w:r>
              <w:rPr>
                <w:rFonts w:hint="eastAsia" w:ascii="宋体" w:hAnsi="宋体"/>
                <w:sz w:val="16"/>
                <w:lang w:eastAsia="zh-CN"/>
              </w:rPr>
              <w:t>地</w:t>
            </w:r>
            <w:r>
              <w:rPr>
                <w:rFonts w:ascii="宋体" w:hAnsi="宋体" w:eastAsia="宋体"/>
                <w:sz w:val="16"/>
              </w:rPr>
              <w:t>判断病情，制定个性化的治疗方案，在医学研究中，标本是探索生命奥秘、研发和改进诊疗技术的重要载体。更有助于医学知识的传播与教育，标本可以作为教学材料，培养医学生的临床思维和操作技能，为医学事业的发展输送更多优秀人才。医院作为公共场所，每天要承受大量人流量，因此设施的完好和环境的舒适对于患者和医护人员来说都至关重要。定期进行维修维缮，可以提高患者和医护人员的舒适度，提高工作效率，增强对医院的信任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2E80E">
            <w:pPr>
              <w:jc w:val="both"/>
            </w:pPr>
            <w:r>
              <w:rPr>
                <w:rFonts w:hint="eastAsia" w:ascii="宋体" w:hAnsi="宋体"/>
                <w:sz w:val="16"/>
                <w:lang w:eastAsia="zh-CN"/>
              </w:rPr>
              <w:t>截至2024</w:t>
            </w:r>
            <w:r>
              <w:rPr>
                <w:rFonts w:ascii="宋体" w:hAnsi="宋体" w:eastAsia="宋体"/>
                <w:sz w:val="16"/>
              </w:rPr>
              <w:t>年12月31日，本项目实际支出50万元，预算执行率100%，通过本项目实施，定期进行维修维缮，可以提高患者和医护人员的舒适度，提高工作效率，增强对医院的信任感。</w:t>
            </w:r>
          </w:p>
        </w:tc>
      </w:tr>
      <w:tr w14:paraId="2B5B19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ED7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B7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D8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CA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A8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69B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AF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24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88C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CF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41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A1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01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CF61">
            <w:pPr>
              <w:jc w:val="center"/>
            </w:pPr>
            <w:r>
              <w:rPr>
                <w:rFonts w:ascii="宋体" w:hAnsi="宋体" w:eastAsia="宋体"/>
                <w:sz w:val="16"/>
              </w:rPr>
              <w:t>偏差原因分析及改进措施</w:t>
            </w:r>
          </w:p>
        </w:tc>
      </w:tr>
      <w:tr w14:paraId="29E306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01F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2176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4F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BCD8">
            <w:pPr>
              <w:jc w:val="center"/>
            </w:pPr>
            <w:r>
              <w:rPr>
                <w:rFonts w:ascii="宋体" w:hAnsi="宋体" w:eastAsia="宋体"/>
                <w:sz w:val="16"/>
              </w:rPr>
              <w:t>支付供应商数量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5F5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0BB0">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05DC">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D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AD0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EAC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5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0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6A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2702">
            <w:pPr>
              <w:jc w:val="center"/>
            </w:pPr>
          </w:p>
        </w:tc>
      </w:tr>
      <w:tr w14:paraId="1A622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68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36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37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3028">
            <w:pPr>
              <w:jc w:val="center"/>
            </w:pPr>
            <w:r>
              <w:rPr>
                <w:rFonts w:ascii="宋体" w:hAnsi="宋体" w:eastAsia="宋体"/>
                <w:sz w:val="16"/>
              </w:rPr>
              <w:t>标本验收合格率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F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A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4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7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FD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7BF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2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9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5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C39F">
            <w:pPr>
              <w:jc w:val="center"/>
            </w:pPr>
          </w:p>
        </w:tc>
      </w:tr>
      <w:tr w14:paraId="340D9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36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7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75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58CC">
            <w:pPr>
              <w:jc w:val="center"/>
            </w:pPr>
            <w:r>
              <w:rPr>
                <w:rFonts w:ascii="宋体" w:hAnsi="宋体" w:eastAsia="宋体"/>
                <w:sz w:val="16"/>
              </w:rPr>
              <w:t>项目验收及时率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EF9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9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0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3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B3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9FD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15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D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D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AC23">
            <w:pPr>
              <w:jc w:val="center"/>
            </w:pPr>
          </w:p>
        </w:tc>
      </w:tr>
      <w:tr w14:paraId="0E11F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06E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866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68D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F230">
            <w:pPr>
              <w:jc w:val="center"/>
            </w:pPr>
            <w:r>
              <w:rPr>
                <w:rFonts w:ascii="宋体" w:hAnsi="宋体" w:eastAsia="宋体"/>
                <w:sz w:val="16"/>
              </w:rPr>
              <w:t>用于支付瑞丰恒艺材料款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824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1C15">
            <w:pPr>
              <w:jc w:val="center"/>
            </w:pPr>
            <w:r>
              <w:rPr>
                <w:rFonts w:ascii="宋体" w:hAnsi="宋体" w:eastAsia="宋体"/>
                <w:sz w:val="16"/>
              </w:rPr>
              <w:t>&lt;=0.26万元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26EC">
            <w:pPr>
              <w:jc w:val="center"/>
            </w:pPr>
            <w:r>
              <w:rPr>
                <w:rFonts w:ascii="宋体" w:hAnsi="宋体" w:eastAsia="宋体"/>
                <w:sz w:val="16"/>
              </w:rPr>
              <w: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3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09B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520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A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6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37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6C9D">
            <w:pPr>
              <w:jc w:val="center"/>
            </w:pPr>
          </w:p>
        </w:tc>
      </w:tr>
      <w:tr w14:paraId="2E542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6D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18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18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8E9B">
            <w:pPr>
              <w:jc w:val="center"/>
            </w:pPr>
            <w:r>
              <w:rPr>
                <w:rFonts w:ascii="宋体" w:hAnsi="宋体" w:eastAsia="宋体"/>
                <w:sz w:val="16"/>
              </w:rPr>
              <w:t>用于支付北京豪辰博物公司医用标本款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5A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1F05">
            <w:pPr>
              <w:jc w:val="center"/>
            </w:pPr>
            <w:r>
              <w:rPr>
                <w:rFonts w:ascii="宋体" w:hAnsi="宋体" w:eastAsia="宋体"/>
                <w:sz w:val="16"/>
              </w:rPr>
              <w:t>&lt;=16.13万元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03B8">
            <w:pPr>
              <w:jc w:val="center"/>
            </w:pPr>
            <w:r>
              <w:rPr>
                <w:rFonts w:ascii="宋体" w:hAnsi="宋体" w:eastAsia="宋体"/>
                <w:sz w:val="16"/>
              </w:rPr>
              <w:t>=16.13万元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B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81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2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C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A0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71C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9594">
            <w:pPr>
              <w:jc w:val="center"/>
            </w:pPr>
          </w:p>
        </w:tc>
      </w:tr>
      <w:tr w14:paraId="01B5F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14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B8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16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F141">
            <w:pPr>
              <w:jc w:val="center"/>
            </w:pPr>
            <w:r>
              <w:rPr>
                <w:rFonts w:ascii="宋体" w:hAnsi="宋体" w:eastAsia="宋体"/>
                <w:sz w:val="16"/>
              </w:rPr>
              <w:t>用于支付吉木萨尔县宏鑫建筑有限公司维修款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D93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88C5">
            <w:pPr>
              <w:jc w:val="center"/>
            </w:pPr>
            <w:r>
              <w:rPr>
                <w:rFonts w:ascii="宋体" w:hAnsi="宋体" w:eastAsia="宋体"/>
                <w:sz w:val="16"/>
              </w:rPr>
              <w:t>&lt;=23.60万元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D7AC">
            <w:pPr>
              <w:jc w:val="center"/>
            </w:pPr>
            <w:r>
              <w:rPr>
                <w:rFonts w:ascii="宋体" w:hAnsi="宋体" w:eastAsia="宋体"/>
                <w:sz w:val="16"/>
              </w:rPr>
              <w: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C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D3B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F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7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5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C80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E695">
            <w:pPr>
              <w:jc w:val="center"/>
            </w:pPr>
          </w:p>
        </w:tc>
      </w:tr>
      <w:tr w14:paraId="46E6F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C0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58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09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5E94">
            <w:pPr>
              <w:jc w:val="center"/>
            </w:pPr>
            <w:r>
              <w:rPr>
                <w:rFonts w:ascii="宋体" w:hAnsi="宋体" w:eastAsia="宋体"/>
                <w:sz w:val="16"/>
              </w:rPr>
              <w:t>有效提高患者和医护人员舒适度，提高工作效率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95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484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804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5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6D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3B5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D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91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7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E233">
            <w:pPr>
              <w:jc w:val="center"/>
            </w:pPr>
          </w:p>
        </w:tc>
      </w:tr>
      <w:tr w14:paraId="7F1F9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51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DBA9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A17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0DB2">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36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EA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70A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A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D9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04F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4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C2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2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61E7">
            <w:pPr>
              <w:jc w:val="center"/>
            </w:pPr>
          </w:p>
        </w:tc>
      </w:tr>
      <w:tr w14:paraId="234B1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FC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D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F1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CB81">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65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20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252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F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69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4F4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10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2A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C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7712">
            <w:pPr>
              <w:jc w:val="center"/>
            </w:pPr>
          </w:p>
        </w:tc>
      </w:tr>
      <w:tr w14:paraId="3DC9293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E02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6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511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A40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9B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FD5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E23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87D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905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E3E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7A4052"/>
        </w:tc>
      </w:tr>
    </w:tbl>
    <w:p w14:paraId="4BFCF1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B8D0505">
        <w:tblPrEx>
          <w:tblCellMar>
            <w:top w:w="0" w:type="dxa"/>
            <w:left w:w="108" w:type="dxa"/>
            <w:bottom w:w="0" w:type="dxa"/>
            <w:right w:w="108" w:type="dxa"/>
          </w:tblCellMar>
        </w:tblPrEx>
        <w:tc>
          <w:tcPr>
            <w:tcW w:w="8848" w:type="dxa"/>
            <w:gridSpan w:val="14"/>
            <w:vAlign w:val="center"/>
          </w:tcPr>
          <w:p w14:paraId="4C1A8E9D">
            <w:pPr>
              <w:jc w:val="center"/>
            </w:pPr>
            <w:r>
              <w:rPr>
                <w:rFonts w:ascii="宋体" w:hAnsi="宋体" w:eastAsia="宋体"/>
                <w:sz w:val="24"/>
              </w:rPr>
              <w:t>项目支出绩效自评表</w:t>
            </w:r>
          </w:p>
        </w:tc>
      </w:tr>
      <w:tr w14:paraId="6273B90E">
        <w:tblPrEx>
          <w:tblCellMar>
            <w:top w:w="0" w:type="dxa"/>
            <w:left w:w="108" w:type="dxa"/>
            <w:bottom w:w="0" w:type="dxa"/>
            <w:right w:w="108" w:type="dxa"/>
          </w:tblCellMar>
        </w:tblPrEx>
        <w:tc>
          <w:tcPr>
            <w:tcW w:w="8848" w:type="dxa"/>
            <w:gridSpan w:val="14"/>
            <w:vAlign w:val="center"/>
          </w:tcPr>
          <w:p w14:paraId="023EC5FE">
            <w:pPr>
              <w:jc w:val="center"/>
            </w:pPr>
            <w:r>
              <w:rPr>
                <w:rFonts w:ascii="宋体" w:hAnsi="宋体" w:eastAsia="宋体"/>
                <w:sz w:val="24"/>
              </w:rPr>
              <w:t>(2024年度)</w:t>
            </w:r>
          </w:p>
        </w:tc>
      </w:tr>
      <w:tr w14:paraId="0EB025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C2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4CE7BD">
            <w:pPr>
              <w:jc w:val="center"/>
            </w:pPr>
            <w:r>
              <w:rPr>
                <w:rFonts w:ascii="宋体" w:hAnsi="宋体" w:eastAsia="宋体"/>
                <w:sz w:val="16"/>
              </w:rPr>
              <w:t>2024年中央财政基本公共卫生服务补助资金</w:t>
            </w:r>
          </w:p>
        </w:tc>
      </w:tr>
      <w:tr w14:paraId="1224A8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EA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835A3">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A0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C09300">
            <w:pPr>
              <w:jc w:val="center"/>
            </w:pPr>
            <w:r>
              <w:rPr>
                <w:rFonts w:ascii="宋体" w:hAnsi="宋体" w:eastAsia="宋体"/>
                <w:sz w:val="16"/>
              </w:rPr>
              <w:t>吉木萨尔县中医医院</w:t>
            </w:r>
          </w:p>
        </w:tc>
      </w:tr>
      <w:tr w14:paraId="1E72C2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A479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76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CF4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081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87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45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F70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F80E">
            <w:pPr>
              <w:jc w:val="center"/>
            </w:pPr>
            <w:r>
              <w:rPr>
                <w:rFonts w:ascii="宋体" w:hAnsi="宋体" w:eastAsia="宋体"/>
                <w:sz w:val="16"/>
              </w:rPr>
              <w:t>得分</w:t>
            </w:r>
          </w:p>
        </w:tc>
      </w:tr>
      <w:tr w14:paraId="379CF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6F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67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217F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481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FA99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A12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6AD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0063">
            <w:pPr>
              <w:jc w:val="center"/>
            </w:pPr>
            <w:r>
              <w:rPr>
                <w:rFonts w:ascii="宋体" w:hAnsi="宋体" w:eastAsia="宋体"/>
                <w:sz w:val="16"/>
              </w:rPr>
              <w:t>10.00</w:t>
            </w:r>
          </w:p>
        </w:tc>
      </w:tr>
      <w:tr w14:paraId="27960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81E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22C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2F3D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36A5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D01D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51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D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6CDD">
            <w:pPr>
              <w:jc w:val="center"/>
            </w:pPr>
            <w:r>
              <w:rPr>
                <w:rFonts w:ascii="宋体" w:hAnsi="宋体" w:eastAsia="宋体"/>
                <w:sz w:val="16"/>
              </w:rPr>
              <w:t>—</w:t>
            </w:r>
          </w:p>
        </w:tc>
      </w:tr>
      <w:tr w14:paraId="7D5DE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792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A7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F0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A7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DE2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DF7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4D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7B47">
            <w:pPr>
              <w:jc w:val="center"/>
            </w:pPr>
            <w:r>
              <w:rPr>
                <w:rFonts w:ascii="宋体" w:hAnsi="宋体" w:eastAsia="宋体"/>
                <w:sz w:val="16"/>
              </w:rPr>
              <w:t>—</w:t>
            </w:r>
          </w:p>
        </w:tc>
      </w:tr>
      <w:tr w14:paraId="77E5FF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545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25A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1A105D">
            <w:pPr>
              <w:jc w:val="center"/>
            </w:pPr>
            <w:r>
              <w:rPr>
                <w:rFonts w:ascii="宋体" w:hAnsi="宋体" w:eastAsia="宋体"/>
                <w:sz w:val="16"/>
              </w:rPr>
              <w:t>实际完成情况</w:t>
            </w:r>
          </w:p>
        </w:tc>
      </w:tr>
      <w:tr w14:paraId="3100D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DC1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8EA04">
            <w:pPr>
              <w:jc w:val="both"/>
            </w:pPr>
            <w:r>
              <w:rPr>
                <w:rFonts w:ascii="宋体" w:hAnsi="宋体" w:eastAsia="宋体"/>
                <w:sz w:val="16"/>
              </w:rPr>
              <w:t>财政拨款3万元用于中医药查询一体机，中医药查询一体机能够自动化处理患者信息，包括病历记录，药物使用历史等，减少医护人员的手工录入工作，提高信息处理的准确性和效率。医院管理层可以通过中医药一体机的数据反馈，实时了解中医药资源的使用情况，包括药品库存，患者需求等，从而进行合理的资源调配，通过优化资源配置，减少药品浪费，提高中医药资源的利用效率，降低医院运营成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19AC4">
            <w:pPr>
              <w:jc w:val="both"/>
            </w:pPr>
            <w:r>
              <w:rPr>
                <w:rFonts w:ascii="宋体" w:hAnsi="宋体" w:eastAsia="宋体"/>
                <w:sz w:val="16"/>
              </w:rPr>
              <w:t>截至2024年12月31日，本项目实际支出资金3万元，预算执行率100%，通过实施本项目，购买完成中医药查询一体机，中医药查询一体机能够自动化处理患者信息，包括病历记录，药物使用历史等，减少医护人员的手工录入工作，提高信息处理的准确性和效率。医院管理层可以通过中医药一体机的数据反馈，实时了解中医药资源的使用情况，包括药品库存，患者需求等，从而进行合理的资源调配，通过优化资源配置，减少药品浪费，提高中医药资源的利用效率，降低医院运营成本。</w:t>
            </w:r>
          </w:p>
        </w:tc>
      </w:tr>
      <w:tr w14:paraId="42632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40F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8D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5E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B5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28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AA4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76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51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22E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48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4B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D9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B6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8AD0">
            <w:pPr>
              <w:jc w:val="center"/>
            </w:pPr>
            <w:r>
              <w:rPr>
                <w:rFonts w:ascii="宋体" w:hAnsi="宋体" w:eastAsia="宋体"/>
                <w:sz w:val="16"/>
              </w:rPr>
              <w:t>偏差原因分析及改进措施</w:t>
            </w:r>
          </w:p>
        </w:tc>
      </w:tr>
      <w:tr w14:paraId="39E784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0E9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F02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53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A60D">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91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C47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4B1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F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0C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C8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A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7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12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3ACF">
            <w:pPr>
              <w:jc w:val="center"/>
            </w:pPr>
          </w:p>
        </w:tc>
      </w:tr>
      <w:tr w14:paraId="35DA7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D5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F7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30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CDB0">
            <w:pPr>
              <w:jc w:val="center"/>
            </w:pPr>
            <w:r>
              <w:rPr>
                <w:rFonts w:ascii="宋体" w:hAnsi="宋体" w:eastAsia="宋体"/>
                <w:sz w:val="16"/>
              </w:rPr>
              <w:t>设备入库合格率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3A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B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A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9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E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2CD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1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B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E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27F7">
            <w:pPr>
              <w:jc w:val="center"/>
            </w:pPr>
          </w:p>
        </w:tc>
      </w:tr>
      <w:tr w14:paraId="5253D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F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BD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D3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1C64">
            <w:pPr>
              <w:jc w:val="center"/>
            </w:pPr>
            <w:r>
              <w:rPr>
                <w:rFonts w:ascii="宋体" w:hAnsi="宋体" w:eastAsia="宋体"/>
                <w:sz w:val="16"/>
              </w:rPr>
              <w:t>设备入库及时率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8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B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8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3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1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18E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C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B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0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DC13">
            <w:pPr>
              <w:jc w:val="center"/>
            </w:pPr>
          </w:p>
        </w:tc>
      </w:tr>
      <w:tr w14:paraId="4AEB4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71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5D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03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10B7">
            <w:pPr>
              <w:jc w:val="center"/>
            </w:pPr>
            <w:r>
              <w:rPr>
                <w:rFonts w:ascii="宋体" w:hAnsi="宋体" w:eastAsia="宋体"/>
                <w:sz w:val="16"/>
              </w:rPr>
              <w:t>购买设备支付成本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AB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133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E27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4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16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77B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B9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0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54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EB4E">
            <w:pPr>
              <w:jc w:val="center"/>
            </w:pPr>
          </w:p>
        </w:tc>
      </w:tr>
      <w:tr w14:paraId="7DE50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B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13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20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3E14">
            <w:pPr>
              <w:jc w:val="center"/>
            </w:pPr>
            <w:r>
              <w:rPr>
                <w:rFonts w:ascii="宋体" w:hAnsi="宋体" w:eastAsia="宋体"/>
                <w:sz w:val="16"/>
              </w:rPr>
              <w:t>提高中医药资源的利用效率，降低医院运营成本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85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DAB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60A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F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59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397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3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7A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0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D6C9">
            <w:pPr>
              <w:jc w:val="center"/>
            </w:pPr>
          </w:p>
        </w:tc>
      </w:tr>
      <w:tr w14:paraId="668AE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7F2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85D4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28C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B100">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5F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5E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2374">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37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FC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7DB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4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A4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FB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3D1A">
            <w:pPr>
              <w:jc w:val="center"/>
            </w:pPr>
          </w:p>
        </w:tc>
      </w:tr>
      <w:tr w14:paraId="7A589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34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6B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11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16B6">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8F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79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C0E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0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01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D6F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29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3E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0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F8DE">
            <w:pPr>
              <w:jc w:val="center"/>
            </w:pPr>
          </w:p>
        </w:tc>
      </w:tr>
      <w:tr w14:paraId="0E0E5A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515C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B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209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1A8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42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83B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AA9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428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A80E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9E6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520DB"/>
        </w:tc>
      </w:tr>
    </w:tbl>
    <w:p w14:paraId="6D82F0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C2D396C">
        <w:tblPrEx>
          <w:tblCellMar>
            <w:top w:w="0" w:type="dxa"/>
            <w:left w:w="108" w:type="dxa"/>
            <w:bottom w:w="0" w:type="dxa"/>
            <w:right w:w="108" w:type="dxa"/>
          </w:tblCellMar>
        </w:tblPrEx>
        <w:tc>
          <w:tcPr>
            <w:tcW w:w="8848" w:type="dxa"/>
            <w:gridSpan w:val="14"/>
            <w:vAlign w:val="center"/>
          </w:tcPr>
          <w:p w14:paraId="1CE6137A">
            <w:pPr>
              <w:jc w:val="center"/>
            </w:pPr>
            <w:r>
              <w:rPr>
                <w:rFonts w:ascii="宋体" w:hAnsi="宋体" w:eastAsia="宋体"/>
                <w:sz w:val="24"/>
              </w:rPr>
              <w:t>项目支出绩效自评表</w:t>
            </w:r>
          </w:p>
        </w:tc>
      </w:tr>
      <w:tr w14:paraId="0276534A">
        <w:tblPrEx>
          <w:tblCellMar>
            <w:top w:w="0" w:type="dxa"/>
            <w:left w:w="108" w:type="dxa"/>
            <w:bottom w:w="0" w:type="dxa"/>
            <w:right w:w="108" w:type="dxa"/>
          </w:tblCellMar>
        </w:tblPrEx>
        <w:tc>
          <w:tcPr>
            <w:tcW w:w="8848" w:type="dxa"/>
            <w:gridSpan w:val="14"/>
            <w:vAlign w:val="center"/>
          </w:tcPr>
          <w:p w14:paraId="5F0756A5">
            <w:pPr>
              <w:jc w:val="center"/>
            </w:pPr>
            <w:r>
              <w:rPr>
                <w:rFonts w:ascii="宋体" w:hAnsi="宋体" w:eastAsia="宋体"/>
                <w:sz w:val="24"/>
              </w:rPr>
              <w:t>(2024年度)</w:t>
            </w:r>
          </w:p>
        </w:tc>
      </w:tr>
      <w:tr w14:paraId="50A190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B8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BF6199">
            <w:pPr>
              <w:jc w:val="center"/>
            </w:pPr>
            <w:r>
              <w:rPr>
                <w:rFonts w:ascii="宋体" w:hAnsi="宋体" w:eastAsia="宋体"/>
                <w:sz w:val="16"/>
              </w:rPr>
              <w:t>5号关于下达2024年自治区公共卫生服务[地方公共卫生]补助资金预算的通知</w:t>
            </w:r>
          </w:p>
        </w:tc>
      </w:tr>
      <w:tr w14:paraId="759C24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DA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04012">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DC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56279">
            <w:pPr>
              <w:jc w:val="center"/>
            </w:pPr>
            <w:r>
              <w:rPr>
                <w:rFonts w:ascii="宋体" w:hAnsi="宋体" w:eastAsia="宋体"/>
                <w:sz w:val="16"/>
              </w:rPr>
              <w:t>吉木萨尔县中医医院</w:t>
            </w:r>
          </w:p>
        </w:tc>
      </w:tr>
      <w:tr w14:paraId="0FABB0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A626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B0E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D48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71B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5E1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C00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795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AC83">
            <w:pPr>
              <w:jc w:val="center"/>
            </w:pPr>
            <w:r>
              <w:rPr>
                <w:rFonts w:ascii="宋体" w:hAnsi="宋体" w:eastAsia="宋体"/>
                <w:sz w:val="16"/>
              </w:rPr>
              <w:t>得分</w:t>
            </w:r>
          </w:p>
        </w:tc>
      </w:tr>
      <w:tr w14:paraId="160BA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F45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98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3CFD6">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7B0A7">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6D7B7">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0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F0D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418B">
            <w:pPr>
              <w:jc w:val="center"/>
            </w:pPr>
            <w:r>
              <w:rPr>
                <w:rFonts w:ascii="宋体" w:hAnsi="宋体" w:eastAsia="宋体"/>
                <w:sz w:val="16"/>
              </w:rPr>
              <w:t>10.00</w:t>
            </w:r>
          </w:p>
        </w:tc>
      </w:tr>
      <w:tr w14:paraId="08415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7F2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AF5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D666C">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FC66">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51CF">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12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AB7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D90A">
            <w:pPr>
              <w:jc w:val="center"/>
            </w:pPr>
            <w:r>
              <w:rPr>
                <w:rFonts w:ascii="宋体" w:hAnsi="宋体" w:eastAsia="宋体"/>
                <w:sz w:val="16"/>
              </w:rPr>
              <w:t>—</w:t>
            </w:r>
          </w:p>
        </w:tc>
      </w:tr>
      <w:tr w14:paraId="722F4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5F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BDD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EF1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EE7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9C1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871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4A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13C1">
            <w:pPr>
              <w:jc w:val="center"/>
            </w:pPr>
            <w:r>
              <w:rPr>
                <w:rFonts w:ascii="宋体" w:hAnsi="宋体" w:eastAsia="宋体"/>
                <w:sz w:val="16"/>
              </w:rPr>
              <w:t>—</w:t>
            </w:r>
          </w:p>
        </w:tc>
      </w:tr>
      <w:tr w14:paraId="53FB08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BCD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E28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699659">
            <w:pPr>
              <w:jc w:val="center"/>
            </w:pPr>
            <w:r>
              <w:rPr>
                <w:rFonts w:ascii="宋体" w:hAnsi="宋体" w:eastAsia="宋体"/>
                <w:sz w:val="16"/>
              </w:rPr>
              <w:t>实际完成情况</w:t>
            </w:r>
          </w:p>
        </w:tc>
      </w:tr>
      <w:tr w14:paraId="693E5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BE9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A4FAC">
            <w:pPr>
              <w:jc w:val="both"/>
            </w:pPr>
            <w:r>
              <w:rPr>
                <w:rFonts w:ascii="宋体" w:hAnsi="宋体" w:eastAsia="宋体"/>
                <w:sz w:val="16"/>
              </w:rPr>
              <w:t>用于支付德润医疗器械有限公司试剂款70775元，拓康联博医疗器械有限公司材料款67225元。卫生材料与试剂作为医疗活动不可或缺的基础元素，其质量与供应的稳定性直接关系到医疗服务的质量，患者安全及医院运营效率。高质量的试剂</w:t>
            </w:r>
            <w:r>
              <w:rPr>
                <w:rFonts w:hint="eastAsia" w:ascii="宋体" w:hAnsi="宋体"/>
                <w:sz w:val="16"/>
                <w:lang w:eastAsia="zh-CN"/>
              </w:rPr>
              <w:t>是</w:t>
            </w:r>
            <w:r>
              <w:rPr>
                <w:rFonts w:ascii="宋体" w:hAnsi="宋体" w:eastAsia="宋体"/>
                <w:sz w:val="16"/>
              </w:rPr>
              <w:t>确保检验结果准确的关键，可以显著降低误诊率，提高诊疗效率。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31CAD2">
            <w:pPr>
              <w:jc w:val="both"/>
            </w:pPr>
            <w:r>
              <w:rPr>
                <w:rFonts w:hint="eastAsia" w:ascii="宋体" w:hAnsi="宋体"/>
                <w:sz w:val="16"/>
                <w:lang w:eastAsia="zh-CN"/>
              </w:rPr>
              <w:t>截至</w:t>
            </w:r>
            <w:r>
              <w:rPr>
                <w:rFonts w:ascii="宋体" w:hAnsi="宋体" w:eastAsia="宋体"/>
                <w:sz w:val="16"/>
              </w:rPr>
              <w:t>2024年12月31日，本项目实际支出金额13.8万元。主要用于支付德润医疗器械有限公司试剂款70775元，拓康联博医疗器械有限公司材料款67225元。预算执行率为100%，卫生材料与试剂作为医疗活动不可或缺的基础元素，其质量与供应的稳定性直接关系到医疗服务的质量，患者安全及医院运营效率。高质量的试剂</w:t>
            </w:r>
            <w:r>
              <w:rPr>
                <w:rFonts w:hint="eastAsia" w:ascii="宋体" w:hAnsi="宋体"/>
                <w:sz w:val="16"/>
                <w:lang w:eastAsia="zh-CN"/>
              </w:rPr>
              <w:t>是</w:t>
            </w:r>
            <w:r>
              <w:rPr>
                <w:rFonts w:ascii="宋体" w:hAnsi="宋体" w:eastAsia="宋体"/>
                <w:sz w:val="16"/>
              </w:rPr>
              <w:t>确保检验结果准确的关键，显著降低误诊率，提高诊疗效率。</w:t>
            </w:r>
          </w:p>
        </w:tc>
      </w:tr>
      <w:tr w14:paraId="76C18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897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6D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6A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24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8E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87B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6B3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ED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B92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73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47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F2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0B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B507">
            <w:pPr>
              <w:jc w:val="center"/>
            </w:pPr>
            <w:r>
              <w:rPr>
                <w:rFonts w:ascii="宋体" w:hAnsi="宋体" w:eastAsia="宋体"/>
                <w:sz w:val="16"/>
              </w:rPr>
              <w:t>偏差原因分析及改进措施</w:t>
            </w:r>
          </w:p>
        </w:tc>
      </w:tr>
      <w:tr w14:paraId="180DE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E2A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73D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80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D45A">
            <w:pPr>
              <w:jc w:val="center"/>
            </w:pPr>
            <w:r>
              <w:rPr>
                <w:rFonts w:ascii="宋体" w:hAnsi="宋体" w:eastAsia="宋体"/>
                <w:sz w:val="16"/>
              </w:rPr>
              <w:t>卫生材料供应商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61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0771">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522B">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8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86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B3F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D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5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7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B77D">
            <w:pPr>
              <w:jc w:val="center"/>
            </w:pPr>
          </w:p>
        </w:tc>
      </w:tr>
      <w:tr w14:paraId="2BF62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7F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13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75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CEAE">
            <w:pPr>
              <w:jc w:val="center"/>
            </w:pPr>
            <w:r>
              <w:rPr>
                <w:rFonts w:ascii="宋体" w:hAnsi="宋体" w:eastAsia="宋体"/>
                <w:sz w:val="16"/>
              </w:rPr>
              <w:t>卫生材料验收合格率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2B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E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6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E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C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6D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DA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4C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3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D331">
            <w:pPr>
              <w:jc w:val="center"/>
            </w:pPr>
          </w:p>
        </w:tc>
      </w:tr>
      <w:tr w14:paraId="00F95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FC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F4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59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7667">
            <w:pPr>
              <w:jc w:val="center"/>
            </w:pPr>
            <w:r>
              <w:rPr>
                <w:rFonts w:ascii="宋体" w:hAnsi="宋体" w:eastAsia="宋体"/>
                <w:sz w:val="16"/>
              </w:rPr>
              <w:t>卫生材料入库及时率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B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5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D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A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6F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CF1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F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9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8BF3">
            <w:pPr>
              <w:jc w:val="center"/>
            </w:pPr>
          </w:p>
        </w:tc>
      </w:tr>
      <w:tr w14:paraId="746C9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16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03B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56E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2686">
            <w:pPr>
              <w:jc w:val="center"/>
            </w:pPr>
            <w:r>
              <w:rPr>
                <w:rFonts w:ascii="宋体" w:hAnsi="宋体" w:eastAsia="宋体"/>
                <w:sz w:val="16"/>
              </w:rPr>
              <w:t>支付试剂款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82E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B5E4">
            <w:pPr>
              <w:jc w:val="center"/>
            </w:pPr>
            <w:r>
              <w:rPr>
                <w:rFonts w:ascii="宋体" w:hAnsi="宋体" w:eastAsia="宋体"/>
                <w:sz w:val="16"/>
              </w:rPr>
              <w:t>&lt;=7.08万元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F713">
            <w:pPr>
              <w:jc w:val="center"/>
            </w:pPr>
            <w:r>
              <w:rPr>
                <w:rFonts w:ascii="宋体" w:hAnsi="宋体" w:eastAsia="宋体"/>
                <w:sz w:val="16"/>
              </w:rPr>
              <w:t>=6.72万元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5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7D2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44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A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B5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F6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494F">
            <w:pPr>
              <w:jc w:val="center"/>
            </w:pPr>
          </w:p>
        </w:tc>
      </w:tr>
      <w:tr w14:paraId="612B8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4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DA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37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F2EE">
            <w:pPr>
              <w:jc w:val="center"/>
            </w:pPr>
            <w:r>
              <w:rPr>
                <w:rFonts w:ascii="宋体" w:hAnsi="宋体" w:eastAsia="宋体"/>
                <w:sz w:val="16"/>
              </w:rPr>
              <w:t>支付材料款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4B1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CD27">
            <w:pPr>
              <w:jc w:val="center"/>
            </w:pPr>
            <w:r>
              <w:rPr>
                <w:rFonts w:ascii="宋体" w:hAnsi="宋体" w:eastAsia="宋体"/>
                <w:sz w:val="16"/>
              </w:rPr>
              <w:t>&lt;=7.22万元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1396">
            <w:pPr>
              <w:jc w:val="center"/>
            </w:pPr>
            <w:r>
              <w:rPr>
                <w:rFonts w:ascii="宋体" w:hAnsi="宋体" w:eastAsia="宋体"/>
                <w:sz w:val="16"/>
              </w:rPr>
              <w:t>=7.08万元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B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AFD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7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C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F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078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7B84">
            <w:pPr>
              <w:jc w:val="center"/>
            </w:pPr>
          </w:p>
        </w:tc>
      </w:tr>
      <w:tr w14:paraId="3F894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E0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9D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96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DA00">
            <w:pPr>
              <w:jc w:val="center"/>
            </w:pPr>
            <w:r>
              <w:rPr>
                <w:rFonts w:ascii="宋体" w:hAnsi="宋体" w:eastAsia="宋体"/>
                <w:sz w:val="16"/>
              </w:rPr>
              <w:t>有效提高诊疗效率，降低误诊率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00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CD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5E4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E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AD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820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8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AE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56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3EC1">
            <w:pPr>
              <w:jc w:val="center"/>
            </w:pPr>
          </w:p>
        </w:tc>
      </w:tr>
      <w:tr w14:paraId="7AB30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AB1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40F1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212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C77F">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E1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FC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22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4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D1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B8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7B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E3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7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C19E">
            <w:pPr>
              <w:jc w:val="center"/>
            </w:pPr>
          </w:p>
        </w:tc>
      </w:tr>
      <w:tr w14:paraId="55404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A1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27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85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6464">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4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11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86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C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69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EFD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4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86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8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9EC3">
            <w:pPr>
              <w:jc w:val="center"/>
            </w:pPr>
          </w:p>
        </w:tc>
      </w:tr>
      <w:tr w14:paraId="168D04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E052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C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BD3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CE2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76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466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FF3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2F0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A07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5F9E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3B1911"/>
        </w:tc>
      </w:tr>
    </w:tbl>
    <w:p w14:paraId="14A713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7C66C92">
        <w:tblPrEx>
          <w:tblCellMar>
            <w:top w:w="0" w:type="dxa"/>
            <w:left w:w="108" w:type="dxa"/>
            <w:bottom w:w="0" w:type="dxa"/>
            <w:right w:w="108" w:type="dxa"/>
          </w:tblCellMar>
        </w:tblPrEx>
        <w:tc>
          <w:tcPr>
            <w:tcW w:w="8848" w:type="dxa"/>
            <w:gridSpan w:val="14"/>
            <w:vAlign w:val="center"/>
          </w:tcPr>
          <w:p w14:paraId="3F2A84FE">
            <w:pPr>
              <w:jc w:val="center"/>
            </w:pPr>
            <w:r>
              <w:rPr>
                <w:rFonts w:ascii="宋体" w:hAnsi="宋体" w:eastAsia="宋体"/>
                <w:sz w:val="24"/>
              </w:rPr>
              <w:t>项目支出绩效自评表</w:t>
            </w:r>
          </w:p>
        </w:tc>
      </w:tr>
      <w:tr w14:paraId="1221C77F">
        <w:tblPrEx>
          <w:tblCellMar>
            <w:top w:w="0" w:type="dxa"/>
            <w:left w:w="108" w:type="dxa"/>
            <w:bottom w:w="0" w:type="dxa"/>
            <w:right w:w="108" w:type="dxa"/>
          </w:tblCellMar>
        </w:tblPrEx>
        <w:tc>
          <w:tcPr>
            <w:tcW w:w="8848" w:type="dxa"/>
            <w:gridSpan w:val="14"/>
            <w:vAlign w:val="center"/>
          </w:tcPr>
          <w:p w14:paraId="50C6FEE6">
            <w:pPr>
              <w:jc w:val="center"/>
            </w:pPr>
            <w:r>
              <w:rPr>
                <w:rFonts w:ascii="宋体" w:hAnsi="宋体" w:eastAsia="宋体"/>
                <w:sz w:val="24"/>
              </w:rPr>
              <w:t>(2024年度)</w:t>
            </w:r>
          </w:p>
        </w:tc>
      </w:tr>
      <w:tr w14:paraId="10720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C3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037E76">
            <w:pPr>
              <w:jc w:val="center"/>
            </w:pPr>
            <w:r>
              <w:rPr>
                <w:rFonts w:ascii="宋体" w:hAnsi="宋体" w:eastAsia="宋体"/>
                <w:sz w:val="16"/>
              </w:rPr>
              <w:t>全民健康体检项目资金</w:t>
            </w:r>
          </w:p>
        </w:tc>
      </w:tr>
      <w:tr w14:paraId="6C1B92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10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5926A">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E5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F17C75">
            <w:pPr>
              <w:jc w:val="center"/>
            </w:pPr>
            <w:r>
              <w:rPr>
                <w:rFonts w:ascii="宋体" w:hAnsi="宋体" w:eastAsia="宋体"/>
                <w:sz w:val="16"/>
              </w:rPr>
              <w:t>吉木萨尔县中医医院</w:t>
            </w:r>
          </w:p>
        </w:tc>
      </w:tr>
      <w:tr w14:paraId="61257E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45E7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F1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C7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FBB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2C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55E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81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388C">
            <w:pPr>
              <w:jc w:val="center"/>
            </w:pPr>
            <w:r>
              <w:rPr>
                <w:rFonts w:ascii="宋体" w:hAnsi="宋体" w:eastAsia="宋体"/>
                <w:sz w:val="16"/>
              </w:rPr>
              <w:t>得分</w:t>
            </w:r>
          </w:p>
        </w:tc>
      </w:tr>
      <w:tr w14:paraId="7E7AC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69C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AD7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02B1">
            <w:pPr>
              <w:jc w:val="center"/>
            </w:pPr>
            <w:r>
              <w:rPr>
                <w:rFonts w:ascii="宋体" w:hAnsi="宋体" w:eastAsia="宋体"/>
                <w:sz w:val="16"/>
              </w:rPr>
              <w:t>58.38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5CB1B">
            <w:pPr>
              <w:jc w:val="center"/>
            </w:pPr>
            <w:r>
              <w:rPr>
                <w:rFonts w:ascii="宋体" w:hAnsi="宋体" w:eastAsia="宋体"/>
                <w:sz w:val="16"/>
              </w:rPr>
              <w:t>58.38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ED4E1">
            <w:pPr>
              <w:jc w:val="center"/>
            </w:pPr>
            <w:r>
              <w:rPr>
                <w:rFonts w:ascii="宋体" w:hAnsi="宋体" w:eastAsia="宋体"/>
                <w:sz w:val="16"/>
              </w:rPr>
              <w:t>58.38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2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3F6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B35F">
            <w:pPr>
              <w:jc w:val="center"/>
            </w:pPr>
            <w:r>
              <w:rPr>
                <w:rFonts w:ascii="宋体" w:hAnsi="宋体" w:eastAsia="宋体"/>
                <w:sz w:val="16"/>
              </w:rPr>
              <w:t>10.00</w:t>
            </w:r>
          </w:p>
        </w:tc>
      </w:tr>
      <w:tr w14:paraId="3E4D2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C39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861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FE12">
            <w:pPr>
              <w:jc w:val="center"/>
            </w:pPr>
            <w:r>
              <w:rPr>
                <w:rFonts w:ascii="宋体" w:hAnsi="宋体" w:eastAsia="宋体"/>
                <w:sz w:val="16"/>
              </w:rPr>
              <w:t>58.38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FBB9">
            <w:pPr>
              <w:jc w:val="center"/>
            </w:pPr>
            <w:r>
              <w:rPr>
                <w:rFonts w:ascii="宋体" w:hAnsi="宋体" w:eastAsia="宋体"/>
                <w:sz w:val="16"/>
              </w:rPr>
              <w:t>58.38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8AC8A">
            <w:pPr>
              <w:jc w:val="center"/>
            </w:pPr>
            <w:r>
              <w:rPr>
                <w:rFonts w:ascii="宋体" w:hAnsi="宋体" w:eastAsia="宋体"/>
                <w:sz w:val="16"/>
              </w:rPr>
              <w:t>58.38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797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0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326C">
            <w:pPr>
              <w:jc w:val="center"/>
            </w:pPr>
            <w:r>
              <w:rPr>
                <w:rFonts w:ascii="宋体" w:hAnsi="宋体" w:eastAsia="宋体"/>
                <w:sz w:val="16"/>
              </w:rPr>
              <w:t>—</w:t>
            </w:r>
          </w:p>
        </w:tc>
      </w:tr>
      <w:tr w14:paraId="77AAA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73E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B28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F15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4C6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124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0CF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B9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C747">
            <w:pPr>
              <w:jc w:val="center"/>
            </w:pPr>
            <w:r>
              <w:rPr>
                <w:rFonts w:ascii="宋体" w:hAnsi="宋体" w:eastAsia="宋体"/>
                <w:sz w:val="16"/>
              </w:rPr>
              <w:t>—</w:t>
            </w:r>
          </w:p>
        </w:tc>
      </w:tr>
      <w:tr w14:paraId="5CCE9F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B95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2C2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B5B87">
            <w:pPr>
              <w:jc w:val="center"/>
            </w:pPr>
            <w:r>
              <w:rPr>
                <w:rFonts w:ascii="宋体" w:hAnsi="宋体" w:eastAsia="宋体"/>
                <w:sz w:val="16"/>
              </w:rPr>
              <w:t>实际完成情况</w:t>
            </w:r>
          </w:p>
        </w:tc>
      </w:tr>
      <w:tr w14:paraId="5B4D8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BB6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C49BA">
            <w:pPr>
              <w:jc w:val="both"/>
            </w:pPr>
            <w:r>
              <w:rPr>
                <w:rFonts w:ascii="宋体" w:hAnsi="宋体" w:eastAsia="宋体"/>
                <w:sz w:val="16"/>
              </w:rPr>
              <w:t>财政拨付58.38164万元用于支付乌鲁木齐榕康旭、拓康联博、益佳康等16家公司卫生材料款。卫生材料与试剂作为医疗活动不可或缺的基础元素，其质量与供应的稳定性直接关系到医疗服务的质量，患者安全及医院运营效率。高质量的试剂</w:t>
            </w:r>
            <w:r>
              <w:rPr>
                <w:rFonts w:hint="eastAsia" w:ascii="宋体" w:hAnsi="宋体"/>
                <w:sz w:val="16"/>
                <w:lang w:eastAsia="zh-CN"/>
              </w:rPr>
              <w:t>是</w:t>
            </w:r>
            <w:r>
              <w:rPr>
                <w:rFonts w:ascii="宋体" w:hAnsi="宋体" w:eastAsia="宋体"/>
                <w:sz w:val="16"/>
              </w:rPr>
              <w:t>确保检验结果准确的关键，可以显著降低误诊率，提高诊疗效率，医院及时采购并应用新型试剂，能够缩短患者等待时间，为重症患者的救治赢得宝贵时间。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C39E5C">
            <w:pPr>
              <w:jc w:val="both"/>
            </w:pPr>
            <w:r>
              <w:rPr>
                <w:rFonts w:ascii="宋体" w:hAnsi="宋体" w:eastAsia="宋体"/>
                <w:sz w:val="16"/>
              </w:rPr>
              <w:t>截至2024年12月31日，本项目实际支出资金58.38万元，预算执行率100%，实际已完成100%。通过实施本项目，主要完成用于支付乌鲁木齐榕康旭、拓康联博、益佳康等16家公司卫生材料款。卫生材料与试剂作为医疗活动不可或缺的基础元素，其质量与供应的稳定性直接关系到医疗服务的质量，患者安全及医院运营效率。高质量的试剂</w:t>
            </w:r>
            <w:r>
              <w:rPr>
                <w:rFonts w:hint="eastAsia" w:ascii="宋体" w:hAnsi="宋体"/>
                <w:sz w:val="16"/>
                <w:lang w:eastAsia="zh-CN"/>
              </w:rPr>
              <w:t>是</w:t>
            </w:r>
            <w:r>
              <w:rPr>
                <w:rFonts w:ascii="宋体" w:hAnsi="宋体" w:eastAsia="宋体"/>
                <w:sz w:val="16"/>
              </w:rPr>
              <w:t>确保检验结果准确的关键，可以显著降低误诊率，提高诊疗效率，医院及时采购并应用新型试剂，能够缩短患者等待时间，为重症患者的救治赢得宝贵时间。</w:t>
            </w:r>
          </w:p>
        </w:tc>
      </w:tr>
      <w:tr w14:paraId="63FF0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9EC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0A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1A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90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15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6B7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CC2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AB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06E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02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74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2B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34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C30C">
            <w:pPr>
              <w:jc w:val="center"/>
            </w:pPr>
            <w:r>
              <w:rPr>
                <w:rFonts w:ascii="宋体" w:hAnsi="宋体" w:eastAsia="宋体"/>
                <w:sz w:val="16"/>
              </w:rPr>
              <w:t>偏差原因分析及改进措施</w:t>
            </w:r>
          </w:p>
        </w:tc>
      </w:tr>
      <w:tr w14:paraId="18BCB1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FC8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6D2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876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2A5D">
            <w:pPr>
              <w:jc w:val="center"/>
            </w:pPr>
            <w:r>
              <w:rPr>
                <w:rFonts w:ascii="宋体" w:hAnsi="宋体" w:eastAsia="宋体"/>
                <w:sz w:val="16"/>
              </w:rPr>
              <w:t>支付卫生材料供应商数量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1D2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69AB">
            <w:pPr>
              <w:jc w:val="center"/>
            </w:pPr>
            <w:r>
              <w:rPr>
                <w:rFonts w:ascii="宋体" w:hAnsi="宋体" w:eastAsia="宋体"/>
                <w:sz w:val="16"/>
              </w:rPr>
              <w:t>&gt;=8家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3D1D">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0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331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B88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5E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E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6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AB02">
            <w:pPr>
              <w:jc w:val="center"/>
            </w:pPr>
          </w:p>
        </w:tc>
      </w:tr>
      <w:tr w14:paraId="25F95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E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DE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7E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E4F5">
            <w:pPr>
              <w:jc w:val="center"/>
            </w:pPr>
            <w:r>
              <w:rPr>
                <w:rFonts w:ascii="宋体" w:hAnsi="宋体" w:eastAsia="宋体"/>
                <w:sz w:val="16"/>
              </w:rPr>
              <w:t>全年完成体检人次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045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9669">
            <w:pPr>
              <w:jc w:val="center"/>
            </w:pPr>
            <w:r>
              <w:rPr>
                <w:rFonts w:ascii="宋体" w:hAnsi="宋体" w:eastAsia="宋体"/>
                <w:sz w:val="16"/>
              </w:rPr>
              <w:t>&gt;=1500人次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E24C">
            <w:pPr>
              <w:jc w:val="center"/>
            </w:pPr>
            <w:r>
              <w:rPr>
                <w:rFonts w:ascii="宋体" w:hAnsi="宋体" w:eastAsia="宋体"/>
                <w:sz w:val="16"/>
              </w:rPr>
              <w:t>=1500人次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3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EBD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0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8A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B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2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2CA7">
            <w:pPr>
              <w:jc w:val="center"/>
            </w:pPr>
          </w:p>
        </w:tc>
      </w:tr>
      <w:tr w14:paraId="2501C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A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8A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66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4D01">
            <w:pPr>
              <w:jc w:val="center"/>
            </w:pPr>
            <w:r>
              <w:rPr>
                <w:rFonts w:ascii="宋体" w:hAnsi="宋体" w:eastAsia="宋体"/>
                <w:sz w:val="16"/>
              </w:rPr>
              <w:t>卫生材料入库合格率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0F1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1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2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8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0C8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9C6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2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9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DD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9FDE">
            <w:pPr>
              <w:jc w:val="center"/>
            </w:pPr>
          </w:p>
        </w:tc>
      </w:tr>
      <w:tr w14:paraId="46556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30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E7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52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C4AD">
            <w:pPr>
              <w:jc w:val="center"/>
            </w:pPr>
            <w:r>
              <w:rPr>
                <w:rFonts w:ascii="宋体" w:hAnsi="宋体" w:eastAsia="宋体"/>
                <w:sz w:val="16"/>
              </w:rPr>
              <w:t>卫生材料入库及时率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15F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0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5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C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EFF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43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7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B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CD1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91DA">
            <w:pPr>
              <w:jc w:val="center"/>
            </w:pPr>
          </w:p>
        </w:tc>
      </w:tr>
      <w:tr w14:paraId="0EB4D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C7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A7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64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4C0F">
            <w:pPr>
              <w:jc w:val="center"/>
            </w:pPr>
            <w:r>
              <w:rPr>
                <w:rFonts w:ascii="宋体" w:hAnsi="宋体" w:eastAsia="宋体"/>
                <w:sz w:val="16"/>
              </w:rPr>
              <w:t>平均每家材料公司支付成本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D3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7BF7">
            <w:pPr>
              <w:jc w:val="center"/>
            </w:pPr>
            <w:r>
              <w:rPr>
                <w:rFonts w:ascii="宋体" w:hAnsi="宋体" w:eastAsia="宋体"/>
                <w:sz w:val="16"/>
              </w:rPr>
              <w:t>&lt;=3.65万元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96C7">
            <w:pPr>
              <w:jc w:val="center"/>
            </w:pPr>
            <w:r>
              <w:rPr>
                <w:rFonts w:ascii="宋体" w:hAnsi="宋体" w:eastAsia="宋体"/>
                <w:sz w:val="16"/>
              </w:rPr>
              <w:t>=3.65万元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8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D1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9A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F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5A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F43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ADE1">
            <w:pPr>
              <w:jc w:val="center"/>
            </w:pPr>
          </w:p>
        </w:tc>
      </w:tr>
      <w:tr w14:paraId="42E18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0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6A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3F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D053">
            <w:pPr>
              <w:jc w:val="center"/>
            </w:pPr>
            <w:r>
              <w:rPr>
                <w:rFonts w:ascii="宋体" w:hAnsi="宋体" w:eastAsia="宋体"/>
                <w:sz w:val="16"/>
              </w:rPr>
              <w:t>提高诊疗效率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A9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B2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003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4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6D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1A3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0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3E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7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36EB">
            <w:pPr>
              <w:jc w:val="center"/>
            </w:pPr>
          </w:p>
        </w:tc>
      </w:tr>
      <w:tr w14:paraId="36DF0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EB1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61DD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25B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3A84">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FE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42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5CD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9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25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DE2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6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F7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D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262A">
            <w:pPr>
              <w:jc w:val="center"/>
            </w:pPr>
          </w:p>
        </w:tc>
      </w:tr>
      <w:tr w14:paraId="57284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B2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7D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22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25DA">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48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A5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83BB">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1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61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0C5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E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24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7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7907">
            <w:pPr>
              <w:jc w:val="center"/>
            </w:pPr>
          </w:p>
        </w:tc>
      </w:tr>
      <w:tr w14:paraId="3F1806F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426F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2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817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47A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D7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5D9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E12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965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A85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63E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89E5F"/>
        </w:tc>
      </w:tr>
    </w:tbl>
    <w:p w14:paraId="49F852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5670017">
        <w:tblPrEx>
          <w:tblCellMar>
            <w:top w:w="0" w:type="dxa"/>
            <w:left w:w="108" w:type="dxa"/>
            <w:bottom w:w="0" w:type="dxa"/>
            <w:right w:w="108" w:type="dxa"/>
          </w:tblCellMar>
        </w:tblPrEx>
        <w:tc>
          <w:tcPr>
            <w:tcW w:w="8848" w:type="dxa"/>
            <w:gridSpan w:val="14"/>
            <w:vAlign w:val="center"/>
          </w:tcPr>
          <w:p w14:paraId="0609D70E">
            <w:pPr>
              <w:jc w:val="center"/>
            </w:pPr>
            <w:r>
              <w:rPr>
                <w:rFonts w:ascii="宋体" w:hAnsi="宋体" w:eastAsia="宋体"/>
                <w:sz w:val="24"/>
              </w:rPr>
              <w:t>项目支出绩效自评表</w:t>
            </w:r>
          </w:p>
        </w:tc>
      </w:tr>
      <w:tr w14:paraId="1EB8C629">
        <w:tblPrEx>
          <w:tblCellMar>
            <w:top w:w="0" w:type="dxa"/>
            <w:left w:w="108" w:type="dxa"/>
            <w:bottom w:w="0" w:type="dxa"/>
            <w:right w:w="108" w:type="dxa"/>
          </w:tblCellMar>
        </w:tblPrEx>
        <w:tc>
          <w:tcPr>
            <w:tcW w:w="8848" w:type="dxa"/>
            <w:gridSpan w:val="14"/>
            <w:vAlign w:val="center"/>
          </w:tcPr>
          <w:p w14:paraId="53AD9761">
            <w:pPr>
              <w:jc w:val="center"/>
            </w:pPr>
            <w:r>
              <w:rPr>
                <w:rFonts w:ascii="宋体" w:hAnsi="宋体" w:eastAsia="宋体"/>
                <w:sz w:val="24"/>
              </w:rPr>
              <w:t>(2024年度)</w:t>
            </w:r>
          </w:p>
        </w:tc>
      </w:tr>
      <w:tr w14:paraId="2DBB1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CB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F0EF7D">
            <w:pPr>
              <w:jc w:val="center"/>
            </w:pPr>
            <w:r>
              <w:rPr>
                <w:rFonts w:ascii="宋体" w:hAnsi="宋体" w:eastAsia="宋体"/>
                <w:sz w:val="16"/>
              </w:rPr>
              <w:t>新疆人才发展基金2024年度第一轮支持资金</w:t>
            </w:r>
          </w:p>
        </w:tc>
      </w:tr>
      <w:tr w14:paraId="3F9440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90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56508">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8D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07FB7">
            <w:pPr>
              <w:jc w:val="center"/>
            </w:pPr>
            <w:r>
              <w:rPr>
                <w:rFonts w:ascii="宋体" w:hAnsi="宋体" w:eastAsia="宋体"/>
                <w:sz w:val="16"/>
              </w:rPr>
              <w:t>吉木萨尔县中医医院</w:t>
            </w:r>
          </w:p>
        </w:tc>
      </w:tr>
      <w:tr w14:paraId="1671CF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D2C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1A7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E7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F6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62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B44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5C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7F64">
            <w:pPr>
              <w:jc w:val="center"/>
            </w:pPr>
            <w:r>
              <w:rPr>
                <w:rFonts w:ascii="宋体" w:hAnsi="宋体" w:eastAsia="宋体"/>
                <w:sz w:val="16"/>
              </w:rPr>
              <w:t>得分</w:t>
            </w:r>
          </w:p>
        </w:tc>
      </w:tr>
      <w:tr w14:paraId="29C1F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914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A61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D08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E0B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D18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6A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1EC4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36B2">
            <w:pPr>
              <w:jc w:val="center"/>
            </w:pPr>
            <w:r>
              <w:rPr>
                <w:rFonts w:ascii="宋体" w:hAnsi="宋体" w:eastAsia="宋体"/>
                <w:sz w:val="16"/>
              </w:rPr>
              <w:t>10.00</w:t>
            </w:r>
          </w:p>
        </w:tc>
      </w:tr>
      <w:tr w14:paraId="00EA6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1A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8CE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999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9B2E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932D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184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CAA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1536">
            <w:pPr>
              <w:jc w:val="center"/>
            </w:pPr>
            <w:r>
              <w:rPr>
                <w:rFonts w:ascii="宋体" w:hAnsi="宋体" w:eastAsia="宋体"/>
                <w:sz w:val="16"/>
              </w:rPr>
              <w:t>—</w:t>
            </w:r>
          </w:p>
        </w:tc>
      </w:tr>
      <w:tr w14:paraId="25477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857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A0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AA1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C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CC4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04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17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CAF9">
            <w:pPr>
              <w:jc w:val="center"/>
            </w:pPr>
            <w:r>
              <w:rPr>
                <w:rFonts w:ascii="宋体" w:hAnsi="宋体" w:eastAsia="宋体"/>
                <w:sz w:val="16"/>
              </w:rPr>
              <w:t>—</w:t>
            </w:r>
          </w:p>
        </w:tc>
      </w:tr>
      <w:tr w14:paraId="04FE52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FC8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2F4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9E717B">
            <w:pPr>
              <w:jc w:val="center"/>
            </w:pPr>
            <w:r>
              <w:rPr>
                <w:rFonts w:ascii="宋体" w:hAnsi="宋体" w:eastAsia="宋体"/>
                <w:sz w:val="16"/>
              </w:rPr>
              <w:t>实际完成情况</w:t>
            </w:r>
          </w:p>
        </w:tc>
      </w:tr>
      <w:tr w14:paraId="1BE79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B15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01401">
            <w:pPr>
              <w:jc w:val="both"/>
            </w:pPr>
            <w:r>
              <w:rPr>
                <w:rFonts w:ascii="宋体" w:hAnsi="宋体" w:eastAsia="宋体"/>
                <w:sz w:val="16"/>
              </w:rPr>
              <w:t>一是通过福建厦门援疆吉木萨尔县中医医院临床技能培训基地、适宜技术推广中心、医学院校实习、见习基地、县级西学中培训基地等的建设，加强对基层医护人员的培训，提升基层医疗卫生水平；二是以医共体建设为契机，通过专科联盟，配合指挥部、医院、乡</w:t>
            </w:r>
            <w:r>
              <w:rPr>
                <w:rFonts w:hint="eastAsia" w:ascii="宋体" w:hAnsi="宋体"/>
                <w:sz w:val="16"/>
                <w:lang w:eastAsia="zh-CN"/>
              </w:rPr>
              <w:t>镇党委、镇政府</w:t>
            </w:r>
            <w:r>
              <w:rPr>
                <w:rFonts w:ascii="宋体" w:hAnsi="宋体" w:eastAsia="宋体"/>
                <w:sz w:val="16"/>
              </w:rPr>
              <w:t>，开展巡回义诊活动，为基层群众送医送药，提升满意度及我院影响力；三是加强县、乡、村三级医疗服务管理、人才培养培训、医疗技术传帮带教、适宜技术推广应用等方面工作，通过优质医疗资源的下沉，提升基层医疗服务能力，实现双向转诊、分级诊疗服务；四是充分发挥医院中医药特色优势，努力把医院建成全县中医药适宜技术推广应用的示范基地、培训基地，推动我县中医药技术的普及和发展，全面提升农村和社区中医药服务水平，为基层群众提供质优价廉的体现中医药特色的医疗服务，提升中医药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A61131">
            <w:pPr>
              <w:jc w:val="both"/>
            </w:pPr>
            <w:r>
              <w:rPr>
                <w:rFonts w:ascii="宋体" w:hAnsi="宋体" w:eastAsia="宋体"/>
                <w:sz w:val="16"/>
              </w:rPr>
              <w:t>截至2024年12月31日，本项目实际支出资金100万元，预算执行率100%，实际已完成100%。一是通过福建厦门援疆吉木萨尔县中医医院临床技能培训基地、适宜技术推广中心、医学院校实习、见习基地、县级西学中培训基地等的建设，加强对基层医护人员的培训，提升基层医疗卫生水平；二是以医共体建设为契机，通过专科联盟，配合指挥部、医院、乡</w:t>
            </w:r>
            <w:r>
              <w:rPr>
                <w:rFonts w:hint="eastAsia" w:ascii="宋体" w:hAnsi="宋体"/>
                <w:sz w:val="16"/>
                <w:lang w:eastAsia="zh-CN"/>
              </w:rPr>
              <w:t>镇党委、镇政府</w:t>
            </w:r>
            <w:r>
              <w:rPr>
                <w:rFonts w:ascii="宋体" w:hAnsi="宋体" w:eastAsia="宋体"/>
                <w:sz w:val="16"/>
              </w:rPr>
              <w:t>，开展巡回义诊活动，为基层群众送医送药，提升满意度及我院影响力；三是加强县、乡、村三级医疗服务管理、人才培养培训、医疗技术传帮带教、适宜技术推广应用等方面工作，通过优质医疗资源的下沉，提升基层医疗服务能力，实现双向转诊、分级诊疗服务；四是充分发挥医院中医药特色优势，努力把医院建成全县中医药适宜技术推广应用的示范基地、培训基地，推动我县中医药技术的普及和发展，全面提升农村和社区中医药服务水平，为基层群众提供质优价廉的体现中医药特色的医疗服务，提升中医药服务水平。</w:t>
            </w:r>
          </w:p>
        </w:tc>
      </w:tr>
      <w:tr w14:paraId="24C5AA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5A4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5A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D5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39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8F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CDD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091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56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170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74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D3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54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48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27EC">
            <w:pPr>
              <w:jc w:val="center"/>
            </w:pPr>
            <w:r>
              <w:rPr>
                <w:rFonts w:ascii="宋体" w:hAnsi="宋体" w:eastAsia="宋体"/>
                <w:sz w:val="16"/>
              </w:rPr>
              <w:t>偏差原因分析及改进措施</w:t>
            </w:r>
          </w:p>
        </w:tc>
      </w:tr>
      <w:tr w14:paraId="281C95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62A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970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566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0550">
            <w:pPr>
              <w:jc w:val="center"/>
            </w:pPr>
            <w:r>
              <w:rPr>
                <w:rFonts w:ascii="宋体" w:hAnsi="宋体" w:eastAsia="宋体"/>
                <w:sz w:val="16"/>
              </w:rPr>
              <w:t>柔性人才人数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BE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F5E5">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3AF7">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1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ED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A4D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D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B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5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478F">
            <w:pPr>
              <w:jc w:val="center"/>
            </w:pPr>
          </w:p>
        </w:tc>
      </w:tr>
      <w:tr w14:paraId="5C526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A8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F1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03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C655">
            <w:pPr>
              <w:jc w:val="center"/>
            </w:pPr>
            <w:r>
              <w:rPr>
                <w:rFonts w:ascii="宋体" w:hAnsi="宋体" w:eastAsia="宋体"/>
                <w:sz w:val="16"/>
              </w:rPr>
              <w:t>外出参加培训人次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5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F324">
            <w:pPr>
              <w:jc w:val="center"/>
            </w:pPr>
            <w:r>
              <w:rPr>
                <w:rFonts w:ascii="宋体" w:hAnsi="宋体" w:eastAsia="宋体"/>
                <w:sz w:val="16"/>
              </w:rPr>
              <w:t>&gt;=10人次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9560">
            <w:pPr>
              <w:jc w:val="center"/>
            </w:pPr>
            <w:r>
              <w:rPr>
                <w:rFonts w:ascii="宋体" w:hAnsi="宋体" w:eastAsia="宋体"/>
                <w:sz w:val="16"/>
              </w:rPr>
              <w:t>=38人次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9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43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6E7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D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F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3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589B">
            <w:pPr>
              <w:jc w:val="center"/>
            </w:pPr>
          </w:p>
        </w:tc>
      </w:tr>
      <w:tr w14:paraId="4866A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A2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3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27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0625">
            <w:pPr>
              <w:jc w:val="center"/>
            </w:pPr>
            <w:r>
              <w:rPr>
                <w:rFonts w:ascii="宋体" w:hAnsi="宋体" w:eastAsia="宋体"/>
                <w:sz w:val="16"/>
              </w:rPr>
              <w:t>引进新中医技术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4B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35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60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D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3A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32B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6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8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D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DAA2">
            <w:pPr>
              <w:jc w:val="center"/>
            </w:pPr>
          </w:p>
        </w:tc>
      </w:tr>
      <w:tr w14:paraId="70FBC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D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C6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13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CA0D">
            <w:pPr>
              <w:jc w:val="center"/>
            </w:pPr>
            <w:r>
              <w:rPr>
                <w:rFonts w:ascii="宋体" w:hAnsi="宋体" w:eastAsia="宋体"/>
                <w:sz w:val="16"/>
              </w:rPr>
              <w:t>培训任务覆盖率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28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A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B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C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FD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F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F7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8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A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D0B4">
            <w:pPr>
              <w:jc w:val="center"/>
            </w:pPr>
          </w:p>
        </w:tc>
      </w:tr>
      <w:tr w14:paraId="06F5A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E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E1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A6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37E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C5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8AAF">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6B3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4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35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993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64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8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472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7482">
            <w:pPr>
              <w:jc w:val="center"/>
            </w:pPr>
          </w:p>
        </w:tc>
      </w:tr>
      <w:tr w14:paraId="749CE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77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632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BCB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C899">
            <w:pPr>
              <w:jc w:val="center"/>
            </w:pPr>
            <w:r>
              <w:rPr>
                <w:rFonts w:ascii="宋体" w:hAnsi="宋体" w:eastAsia="宋体"/>
                <w:sz w:val="16"/>
              </w:rPr>
              <w:t>柔性人才工资总成本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59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06A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CAD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E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2A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710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B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43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179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E6C8">
            <w:pPr>
              <w:jc w:val="center"/>
            </w:pPr>
          </w:p>
        </w:tc>
      </w:tr>
      <w:tr w14:paraId="6C3CB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C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5D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3A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1ADB">
            <w:pPr>
              <w:jc w:val="center"/>
            </w:pPr>
            <w:r>
              <w:rPr>
                <w:rFonts w:ascii="宋体" w:hAnsi="宋体" w:eastAsia="宋体"/>
                <w:sz w:val="16"/>
              </w:rPr>
              <w:t>引进新中医技术成本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17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3D26">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1847">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5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76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823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4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7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294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1CD2">
            <w:pPr>
              <w:jc w:val="center"/>
            </w:pPr>
          </w:p>
        </w:tc>
      </w:tr>
      <w:tr w14:paraId="2F57F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2E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CE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26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36DD">
            <w:pPr>
              <w:jc w:val="center"/>
            </w:pPr>
            <w:r>
              <w:rPr>
                <w:rFonts w:ascii="宋体" w:hAnsi="宋体" w:eastAsia="宋体"/>
                <w:sz w:val="16"/>
              </w:rPr>
              <w:t>参加培训总成本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03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0D9D">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2014">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3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1D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D88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4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0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D72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A54D">
            <w:pPr>
              <w:jc w:val="center"/>
            </w:pPr>
          </w:p>
        </w:tc>
      </w:tr>
      <w:tr w14:paraId="419A2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F73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35A3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D24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B3AB">
            <w:pPr>
              <w:jc w:val="center"/>
            </w:pPr>
            <w:r>
              <w:rPr>
                <w:rFonts w:ascii="宋体" w:hAnsi="宋体" w:eastAsia="宋体"/>
                <w:sz w:val="16"/>
              </w:rPr>
              <w:t>有效增加门急诊人次提升医疗救治率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22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212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7A7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B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D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6C9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7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56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F2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39AA">
            <w:pPr>
              <w:jc w:val="center"/>
            </w:pPr>
          </w:p>
        </w:tc>
      </w:tr>
      <w:tr w14:paraId="588B4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EC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46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2B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D1F5">
            <w:pPr>
              <w:jc w:val="center"/>
            </w:pPr>
            <w:r>
              <w:rPr>
                <w:rFonts w:ascii="宋体" w:hAnsi="宋体" w:eastAsia="宋体"/>
                <w:sz w:val="16"/>
              </w:rPr>
              <w:t>提升中医药服务水平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5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9C3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F6B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B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2A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A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9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7D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3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E523">
            <w:pPr>
              <w:jc w:val="center"/>
            </w:pPr>
          </w:p>
        </w:tc>
      </w:tr>
      <w:tr w14:paraId="444D8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C04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5BCD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90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97E1">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7D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85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DBD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A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98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154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5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D8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30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D47D">
            <w:pPr>
              <w:jc w:val="center"/>
            </w:pPr>
          </w:p>
        </w:tc>
      </w:tr>
      <w:tr w14:paraId="0F5CE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53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93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B6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FFF2">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1D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57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A4C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D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9A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C9A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9A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7E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4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51C4">
            <w:pPr>
              <w:jc w:val="center"/>
            </w:pPr>
          </w:p>
        </w:tc>
      </w:tr>
      <w:tr w14:paraId="27EDEF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4182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9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4E8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E6A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1C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953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0DA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9D2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6628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DB4D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90EE9"/>
        </w:tc>
      </w:tr>
    </w:tbl>
    <w:p w14:paraId="79BD78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167A187F">
        <w:tblPrEx>
          <w:tblCellMar>
            <w:top w:w="0" w:type="dxa"/>
            <w:left w:w="108" w:type="dxa"/>
            <w:bottom w:w="0" w:type="dxa"/>
            <w:right w:w="108" w:type="dxa"/>
          </w:tblCellMar>
        </w:tblPrEx>
        <w:tc>
          <w:tcPr>
            <w:tcW w:w="8848" w:type="dxa"/>
            <w:gridSpan w:val="14"/>
            <w:vAlign w:val="center"/>
          </w:tcPr>
          <w:p w14:paraId="7B40A10A">
            <w:pPr>
              <w:jc w:val="center"/>
            </w:pPr>
            <w:r>
              <w:rPr>
                <w:rFonts w:ascii="宋体" w:hAnsi="宋体" w:eastAsia="宋体"/>
                <w:sz w:val="24"/>
              </w:rPr>
              <w:t>项目支出绩效自评表</w:t>
            </w:r>
          </w:p>
        </w:tc>
      </w:tr>
      <w:tr w14:paraId="5A2F2441">
        <w:tblPrEx>
          <w:tblCellMar>
            <w:top w:w="0" w:type="dxa"/>
            <w:left w:w="108" w:type="dxa"/>
            <w:bottom w:w="0" w:type="dxa"/>
            <w:right w:w="108" w:type="dxa"/>
          </w:tblCellMar>
        </w:tblPrEx>
        <w:tc>
          <w:tcPr>
            <w:tcW w:w="8848" w:type="dxa"/>
            <w:gridSpan w:val="14"/>
            <w:vAlign w:val="center"/>
          </w:tcPr>
          <w:p w14:paraId="3F2C843A">
            <w:pPr>
              <w:jc w:val="center"/>
            </w:pPr>
            <w:r>
              <w:rPr>
                <w:rFonts w:ascii="宋体" w:hAnsi="宋体" w:eastAsia="宋体"/>
                <w:sz w:val="24"/>
              </w:rPr>
              <w:t>(2024年度)</w:t>
            </w:r>
          </w:p>
        </w:tc>
      </w:tr>
      <w:tr w14:paraId="3A43EA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A7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9CAC60">
            <w:pPr>
              <w:jc w:val="center"/>
            </w:pPr>
            <w:r>
              <w:rPr>
                <w:rFonts w:ascii="宋体" w:hAnsi="宋体" w:eastAsia="宋体"/>
                <w:sz w:val="16"/>
              </w:rPr>
              <w:t>昌吉州“庭州英才”人才计划支持资金</w:t>
            </w:r>
          </w:p>
        </w:tc>
      </w:tr>
      <w:tr w14:paraId="1D7D32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D0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74C6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88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C7E2B">
            <w:pPr>
              <w:jc w:val="center"/>
            </w:pPr>
            <w:r>
              <w:rPr>
                <w:rFonts w:ascii="宋体" w:hAnsi="宋体" w:eastAsia="宋体"/>
                <w:sz w:val="16"/>
              </w:rPr>
              <w:t>吉木萨尔县中医医院</w:t>
            </w:r>
          </w:p>
        </w:tc>
      </w:tr>
      <w:tr w14:paraId="7DE96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650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9B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EDD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74C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C57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CD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7A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20FF">
            <w:pPr>
              <w:jc w:val="center"/>
            </w:pPr>
            <w:r>
              <w:rPr>
                <w:rFonts w:ascii="宋体" w:hAnsi="宋体" w:eastAsia="宋体"/>
                <w:sz w:val="16"/>
              </w:rPr>
              <w:t>得分</w:t>
            </w:r>
          </w:p>
        </w:tc>
      </w:tr>
      <w:tr w14:paraId="1DF2F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BB7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800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D8F6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8DA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443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198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AE1B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2473">
            <w:pPr>
              <w:jc w:val="center"/>
            </w:pPr>
            <w:r>
              <w:rPr>
                <w:rFonts w:ascii="宋体" w:hAnsi="宋体" w:eastAsia="宋体"/>
                <w:sz w:val="16"/>
              </w:rPr>
              <w:t>10.00</w:t>
            </w:r>
          </w:p>
        </w:tc>
      </w:tr>
      <w:tr w14:paraId="6FFCA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D4C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2C2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3DF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A67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24B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917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2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A932">
            <w:pPr>
              <w:jc w:val="center"/>
            </w:pPr>
            <w:r>
              <w:rPr>
                <w:rFonts w:ascii="宋体" w:hAnsi="宋体" w:eastAsia="宋体"/>
                <w:sz w:val="16"/>
              </w:rPr>
              <w:t>—</w:t>
            </w:r>
          </w:p>
        </w:tc>
      </w:tr>
      <w:tr w14:paraId="5CEAC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84E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0FF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7CA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9E3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47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9CE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B4E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C918">
            <w:pPr>
              <w:jc w:val="center"/>
            </w:pPr>
            <w:r>
              <w:rPr>
                <w:rFonts w:ascii="宋体" w:hAnsi="宋体" w:eastAsia="宋体"/>
                <w:sz w:val="16"/>
              </w:rPr>
              <w:t>—</w:t>
            </w:r>
          </w:p>
        </w:tc>
      </w:tr>
      <w:tr w14:paraId="4B72D5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640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CDF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6AA4B">
            <w:pPr>
              <w:jc w:val="center"/>
            </w:pPr>
            <w:r>
              <w:rPr>
                <w:rFonts w:ascii="宋体" w:hAnsi="宋体" w:eastAsia="宋体"/>
                <w:sz w:val="16"/>
              </w:rPr>
              <w:t>实际完成情况</w:t>
            </w:r>
          </w:p>
        </w:tc>
      </w:tr>
      <w:tr w14:paraId="66682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6A7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33689">
            <w:pPr>
              <w:jc w:val="both"/>
            </w:pPr>
            <w:r>
              <w:rPr>
                <w:rFonts w:ascii="宋体" w:hAnsi="宋体" w:eastAsia="宋体"/>
                <w:sz w:val="16"/>
              </w:rPr>
              <w:t>分配给王生燕、陈继业医生各3万元，通过提供资金支持，有助于留住优秀人才，减少人才流失，支持人才培训、学术交流、科研创新等活动，有利于提升人才的综合素质和创新能力，为医院的进步和升级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72085D">
            <w:pPr>
              <w:jc w:val="both"/>
            </w:pPr>
            <w:r>
              <w:rPr>
                <w:rFonts w:hint="eastAsia" w:ascii="宋体" w:hAnsi="宋体"/>
                <w:sz w:val="16"/>
                <w:lang w:eastAsia="zh-CN"/>
              </w:rPr>
              <w:t>截至</w:t>
            </w:r>
            <w:r>
              <w:rPr>
                <w:rFonts w:ascii="宋体" w:hAnsi="宋体" w:eastAsia="宋体"/>
                <w:sz w:val="16"/>
              </w:rPr>
              <w:t>2024年12月31日，本项目实际支出6万元，预算执行率100%。通过提供资金支持，有助于留住优秀人才，减少人才流失，支持人才培训、学术交流、科研创新等活动，有利于提升人才的综合素质和创新能力，为医院的进步和升级提供有力保障。</w:t>
            </w:r>
          </w:p>
        </w:tc>
      </w:tr>
      <w:tr w14:paraId="633B5F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00A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23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A1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68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66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F5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4CC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BF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1C6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A7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54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A5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57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CE38">
            <w:pPr>
              <w:jc w:val="center"/>
            </w:pPr>
            <w:r>
              <w:rPr>
                <w:rFonts w:ascii="宋体" w:hAnsi="宋体" w:eastAsia="宋体"/>
                <w:sz w:val="16"/>
              </w:rPr>
              <w:t>偏差原因分析及改进措施</w:t>
            </w:r>
          </w:p>
        </w:tc>
      </w:tr>
      <w:tr w14:paraId="5CE34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269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D6A5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77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30A2">
            <w:pPr>
              <w:jc w:val="center"/>
            </w:pPr>
            <w:r>
              <w:rPr>
                <w:rFonts w:ascii="宋体" w:hAnsi="宋体" w:eastAsia="宋体"/>
                <w:sz w:val="16"/>
              </w:rPr>
              <w:t>医疗人才培养数（人）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F1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64A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965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C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F6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D0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6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D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5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2AAB">
            <w:pPr>
              <w:jc w:val="center"/>
            </w:pPr>
          </w:p>
        </w:tc>
      </w:tr>
      <w:tr w14:paraId="75A93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3C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2C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88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1EC5">
            <w:pPr>
              <w:jc w:val="center"/>
            </w:pPr>
            <w:r>
              <w:rPr>
                <w:rFonts w:ascii="宋体" w:hAnsi="宋体" w:eastAsia="宋体"/>
                <w:sz w:val="16"/>
              </w:rPr>
              <w:t>引进人才考核合格率（%）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ADF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0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8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B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94B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7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5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A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F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76CD">
            <w:pPr>
              <w:jc w:val="center"/>
            </w:pPr>
          </w:p>
        </w:tc>
      </w:tr>
      <w:tr w14:paraId="4F595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B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C1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1E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A24D">
            <w:pPr>
              <w:jc w:val="center"/>
            </w:pPr>
            <w:r>
              <w:rPr>
                <w:rFonts w:ascii="宋体" w:hAnsi="宋体" w:eastAsia="宋体"/>
                <w:sz w:val="16"/>
              </w:rPr>
              <w:t>引进人才到岗及时率（%）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2D5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C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E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F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78B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4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9C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E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D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CEDF">
            <w:pPr>
              <w:jc w:val="center"/>
            </w:pPr>
          </w:p>
        </w:tc>
      </w:tr>
      <w:tr w14:paraId="7E751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F0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B8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8A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A68F">
            <w:pPr>
              <w:jc w:val="center"/>
            </w:pPr>
            <w:r>
              <w:rPr>
                <w:rFonts w:ascii="宋体" w:hAnsi="宋体" w:eastAsia="宋体"/>
                <w:sz w:val="16"/>
              </w:rPr>
              <w:t>平均每位英才收到的资金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A1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87A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AF6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1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14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1A0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E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6BB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7C33">
            <w:pPr>
              <w:jc w:val="center"/>
            </w:pPr>
          </w:p>
        </w:tc>
      </w:tr>
      <w:tr w14:paraId="59055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4A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10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51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99FE">
            <w:pPr>
              <w:jc w:val="center"/>
            </w:pPr>
            <w:r>
              <w:rPr>
                <w:rFonts w:ascii="宋体" w:hAnsi="宋体" w:eastAsia="宋体"/>
                <w:sz w:val="16"/>
              </w:rPr>
              <w:t>防止人才流失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F2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A477">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072F">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D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E7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A60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88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1C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1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4672">
            <w:pPr>
              <w:jc w:val="center"/>
            </w:pPr>
          </w:p>
        </w:tc>
      </w:tr>
      <w:tr w14:paraId="2A9A1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0EE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E76C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9B3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4D9D">
            <w:pPr>
              <w:jc w:val="center"/>
            </w:pPr>
            <w:r>
              <w:rPr>
                <w:rFonts w:ascii="宋体" w:hAnsi="宋体" w:eastAsia="宋体"/>
                <w:sz w:val="16"/>
              </w:rPr>
              <w:t>受益人才满意度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FB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CF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1A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4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BD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598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0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6C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E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70D3">
            <w:pPr>
              <w:jc w:val="center"/>
            </w:pPr>
          </w:p>
        </w:tc>
      </w:tr>
      <w:tr w14:paraId="1E376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C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A8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53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6B03">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FD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F6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88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4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12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B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5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19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3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E0B3">
            <w:pPr>
              <w:jc w:val="center"/>
            </w:pPr>
          </w:p>
        </w:tc>
      </w:tr>
      <w:tr w14:paraId="43D7F8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0BF2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5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FE7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15E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1F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031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FBD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C23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8FD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64A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AB67F"/>
        </w:tc>
      </w:tr>
    </w:tbl>
    <w:p w14:paraId="776516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7D5E962">
        <w:tblPrEx>
          <w:tblCellMar>
            <w:top w:w="0" w:type="dxa"/>
            <w:left w:w="108" w:type="dxa"/>
            <w:bottom w:w="0" w:type="dxa"/>
            <w:right w:w="108" w:type="dxa"/>
          </w:tblCellMar>
        </w:tblPrEx>
        <w:tc>
          <w:tcPr>
            <w:tcW w:w="8848" w:type="dxa"/>
            <w:gridSpan w:val="14"/>
            <w:vAlign w:val="center"/>
          </w:tcPr>
          <w:p w14:paraId="7554553D">
            <w:pPr>
              <w:jc w:val="center"/>
            </w:pPr>
            <w:r>
              <w:rPr>
                <w:rFonts w:ascii="宋体" w:hAnsi="宋体" w:eastAsia="宋体"/>
                <w:sz w:val="24"/>
              </w:rPr>
              <w:t>项目支出绩效自评表</w:t>
            </w:r>
          </w:p>
        </w:tc>
      </w:tr>
      <w:tr w14:paraId="19EDD614">
        <w:tblPrEx>
          <w:tblCellMar>
            <w:top w:w="0" w:type="dxa"/>
            <w:left w:w="108" w:type="dxa"/>
            <w:bottom w:w="0" w:type="dxa"/>
            <w:right w:w="108" w:type="dxa"/>
          </w:tblCellMar>
        </w:tblPrEx>
        <w:tc>
          <w:tcPr>
            <w:tcW w:w="8848" w:type="dxa"/>
            <w:gridSpan w:val="14"/>
            <w:vAlign w:val="center"/>
          </w:tcPr>
          <w:p w14:paraId="28EE3AEC">
            <w:pPr>
              <w:jc w:val="center"/>
            </w:pPr>
            <w:r>
              <w:rPr>
                <w:rFonts w:ascii="宋体" w:hAnsi="宋体" w:eastAsia="宋体"/>
                <w:sz w:val="24"/>
              </w:rPr>
              <w:t>(2024年度)</w:t>
            </w:r>
          </w:p>
        </w:tc>
      </w:tr>
      <w:tr w14:paraId="229F22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0A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78BE2D">
            <w:pPr>
              <w:jc w:val="center"/>
            </w:pPr>
            <w:r>
              <w:rPr>
                <w:rFonts w:ascii="宋体" w:hAnsi="宋体" w:eastAsia="宋体"/>
                <w:sz w:val="16"/>
              </w:rPr>
              <w:t>药品零差率补助资金</w:t>
            </w:r>
          </w:p>
        </w:tc>
      </w:tr>
      <w:tr w14:paraId="244C86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65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260A9">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96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ADFCD0">
            <w:pPr>
              <w:jc w:val="center"/>
            </w:pPr>
            <w:r>
              <w:rPr>
                <w:rFonts w:ascii="宋体" w:hAnsi="宋体" w:eastAsia="宋体"/>
                <w:sz w:val="16"/>
              </w:rPr>
              <w:t>吉木萨尔县中医医院</w:t>
            </w:r>
          </w:p>
        </w:tc>
      </w:tr>
      <w:tr w14:paraId="1C91C4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FB4A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E7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18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84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453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8A9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357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ECA9">
            <w:pPr>
              <w:jc w:val="center"/>
            </w:pPr>
            <w:r>
              <w:rPr>
                <w:rFonts w:ascii="宋体" w:hAnsi="宋体" w:eastAsia="宋体"/>
                <w:sz w:val="16"/>
              </w:rPr>
              <w:t>得分</w:t>
            </w:r>
          </w:p>
        </w:tc>
      </w:tr>
      <w:tr w14:paraId="0064B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C43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1FA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620FB">
            <w:pPr>
              <w:jc w:val="center"/>
            </w:pPr>
            <w:r>
              <w:rPr>
                <w:rFonts w:ascii="宋体" w:hAnsi="宋体" w:eastAsia="宋体"/>
                <w:sz w:val="16"/>
              </w:rPr>
              <w:t>355.50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51F56">
            <w:pPr>
              <w:jc w:val="center"/>
            </w:pPr>
            <w:r>
              <w:rPr>
                <w:rFonts w:ascii="宋体" w:hAnsi="宋体" w:eastAsia="宋体"/>
                <w:sz w:val="16"/>
              </w:rPr>
              <w:t>355.50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7ABA">
            <w:pPr>
              <w:jc w:val="center"/>
            </w:pPr>
            <w:r>
              <w:rPr>
                <w:rFonts w:ascii="宋体" w:hAnsi="宋体" w:eastAsia="宋体"/>
                <w:sz w:val="16"/>
              </w:rPr>
              <w:t>355.50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5EC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F11B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F765">
            <w:pPr>
              <w:jc w:val="center"/>
            </w:pPr>
            <w:r>
              <w:rPr>
                <w:rFonts w:ascii="宋体" w:hAnsi="宋体" w:eastAsia="宋体"/>
                <w:sz w:val="16"/>
              </w:rPr>
              <w:t>10.00</w:t>
            </w:r>
          </w:p>
        </w:tc>
      </w:tr>
      <w:tr w14:paraId="7FF02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D71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F4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F3DEC">
            <w:pPr>
              <w:jc w:val="center"/>
            </w:pPr>
            <w:r>
              <w:rPr>
                <w:rFonts w:ascii="宋体" w:hAnsi="宋体" w:eastAsia="宋体"/>
                <w:sz w:val="16"/>
              </w:rPr>
              <w:t>355.50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EB33A">
            <w:pPr>
              <w:jc w:val="center"/>
            </w:pPr>
            <w:r>
              <w:rPr>
                <w:rFonts w:ascii="宋体" w:hAnsi="宋体" w:eastAsia="宋体"/>
                <w:sz w:val="16"/>
              </w:rPr>
              <w:t>355.50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16B72">
            <w:pPr>
              <w:jc w:val="center"/>
            </w:pPr>
            <w:r>
              <w:rPr>
                <w:rFonts w:ascii="宋体" w:hAnsi="宋体" w:eastAsia="宋体"/>
                <w:sz w:val="16"/>
              </w:rPr>
              <w:t>355.50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A66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34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CBE1">
            <w:pPr>
              <w:jc w:val="center"/>
            </w:pPr>
            <w:r>
              <w:rPr>
                <w:rFonts w:ascii="宋体" w:hAnsi="宋体" w:eastAsia="宋体"/>
                <w:sz w:val="16"/>
              </w:rPr>
              <w:t>—</w:t>
            </w:r>
          </w:p>
        </w:tc>
      </w:tr>
      <w:tr w14:paraId="0578D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B1D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AB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E2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A10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568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1D2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7C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FED0">
            <w:pPr>
              <w:jc w:val="center"/>
            </w:pPr>
            <w:r>
              <w:rPr>
                <w:rFonts w:ascii="宋体" w:hAnsi="宋体" w:eastAsia="宋体"/>
                <w:sz w:val="16"/>
              </w:rPr>
              <w:t>—</w:t>
            </w:r>
          </w:p>
        </w:tc>
      </w:tr>
      <w:tr w14:paraId="3A0CD7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5EB6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4F9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6E6C34">
            <w:pPr>
              <w:jc w:val="center"/>
            </w:pPr>
            <w:r>
              <w:rPr>
                <w:rFonts w:ascii="宋体" w:hAnsi="宋体" w:eastAsia="宋体"/>
                <w:sz w:val="16"/>
              </w:rPr>
              <w:t>实际完成情况</w:t>
            </w:r>
          </w:p>
        </w:tc>
      </w:tr>
      <w:tr w14:paraId="0F923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506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3835D">
            <w:pPr>
              <w:jc w:val="both"/>
            </w:pPr>
            <w:r>
              <w:rPr>
                <w:rFonts w:ascii="宋体" w:hAnsi="宋体" w:eastAsia="宋体"/>
                <w:sz w:val="16"/>
              </w:rPr>
              <w:t>随着医疗卫生事业的不断发展和国民健康水平的提高，人们对医疗服务和药品质量越来越高。为进一步提高县级公立医院药品销售质量和效率，实行“零差率”销售。该项目用于支付欠药品款，缓解医院经济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4F746">
            <w:pPr>
              <w:jc w:val="both"/>
            </w:pPr>
            <w:r>
              <w:rPr>
                <w:rFonts w:ascii="宋体" w:hAnsi="宋体" w:eastAsia="宋体"/>
                <w:sz w:val="16"/>
              </w:rPr>
              <w:t>截至2024年12月31日，本项目实际支出资金355.5万元，预算执行率100%。通过实施本项目，进一步提高县级公立医院药品销售质量和效率，实行“零差率”销售。该项目用于支付欠药品款，缓解医院经济压力。</w:t>
            </w:r>
          </w:p>
        </w:tc>
      </w:tr>
      <w:tr w14:paraId="49B6B3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F39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A9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A1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80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4D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112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5C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5E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0E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F4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F3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2B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20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3502">
            <w:pPr>
              <w:jc w:val="center"/>
            </w:pPr>
            <w:r>
              <w:rPr>
                <w:rFonts w:ascii="宋体" w:hAnsi="宋体" w:eastAsia="宋体"/>
                <w:sz w:val="16"/>
              </w:rPr>
              <w:t>偏差原因分析及改进措施</w:t>
            </w:r>
          </w:p>
        </w:tc>
      </w:tr>
      <w:tr w14:paraId="5775DA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64A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CBAC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BE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B504">
            <w:pPr>
              <w:jc w:val="center"/>
            </w:pPr>
            <w:r>
              <w:rPr>
                <w:rFonts w:ascii="宋体" w:hAnsi="宋体" w:eastAsia="宋体"/>
                <w:sz w:val="16"/>
              </w:rPr>
              <w:t>支付药品供应商数量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CA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5435">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EC43">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2FBE">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21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296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C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AE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8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1CA0">
            <w:pPr>
              <w:jc w:val="center"/>
            </w:pPr>
            <w:r>
              <w:rPr>
                <w:rFonts w:ascii="宋体" w:hAnsi="宋体" w:eastAsia="宋体"/>
                <w:sz w:val="16"/>
              </w:rPr>
              <w:t>设置目标表不精准导致超额完成。</w:t>
            </w:r>
          </w:p>
        </w:tc>
      </w:tr>
      <w:tr w14:paraId="1CE11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3D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FC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E6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C166">
            <w:pPr>
              <w:jc w:val="center"/>
            </w:pPr>
            <w:r>
              <w:rPr>
                <w:rFonts w:ascii="宋体" w:hAnsi="宋体" w:eastAsia="宋体"/>
                <w:sz w:val="16"/>
              </w:rPr>
              <w:t>药品入库合格率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6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1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0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4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3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A1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1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86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F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CF50">
            <w:pPr>
              <w:jc w:val="center"/>
            </w:pPr>
          </w:p>
        </w:tc>
      </w:tr>
      <w:tr w14:paraId="7C2E1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BE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B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20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F807">
            <w:pPr>
              <w:jc w:val="center"/>
            </w:pPr>
            <w:r>
              <w:rPr>
                <w:rFonts w:ascii="宋体" w:hAnsi="宋体" w:eastAsia="宋体"/>
                <w:sz w:val="16"/>
              </w:rPr>
              <w:t>药品入库及时率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E8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4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A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F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F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8FF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74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F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E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57EF">
            <w:pPr>
              <w:jc w:val="center"/>
            </w:pPr>
          </w:p>
        </w:tc>
      </w:tr>
      <w:tr w14:paraId="1FB95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D0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5A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55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E9D6">
            <w:pPr>
              <w:jc w:val="center"/>
            </w:pPr>
            <w:r>
              <w:rPr>
                <w:rFonts w:ascii="宋体" w:hAnsi="宋体" w:eastAsia="宋体"/>
                <w:sz w:val="16"/>
              </w:rPr>
              <w:t>平均每家药品公司支付成本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E9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D7C1">
            <w:pPr>
              <w:jc w:val="center"/>
            </w:pPr>
            <w:r>
              <w:rPr>
                <w:rFonts w:ascii="宋体" w:hAnsi="宋体" w:eastAsia="宋体"/>
                <w:sz w:val="16"/>
              </w:rPr>
              <w:t>&lt;=72万元/家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B3E7">
            <w:pPr>
              <w:jc w:val="center"/>
            </w:pPr>
            <w:r>
              <w:rPr>
                <w:rFonts w:ascii="宋体" w:hAnsi="宋体" w:eastAsia="宋体"/>
                <w:sz w:val="16"/>
              </w:rPr>
              <w:t>=39.5万元/家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9F6A">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0C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342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A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D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9A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314E">
            <w:pPr>
              <w:jc w:val="center"/>
            </w:pPr>
            <w:r>
              <w:rPr>
                <w:rFonts w:ascii="宋体" w:hAnsi="宋体" w:eastAsia="宋体"/>
                <w:sz w:val="16"/>
              </w:rPr>
              <w:t>设置目标表不精准导致超额完成。</w:t>
            </w:r>
          </w:p>
        </w:tc>
      </w:tr>
      <w:tr w14:paraId="7FDB5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C5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79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08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3FB2">
            <w:pPr>
              <w:jc w:val="center"/>
            </w:pPr>
            <w:r>
              <w:rPr>
                <w:rFonts w:ascii="宋体" w:hAnsi="宋体" w:eastAsia="宋体"/>
                <w:sz w:val="16"/>
              </w:rPr>
              <w:t>促进县级医疗卫生事业发展，确保患者用药质量和用药费用的合理性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1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2C3F">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1D5E">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D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5E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52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5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03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0E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56F4">
            <w:pPr>
              <w:jc w:val="center"/>
            </w:pPr>
          </w:p>
        </w:tc>
      </w:tr>
      <w:tr w14:paraId="0E0F1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84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0ABC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5C5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AA8D">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E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DB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7F1C">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E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5E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4EE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B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58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F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E828">
            <w:pPr>
              <w:jc w:val="center"/>
            </w:pPr>
          </w:p>
        </w:tc>
      </w:tr>
      <w:tr w14:paraId="2415A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64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CF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07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E4ED">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3F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71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20D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1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C0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E07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B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D3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B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2A87">
            <w:pPr>
              <w:jc w:val="center"/>
            </w:pPr>
          </w:p>
        </w:tc>
      </w:tr>
      <w:tr w14:paraId="7E2B9D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6A83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D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E81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203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36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130E">
            <w:pPr>
              <w:jc w:val="center"/>
            </w:pPr>
            <w:r>
              <w:rPr>
                <w:rFonts w:ascii="宋体" w:hAnsi="宋体" w:eastAsia="宋体"/>
                <w:sz w:val="16"/>
              </w:rPr>
              <w:t>64.00分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BBB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3AC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666F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A29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A9CBF"/>
        </w:tc>
      </w:tr>
    </w:tbl>
    <w:p w14:paraId="0BDC3BB1">
      <w:r>
        <w:br w:type="page"/>
      </w:r>
    </w:p>
    <w:p w14:paraId="317539EF">
      <w:pPr>
        <w:spacing w:line="640" w:lineRule="exact"/>
        <w:ind w:firstLine="640"/>
        <w:jc w:val="both"/>
        <w:outlineLvl w:val="2"/>
      </w:pPr>
      <w:r>
        <w:rPr>
          <w:rFonts w:ascii="黑体" w:hAnsi="黑体" w:eastAsia="黑体"/>
          <w:sz w:val="32"/>
        </w:rPr>
        <w:t>十二、其他需说明的事项</w:t>
      </w:r>
    </w:p>
    <w:p w14:paraId="30CD89F4">
      <w:pPr>
        <w:spacing w:line="580" w:lineRule="exact"/>
        <w:ind w:firstLine="640"/>
        <w:jc w:val="both"/>
      </w:pPr>
      <w:r>
        <w:rPr>
          <w:rFonts w:ascii="仿宋_GB2312" w:hAnsi="仿宋_GB2312" w:eastAsia="仿宋_GB2312"/>
          <w:b w:val="0"/>
          <w:sz w:val="32"/>
        </w:rPr>
        <w:t>本单位无其他需说明的事项。</w:t>
      </w:r>
    </w:p>
    <w:p w14:paraId="00C3CDA9">
      <w:r>
        <w:br w:type="page"/>
      </w:r>
    </w:p>
    <w:p w14:paraId="2554F7A9">
      <w:pPr>
        <w:spacing w:line="240" w:lineRule="auto"/>
        <w:jc w:val="center"/>
        <w:outlineLvl w:val="1"/>
      </w:pPr>
      <w:r>
        <w:rPr>
          <w:rFonts w:ascii="黑体" w:hAnsi="黑体" w:eastAsia="黑体"/>
          <w:sz w:val="32"/>
        </w:rPr>
        <w:t>第三部分 专业名词解释</w:t>
      </w:r>
    </w:p>
    <w:p w14:paraId="269C079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341C6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27E609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8F191E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A77EF4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442BD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44BD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68086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92832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65A09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E9110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956BA5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73188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6E530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CCEC41">
      <w:r>
        <w:br w:type="page"/>
      </w:r>
    </w:p>
    <w:p w14:paraId="6ED90EF0">
      <w:pPr>
        <w:spacing w:line="240" w:lineRule="auto"/>
        <w:jc w:val="center"/>
        <w:outlineLvl w:val="1"/>
      </w:pPr>
      <w:r>
        <w:rPr>
          <w:rFonts w:ascii="黑体" w:hAnsi="黑体" w:eastAsia="黑体"/>
          <w:sz w:val="32"/>
        </w:rPr>
        <w:t>第四部分 部门决算报表（见附表）</w:t>
      </w:r>
    </w:p>
    <w:p w14:paraId="035B0F17">
      <w:pPr>
        <w:spacing w:line="240" w:lineRule="auto"/>
        <w:ind w:firstLine="640"/>
        <w:jc w:val="both"/>
      </w:pPr>
      <w:r>
        <w:rPr>
          <w:rFonts w:ascii="仿宋_GB2312" w:hAnsi="仿宋_GB2312" w:eastAsia="仿宋_GB2312"/>
          <w:b w:val="0"/>
          <w:sz w:val="32"/>
        </w:rPr>
        <w:t>一、《收入支出决算总表》</w:t>
      </w:r>
    </w:p>
    <w:p w14:paraId="7CCAB8A3">
      <w:pPr>
        <w:spacing w:line="240" w:lineRule="auto"/>
        <w:ind w:firstLine="640"/>
        <w:jc w:val="both"/>
      </w:pPr>
      <w:r>
        <w:rPr>
          <w:rFonts w:ascii="仿宋_GB2312" w:hAnsi="仿宋_GB2312" w:eastAsia="仿宋_GB2312"/>
          <w:b w:val="0"/>
          <w:sz w:val="32"/>
        </w:rPr>
        <w:t>二、《收入决算表》</w:t>
      </w:r>
    </w:p>
    <w:p w14:paraId="78F70738">
      <w:pPr>
        <w:spacing w:line="240" w:lineRule="auto"/>
        <w:ind w:firstLine="640"/>
        <w:jc w:val="both"/>
      </w:pPr>
      <w:r>
        <w:rPr>
          <w:rFonts w:ascii="仿宋_GB2312" w:hAnsi="仿宋_GB2312" w:eastAsia="仿宋_GB2312"/>
          <w:b w:val="0"/>
          <w:sz w:val="32"/>
        </w:rPr>
        <w:t>三、《支出决算表》</w:t>
      </w:r>
    </w:p>
    <w:p w14:paraId="3945B3DA">
      <w:pPr>
        <w:spacing w:line="240" w:lineRule="auto"/>
        <w:ind w:firstLine="640"/>
        <w:jc w:val="both"/>
      </w:pPr>
      <w:r>
        <w:rPr>
          <w:rFonts w:ascii="仿宋_GB2312" w:hAnsi="仿宋_GB2312" w:eastAsia="仿宋_GB2312"/>
          <w:b w:val="0"/>
          <w:sz w:val="32"/>
        </w:rPr>
        <w:t>四、《财政拨款收入支出决算总表》</w:t>
      </w:r>
    </w:p>
    <w:p w14:paraId="252A5C78">
      <w:pPr>
        <w:spacing w:line="240" w:lineRule="auto"/>
        <w:ind w:firstLine="640"/>
        <w:jc w:val="both"/>
      </w:pPr>
      <w:r>
        <w:rPr>
          <w:rFonts w:ascii="仿宋_GB2312" w:hAnsi="仿宋_GB2312" w:eastAsia="仿宋_GB2312"/>
          <w:b w:val="0"/>
          <w:sz w:val="32"/>
        </w:rPr>
        <w:t>五、《一般公共预算财政拨款支出决算表》</w:t>
      </w:r>
    </w:p>
    <w:p w14:paraId="1A6A1C77">
      <w:pPr>
        <w:spacing w:line="240" w:lineRule="auto"/>
        <w:ind w:firstLine="640"/>
        <w:jc w:val="both"/>
      </w:pPr>
      <w:r>
        <w:rPr>
          <w:rFonts w:ascii="仿宋_GB2312" w:hAnsi="仿宋_GB2312" w:eastAsia="仿宋_GB2312"/>
          <w:b w:val="0"/>
          <w:sz w:val="32"/>
        </w:rPr>
        <w:t>六、《一般公共预算财政拨款基本支出决算表》</w:t>
      </w:r>
    </w:p>
    <w:p w14:paraId="5D3EB9CE">
      <w:pPr>
        <w:spacing w:line="240" w:lineRule="auto"/>
        <w:ind w:firstLine="640"/>
        <w:jc w:val="both"/>
      </w:pPr>
      <w:r>
        <w:rPr>
          <w:rFonts w:ascii="仿宋_GB2312" w:hAnsi="仿宋_GB2312" w:eastAsia="仿宋_GB2312"/>
          <w:b w:val="0"/>
          <w:sz w:val="32"/>
        </w:rPr>
        <w:t>七、《政府性基金预算财政拨款收入支出决算表》</w:t>
      </w:r>
    </w:p>
    <w:p w14:paraId="5BBB53A2">
      <w:pPr>
        <w:spacing w:line="240" w:lineRule="auto"/>
        <w:ind w:firstLine="640"/>
        <w:jc w:val="both"/>
      </w:pPr>
      <w:r>
        <w:rPr>
          <w:rFonts w:ascii="仿宋_GB2312" w:hAnsi="仿宋_GB2312" w:eastAsia="仿宋_GB2312"/>
          <w:b w:val="0"/>
          <w:sz w:val="32"/>
        </w:rPr>
        <w:t>八、《国有资本经营预算财政拨款收入支出决算表》</w:t>
      </w:r>
    </w:p>
    <w:p w14:paraId="1C75969A">
      <w:pPr>
        <w:spacing w:line="240" w:lineRule="auto"/>
        <w:ind w:firstLine="640"/>
        <w:jc w:val="both"/>
      </w:pPr>
      <w:r>
        <w:rPr>
          <w:rFonts w:ascii="仿宋_GB2312" w:hAnsi="仿宋_GB2312" w:eastAsia="仿宋_GB2312"/>
          <w:b w:val="0"/>
          <w:sz w:val="32"/>
        </w:rPr>
        <w:t>九、《财政拨款“三公”经费支出决算表》</w:t>
      </w:r>
    </w:p>
    <w:p w14:paraId="085F7535">
      <w:pPr>
        <w:spacing w:line="240" w:lineRule="auto"/>
        <w:ind w:firstLine="640"/>
        <w:jc w:val="both"/>
      </w:pPr>
    </w:p>
    <w:p w14:paraId="2FD85CD1">
      <w:pPr>
        <w:spacing w:line="240" w:lineRule="auto"/>
        <w:ind w:firstLine="640"/>
        <w:jc w:val="both"/>
      </w:pPr>
    </w:p>
    <w:p w14:paraId="4798A530">
      <w:pPr>
        <w:spacing w:line="240" w:lineRule="auto"/>
        <w:ind w:firstLine="640"/>
        <w:jc w:val="both"/>
      </w:pPr>
    </w:p>
    <w:p w14:paraId="7F2FDBDE">
      <w:pPr>
        <w:spacing w:line="240" w:lineRule="auto"/>
        <w:ind w:firstLine="640"/>
        <w:jc w:val="both"/>
      </w:pPr>
    </w:p>
    <w:p w14:paraId="1F9F7CF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DD39C4-31D1-4349-A9C7-5A8C67733A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7FD7379-C43F-4F3D-B6E3-0DF9C1555118}"/>
  </w:font>
  <w:font w:name="仿宋_GB2312">
    <w:panose1 w:val="02010609030101010101"/>
    <w:charset w:val="86"/>
    <w:family w:val="modern"/>
    <w:pitch w:val="default"/>
    <w:sig w:usb0="00000001" w:usb1="080E0000" w:usb2="00000000" w:usb3="00000000" w:csb0="00040000" w:csb1="00000000"/>
    <w:embedRegular r:id="rId3" w:fontKey="{CB164E87-1F98-452C-B8F9-BE38F4FD402D}"/>
  </w:font>
  <w:font w:name="楷体_GB2312">
    <w:panose1 w:val="02010609030101010101"/>
    <w:charset w:val="86"/>
    <w:family w:val="auto"/>
    <w:pitch w:val="default"/>
    <w:sig w:usb0="00000001" w:usb1="080E0000" w:usb2="00000000" w:usb3="00000000" w:csb0="00040000" w:csb1="00000000"/>
    <w:embedRegular r:id="rId4" w:fontKey="{15875D0B-5558-493B-B283-F23E67E0775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AD3CD9"/>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BA2D2A"/>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1966</Words>
  <Characters>2314</Characters>
  <Lines>0</Lines>
  <Paragraphs>0</Paragraphs>
  <TotalTime>13</TotalTime>
  <ScaleCrop>false</ScaleCrop>
  <LinksUpToDate>false</LinksUpToDate>
  <CharactersWithSpaces>2322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2025-10-14T04:57:06Z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