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中共吉木萨尔县委员会直属机关工作委员会2024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F8BE1E">
      <w:r>
        <w:br w:type="page"/>
      </w:r>
    </w:p>
    <w:p w14:paraId="297FD891">
      <w:pPr>
        <w:spacing w:line="640" w:lineRule="exact"/>
        <w:jc w:val="center"/>
        <w:outlineLvl w:val="1"/>
      </w:pPr>
      <w:r>
        <w:rPr>
          <w:rFonts w:ascii="黑体" w:hAnsi="黑体" w:eastAsia="黑体"/>
          <w:sz w:val="32"/>
        </w:rPr>
        <w:t>第一部分 单位概况</w:t>
      </w:r>
    </w:p>
    <w:p w14:paraId="1DCB2BAA">
      <w:pPr>
        <w:spacing w:line="640" w:lineRule="exact"/>
        <w:ind w:firstLine="640"/>
        <w:jc w:val="both"/>
        <w:outlineLvl w:val="2"/>
      </w:pPr>
      <w:r>
        <w:rPr>
          <w:rFonts w:ascii="黑体" w:hAnsi="黑体" w:eastAsia="黑体"/>
          <w:sz w:val="32"/>
        </w:rPr>
        <w:t>一、主要职能</w:t>
      </w:r>
    </w:p>
    <w:p w14:paraId="38372CF2">
      <w:pPr>
        <w:spacing w:line="580" w:lineRule="exact"/>
        <w:ind w:firstLine="640"/>
        <w:jc w:val="both"/>
      </w:pPr>
      <w:r>
        <w:rPr>
          <w:rFonts w:ascii="仿宋_GB2312" w:hAnsi="仿宋_GB2312" w:eastAsia="仿宋_GB2312"/>
          <w:sz w:val="32"/>
        </w:rPr>
        <w:t>(一)统一组织、规划、部署县直属机关党的工作，提出加强和改进机关党的建设的意见和建议，研究制定工作规划，并抓好组织实施。</w:t>
      </w:r>
    </w:p>
    <w:p w14:paraId="56CF2AF2">
      <w:pPr>
        <w:spacing w:line="580" w:lineRule="exact"/>
        <w:ind w:firstLine="640"/>
        <w:jc w:val="both"/>
      </w:pPr>
      <w:r>
        <w:rPr>
          <w:rFonts w:ascii="仿宋_GB2312" w:hAnsi="仿宋_GB2312" w:eastAsia="仿宋_GB2312"/>
          <w:sz w:val="32"/>
        </w:rPr>
        <w:t>(二)指导督促县直属机关党组织认真履行机关党建主体责任、指导县直属机关党的政治建设、思想建设、组织建设、作风建设、纪律建设，把制度建设贯穿其中，深入推进反腐败斗争。</w:t>
      </w:r>
    </w:p>
    <w:p w14:paraId="4DFD44CB">
      <w:pPr>
        <w:spacing w:line="580" w:lineRule="exact"/>
        <w:ind w:firstLine="640"/>
        <w:jc w:val="both"/>
      </w:pPr>
      <w:r>
        <w:rPr>
          <w:rFonts w:ascii="仿宋_GB2312" w:hAnsi="仿宋_GB2312" w:eastAsia="仿宋_GB2312"/>
          <w:sz w:val="32"/>
        </w:rPr>
        <w:t>(三)指导县直属机关各级党组织和广大党员学习马克思列宁主义、毛泽东思想、邓小平理论，“三个代表”重要思想，科学发展观、习近平新时代中国特色社会主义思想。</w:t>
      </w:r>
    </w:p>
    <w:p w14:paraId="2633ED88">
      <w:pPr>
        <w:spacing w:line="580" w:lineRule="exact"/>
        <w:ind w:firstLine="640"/>
        <w:jc w:val="both"/>
      </w:pPr>
      <w:r>
        <w:rPr>
          <w:rFonts w:ascii="仿宋_GB2312" w:hAnsi="仿宋_GB2312" w:eastAsia="仿宋_GB2312"/>
          <w:sz w:val="32"/>
        </w:rPr>
        <w:t>(四)对县直属机关各级党组织、党员领导干部落实党建责任</w:t>
      </w:r>
      <w:r>
        <w:rPr>
          <w:rFonts w:ascii="仿宋_GB2312" w:hAnsi="仿宋_GB2312" w:eastAsia="仿宋_GB2312"/>
          <w:w w:val="97"/>
          <w:sz w:val="32"/>
        </w:rPr>
        <w:t>制，遵守政治纪律和政治规矩情况进行监督检查，并向县党委报告。</w:t>
      </w:r>
    </w:p>
    <w:p w14:paraId="4AFF6532">
      <w:pPr>
        <w:spacing w:line="580" w:lineRule="exact"/>
        <w:ind w:firstLine="640"/>
        <w:jc w:val="both"/>
        <w:rPr>
          <w:w w:val="96"/>
          <w:sz w:val="32"/>
        </w:rPr>
      </w:pPr>
      <w:r>
        <w:rPr>
          <w:rFonts w:ascii="仿宋_GB2312" w:hAnsi="仿宋_GB2312" w:eastAsia="仿宋_GB2312"/>
          <w:w w:val="96"/>
          <w:sz w:val="32"/>
        </w:rPr>
        <w:t>(五)做好县直属机关各党组织组织生活会的监督、检查和指导。</w:t>
      </w:r>
    </w:p>
    <w:p w14:paraId="5B29AB13">
      <w:pPr>
        <w:spacing w:line="580" w:lineRule="exact"/>
        <w:ind w:firstLine="640"/>
        <w:jc w:val="both"/>
      </w:pPr>
      <w:r>
        <w:rPr>
          <w:rFonts w:ascii="仿宋_GB2312" w:hAnsi="仿宋_GB2312" w:eastAsia="仿宋_GB2312"/>
          <w:sz w:val="32"/>
        </w:rPr>
        <w:t>(六)审批县直属机关各党组织的建立，督促指导县直属机关各党组织按期换届，审批关于召开党员大会或党员代表大会的请示，审批县直属机关各党组织领导班子的任免。</w:t>
      </w:r>
    </w:p>
    <w:p w14:paraId="17E4DFFE">
      <w:pPr>
        <w:spacing w:line="580" w:lineRule="exact"/>
        <w:ind w:firstLine="640"/>
        <w:jc w:val="both"/>
      </w:pPr>
      <w:r>
        <w:rPr>
          <w:rFonts w:ascii="仿宋_GB2312" w:hAnsi="仿宋_GB2312" w:eastAsia="仿宋_GB2312"/>
          <w:sz w:val="32"/>
        </w:rPr>
        <w:t>(七)指导县直属机关各党组织加强基</w:t>
      </w:r>
      <w:r>
        <w:rPr>
          <w:rFonts w:hint="eastAsia" w:ascii="仿宋_GB2312" w:hAnsi="仿宋_GB2312" w:eastAsia="仿宋_GB2312"/>
          <w:sz w:val="32"/>
          <w:lang w:eastAsia="zh-CN"/>
        </w:rPr>
        <w:t>层党</w:t>
      </w:r>
      <w:r>
        <w:rPr>
          <w:rFonts w:ascii="仿宋_GB2312" w:hAnsi="仿宋_GB2312" w:eastAsia="仿宋_GB2312"/>
          <w:sz w:val="32"/>
        </w:rPr>
        <w:t>组织建设，做好党员发展、教育、管理和监督等工作。</w:t>
      </w:r>
    </w:p>
    <w:p w14:paraId="22A3764E">
      <w:pPr>
        <w:spacing w:line="580" w:lineRule="exact"/>
        <w:ind w:firstLine="640"/>
        <w:jc w:val="both"/>
      </w:pPr>
      <w:r>
        <w:rPr>
          <w:rFonts w:ascii="仿宋_GB2312" w:hAnsi="仿宋_GB2312" w:eastAsia="仿宋_GB2312"/>
          <w:sz w:val="32"/>
        </w:rPr>
        <w:t>(八)指导县直属机</w:t>
      </w:r>
      <w:r>
        <w:rPr>
          <w:rFonts w:hint="eastAsia" w:ascii="仿宋_GB2312" w:hAnsi="仿宋_GB2312" w:eastAsia="仿宋_GB2312"/>
          <w:sz w:val="32"/>
          <w:lang w:eastAsia="zh-CN"/>
        </w:rPr>
        <w:t>关和</w:t>
      </w:r>
      <w:r>
        <w:rPr>
          <w:rFonts w:ascii="仿宋_GB2312" w:hAnsi="仿宋_GB2312" w:eastAsia="仿宋_GB2312"/>
          <w:sz w:val="32"/>
        </w:rPr>
        <w:t>各部门机关党的纪律检查工作。</w:t>
      </w:r>
    </w:p>
    <w:p w14:paraId="7CCFA202">
      <w:pPr>
        <w:spacing w:line="580" w:lineRule="exact"/>
        <w:ind w:firstLine="640"/>
        <w:jc w:val="both"/>
      </w:pPr>
      <w:r>
        <w:rPr>
          <w:rFonts w:ascii="仿宋_GB2312" w:hAnsi="仿宋_GB2312" w:eastAsia="仿宋_GB2312"/>
          <w:sz w:val="32"/>
        </w:rPr>
        <w:t>(九)了解掌握县直属机关工作人员的思想状况，指导县直属机关各级党组织加强思想政治工作。</w:t>
      </w:r>
    </w:p>
    <w:p w14:paraId="7A9C2263">
      <w:pPr>
        <w:spacing w:line="580" w:lineRule="exact"/>
        <w:ind w:firstLine="640"/>
        <w:jc w:val="both"/>
      </w:pPr>
      <w:r>
        <w:rPr>
          <w:rFonts w:ascii="仿宋_GB2312" w:hAnsi="仿宋_GB2312" w:eastAsia="仿宋_GB2312"/>
          <w:sz w:val="32"/>
        </w:rPr>
        <w:t>(十)协同有关部门指导、规划、协调、监督、检查县直属机关党员教育培训工作，培训轮训县直属机关党员和发展对象。</w:t>
      </w:r>
    </w:p>
    <w:p w14:paraId="610BAE94">
      <w:pPr>
        <w:spacing w:line="580" w:lineRule="exact"/>
        <w:ind w:firstLine="640"/>
        <w:jc w:val="both"/>
      </w:pPr>
      <w:r>
        <w:rPr>
          <w:rFonts w:ascii="仿宋_GB2312" w:hAnsi="仿宋_GB2312" w:eastAsia="仿宋_GB2312"/>
          <w:sz w:val="32"/>
        </w:rPr>
        <w:t>(十一)完成县党委交办的其他任务。</w:t>
      </w:r>
    </w:p>
    <w:p w14:paraId="2487294F">
      <w:pPr>
        <w:spacing w:line="640" w:lineRule="exact"/>
        <w:ind w:firstLine="640"/>
        <w:jc w:val="both"/>
        <w:outlineLvl w:val="2"/>
      </w:pPr>
      <w:r>
        <w:rPr>
          <w:rFonts w:ascii="黑体" w:hAnsi="黑体" w:eastAsia="黑体"/>
          <w:sz w:val="32"/>
        </w:rPr>
        <w:t>二、机构设置及人员情况</w:t>
      </w:r>
    </w:p>
    <w:p w14:paraId="5282C46A">
      <w:pPr>
        <w:spacing w:line="580" w:lineRule="exact"/>
        <w:ind w:firstLine="640"/>
        <w:jc w:val="both"/>
      </w:pPr>
      <w:r>
        <w:rPr>
          <w:rFonts w:ascii="仿宋_GB2312" w:hAnsi="仿宋_GB2312" w:eastAsia="仿宋_GB2312"/>
          <w:sz w:val="32"/>
        </w:rPr>
        <w:t>中共吉木萨尔县委员会直属机关工作委员会2024年度，实有人数9人，其中：在职人员6人，减少5人；离休人员0人，增加0人；退休人员3人,增加0人。</w:t>
      </w:r>
    </w:p>
    <w:p w14:paraId="4E9BDC38">
      <w:pPr>
        <w:spacing w:line="580" w:lineRule="exact"/>
        <w:ind w:firstLine="640"/>
        <w:jc w:val="both"/>
      </w:pPr>
      <w:r>
        <w:rPr>
          <w:rFonts w:ascii="仿宋_GB2312" w:hAnsi="仿宋_GB2312" w:eastAsia="仿宋_GB2312"/>
          <w:sz w:val="32"/>
        </w:rPr>
        <w:t>中共吉木萨尔县委员会直属机关工作委员会无下属预算单位，下设2个科室，分别是：行政办公室、党建办公室。</w:t>
      </w:r>
    </w:p>
    <w:p w14:paraId="18C611BE">
      <w:r>
        <w:br w:type="page"/>
      </w:r>
    </w:p>
    <w:p w14:paraId="0012F1F8">
      <w:pPr>
        <w:spacing w:line="240" w:lineRule="auto"/>
        <w:jc w:val="center"/>
        <w:outlineLvl w:val="1"/>
      </w:pPr>
      <w:r>
        <w:rPr>
          <w:rFonts w:ascii="黑体" w:hAnsi="黑体" w:eastAsia="黑体"/>
          <w:sz w:val="32"/>
        </w:rPr>
        <w:t>第二部分 部门决算情况说明</w:t>
      </w:r>
    </w:p>
    <w:p w14:paraId="6F21658C">
      <w:pPr>
        <w:spacing w:line="640" w:lineRule="exact"/>
        <w:ind w:firstLine="640"/>
        <w:jc w:val="both"/>
        <w:outlineLvl w:val="2"/>
      </w:pPr>
      <w:r>
        <w:rPr>
          <w:rFonts w:ascii="黑体" w:hAnsi="黑体" w:eastAsia="黑体"/>
          <w:sz w:val="32"/>
        </w:rPr>
        <w:t>一、收入支出决算总体情况说明</w:t>
      </w:r>
    </w:p>
    <w:p w14:paraId="426BBE5F">
      <w:pPr>
        <w:spacing w:line="580" w:lineRule="exact"/>
        <w:ind w:firstLine="640"/>
        <w:jc w:val="both"/>
      </w:pPr>
      <w:r>
        <w:rPr>
          <w:rFonts w:ascii="仿宋_GB2312" w:hAnsi="仿宋_GB2312" w:eastAsia="仿宋_GB2312"/>
          <w:b/>
          <w:sz w:val="32"/>
        </w:rPr>
        <w:t>2024年度收入总计207.96万元，</w:t>
      </w:r>
      <w:r>
        <w:rPr>
          <w:rFonts w:ascii="仿宋_GB2312" w:hAnsi="仿宋_GB2312" w:eastAsia="仿宋_GB2312"/>
          <w:b w:val="0"/>
          <w:sz w:val="32"/>
        </w:rPr>
        <w:t>其中：本年收入合计207.96万元，使用非财政拨款结余（含专用结余）0.00万元，年初结转和结余0.00万元。</w:t>
      </w:r>
    </w:p>
    <w:p w14:paraId="6DDD2622">
      <w:pPr>
        <w:spacing w:line="580" w:lineRule="exact"/>
        <w:ind w:firstLine="640"/>
        <w:jc w:val="both"/>
      </w:pPr>
      <w:r>
        <w:rPr>
          <w:rFonts w:ascii="仿宋_GB2312" w:hAnsi="仿宋_GB2312" w:eastAsia="仿宋_GB2312"/>
          <w:b/>
          <w:sz w:val="32"/>
        </w:rPr>
        <w:t>2024年度支出总计207.96万元，</w:t>
      </w:r>
      <w:r>
        <w:rPr>
          <w:rFonts w:ascii="仿宋_GB2312" w:hAnsi="仿宋_GB2312" w:eastAsia="仿宋_GB2312"/>
          <w:b w:val="0"/>
          <w:sz w:val="32"/>
        </w:rPr>
        <w:t>其中：本年支出合计206.93万元，结余分配0.00万元，年末结转和结余1.02万元。</w:t>
      </w:r>
    </w:p>
    <w:p w14:paraId="72D54488">
      <w:pPr>
        <w:spacing w:line="580" w:lineRule="exact"/>
        <w:ind w:firstLine="640"/>
        <w:jc w:val="both"/>
      </w:pPr>
      <w:r>
        <w:rPr>
          <w:rFonts w:ascii="仿宋_GB2312" w:hAnsi="仿宋_GB2312" w:eastAsia="仿宋_GB2312"/>
          <w:b w:val="0"/>
          <w:sz w:val="32"/>
        </w:rPr>
        <w:t>收入支出总体与上年相比，减少29.15万元，下降12.29%，主要原因是：因机构改革，人员调至组织部和社工部，人员减少，人员经费减少；减少困难党员慰问费。</w:t>
      </w:r>
    </w:p>
    <w:p w14:paraId="072F6272">
      <w:pPr>
        <w:spacing w:line="640" w:lineRule="exact"/>
        <w:ind w:firstLine="640"/>
        <w:jc w:val="both"/>
        <w:outlineLvl w:val="2"/>
      </w:pPr>
      <w:r>
        <w:rPr>
          <w:rFonts w:ascii="黑体" w:hAnsi="黑体" w:eastAsia="黑体"/>
          <w:sz w:val="32"/>
        </w:rPr>
        <w:t>二、收入决算情况说明</w:t>
      </w:r>
    </w:p>
    <w:p w14:paraId="1B659008">
      <w:pPr>
        <w:spacing w:line="580" w:lineRule="exact"/>
        <w:ind w:firstLine="640"/>
        <w:jc w:val="both"/>
      </w:pPr>
      <w:r>
        <w:rPr>
          <w:rFonts w:ascii="仿宋_GB2312" w:hAnsi="仿宋_GB2312" w:eastAsia="仿宋_GB2312"/>
          <w:b/>
          <w:sz w:val="32"/>
        </w:rPr>
        <w:t>本年收入207.96万元，</w:t>
      </w:r>
      <w:r>
        <w:rPr>
          <w:rFonts w:ascii="仿宋_GB2312" w:hAnsi="仿宋_GB2312" w:eastAsia="仿宋_GB2312"/>
          <w:b w:val="0"/>
          <w:sz w:val="32"/>
        </w:rPr>
        <w:t>其中：财政拨款收入206.02万元，占99.07%；上级补助收入0.00万元，占0.00%；事业收入0.00万元，占0.00%；经营收入0.00万元，占0.00%；附属单位上缴收入0.00万元，占0.00%；其他收入1.94万元，占0.93%。</w:t>
      </w:r>
    </w:p>
    <w:p w14:paraId="73343338">
      <w:pPr>
        <w:spacing w:line="640" w:lineRule="exact"/>
        <w:ind w:firstLine="640"/>
        <w:jc w:val="both"/>
        <w:outlineLvl w:val="2"/>
      </w:pPr>
      <w:r>
        <w:rPr>
          <w:rFonts w:ascii="黑体" w:hAnsi="黑体" w:eastAsia="黑体"/>
          <w:sz w:val="32"/>
        </w:rPr>
        <w:t>三、支出决算情况说明</w:t>
      </w:r>
    </w:p>
    <w:p w14:paraId="3BF0A80A">
      <w:pPr>
        <w:spacing w:line="580" w:lineRule="exact"/>
        <w:ind w:firstLine="640"/>
        <w:jc w:val="both"/>
      </w:pPr>
      <w:r>
        <w:rPr>
          <w:rFonts w:ascii="仿宋_GB2312" w:hAnsi="仿宋_GB2312" w:eastAsia="仿宋_GB2312"/>
          <w:b/>
          <w:sz w:val="32"/>
        </w:rPr>
        <w:t>本年支出206.93万元，</w:t>
      </w:r>
      <w:r>
        <w:rPr>
          <w:rFonts w:ascii="仿宋_GB2312" w:hAnsi="仿宋_GB2312" w:eastAsia="仿宋_GB2312"/>
          <w:b w:val="0"/>
          <w:sz w:val="32"/>
        </w:rPr>
        <w:t>其中：基本支出206.93万元，占100.00%；项目支出0.00万元，占0.00%；上缴上级支出0.00万元，占0.00%；经营支出0.00万元，占0.00%；对附属单位补助支出0.00万元，占0.00%。</w:t>
      </w:r>
    </w:p>
    <w:p w14:paraId="1F0B07E6">
      <w:pPr>
        <w:spacing w:line="640" w:lineRule="exact"/>
        <w:ind w:firstLine="640"/>
        <w:jc w:val="both"/>
        <w:outlineLvl w:val="2"/>
      </w:pPr>
      <w:r>
        <w:rPr>
          <w:rFonts w:ascii="黑体" w:hAnsi="黑体" w:eastAsia="黑体"/>
          <w:sz w:val="32"/>
        </w:rPr>
        <w:t>四、财政拨款收入支出决算总体情况说明</w:t>
      </w:r>
    </w:p>
    <w:p w14:paraId="5DEDA647">
      <w:pPr>
        <w:spacing w:line="580" w:lineRule="exact"/>
        <w:ind w:firstLine="640"/>
        <w:jc w:val="both"/>
      </w:pPr>
      <w:r>
        <w:rPr>
          <w:rFonts w:ascii="仿宋_GB2312" w:hAnsi="仿宋_GB2312" w:eastAsia="仿宋_GB2312"/>
          <w:b/>
          <w:sz w:val="32"/>
        </w:rPr>
        <w:t>2024年度财政拨款收入总计206.02万元，</w:t>
      </w:r>
      <w:r>
        <w:rPr>
          <w:rFonts w:ascii="仿宋_GB2312" w:hAnsi="仿宋_GB2312" w:eastAsia="仿宋_GB2312"/>
          <w:b w:val="0"/>
          <w:sz w:val="32"/>
        </w:rPr>
        <w:t>其中：年初财政拨款结转和结余0.00万元，本年财政拨款收入206.02万元。</w:t>
      </w:r>
      <w:r>
        <w:rPr>
          <w:rFonts w:ascii="仿宋_GB2312" w:hAnsi="仿宋_GB2312" w:eastAsia="仿宋_GB2312"/>
          <w:b/>
          <w:sz w:val="32"/>
        </w:rPr>
        <w:t>财政拨款支出总计206.02万元，</w:t>
      </w:r>
      <w:r>
        <w:rPr>
          <w:rFonts w:ascii="仿宋_GB2312" w:hAnsi="仿宋_GB2312" w:eastAsia="仿宋_GB2312"/>
          <w:b w:val="0"/>
          <w:sz w:val="32"/>
        </w:rPr>
        <w:t>其中：年末财政拨款结转和结余0.00万元，本年财政拨款支出206.02万元。</w:t>
      </w:r>
    </w:p>
    <w:p w14:paraId="2641C54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减少28.92万元，下降12.31%，主要原因是：因机构改革，人员调至组织部和社工部，人员减少，人员经费减少。</w:t>
      </w:r>
      <w:r>
        <w:rPr>
          <w:rFonts w:ascii="仿宋_GB2312" w:hAnsi="仿宋_GB2312" w:eastAsia="仿宋_GB2312"/>
          <w:b/>
          <w:sz w:val="32"/>
        </w:rPr>
        <w:t>与年初预算相比，</w:t>
      </w:r>
      <w:r>
        <w:rPr>
          <w:rFonts w:ascii="仿宋_GB2312" w:hAnsi="仿宋_GB2312" w:eastAsia="仿宋_GB2312"/>
          <w:b w:val="0"/>
          <w:sz w:val="32"/>
        </w:rPr>
        <w:t>年初预算数223.35万元，决算数206.02万元，预决算差异率-7.76%，主要原因是：因机构改革，人员调至组织部和社工部，人员减少，年中调减人员经费，导致预决算存在差异。</w:t>
      </w:r>
    </w:p>
    <w:p w14:paraId="2DDA7911">
      <w:pPr>
        <w:spacing w:line="640" w:lineRule="exact"/>
        <w:ind w:firstLine="640"/>
        <w:jc w:val="both"/>
        <w:outlineLvl w:val="2"/>
      </w:pPr>
      <w:r>
        <w:rPr>
          <w:rFonts w:ascii="黑体" w:hAnsi="黑体" w:eastAsia="黑体"/>
          <w:sz w:val="32"/>
        </w:rPr>
        <w:t>五、一般公共预算财政拨款支出决算情况说明</w:t>
      </w:r>
    </w:p>
    <w:p w14:paraId="16464842">
      <w:pPr>
        <w:spacing w:line="640" w:lineRule="exact"/>
        <w:ind w:firstLine="640"/>
        <w:jc w:val="both"/>
        <w:outlineLvl w:val="3"/>
      </w:pPr>
      <w:r>
        <w:rPr>
          <w:rFonts w:ascii="楷体_GB2312" w:hAnsi="楷体_GB2312" w:eastAsia="楷体_GB2312"/>
          <w:b/>
          <w:sz w:val="32"/>
        </w:rPr>
        <w:t>（一）一般公共预算财政拨款支出决算总体情况</w:t>
      </w:r>
    </w:p>
    <w:p w14:paraId="152C8D53">
      <w:pPr>
        <w:spacing w:line="580" w:lineRule="exact"/>
        <w:ind w:firstLine="640"/>
        <w:jc w:val="both"/>
      </w:pPr>
      <w:r>
        <w:rPr>
          <w:rFonts w:ascii="仿宋_GB2312" w:hAnsi="仿宋_GB2312" w:eastAsia="仿宋_GB2312"/>
          <w:b/>
          <w:sz w:val="32"/>
        </w:rPr>
        <w:t>2024年度一般公共预算财政拨款支出206.02万元，</w:t>
      </w:r>
      <w:r>
        <w:rPr>
          <w:rFonts w:ascii="仿宋_GB2312" w:hAnsi="仿宋_GB2312" w:eastAsia="仿宋_GB2312"/>
          <w:b w:val="0"/>
          <w:sz w:val="32"/>
        </w:rPr>
        <w:t>占本年支出合计的99.56%。</w:t>
      </w:r>
      <w:r>
        <w:rPr>
          <w:rFonts w:ascii="仿宋_GB2312" w:hAnsi="仿宋_GB2312" w:eastAsia="仿宋_GB2312"/>
          <w:b/>
          <w:sz w:val="32"/>
        </w:rPr>
        <w:t>与上年相比，</w:t>
      </w:r>
      <w:r>
        <w:rPr>
          <w:rFonts w:ascii="仿宋_GB2312" w:hAnsi="仿宋_GB2312" w:eastAsia="仿宋_GB2312"/>
          <w:b w:val="0"/>
          <w:sz w:val="32"/>
        </w:rPr>
        <w:t>减少28.92万元，下降12.31%，主要原因是：因机构改革，人员调至组织部和社工部，人员减少，人员经费减少。</w:t>
      </w:r>
      <w:r>
        <w:rPr>
          <w:rFonts w:ascii="仿宋_GB2312" w:hAnsi="仿宋_GB2312" w:eastAsia="仿宋_GB2312"/>
          <w:b/>
          <w:sz w:val="32"/>
        </w:rPr>
        <w:t>与年初预算相比,</w:t>
      </w:r>
      <w:r>
        <w:rPr>
          <w:rFonts w:ascii="仿宋_GB2312" w:hAnsi="仿宋_GB2312" w:eastAsia="仿宋_GB2312"/>
          <w:b w:val="0"/>
          <w:sz w:val="32"/>
        </w:rPr>
        <w:t>年初预算数223.35万元，决算数206.02万元，预决算差异率-7.76%，主要原因是：因机构改革，人员调至组织部和社工部，人员减少，年中调减人员经费，导致预决算存在差异。</w:t>
      </w:r>
    </w:p>
    <w:p w14:paraId="42C0AF53">
      <w:pPr>
        <w:spacing w:line="640" w:lineRule="exact"/>
        <w:ind w:firstLine="640"/>
        <w:jc w:val="both"/>
        <w:outlineLvl w:val="3"/>
      </w:pPr>
      <w:r>
        <w:rPr>
          <w:rFonts w:ascii="楷体_GB2312" w:hAnsi="楷体_GB2312" w:eastAsia="楷体_GB2312"/>
          <w:b/>
          <w:sz w:val="32"/>
        </w:rPr>
        <w:t>（二）一般公共预算财政拨款支出决算结构情况</w:t>
      </w:r>
    </w:p>
    <w:p w14:paraId="34A2AC8D">
      <w:pPr>
        <w:spacing w:line="580" w:lineRule="exact"/>
        <w:ind w:firstLine="640"/>
        <w:jc w:val="both"/>
      </w:pPr>
      <w:r>
        <w:rPr>
          <w:rFonts w:ascii="仿宋_GB2312" w:hAnsi="仿宋_GB2312" w:eastAsia="仿宋_GB2312"/>
          <w:b w:val="0"/>
          <w:sz w:val="32"/>
        </w:rPr>
        <w:t>1.一般公共服务支出(类)155.56万元,占75.51%。</w:t>
      </w:r>
    </w:p>
    <w:p w14:paraId="7CD8A0CA">
      <w:pPr>
        <w:spacing w:line="580" w:lineRule="exact"/>
        <w:ind w:firstLine="640"/>
        <w:jc w:val="both"/>
      </w:pPr>
      <w:r>
        <w:rPr>
          <w:rFonts w:ascii="仿宋_GB2312" w:hAnsi="仿宋_GB2312" w:eastAsia="仿宋_GB2312"/>
          <w:b w:val="0"/>
          <w:sz w:val="32"/>
        </w:rPr>
        <w:t>2.科学技术支出(类)6.00万元,占2.91%。</w:t>
      </w:r>
    </w:p>
    <w:p w14:paraId="3666FFBD">
      <w:pPr>
        <w:spacing w:line="580" w:lineRule="exact"/>
        <w:ind w:firstLine="640"/>
        <w:jc w:val="both"/>
      </w:pPr>
      <w:r>
        <w:rPr>
          <w:rFonts w:ascii="仿宋_GB2312" w:hAnsi="仿宋_GB2312" w:eastAsia="仿宋_GB2312"/>
          <w:b w:val="0"/>
          <w:sz w:val="32"/>
        </w:rPr>
        <w:t>3.社会保障和就业支出(类)24.69万元,占11.98%。</w:t>
      </w:r>
    </w:p>
    <w:p w14:paraId="4736D2F3">
      <w:pPr>
        <w:spacing w:line="580" w:lineRule="exact"/>
        <w:ind w:firstLine="640"/>
        <w:jc w:val="both"/>
      </w:pPr>
      <w:r>
        <w:rPr>
          <w:rFonts w:ascii="仿宋_GB2312" w:hAnsi="仿宋_GB2312" w:eastAsia="仿宋_GB2312"/>
          <w:b w:val="0"/>
          <w:sz w:val="32"/>
        </w:rPr>
        <w:t>4.卫生健康支出(类)7.84万元,占3.81%。</w:t>
      </w:r>
    </w:p>
    <w:p w14:paraId="44039BEF">
      <w:pPr>
        <w:spacing w:line="580" w:lineRule="exact"/>
        <w:ind w:firstLine="640"/>
        <w:jc w:val="both"/>
      </w:pPr>
      <w:r>
        <w:rPr>
          <w:rFonts w:ascii="仿宋_GB2312" w:hAnsi="仿宋_GB2312" w:eastAsia="仿宋_GB2312"/>
          <w:b w:val="0"/>
          <w:sz w:val="32"/>
        </w:rPr>
        <w:t>5.住房保障支出(类)11.92万元,占5.79%。</w:t>
      </w:r>
    </w:p>
    <w:p w14:paraId="5DF72E3F">
      <w:pPr>
        <w:spacing w:line="640" w:lineRule="exact"/>
        <w:ind w:firstLine="640"/>
        <w:jc w:val="both"/>
        <w:outlineLvl w:val="3"/>
      </w:pPr>
      <w:r>
        <w:rPr>
          <w:rFonts w:ascii="楷体_GB2312" w:hAnsi="楷体_GB2312" w:eastAsia="楷体_GB2312"/>
          <w:b/>
          <w:sz w:val="32"/>
        </w:rPr>
        <w:t>（三）一般公共预算财政拨款支出决算具体情况</w:t>
      </w:r>
    </w:p>
    <w:p w14:paraId="57A7C7B5">
      <w:pPr>
        <w:spacing w:line="580" w:lineRule="exact"/>
        <w:ind w:firstLine="640"/>
        <w:jc w:val="both"/>
      </w:pPr>
      <w:r>
        <w:rPr>
          <w:rFonts w:ascii="仿宋_GB2312" w:hAnsi="仿宋_GB2312" w:eastAsia="仿宋_GB2312"/>
          <w:b w:val="0"/>
          <w:sz w:val="32"/>
        </w:rPr>
        <w:t>1.一般公共服务支出(类)其他共产党事务支出(款)行政运行(项):支出决算数为146.15万元，比上年决算减少41.78万元，下降22.23%,主要原因是：因机构改革，人员调至组织部和社工部，人员减少，人员经费减少。</w:t>
      </w:r>
    </w:p>
    <w:p w14:paraId="635B079D">
      <w:pPr>
        <w:spacing w:line="580" w:lineRule="exact"/>
        <w:ind w:firstLine="640"/>
        <w:jc w:val="both"/>
      </w:pPr>
      <w:r>
        <w:rPr>
          <w:rFonts w:ascii="仿宋_GB2312" w:hAnsi="仿宋_GB2312" w:eastAsia="仿宋_GB2312"/>
          <w:b w:val="0"/>
          <w:sz w:val="32"/>
        </w:rPr>
        <w:t>2.一般公共服务支出(类)其他共产党事务支出(款)其他共产党事务支出(项):支出决算数为9.41万元，比上年决算增加9.41万元，增长100.00%,主要原因是：本年增加机关党建业务。</w:t>
      </w:r>
    </w:p>
    <w:p w14:paraId="380C8A6B">
      <w:pPr>
        <w:spacing w:line="580" w:lineRule="exact"/>
        <w:ind w:firstLine="640"/>
        <w:jc w:val="both"/>
      </w:pPr>
      <w:r>
        <w:rPr>
          <w:rFonts w:ascii="仿宋_GB2312" w:hAnsi="仿宋_GB2312" w:eastAsia="仿宋_GB2312"/>
          <w:b w:val="0"/>
          <w:sz w:val="32"/>
        </w:rPr>
        <w:t>3.科学技术支出(类)科技条件与服务(款)其他科技条件与服务支出(项):支出决算数为6.00万元，比上年决算增加6.00万元，增长100.00%,主要原因是：本年增加国产台式计算机购置费。</w:t>
      </w:r>
    </w:p>
    <w:p w14:paraId="6634B0A9">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4.社会保障和就业支出(类)行政事业单位养老支出(款)行政单位离退休(项):支出决算数为2.26万元，比上年决算增加1.24万元，增长121.57%,主要原因是：本年增加退休人员基础绩效奖，退休费支出增加。</w:t>
      </w:r>
    </w:p>
    <w:p w14:paraId="383A1AF7">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5.社会保障和就业支出(类)行政事业单位养老支出(款)机关事业单位基本养老保险缴费支出(项):支出决算数为15.07万元，比上年决算减少1.11万元，下降6.86%,主要原因是：因机</w:t>
      </w:r>
      <w:r>
        <w:rPr>
          <w:rFonts w:ascii="仿宋_GB2312" w:hAnsi="仿宋_GB2312" w:eastAsia="仿宋_GB2312"/>
          <w:b w:val="0"/>
          <w:w w:val="97"/>
          <w:sz w:val="32"/>
        </w:rPr>
        <w:t>构改革，人员调至组织部和社工部，人员减少，养老保险缴费减少。</w:t>
      </w:r>
    </w:p>
    <w:p w14:paraId="2B7150E6">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7.37万元，比上年决算减少0.72万元，下降8.90%,主要原因是：因机构改革，人员调至组织部和社工部，人员减少，职业年金缴费减少。</w:t>
      </w:r>
    </w:p>
    <w:p w14:paraId="2A44D3E8">
      <w:pPr>
        <w:spacing w:line="580" w:lineRule="exact"/>
        <w:ind w:firstLine="640"/>
        <w:jc w:val="both"/>
      </w:pPr>
      <w:r>
        <w:rPr>
          <w:rFonts w:ascii="仿宋_GB2312" w:hAnsi="仿宋_GB2312" w:eastAsia="仿宋_GB2312"/>
          <w:b w:val="0"/>
          <w:sz w:val="32"/>
        </w:rPr>
        <w:t>7.卫生健康支出(类)行政事业单位医疗(款)行政单位医疗(项):支出决算数为7.38万元，比上年决算增加0.04万元，增长0.54%,主要原因是：本年在职人员工资基数调增，医疗缴费基数上涨，相应支出增加。</w:t>
      </w:r>
    </w:p>
    <w:p w14:paraId="203FB946">
      <w:pPr>
        <w:spacing w:line="580" w:lineRule="exact"/>
        <w:ind w:firstLine="640"/>
        <w:jc w:val="both"/>
      </w:pPr>
      <w:r>
        <w:rPr>
          <w:rFonts w:ascii="仿宋_GB2312" w:hAnsi="仿宋_GB2312" w:eastAsia="仿宋_GB2312"/>
          <w:b w:val="0"/>
          <w:sz w:val="32"/>
        </w:rPr>
        <w:t>8.卫生健康支出(类)行政事业单位医疗(款)事业单位医疗(项):支出决算数为0.00万元，比上年决算减少0.85万元，下降100.00%,主要原因是：因机构改革，人员调至组织部和社工部，人员减少，事业单位医疗缴费减少。</w:t>
      </w:r>
    </w:p>
    <w:p w14:paraId="671DB684">
      <w:pPr>
        <w:spacing w:line="580" w:lineRule="exact"/>
        <w:ind w:firstLine="640"/>
        <w:jc w:val="both"/>
      </w:pPr>
      <w:r>
        <w:rPr>
          <w:rFonts w:ascii="仿宋_GB2312" w:hAnsi="仿宋_GB2312" w:eastAsia="仿宋_GB2312"/>
          <w:b w:val="0"/>
          <w:sz w:val="32"/>
        </w:rPr>
        <w:t>9.卫生健康支出(类)行政事业单位医疗(款)公务员医疗补助(项):支出决算数为0.46万元，比上年决算减少0.06万元，下降11.54%,主要原因是：因机构改革，人员调至组织部和社工部，人员减少，公务员医疗补助经费减少。</w:t>
      </w:r>
    </w:p>
    <w:p w14:paraId="5E45BE94">
      <w:pPr>
        <w:spacing w:line="580" w:lineRule="exact"/>
        <w:ind w:firstLine="640"/>
        <w:jc w:val="both"/>
      </w:pPr>
      <w:r>
        <w:rPr>
          <w:rFonts w:ascii="仿宋_GB2312" w:hAnsi="仿宋_GB2312" w:eastAsia="仿宋_GB2312"/>
          <w:b w:val="0"/>
          <w:sz w:val="32"/>
        </w:rPr>
        <w:t>10.住房保障支出(类)住房改革支出(款)住房公积金(项):支出决算数为11.92万元，比上年决算减少1.09万元，下降8.38%,主要原因是：因机构改革，人员调至组织部和社工部，人员减少，住房公积金缴费减少。</w:t>
      </w:r>
    </w:p>
    <w:p w14:paraId="1767C32C">
      <w:pPr>
        <w:spacing w:line="640" w:lineRule="exact"/>
        <w:ind w:firstLine="640"/>
        <w:jc w:val="both"/>
        <w:outlineLvl w:val="2"/>
      </w:pPr>
      <w:r>
        <w:rPr>
          <w:rFonts w:ascii="黑体" w:hAnsi="黑体" w:eastAsia="黑体"/>
          <w:sz w:val="32"/>
        </w:rPr>
        <w:t>六、一般公共预算财政拨款基本支出决算情况说明</w:t>
      </w:r>
    </w:p>
    <w:p w14:paraId="4384230D">
      <w:pPr>
        <w:spacing w:line="580" w:lineRule="exact"/>
        <w:ind w:firstLine="640"/>
        <w:jc w:val="both"/>
      </w:pPr>
      <w:r>
        <w:rPr>
          <w:rFonts w:ascii="仿宋_GB2312" w:hAnsi="仿宋_GB2312" w:eastAsia="仿宋_GB2312"/>
          <w:b w:val="0"/>
          <w:sz w:val="32"/>
        </w:rPr>
        <w:t>2024年度一般公共预算财政拨款基本支出206.02万元，其中：</w:t>
      </w:r>
      <w:r>
        <w:rPr>
          <w:rFonts w:ascii="仿宋_GB2312" w:hAnsi="仿宋_GB2312" w:eastAsia="仿宋_GB2312"/>
          <w:b/>
          <w:sz w:val="32"/>
        </w:rPr>
        <w:t>人员经费161.12万元，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其他对个人和家庭的补助。</w:t>
      </w:r>
    </w:p>
    <w:p w14:paraId="741E38EF">
      <w:pPr>
        <w:spacing w:line="580" w:lineRule="exact"/>
        <w:ind w:firstLine="640"/>
        <w:jc w:val="both"/>
      </w:pPr>
      <w:r>
        <w:rPr>
          <w:rFonts w:ascii="仿宋_GB2312" w:hAnsi="仿宋_GB2312" w:eastAsia="仿宋_GB2312"/>
          <w:b/>
          <w:sz w:val="32"/>
        </w:rPr>
        <w:t>公用经费44.90万元，</w:t>
      </w:r>
      <w:r>
        <w:rPr>
          <w:rFonts w:ascii="仿宋_GB2312" w:hAnsi="仿宋_GB2312" w:eastAsia="仿宋_GB2312"/>
          <w:b w:val="0"/>
          <w:sz w:val="32"/>
        </w:rPr>
        <w:t>包括：办公费、印刷费、邮电费、差旅费、维修（护）费、委托业务费、工会经费、其他商品和服务支出、办公设备购置。</w:t>
      </w:r>
    </w:p>
    <w:p w14:paraId="77A9FD79">
      <w:pPr>
        <w:spacing w:line="640" w:lineRule="exact"/>
        <w:ind w:firstLine="640"/>
        <w:jc w:val="both"/>
        <w:outlineLvl w:val="2"/>
      </w:pPr>
      <w:r>
        <w:rPr>
          <w:rFonts w:ascii="黑体" w:hAnsi="黑体" w:eastAsia="黑体"/>
          <w:sz w:val="32"/>
        </w:rPr>
        <w:t>七、政府性基金预算财政拨款收入支出决算情况说明</w:t>
      </w:r>
    </w:p>
    <w:p w14:paraId="4ECB2CA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7B5D8A4">
      <w:pPr>
        <w:spacing w:line="640" w:lineRule="exact"/>
        <w:ind w:firstLine="640"/>
        <w:jc w:val="both"/>
        <w:outlineLvl w:val="2"/>
      </w:pPr>
      <w:r>
        <w:rPr>
          <w:rFonts w:ascii="黑体" w:hAnsi="黑体" w:eastAsia="黑体"/>
          <w:sz w:val="32"/>
        </w:rPr>
        <w:t>八、国有资本经营预算财政拨款收入支出决算情况说明</w:t>
      </w:r>
    </w:p>
    <w:p w14:paraId="6C6123D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77C5A23">
      <w:pPr>
        <w:spacing w:line="640" w:lineRule="exact"/>
        <w:ind w:firstLine="640"/>
        <w:jc w:val="both"/>
        <w:outlineLvl w:val="2"/>
      </w:pPr>
      <w:r>
        <w:rPr>
          <w:rFonts w:ascii="黑体" w:hAnsi="黑体" w:eastAsia="黑体"/>
          <w:sz w:val="32"/>
        </w:rPr>
        <w:t>九、财政拨款“三公”经费支出决算情况说明</w:t>
      </w:r>
    </w:p>
    <w:p w14:paraId="02AED31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FD2616F">
      <w:pPr>
        <w:spacing w:line="580" w:lineRule="exact"/>
        <w:ind w:firstLine="640"/>
        <w:jc w:val="both"/>
      </w:pPr>
      <w:r>
        <w:rPr>
          <w:rFonts w:ascii="仿宋_GB2312" w:hAnsi="仿宋_GB2312" w:eastAsia="仿宋_GB2312"/>
          <w:b/>
          <w:sz w:val="32"/>
        </w:rPr>
        <w:t>具体情况如下：</w:t>
      </w:r>
    </w:p>
    <w:p w14:paraId="5C1342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D91E34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年公务用车已移交机关事务服务中心，待办理移交手续，预算未安排公务用车运行维护费。</w:t>
      </w:r>
    </w:p>
    <w:p w14:paraId="4B3D890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F23BA8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0301AFA">
      <w:pPr>
        <w:spacing w:line="640" w:lineRule="exact"/>
        <w:ind w:firstLine="640"/>
        <w:jc w:val="both"/>
        <w:outlineLvl w:val="2"/>
      </w:pPr>
      <w:r>
        <w:rPr>
          <w:rFonts w:ascii="黑体" w:hAnsi="黑体" w:eastAsia="黑体"/>
          <w:sz w:val="32"/>
        </w:rPr>
        <w:t>十、其他重要事项的情况说明</w:t>
      </w:r>
    </w:p>
    <w:p w14:paraId="268BA082">
      <w:pPr>
        <w:spacing w:line="640" w:lineRule="exact"/>
        <w:ind w:firstLine="640"/>
        <w:jc w:val="both"/>
        <w:outlineLvl w:val="3"/>
      </w:pPr>
      <w:r>
        <w:rPr>
          <w:rFonts w:ascii="楷体_GB2312" w:hAnsi="楷体_GB2312" w:eastAsia="楷体_GB2312"/>
          <w:b/>
          <w:sz w:val="32"/>
        </w:rPr>
        <w:t>（一）机关运行经费及公用经费支出情况</w:t>
      </w:r>
    </w:p>
    <w:p w14:paraId="3E02708D">
      <w:pPr>
        <w:spacing w:line="580" w:lineRule="exact"/>
        <w:ind w:firstLine="640"/>
        <w:jc w:val="both"/>
      </w:pPr>
      <w:r>
        <w:rPr>
          <w:rFonts w:ascii="仿宋_GB2312" w:hAnsi="仿宋_GB2312" w:eastAsia="仿宋_GB2312"/>
          <w:b w:val="0"/>
          <w:sz w:val="32"/>
        </w:rPr>
        <w:t>2024年度中共吉木萨尔县委员会直属机关工作委员会（行政单位和参照公务员法管理事业单位）机关运行经费支出44.90万元，比上年增加14.13万元，增长45.92%，主要原因是：本年增加国产台式计算机购置费、机关党建业务经费等。</w:t>
      </w:r>
    </w:p>
    <w:p w14:paraId="48F01795">
      <w:pPr>
        <w:spacing w:line="640" w:lineRule="exact"/>
        <w:ind w:firstLine="640"/>
        <w:jc w:val="both"/>
        <w:outlineLvl w:val="3"/>
      </w:pPr>
      <w:r>
        <w:rPr>
          <w:rFonts w:ascii="楷体_GB2312" w:hAnsi="楷体_GB2312" w:eastAsia="楷体_GB2312"/>
          <w:b/>
          <w:sz w:val="32"/>
        </w:rPr>
        <w:t>（二）政府采购情况</w:t>
      </w:r>
    </w:p>
    <w:p w14:paraId="78CE50DB">
      <w:pPr>
        <w:spacing w:line="580" w:lineRule="exact"/>
        <w:ind w:firstLine="640"/>
        <w:jc w:val="both"/>
      </w:pPr>
      <w:r>
        <w:rPr>
          <w:rFonts w:ascii="仿宋_GB2312" w:hAnsi="仿宋_GB2312" w:eastAsia="仿宋_GB2312"/>
          <w:b w:val="0"/>
          <w:sz w:val="32"/>
        </w:rPr>
        <w:t>2024年度政府采购支出总额14.14万元，其中：政府采购货物支出14.14万元、政府采购工程支出0.00万元、政府采购服务支出0.00万元。</w:t>
      </w:r>
    </w:p>
    <w:p w14:paraId="608B9E84">
      <w:pPr>
        <w:spacing w:line="580" w:lineRule="exact"/>
        <w:ind w:firstLine="640"/>
        <w:jc w:val="both"/>
      </w:pPr>
      <w:r>
        <w:rPr>
          <w:rFonts w:ascii="仿宋_GB2312" w:hAnsi="仿宋_GB2312" w:eastAsia="仿宋_GB2312"/>
          <w:b w:val="0"/>
          <w:sz w:val="32"/>
        </w:rPr>
        <w:t>授予中小企业合同金额8.61万元，占政府采购支出总额的60.89%，其中：授予小微企业合同金额8.54万元，占政府采购支出总额的60.40%。</w:t>
      </w:r>
    </w:p>
    <w:p w14:paraId="0680E4E8">
      <w:pPr>
        <w:spacing w:line="640" w:lineRule="exact"/>
        <w:ind w:firstLine="640"/>
        <w:jc w:val="both"/>
        <w:outlineLvl w:val="3"/>
      </w:pPr>
      <w:r>
        <w:rPr>
          <w:rFonts w:ascii="楷体_GB2312" w:hAnsi="楷体_GB2312" w:eastAsia="楷体_GB2312"/>
          <w:b/>
          <w:sz w:val="32"/>
        </w:rPr>
        <w:t>（三）国有资产占用情况说明</w:t>
      </w:r>
    </w:p>
    <w:p w14:paraId="1A97A46F">
      <w:pPr>
        <w:spacing w:line="580" w:lineRule="exact"/>
        <w:ind w:firstLine="640"/>
        <w:jc w:val="both"/>
      </w:pPr>
      <w:r>
        <w:rPr>
          <w:rFonts w:ascii="仿宋_GB2312" w:hAnsi="仿宋_GB2312" w:eastAsia="仿宋_GB2312"/>
          <w:b w:val="0"/>
          <w:sz w:val="32"/>
        </w:rPr>
        <w:t>截至2024年12月31日，房屋0.00平方米，价值0.00万元。车辆1辆，价值14.83万元，其中：副部（省）级及以上领导用车0辆、主要负责人用车0辆、机要通信用车0辆、应急保障用车0辆、执法执勤用车0辆、特种专业技术用车0辆、离退休干部服务用车0辆、其他用车1辆，其他用车主要是：一般业务用车。单价100万元（含）以上设备（不含车辆）0台（套）。</w:t>
      </w:r>
    </w:p>
    <w:p w14:paraId="02D7B534">
      <w:pPr>
        <w:spacing w:line="640" w:lineRule="exact"/>
        <w:ind w:firstLine="640"/>
        <w:jc w:val="both"/>
        <w:outlineLvl w:val="2"/>
      </w:pPr>
      <w:r>
        <w:rPr>
          <w:rFonts w:ascii="黑体" w:hAnsi="黑体" w:eastAsia="黑体"/>
          <w:sz w:val="32"/>
        </w:rPr>
        <w:t>十一、预算绩效的情况说明</w:t>
      </w:r>
    </w:p>
    <w:p w14:paraId="34FC23A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207.96万元，实际执行总额206.93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无项目绩效自评表。具体附整体支出绩效自评表。</w:t>
      </w:r>
    </w:p>
    <w:p w14:paraId="431D741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5661B4">
        <w:tblPrEx>
          <w:tblCellMar>
            <w:top w:w="0" w:type="dxa"/>
            <w:left w:w="108" w:type="dxa"/>
            <w:bottom w:w="0" w:type="dxa"/>
            <w:right w:w="108" w:type="dxa"/>
          </w:tblCellMar>
        </w:tblPrEx>
        <w:tc>
          <w:tcPr>
            <w:tcW w:w="8847" w:type="dxa"/>
            <w:gridSpan w:val="9"/>
            <w:vAlign w:val="center"/>
          </w:tcPr>
          <w:p w14:paraId="7454A799">
            <w:pPr>
              <w:jc w:val="center"/>
            </w:pPr>
            <w:r>
              <w:rPr>
                <w:rFonts w:ascii="宋体" w:hAnsi="宋体" w:eastAsia="宋体"/>
                <w:sz w:val="24"/>
              </w:rPr>
              <w:t>单位整体支出绩效自评表</w:t>
            </w:r>
          </w:p>
        </w:tc>
      </w:tr>
      <w:tr w14:paraId="173E7A9A">
        <w:tblPrEx>
          <w:tblCellMar>
            <w:top w:w="0" w:type="dxa"/>
            <w:left w:w="108" w:type="dxa"/>
            <w:bottom w:w="0" w:type="dxa"/>
            <w:right w:w="108" w:type="dxa"/>
          </w:tblCellMar>
        </w:tblPrEx>
        <w:tc>
          <w:tcPr>
            <w:tcW w:w="8847" w:type="dxa"/>
            <w:gridSpan w:val="9"/>
            <w:vAlign w:val="center"/>
          </w:tcPr>
          <w:p w14:paraId="1199C7B9">
            <w:pPr>
              <w:jc w:val="center"/>
            </w:pPr>
            <w:r>
              <w:rPr>
                <w:rFonts w:ascii="宋体" w:hAnsi="宋体" w:eastAsia="宋体"/>
                <w:sz w:val="24"/>
              </w:rPr>
              <w:t>（2024年度）</w:t>
            </w:r>
          </w:p>
        </w:tc>
      </w:tr>
      <w:tr w14:paraId="627D6A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DAA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28A1FC">
            <w:pPr>
              <w:jc w:val="center"/>
            </w:pPr>
            <w:r>
              <w:rPr>
                <w:rFonts w:ascii="宋体" w:hAnsi="宋体" w:eastAsia="宋体"/>
                <w:sz w:val="16"/>
              </w:rPr>
              <w:t>中共吉木萨尔县委员会直属机关工作委员会</w:t>
            </w:r>
          </w:p>
        </w:tc>
      </w:tr>
      <w:tr w14:paraId="6EF383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8D7B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57E8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1CE5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CD9E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CF3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1DE1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216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15082">
            <w:pPr>
              <w:jc w:val="center"/>
            </w:pPr>
            <w:r>
              <w:rPr>
                <w:rFonts w:ascii="宋体" w:hAnsi="宋体" w:eastAsia="宋体"/>
                <w:sz w:val="16"/>
              </w:rPr>
              <w:t>得分</w:t>
            </w:r>
          </w:p>
        </w:tc>
      </w:tr>
      <w:tr w14:paraId="467B4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CE2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CEAC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746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337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048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74D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305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47808">
            <w:pPr>
              <w:jc w:val="center"/>
            </w:pPr>
            <w:r>
              <w:rPr>
                <w:rFonts w:ascii="宋体" w:hAnsi="宋体" w:eastAsia="宋体"/>
                <w:sz w:val="16"/>
              </w:rPr>
              <w:t>-</w:t>
            </w:r>
          </w:p>
        </w:tc>
      </w:tr>
      <w:tr w14:paraId="58DAC8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BBE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BF5A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A3137">
            <w:pPr>
              <w:jc w:val="center"/>
            </w:pPr>
            <w:r>
              <w:rPr>
                <w:rFonts w:ascii="宋体" w:hAnsi="宋体" w:eastAsia="宋体"/>
                <w:sz w:val="16"/>
              </w:rPr>
              <w:t>223.35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D19E">
            <w:pPr>
              <w:jc w:val="center"/>
            </w:pPr>
            <w:r>
              <w:rPr>
                <w:rFonts w:ascii="宋体" w:hAnsi="宋体" w:eastAsia="宋体"/>
                <w:sz w:val="16"/>
              </w:rPr>
              <w:t>201.76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34601">
            <w:pPr>
              <w:jc w:val="center"/>
            </w:pPr>
            <w:r>
              <w:rPr>
                <w:rFonts w:ascii="宋体" w:hAnsi="宋体" w:eastAsia="宋体"/>
                <w:sz w:val="16"/>
              </w:rPr>
              <w:t>201.76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E97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B3D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A606F">
            <w:pPr>
              <w:jc w:val="center"/>
            </w:pPr>
            <w:r>
              <w:rPr>
                <w:rFonts w:ascii="宋体" w:hAnsi="宋体" w:eastAsia="宋体"/>
                <w:sz w:val="16"/>
              </w:rPr>
              <w:t>-</w:t>
            </w:r>
          </w:p>
        </w:tc>
      </w:tr>
      <w:tr w14:paraId="5B594E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A8C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E897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1A3AD">
            <w:pPr>
              <w:jc w:val="center"/>
            </w:pPr>
            <w:r>
              <w:rPr>
                <w:rFonts w:ascii="宋体" w:hAnsi="宋体" w:eastAsia="宋体"/>
                <w:sz w:val="16"/>
              </w:rPr>
              <w:t>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D6CA0">
            <w:pPr>
              <w:jc w:val="center"/>
            </w:pPr>
            <w:r>
              <w:rPr>
                <w:rFonts w:ascii="宋体" w:hAnsi="宋体" w:eastAsia="宋体"/>
                <w:sz w:val="16"/>
              </w:rPr>
              <w:t>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C211E">
            <w:pPr>
              <w:jc w:val="center"/>
            </w:pPr>
            <w:r>
              <w:rPr>
                <w:rFonts w:ascii="宋体" w:hAnsi="宋体" w:eastAsia="宋体"/>
                <w:sz w:val="16"/>
              </w:rPr>
              <w:t>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45D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A2D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C2BCC">
            <w:pPr>
              <w:jc w:val="center"/>
            </w:pPr>
            <w:r>
              <w:rPr>
                <w:rFonts w:ascii="宋体" w:hAnsi="宋体" w:eastAsia="宋体"/>
                <w:sz w:val="16"/>
              </w:rPr>
              <w:t>-</w:t>
            </w:r>
          </w:p>
        </w:tc>
      </w:tr>
      <w:tr w14:paraId="72396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0EE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2B1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553D5">
            <w:pPr>
              <w:jc w:val="center"/>
            </w:pPr>
            <w:r>
              <w:rPr>
                <w:rFonts w:ascii="宋体" w:hAnsi="宋体" w:eastAsia="宋体"/>
                <w:sz w:val="16"/>
              </w:rPr>
              <w:t>229.55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54172">
            <w:pPr>
              <w:jc w:val="center"/>
            </w:pPr>
            <w:r>
              <w:rPr>
                <w:rFonts w:ascii="宋体" w:hAnsi="宋体" w:eastAsia="宋体"/>
                <w:sz w:val="16"/>
              </w:rPr>
              <w:t>207.96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EF3D3">
            <w:pPr>
              <w:jc w:val="center"/>
            </w:pPr>
            <w:r>
              <w:rPr>
                <w:rFonts w:ascii="宋体" w:hAnsi="宋体" w:eastAsia="宋体"/>
                <w:sz w:val="16"/>
              </w:rPr>
              <w:t>206.93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B65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E4C63">
            <w:pPr>
              <w:jc w:val="center"/>
            </w:pPr>
            <w:r>
              <w:rPr>
                <w:rFonts w:ascii="宋体" w:hAnsi="宋体" w:eastAsia="宋体"/>
                <w:sz w:val="16"/>
              </w:rPr>
              <w:t>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C837">
            <w:pPr>
              <w:jc w:val="center"/>
            </w:pPr>
            <w:r>
              <w:rPr>
                <w:rFonts w:ascii="宋体" w:hAnsi="宋体" w:eastAsia="宋体"/>
                <w:sz w:val="16"/>
              </w:rPr>
              <w:t>9.95</w:t>
            </w:r>
          </w:p>
        </w:tc>
      </w:tr>
      <w:tr w14:paraId="72F51D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51C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81DAB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2D107">
            <w:pPr>
              <w:jc w:val="center"/>
            </w:pPr>
            <w:r>
              <w:rPr>
                <w:rFonts w:ascii="宋体" w:hAnsi="宋体" w:eastAsia="宋体"/>
                <w:sz w:val="16"/>
              </w:rPr>
              <w:t>实际完成情况</w:t>
            </w:r>
          </w:p>
        </w:tc>
      </w:tr>
      <w:tr w14:paraId="288D6F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C379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BC678C">
            <w:pPr>
              <w:jc w:val="both"/>
            </w:pPr>
            <w:r>
              <w:rPr>
                <w:rFonts w:ascii="宋体" w:hAnsi="宋体" w:eastAsia="宋体"/>
                <w:sz w:val="16"/>
              </w:rPr>
              <w:t>1.保障人员经费，稳定单位干部队伍；2.及时支付各类公用经费，保障各项工作顺利开展；3.扎实推进机关工委各项事业又快又好发展；4.加大管理力度，强化政府职能。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B84BE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207.96万元，全年执行数为206.93万元，主要完成任务内容如下：1.实际完成本单位9名在职人员工资、津贴、社保、医疗、住房公积金缴纳和本单位办公费、工会经费等，提供了完成各项工作任务的基本保障；实际完成工作：1.贯彻落实“五个好”党支部创建、模范机关创建各项工作任务，深入推进党支部建设规范化、标准化，打造模范机关；2.对“三会一课”、“党旗映天山”主题党日</w:t>
            </w:r>
            <w:r>
              <w:rPr>
                <w:rFonts w:hint="eastAsia" w:ascii="宋体" w:hAnsi="宋体"/>
                <w:sz w:val="16"/>
                <w:lang w:eastAsia="zh-CN"/>
              </w:rPr>
              <w:t>、党</w:t>
            </w:r>
            <w:r>
              <w:rPr>
                <w:rFonts w:ascii="宋体" w:hAnsi="宋体" w:eastAsia="宋体"/>
                <w:sz w:val="16"/>
              </w:rPr>
              <w:t>支部建设程序、发展党员细则开展实操培训；3.已完成党组织换届16个。培养入党申请人52人、入党积极分子225人，预备党员17名，发展对象19人，已完成组织关系转接转出本工委236个，转入246个，支部间转接262个；4.组织党组织书记培训班1期，完成3次分组对122个党组织党务干部进行集中培训和面对面指导600余人次，举办发展对象培训班2期18人，进行为期3天的集中培训，采取集中授课、座谈讨论、社会实践、理论测试，开展“学习</w:t>
            </w:r>
            <w:r>
              <w:rPr>
                <w:rFonts w:hint="eastAsia" w:ascii="宋体" w:hAnsi="宋体"/>
                <w:sz w:val="16"/>
                <w:lang w:eastAsia="zh-CN"/>
              </w:rPr>
              <w:t>贯彻</w:t>
            </w:r>
            <w:bookmarkStart w:id="0" w:name="_GoBack"/>
            <w:r>
              <w:rPr>
                <w:rFonts w:hint="eastAsia" w:ascii="宋体" w:hAnsi="宋体"/>
                <w:sz w:val="16"/>
                <w:lang w:eastAsia="zh-CN"/>
              </w:rPr>
              <w:t>党的二十大</w:t>
            </w:r>
            <w:bookmarkEnd w:id="0"/>
            <w:r>
              <w:rPr>
                <w:rFonts w:ascii="宋体" w:hAnsi="宋体" w:eastAsia="宋体"/>
                <w:sz w:val="16"/>
              </w:rPr>
              <w:t>精神和第三次中央新疆工作座谈会精神”及党内法规、保密常识为主要内容的党员干部培训班9期共1300人；5.落实52个“五个好”党支部创建、模范机关创建各项工作任务，深入推进党支部建设规范化、标准化，打造模范机关。</w:t>
            </w:r>
          </w:p>
        </w:tc>
      </w:tr>
      <w:tr w14:paraId="373267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34BB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E7B9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B18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F0AD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FE5E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CF01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E2B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ABA7">
            <w:pPr>
              <w:jc w:val="center"/>
            </w:pPr>
            <w:r>
              <w:rPr>
                <w:rFonts w:ascii="宋体" w:hAnsi="宋体" w:eastAsia="宋体"/>
                <w:sz w:val="16"/>
              </w:rPr>
              <w:t>得分</w:t>
            </w:r>
          </w:p>
        </w:tc>
      </w:tr>
      <w:tr w14:paraId="61AB9A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BB5D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263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53581">
            <w:pPr>
              <w:jc w:val="center"/>
            </w:pPr>
            <w:r>
              <w:rPr>
                <w:rFonts w:ascii="宋体" w:hAnsi="宋体" w:eastAsia="宋体"/>
                <w:sz w:val="16"/>
              </w:rPr>
              <w:t>开展党员轮训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E3039">
            <w:pPr>
              <w:jc w:val="center"/>
            </w:pPr>
            <w:r>
              <w:rPr>
                <w:rFonts w:ascii="宋体" w:hAnsi="宋体" w:eastAsia="宋体"/>
                <w:sz w:val="16"/>
              </w:rPr>
              <w:t>&gt;=6期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0682E">
            <w:pPr>
              <w:jc w:val="center"/>
            </w:pPr>
            <w:r>
              <w:rPr>
                <w:rFonts w:ascii="宋体" w:hAnsi="宋体" w:eastAsia="宋体"/>
                <w:sz w:val="16"/>
              </w:rPr>
              <w:t>县委直属机关工委2023年工作总结及2024年工作计划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5F3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4FC2">
            <w:pPr>
              <w:jc w:val="center"/>
            </w:pPr>
            <w:r>
              <w:rPr>
                <w:rFonts w:ascii="宋体" w:hAnsi="宋体" w:eastAsia="宋体"/>
                <w:sz w:val="16"/>
              </w:rPr>
              <w:t>=9期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3054E">
            <w:pPr>
              <w:jc w:val="center"/>
            </w:pPr>
            <w:r>
              <w:rPr>
                <w:rFonts w:ascii="宋体" w:hAnsi="宋体" w:eastAsia="宋体"/>
                <w:sz w:val="16"/>
              </w:rPr>
              <w:t>20</w:t>
            </w:r>
          </w:p>
        </w:tc>
      </w:tr>
      <w:tr w14:paraId="6F06DA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DAC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1D4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1C4CC">
            <w:pPr>
              <w:jc w:val="center"/>
            </w:pPr>
            <w:r>
              <w:rPr>
                <w:rFonts w:ascii="宋体" w:hAnsi="宋体" w:eastAsia="宋体"/>
                <w:sz w:val="16"/>
              </w:rPr>
              <w:t>开展党务干部培训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5D584">
            <w:pPr>
              <w:jc w:val="center"/>
            </w:pPr>
            <w:r>
              <w:rPr>
                <w:rFonts w:ascii="宋体" w:hAnsi="宋体" w:eastAsia="宋体"/>
                <w:sz w:val="16"/>
              </w:rPr>
              <w:t>&gt;=1期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240C">
            <w:pPr>
              <w:jc w:val="center"/>
            </w:pPr>
            <w:r>
              <w:rPr>
                <w:rFonts w:ascii="宋体" w:hAnsi="宋体" w:eastAsia="宋体"/>
                <w:sz w:val="16"/>
              </w:rPr>
              <w:t>县委直属机关工委2023年工作总结及2024年工作计划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834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C00D">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62F96">
            <w:pPr>
              <w:jc w:val="center"/>
            </w:pPr>
            <w:r>
              <w:rPr>
                <w:rFonts w:ascii="宋体" w:hAnsi="宋体" w:eastAsia="宋体"/>
                <w:sz w:val="16"/>
              </w:rPr>
              <w:t>15</w:t>
            </w:r>
          </w:p>
        </w:tc>
      </w:tr>
      <w:tr w14:paraId="0AAE89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BAD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4EB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F756">
            <w:pPr>
              <w:jc w:val="center"/>
            </w:pPr>
            <w:r>
              <w:rPr>
                <w:rFonts w:ascii="宋体" w:hAnsi="宋体" w:eastAsia="宋体"/>
                <w:sz w:val="16"/>
              </w:rPr>
              <w:t>开展发展党员培训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E6DD">
            <w:pPr>
              <w:jc w:val="center"/>
            </w:pPr>
            <w:r>
              <w:rPr>
                <w:rFonts w:ascii="宋体" w:hAnsi="宋体" w:eastAsia="宋体"/>
                <w:sz w:val="16"/>
              </w:rPr>
              <w:t>&gt;=2期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0874B">
            <w:pPr>
              <w:jc w:val="center"/>
            </w:pPr>
            <w:r>
              <w:rPr>
                <w:rFonts w:ascii="宋体" w:hAnsi="宋体" w:eastAsia="宋体"/>
                <w:sz w:val="16"/>
              </w:rPr>
              <w:t>县委直属机关工委2023年工作总结及2024年工作计划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F0A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76E19">
            <w:pPr>
              <w:jc w:val="center"/>
            </w:pPr>
            <w:r>
              <w:rPr>
                <w:rFonts w:ascii="宋体" w:hAnsi="宋体" w:eastAsia="宋体"/>
                <w:sz w:val="16"/>
              </w:rPr>
              <w: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09E10">
            <w:pPr>
              <w:jc w:val="center"/>
            </w:pPr>
            <w:r>
              <w:rPr>
                <w:rFonts w:ascii="宋体" w:hAnsi="宋体" w:eastAsia="宋体"/>
                <w:sz w:val="16"/>
              </w:rPr>
              <w:t>20</w:t>
            </w:r>
          </w:p>
        </w:tc>
      </w:tr>
      <w:tr w14:paraId="4F45DB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2FA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871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59112">
            <w:pPr>
              <w:jc w:val="center"/>
            </w:pPr>
            <w:r>
              <w:rPr>
                <w:rFonts w:ascii="宋体" w:hAnsi="宋体" w:eastAsia="宋体"/>
                <w:sz w:val="16"/>
              </w:rPr>
              <w:t>五个好党支部创建数量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0CCA8">
            <w:pPr>
              <w:jc w:val="center"/>
            </w:pPr>
            <w:r>
              <w:rPr>
                <w:rFonts w:ascii="宋体" w:hAnsi="宋体" w:eastAsia="宋体"/>
                <w:sz w:val="16"/>
              </w:rPr>
              <w:t>&gt;=50个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950A1">
            <w:pPr>
              <w:jc w:val="center"/>
            </w:pPr>
            <w:r>
              <w:rPr>
                <w:rFonts w:ascii="宋体" w:hAnsi="宋体" w:eastAsia="宋体"/>
                <w:sz w:val="16"/>
              </w:rPr>
              <w:t>县委直属机关工委2023年工作总结及2024年工作计划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D12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5EBD5">
            <w:pPr>
              <w:jc w:val="center"/>
            </w:pPr>
            <w:r>
              <w:rPr>
                <w:rFonts w:ascii="宋体" w:hAnsi="宋体" w:eastAsia="宋体"/>
                <w:sz w:val="16"/>
              </w:rPr>
              <w:t>=52个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1DFA5">
            <w:pPr>
              <w:jc w:val="center"/>
            </w:pPr>
            <w:r>
              <w:rPr>
                <w:rFonts w:ascii="宋体" w:hAnsi="宋体" w:eastAsia="宋体"/>
                <w:sz w:val="16"/>
              </w:rPr>
              <w:t>20</w:t>
            </w:r>
          </w:p>
        </w:tc>
      </w:tr>
      <w:tr w14:paraId="15AC22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A36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D64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1AD1">
            <w:pPr>
              <w:jc w:val="center"/>
            </w:pPr>
            <w:r>
              <w:rPr>
                <w:rFonts w:ascii="宋体" w:hAnsi="宋体" w:eastAsia="宋体"/>
                <w:sz w:val="16"/>
              </w:rPr>
              <w:t>开展党建片组活动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F5642">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558C8">
            <w:pPr>
              <w:jc w:val="center"/>
            </w:pPr>
            <w:r>
              <w:rPr>
                <w:rFonts w:ascii="宋体" w:hAnsi="宋体" w:eastAsia="宋体"/>
                <w:sz w:val="16"/>
              </w:rPr>
              <w:t>县委直属机关工委2023年工作总结及2024年工作计划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2DCA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74D67">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D05E">
            <w:pPr>
              <w:jc w:val="center"/>
            </w:pPr>
            <w:r>
              <w:rPr>
                <w:rFonts w:ascii="宋体" w:hAnsi="宋体" w:eastAsia="宋体"/>
                <w:sz w:val="16"/>
              </w:rPr>
              <w:t>15</w:t>
            </w:r>
          </w:p>
        </w:tc>
      </w:tr>
    </w:tbl>
    <w:p w14:paraId="5648456A">
      <w:r>
        <w:br w:type="page"/>
      </w:r>
    </w:p>
    <w:p w14:paraId="1CC58B2E">
      <w:pPr>
        <w:spacing w:line="640" w:lineRule="exact"/>
        <w:ind w:firstLine="640"/>
        <w:jc w:val="both"/>
        <w:outlineLvl w:val="2"/>
      </w:pPr>
      <w:r>
        <w:rPr>
          <w:rFonts w:ascii="黑体" w:hAnsi="黑体" w:eastAsia="黑体"/>
          <w:sz w:val="32"/>
        </w:rPr>
        <w:t>十二、其他需说明的事项</w:t>
      </w:r>
    </w:p>
    <w:p w14:paraId="2ACC1B6D">
      <w:pPr>
        <w:spacing w:line="580" w:lineRule="exact"/>
        <w:ind w:firstLine="640"/>
        <w:jc w:val="both"/>
      </w:pPr>
      <w:r>
        <w:rPr>
          <w:rFonts w:ascii="仿宋_GB2312" w:hAnsi="仿宋_GB2312" w:eastAsia="仿宋_GB2312"/>
          <w:b w:val="0"/>
          <w:sz w:val="32"/>
        </w:rPr>
        <w:t>本单位无其他需说明的事项。</w:t>
      </w:r>
    </w:p>
    <w:p w14:paraId="345F67EB">
      <w:r>
        <w:br w:type="page"/>
      </w:r>
    </w:p>
    <w:p w14:paraId="5053DDE9">
      <w:pPr>
        <w:spacing w:line="240" w:lineRule="auto"/>
        <w:jc w:val="center"/>
        <w:outlineLvl w:val="1"/>
      </w:pPr>
      <w:r>
        <w:rPr>
          <w:rFonts w:ascii="黑体" w:hAnsi="黑体" w:eastAsia="黑体"/>
          <w:sz w:val="32"/>
        </w:rPr>
        <w:t>第三部分 专业名词解释</w:t>
      </w:r>
    </w:p>
    <w:p w14:paraId="0B1944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EBD26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7ACC7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508CAB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6F77BD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72B0E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A5DB5A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DB9A55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0AFC2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E752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DC9767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766F2A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B8E62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454C2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5CE1E8">
      <w:r>
        <w:br w:type="page"/>
      </w:r>
    </w:p>
    <w:p w14:paraId="1542608D">
      <w:pPr>
        <w:spacing w:line="240" w:lineRule="auto"/>
        <w:jc w:val="center"/>
        <w:outlineLvl w:val="1"/>
      </w:pPr>
      <w:r>
        <w:rPr>
          <w:rFonts w:ascii="黑体" w:hAnsi="黑体" w:eastAsia="黑体"/>
          <w:sz w:val="32"/>
        </w:rPr>
        <w:t>第四部分 部门决算报表（见附表）</w:t>
      </w:r>
    </w:p>
    <w:p w14:paraId="456D4047">
      <w:pPr>
        <w:spacing w:line="240" w:lineRule="auto"/>
        <w:ind w:firstLine="640"/>
        <w:jc w:val="both"/>
      </w:pPr>
      <w:r>
        <w:rPr>
          <w:rFonts w:ascii="仿宋_GB2312" w:hAnsi="仿宋_GB2312" w:eastAsia="仿宋_GB2312"/>
          <w:b w:val="0"/>
          <w:sz w:val="32"/>
        </w:rPr>
        <w:t>一、《收入支出决算总表》</w:t>
      </w:r>
    </w:p>
    <w:p w14:paraId="379ACBA5">
      <w:pPr>
        <w:spacing w:line="240" w:lineRule="auto"/>
        <w:ind w:firstLine="640"/>
        <w:jc w:val="both"/>
      </w:pPr>
      <w:r>
        <w:rPr>
          <w:rFonts w:ascii="仿宋_GB2312" w:hAnsi="仿宋_GB2312" w:eastAsia="仿宋_GB2312"/>
          <w:b w:val="0"/>
          <w:sz w:val="32"/>
        </w:rPr>
        <w:t>二、《收入决算表》</w:t>
      </w:r>
    </w:p>
    <w:p w14:paraId="0413110E">
      <w:pPr>
        <w:spacing w:line="240" w:lineRule="auto"/>
        <w:ind w:firstLine="640"/>
        <w:jc w:val="both"/>
      </w:pPr>
      <w:r>
        <w:rPr>
          <w:rFonts w:ascii="仿宋_GB2312" w:hAnsi="仿宋_GB2312" w:eastAsia="仿宋_GB2312"/>
          <w:b w:val="0"/>
          <w:sz w:val="32"/>
        </w:rPr>
        <w:t>三、《支出决算表》</w:t>
      </w:r>
    </w:p>
    <w:p w14:paraId="1DBB5FE7">
      <w:pPr>
        <w:spacing w:line="240" w:lineRule="auto"/>
        <w:ind w:firstLine="640"/>
        <w:jc w:val="both"/>
      </w:pPr>
      <w:r>
        <w:rPr>
          <w:rFonts w:ascii="仿宋_GB2312" w:hAnsi="仿宋_GB2312" w:eastAsia="仿宋_GB2312"/>
          <w:b w:val="0"/>
          <w:sz w:val="32"/>
        </w:rPr>
        <w:t>四、《财政拨款收入支出决算总表》</w:t>
      </w:r>
    </w:p>
    <w:p w14:paraId="2982204B">
      <w:pPr>
        <w:spacing w:line="240" w:lineRule="auto"/>
        <w:ind w:firstLine="640"/>
        <w:jc w:val="both"/>
      </w:pPr>
      <w:r>
        <w:rPr>
          <w:rFonts w:ascii="仿宋_GB2312" w:hAnsi="仿宋_GB2312" w:eastAsia="仿宋_GB2312"/>
          <w:b w:val="0"/>
          <w:sz w:val="32"/>
        </w:rPr>
        <w:t>五、《一般公共预算财政拨款支出决算表》</w:t>
      </w:r>
    </w:p>
    <w:p w14:paraId="09A3D3A3">
      <w:pPr>
        <w:spacing w:line="240" w:lineRule="auto"/>
        <w:ind w:firstLine="640"/>
        <w:jc w:val="both"/>
      </w:pPr>
      <w:r>
        <w:rPr>
          <w:rFonts w:ascii="仿宋_GB2312" w:hAnsi="仿宋_GB2312" w:eastAsia="仿宋_GB2312"/>
          <w:b w:val="0"/>
          <w:sz w:val="32"/>
        </w:rPr>
        <w:t>六、《一般公共预算财政拨款基本支出决算表》</w:t>
      </w:r>
    </w:p>
    <w:p w14:paraId="2DA48942">
      <w:pPr>
        <w:spacing w:line="240" w:lineRule="auto"/>
        <w:ind w:firstLine="640"/>
        <w:jc w:val="both"/>
      </w:pPr>
      <w:r>
        <w:rPr>
          <w:rFonts w:ascii="仿宋_GB2312" w:hAnsi="仿宋_GB2312" w:eastAsia="仿宋_GB2312"/>
          <w:b w:val="0"/>
          <w:sz w:val="32"/>
        </w:rPr>
        <w:t>七、《政府性基金预算财政拨款收入支出决算表》</w:t>
      </w:r>
    </w:p>
    <w:p w14:paraId="193C32B6">
      <w:pPr>
        <w:spacing w:line="240" w:lineRule="auto"/>
        <w:ind w:firstLine="640"/>
        <w:jc w:val="both"/>
      </w:pPr>
      <w:r>
        <w:rPr>
          <w:rFonts w:ascii="仿宋_GB2312" w:hAnsi="仿宋_GB2312" w:eastAsia="仿宋_GB2312"/>
          <w:b w:val="0"/>
          <w:sz w:val="32"/>
        </w:rPr>
        <w:t>八、《国有资本经营预算财政拨款收入支出决算表》</w:t>
      </w:r>
    </w:p>
    <w:p w14:paraId="340656A6">
      <w:pPr>
        <w:spacing w:line="240" w:lineRule="auto"/>
        <w:ind w:firstLine="640"/>
        <w:jc w:val="both"/>
      </w:pPr>
      <w:r>
        <w:rPr>
          <w:rFonts w:ascii="仿宋_GB2312" w:hAnsi="仿宋_GB2312" w:eastAsia="仿宋_GB2312"/>
          <w:b w:val="0"/>
          <w:sz w:val="32"/>
        </w:rPr>
        <w:t>九、《财政拨款“三公”经费支出决算表》</w:t>
      </w:r>
    </w:p>
    <w:p w14:paraId="10A41A33">
      <w:pPr>
        <w:spacing w:line="240" w:lineRule="auto"/>
        <w:ind w:firstLine="640"/>
        <w:jc w:val="both"/>
      </w:pPr>
    </w:p>
    <w:p w14:paraId="2498A925">
      <w:pPr>
        <w:spacing w:line="240" w:lineRule="auto"/>
        <w:ind w:firstLine="640"/>
        <w:jc w:val="both"/>
      </w:pPr>
    </w:p>
    <w:p w14:paraId="54888A90">
      <w:pPr>
        <w:spacing w:line="240" w:lineRule="auto"/>
        <w:ind w:firstLine="640"/>
        <w:jc w:val="both"/>
      </w:pPr>
    </w:p>
    <w:p w14:paraId="4C29617B">
      <w:pPr>
        <w:spacing w:line="240" w:lineRule="auto"/>
        <w:ind w:firstLine="640"/>
        <w:jc w:val="both"/>
      </w:pPr>
    </w:p>
    <w:p w14:paraId="03B1CC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3">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ED4A7B"/>
    <w:rsid w:val="2C1965E9"/>
    <w:rsid w:val="2CB303E8"/>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4905</Words>
  <Characters>5588</Characters>
  <Lines>0</Lines>
  <Paragraphs>0</Paragraphs>
  <TotalTime>1</TotalTime>
  <ScaleCrop>false</ScaleCrop>
  <LinksUpToDate>false</LinksUpToDate>
  <CharactersWithSpaces>5596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2025-10-14T03:17:57Z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