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吉木萨尔县财政局2024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A6879ED">
      <w:r>
        <w:br w:type="page"/>
      </w:r>
    </w:p>
    <w:p w14:paraId="491D98A2">
      <w:pPr>
        <w:spacing w:line="640" w:lineRule="exact"/>
        <w:jc w:val="center"/>
        <w:outlineLvl w:val="1"/>
      </w:pPr>
      <w:r>
        <w:rPr>
          <w:rFonts w:ascii="黑体" w:hAnsi="黑体" w:eastAsia="黑体"/>
          <w:sz w:val="32"/>
        </w:rPr>
        <w:t>第一部分 单位概况</w:t>
      </w:r>
    </w:p>
    <w:p w14:paraId="0F92CA6F">
      <w:pPr>
        <w:spacing w:line="640" w:lineRule="exact"/>
        <w:ind w:firstLine="640"/>
        <w:jc w:val="both"/>
        <w:outlineLvl w:val="2"/>
      </w:pPr>
      <w:r>
        <w:rPr>
          <w:rFonts w:ascii="黑体" w:hAnsi="黑体" w:eastAsia="黑体"/>
          <w:sz w:val="32"/>
        </w:rPr>
        <w:t>一、主要职能</w:t>
      </w:r>
    </w:p>
    <w:p w14:paraId="239F050A">
      <w:pPr>
        <w:spacing w:line="580" w:lineRule="exact"/>
        <w:ind w:firstLine="640"/>
        <w:jc w:val="both"/>
      </w:pPr>
      <w:r>
        <w:rPr>
          <w:rFonts w:ascii="仿宋_GB2312" w:hAnsi="仿宋_GB2312" w:eastAsia="仿宋_GB2312"/>
          <w:sz w:val="32"/>
        </w:rPr>
        <w:t>财政局贯彻落实党中央关于财政工作和国有</w:t>
      </w:r>
      <w:r>
        <w:rPr>
          <w:rFonts w:hint="eastAsia" w:ascii="仿宋_GB2312" w:hAnsi="仿宋_GB2312" w:eastAsia="仿宋_GB2312"/>
          <w:sz w:val="32"/>
          <w:lang w:val="en-US" w:eastAsia="zh-CN"/>
        </w:rPr>
        <w:t>资</w:t>
      </w:r>
      <w:r>
        <w:rPr>
          <w:rFonts w:ascii="仿宋_GB2312" w:hAnsi="仿宋_GB2312" w:eastAsia="仿宋_GB2312"/>
          <w:sz w:val="32"/>
        </w:rPr>
        <w:t>产监督管理工作的方针政策和决策部署以及自治区、自治州、县党委工作要求，在履行职责过程中坚持和加强党对财政工作和国有资产监督管理工作的集中统一领导。</w:t>
      </w:r>
    </w:p>
    <w:p w14:paraId="45CA4221">
      <w:pPr>
        <w:spacing w:line="580" w:lineRule="exact"/>
        <w:ind w:firstLine="640"/>
        <w:jc w:val="both"/>
      </w:pPr>
      <w:r>
        <w:rPr>
          <w:rFonts w:ascii="仿宋_GB2312" w:hAnsi="仿宋_GB2312" w:eastAsia="仿宋_GB2312"/>
          <w:sz w:val="32"/>
        </w:rPr>
        <w:t>(一)根据全县国民经济和社会发展战略，拟订县财政发展中长期财政规划并组织实施</w:t>
      </w:r>
      <w:r>
        <w:rPr>
          <w:rFonts w:hint="eastAsia" w:ascii="仿宋_GB2312" w:hAnsi="仿宋_GB2312" w:eastAsia="仿宋_GB2312"/>
          <w:sz w:val="32"/>
          <w:lang w:eastAsia="zh-CN"/>
        </w:rPr>
        <w:t>；</w:t>
      </w:r>
      <w:r>
        <w:rPr>
          <w:rFonts w:ascii="仿宋_GB2312" w:hAnsi="仿宋_GB2312" w:eastAsia="仿宋_GB2312"/>
          <w:sz w:val="32"/>
        </w:rPr>
        <w:t>分析预测宏观经济形势、参与制定有关综合经济政策、提出运用财税政策实施地方经济调控和综合平衡社会财力的建议</w:t>
      </w:r>
      <w:r>
        <w:rPr>
          <w:rFonts w:hint="eastAsia" w:ascii="仿宋_GB2312" w:hAnsi="仿宋_GB2312" w:eastAsia="仿宋_GB2312"/>
          <w:sz w:val="32"/>
          <w:lang w:eastAsia="zh-CN"/>
        </w:rPr>
        <w:t>；</w:t>
      </w:r>
      <w:r>
        <w:rPr>
          <w:rFonts w:ascii="仿宋_GB2312" w:hAnsi="仿宋_GB2312" w:eastAsia="仿宋_GB2312"/>
          <w:sz w:val="32"/>
        </w:rPr>
        <w:t>制定调节收入分配的财政税收政策，完善鼓励公益事业发展的财政税收政策</w:t>
      </w:r>
      <w:r>
        <w:rPr>
          <w:rFonts w:hint="eastAsia" w:ascii="仿宋_GB2312" w:hAnsi="仿宋_GB2312" w:eastAsia="仿宋_GB2312"/>
          <w:sz w:val="32"/>
          <w:lang w:eastAsia="zh-CN"/>
        </w:rPr>
        <w:t>；</w:t>
      </w:r>
      <w:r>
        <w:rPr>
          <w:rFonts w:ascii="仿宋_GB2312" w:hAnsi="仿宋_GB2312" w:eastAsia="仿宋_GB2312"/>
          <w:sz w:val="32"/>
        </w:rPr>
        <w:t>加强国有资产管理。</w:t>
      </w:r>
    </w:p>
    <w:p w14:paraId="5F303A34">
      <w:pPr>
        <w:spacing w:line="580" w:lineRule="exact"/>
        <w:ind w:firstLine="640"/>
        <w:jc w:val="both"/>
      </w:pPr>
      <w:r>
        <w:rPr>
          <w:rFonts w:ascii="仿宋_GB2312" w:hAnsi="仿宋_GB2312" w:eastAsia="仿宋_GB2312"/>
          <w:sz w:val="32"/>
        </w:rPr>
        <w:t>(二)承担全县各项财政收支管理责任</w:t>
      </w:r>
      <w:r>
        <w:rPr>
          <w:rFonts w:hint="eastAsia" w:ascii="仿宋_GB2312" w:hAnsi="仿宋_GB2312" w:eastAsia="仿宋_GB2312"/>
          <w:sz w:val="32"/>
          <w:lang w:eastAsia="zh-CN"/>
        </w:rPr>
        <w:t>；</w:t>
      </w:r>
      <w:r>
        <w:rPr>
          <w:rFonts w:ascii="仿宋_GB2312" w:hAnsi="仿宋_GB2312" w:eastAsia="仿宋_GB2312"/>
          <w:sz w:val="32"/>
        </w:rPr>
        <w:t>负责编制县本级预决算草案并组织执行，审查、批复部门预算</w:t>
      </w:r>
      <w:r>
        <w:rPr>
          <w:rFonts w:hint="eastAsia" w:ascii="仿宋_GB2312" w:hAnsi="仿宋_GB2312" w:eastAsia="仿宋_GB2312"/>
          <w:sz w:val="32"/>
          <w:lang w:eastAsia="zh-CN"/>
        </w:rPr>
        <w:t>；</w:t>
      </w:r>
      <w:r>
        <w:rPr>
          <w:rFonts w:ascii="仿宋_GB2312" w:hAnsi="仿宋_GB2312" w:eastAsia="仿宋_GB2312"/>
          <w:sz w:val="32"/>
        </w:rPr>
        <w:t>受县人民政府委托向县人民代表大会报告全县预算及其执行情况，向县人大常委会报告决算和预算变更事项</w:t>
      </w:r>
      <w:r>
        <w:rPr>
          <w:rFonts w:hint="eastAsia" w:ascii="仿宋_GB2312" w:hAnsi="仿宋_GB2312" w:eastAsia="仿宋_GB2312"/>
          <w:sz w:val="32"/>
          <w:lang w:eastAsia="zh-CN"/>
        </w:rPr>
        <w:t>；</w:t>
      </w:r>
      <w:r>
        <w:rPr>
          <w:rFonts w:ascii="仿宋_GB2312" w:hAnsi="仿宋_GB2312" w:eastAsia="仿宋_GB2312"/>
          <w:sz w:val="32"/>
        </w:rPr>
        <w:t>组织制定经费开支标准、定额、年度预算，负责审核批复预算部门(单位)的年度财政预决算。</w:t>
      </w:r>
    </w:p>
    <w:p w14:paraId="0DB2C62E">
      <w:pPr>
        <w:spacing w:line="580" w:lineRule="exact"/>
        <w:ind w:firstLine="640"/>
        <w:jc w:val="both"/>
      </w:pPr>
      <w:r>
        <w:rPr>
          <w:rFonts w:ascii="仿宋_GB2312" w:hAnsi="仿宋_GB2312" w:eastAsia="仿宋_GB2312"/>
          <w:sz w:val="32"/>
        </w:rPr>
        <w:t>(三)根据预算安排，拟订财政税收收入计划并组织实施和监督管理</w:t>
      </w:r>
      <w:r>
        <w:rPr>
          <w:rFonts w:hint="eastAsia" w:ascii="仿宋_GB2312" w:hAnsi="仿宋_GB2312" w:eastAsia="仿宋_GB2312"/>
          <w:sz w:val="32"/>
          <w:lang w:eastAsia="zh-CN"/>
        </w:rPr>
        <w:t>；</w:t>
      </w:r>
      <w:r>
        <w:rPr>
          <w:rFonts w:ascii="仿宋_GB2312" w:hAnsi="仿宋_GB2312" w:eastAsia="仿宋_GB2312"/>
          <w:sz w:val="32"/>
        </w:rPr>
        <w:t>按管理权限拟订免税上报事项和对全县预算影响大的临时和特殊的地方税减免事项</w:t>
      </w:r>
      <w:r>
        <w:rPr>
          <w:rFonts w:hint="eastAsia" w:ascii="仿宋_GB2312" w:hAnsi="仿宋_GB2312" w:eastAsia="仿宋_GB2312"/>
          <w:sz w:val="32"/>
          <w:lang w:eastAsia="zh-CN"/>
        </w:rPr>
        <w:t>；</w:t>
      </w:r>
      <w:r>
        <w:rPr>
          <w:rFonts w:ascii="仿宋_GB2312" w:hAnsi="仿宋_GB2312" w:eastAsia="仿宋_GB2312"/>
          <w:sz w:val="32"/>
        </w:rPr>
        <w:t>按管理权</w:t>
      </w:r>
      <w:r>
        <w:rPr>
          <w:rFonts w:hint="eastAsia" w:ascii="仿宋_GB2312" w:hAnsi="仿宋_GB2312" w:eastAsia="仿宋_GB2312"/>
          <w:sz w:val="32"/>
          <w:lang w:eastAsia="zh-CN"/>
        </w:rPr>
        <w:t>限</w:t>
      </w:r>
      <w:r>
        <w:rPr>
          <w:rFonts w:hint="eastAsia" w:ascii="仿宋_GB2312" w:hAnsi="仿宋_GB2312" w:eastAsia="仿宋_GB2312"/>
          <w:sz w:val="32"/>
          <w:lang w:val="en-US" w:eastAsia="zh-CN"/>
        </w:rPr>
        <w:t>拟</w:t>
      </w:r>
      <w:r>
        <w:rPr>
          <w:rFonts w:ascii="仿宋_GB2312" w:hAnsi="仿宋_GB2312" w:eastAsia="仿宋_GB2312"/>
          <w:sz w:val="32"/>
        </w:rPr>
        <w:t>订非税财</w:t>
      </w:r>
      <w:r>
        <w:rPr>
          <w:rFonts w:hint="eastAsia" w:ascii="仿宋_GB2312" w:hAnsi="仿宋_GB2312" w:eastAsia="仿宋_GB2312"/>
          <w:sz w:val="32"/>
          <w:lang w:eastAsia="zh-CN"/>
        </w:rPr>
        <w:t>政收</w:t>
      </w:r>
      <w:r>
        <w:rPr>
          <w:rFonts w:ascii="仿宋_GB2312" w:hAnsi="仿宋_GB2312" w:eastAsia="仿宋_GB2312"/>
          <w:sz w:val="32"/>
        </w:rPr>
        <w:t>入制度并负责县本级非税财政收入的征收与管理</w:t>
      </w:r>
      <w:r>
        <w:rPr>
          <w:rFonts w:hint="eastAsia" w:ascii="仿宋_GB2312" w:hAnsi="仿宋_GB2312" w:eastAsia="仿宋_GB2312"/>
          <w:sz w:val="32"/>
          <w:lang w:eastAsia="zh-CN"/>
        </w:rPr>
        <w:t>；</w:t>
      </w:r>
      <w:r>
        <w:rPr>
          <w:rFonts w:ascii="仿宋_GB2312" w:hAnsi="仿宋_GB2312" w:eastAsia="仿宋_GB2312"/>
          <w:sz w:val="32"/>
        </w:rPr>
        <w:t>参与拟订行政事业性收费标准</w:t>
      </w:r>
      <w:r>
        <w:rPr>
          <w:rFonts w:hint="eastAsia" w:ascii="仿宋_GB2312" w:hAnsi="仿宋_GB2312" w:eastAsia="仿宋_GB2312"/>
          <w:sz w:val="32"/>
          <w:lang w:eastAsia="zh-CN"/>
        </w:rPr>
        <w:t>；</w:t>
      </w:r>
      <w:r>
        <w:rPr>
          <w:rFonts w:ascii="仿宋_GB2312" w:hAnsi="仿宋_GB2312" w:eastAsia="仿宋_GB2312"/>
          <w:sz w:val="32"/>
        </w:rPr>
        <w:t>监管财政票据</w:t>
      </w:r>
      <w:r>
        <w:rPr>
          <w:rFonts w:hint="eastAsia" w:ascii="仿宋_GB2312" w:hAnsi="仿宋_GB2312" w:eastAsia="仿宋_GB2312"/>
          <w:sz w:val="32"/>
          <w:lang w:eastAsia="zh-CN"/>
        </w:rPr>
        <w:t>；</w:t>
      </w:r>
      <w:r>
        <w:rPr>
          <w:rFonts w:ascii="仿宋_GB2312" w:hAnsi="仿宋_GB2312" w:eastAsia="仿宋_GB2312"/>
          <w:sz w:val="32"/>
        </w:rPr>
        <w:t>贯彻执行彩票管理政策和办法，按规定管理彩票资金。</w:t>
      </w:r>
    </w:p>
    <w:p w14:paraId="14A807F4">
      <w:pPr>
        <w:spacing w:line="580" w:lineRule="exact"/>
        <w:ind w:firstLine="640"/>
        <w:jc w:val="both"/>
      </w:pPr>
      <w:r>
        <w:rPr>
          <w:rFonts w:ascii="仿宋_GB2312" w:hAnsi="仿宋_GB2312" w:eastAsia="仿宋_GB2312"/>
          <w:sz w:val="32"/>
        </w:rPr>
        <w:t>(四)负责建立和实施国库管理制度、国库集中支付制度，制定地方财政收入入库解缴办法，监督管理国库资金缴拨使用情况</w:t>
      </w:r>
      <w:r>
        <w:rPr>
          <w:rFonts w:hint="eastAsia" w:ascii="仿宋_GB2312" w:hAnsi="仿宋_GB2312" w:eastAsia="仿宋_GB2312"/>
          <w:sz w:val="32"/>
          <w:lang w:eastAsia="zh-CN"/>
        </w:rPr>
        <w:t>；</w:t>
      </w:r>
      <w:r>
        <w:rPr>
          <w:rFonts w:ascii="仿宋_GB2312" w:hAnsi="仿宋_GB2312" w:eastAsia="仿宋_GB2312"/>
          <w:sz w:val="32"/>
        </w:rPr>
        <w:t>研究制定县政府采购管理制度和办法并指导、监督、检查全县政府采购工作</w:t>
      </w:r>
      <w:r>
        <w:rPr>
          <w:rFonts w:hint="eastAsia" w:ascii="仿宋_GB2312" w:hAnsi="仿宋_GB2312" w:eastAsia="仿宋_GB2312"/>
          <w:sz w:val="32"/>
          <w:lang w:eastAsia="zh-CN"/>
        </w:rPr>
        <w:t>；</w:t>
      </w:r>
      <w:r>
        <w:rPr>
          <w:rFonts w:ascii="仿宋_GB2312" w:hAnsi="仿宋_GB2312" w:eastAsia="仿宋_GB2312"/>
          <w:sz w:val="32"/>
        </w:rPr>
        <w:t>研究政府购买服务制度和政策并组织实施</w:t>
      </w:r>
      <w:r>
        <w:rPr>
          <w:rFonts w:hint="eastAsia" w:ascii="仿宋_GB2312" w:hAnsi="仿宋_GB2312" w:eastAsia="仿宋_GB2312"/>
          <w:sz w:val="32"/>
          <w:lang w:eastAsia="zh-CN"/>
        </w:rPr>
        <w:t>；办</w:t>
      </w:r>
      <w:r>
        <w:rPr>
          <w:rFonts w:ascii="仿宋_GB2312" w:hAnsi="仿宋_GB2312" w:eastAsia="仿宋_GB2312"/>
          <w:sz w:val="32"/>
        </w:rPr>
        <w:t>理全县财政统一发放工资工作。</w:t>
      </w:r>
    </w:p>
    <w:p w14:paraId="24D97063">
      <w:pPr>
        <w:spacing w:line="580" w:lineRule="exact"/>
        <w:ind w:firstLine="640"/>
        <w:jc w:val="both"/>
      </w:pPr>
      <w:r>
        <w:rPr>
          <w:rFonts w:ascii="仿宋_GB2312" w:hAnsi="仿宋_GB2312" w:eastAsia="仿宋_GB2312"/>
          <w:sz w:val="32"/>
        </w:rPr>
        <w:t>(五)拟订和执行地方政府性债务管理制度和办法，按</w:t>
      </w:r>
      <w:r>
        <w:rPr>
          <w:rFonts w:hint="eastAsia" w:ascii="仿宋_GB2312" w:hAnsi="仿宋_GB2312" w:eastAsia="仿宋_GB2312"/>
          <w:sz w:val="32"/>
          <w:lang w:eastAsia="zh-CN"/>
        </w:rPr>
        <w:t>规定</w:t>
      </w:r>
      <w:r>
        <w:rPr>
          <w:rFonts w:ascii="仿宋_GB2312" w:hAnsi="仿宋_GB2312" w:eastAsia="仿宋_GB2312"/>
          <w:sz w:val="32"/>
        </w:rPr>
        <w:t>开展地方政府债务管理工作</w:t>
      </w:r>
      <w:r>
        <w:rPr>
          <w:rFonts w:hint="eastAsia" w:ascii="仿宋_GB2312" w:hAnsi="仿宋_GB2312" w:eastAsia="仿宋_GB2312"/>
          <w:sz w:val="32"/>
          <w:lang w:eastAsia="zh-CN"/>
        </w:rPr>
        <w:t>；</w:t>
      </w:r>
      <w:r>
        <w:rPr>
          <w:rFonts w:ascii="仿宋_GB2312" w:hAnsi="仿宋_GB2312" w:eastAsia="仿宋_GB2312"/>
          <w:sz w:val="32"/>
        </w:rPr>
        <w:t>管理国债资金，防范财政风险；负责管理政府外债，组织实施外国政府、国际金融组织贷款项目的审核、申报、转贷、签订贷款协定、财务会计核算、提款报账、还本付息等资金管理工作</w:t>
      </w:r>
      <w:r>
        <w:rPr>
          <w:rFonts w:hint="eastAsia" w:ascii="仿宋_GB2312" w:hAnsi="仿宋_GB2312" w:eastAsia="仿宋_GB2312"/>
          <w:sz w:val="32"/>
          <w:lang w:eastAsia="zh-CN"/>
        </w:rPr>
        <w:t>；</w:t>
      </w:r>
      <w:r>
        <w:rPr>
          <w:rFonts w:ascii="仿宋_GB2312" w:hAnsi="仿宋_GB2312" w:eastAsia="仿宋_GB2312"/>
          <w:sz w:val="32"/>
        </w:rPr>
        <w:t>承担地方金融企业的国有资产和财务的监督管理工作</w:t>
      </w:r>
      <w:r>
        <w:rPr>
          <w:rFonts w:hint="eastAsia" w:ascii="仿宋_GB2312" w:hAnsi="仿宋_GB2312" w:eastAsia="仿宋_GB2312"/>
          <w:sz w:val="32"/>
          <w:lang w:eastAsia="zh-CN"/>
        </w:rPr>
        <w:t>；</w:t>
      </w:r>
      <w:r>
        <w:rPr>
          <w:rFonts w:ascii="仿宋_GB2312" w:hAnsi="仿宋_GB2312" w:eastAsia="仿宋_GB2312"/>
          <w:sz w:val="32"/>
        </w:rPr>
        <w:t>负责全县地方金融类机构、地方性融资担保机构的财务监管工作。</w:t>
      </w:r>
    </w:p>
    <w:p w14:paraId="12CCDBE0">
      <w:pPr>
        <w:spacing w:line="580" w:lineRule="exact"/>
        <w:ind w:firstLine="640"/>
        <w:jc w:val="both"/>
      </w:pPr>
      <w:r>
        <w:rPr>
          <w:rFonts w:ascii="仿宋_GB2312" w:hAnsi="仿宋_GB2312" w:eastAsia="仿宋_GB2312"/>
          <w:sz w:val="32"/>
        </w:rPr>
        <w:t>(六)参与</w:t>
      </w:r>
      <w:r>
        <w:rPr>
          <w:rFonts w:hint="eastAsia" w:ascii="仿宋_GB2312" w:hAnsi="仿宋_GB2312" w:eastAsia="仿宋_GB2312"/>
          <w:sz w:val="32"/>
          <w:lang w:eastAsia="zh-CN"/>
        </w:rPr>
        <w:t>拟订</w:t>
      </w:r>
      <w:r>
        <w:rPr>
          <w:rFonts w:ascii="仿宋_GB2312" w:hAnsi="仿宋_GB2312" w:eastAsia="仿宋_GB2312"/>
          <w:sz w:val="32"/>
        </w:rPr>
        <w:t>县人民政府建设投资的有关政策，制定并行基本建设财务管理制度</w:t>
      </w:r>
      <w:r>
        <w:rPr>
          <w:rFonts w:hint="eastAsia" w:ascii="仿宋_GB2312" w:hAnsi="仿宋_GB2312" w:eastAsia="仿宋_GB2312"/>
          <w:sz w:val="32"/>
          <w:lang w:eastAsia="zh-CN"/>
        </w:rPr>
        <w:t>；</w:t>
      </w:r>
      <w:r>
        <w:rPr>
          <w:rFonts w:ascii="仿宋_GB2312" w:hAnsi="仿宋_GB2312" w:eastAsia="仿宋_GB2312"/>
          <w:sz w:val="32"/>
        </w:rPr>
        <w:t>负责中央和区、州、县政府性投资项目财政资金管理工作</w:t>
      </w:r>
      <w:r>
        <w:rPr>
          <w:rFonts w:hint="eastAsia" w:ascii="仿宋_GB2312" w:hAnsi="仿宋_GB2312" w:eastAsia="仿宋_GB2312"/>
          <w:sz w:val="32"/>
          <w:lang w:eastAsia="zh-CN"/>
        </w:rPr>
        <w:t>；</w:t>
      </w:r>
      <w:r>
        <w:rPr>
          <w:rFonts w:ascii="仿宋_GB2312" w:hAnsi="仿宋_GB2312" w:eastAsia="仿宋_GB2312"/>
          <w:sz w:val="32"/>
        </w:rPr>
        <w:t>制定县政府和社会资本合作(PPP)有关政策制度，承担相关规范管理工作</w:t>
      </w:r>
      <w:r>
        <w:rPr>
          <w:rFonts w:hint="eastAsia" w:ascii="仿宋_GB2312" w:hAnsi="仿宋_GB2312" w:eastAsia="仿宋_GB2312"/>
          <w:sz w:val="32"/>
          <w:lang w:eastAsia="zh-CN"/>
        </w:rPr>
        <w:t>；</w:t>
      </w:r>
      <w:r>
        <w:rPr>
          <w:rFonts w:ascii="仿宋_GB2312" w:hAnsi="仿宋_GB2312" w:eastAsia="仿宋_GB2312"/>
          <w:sz w:val="32"/>
        </w:rPr>
        <w:t>承担有关政策性补贴和专项储备资金财政管理工作</w:t>
      </w:r>
      <w:r>
        <w:rPr>
          <w:rFonts w:hint="eastAsia" w:ascii="仿宋_GB2312" w:hAnsi="仿宋_GB2312" w:eastAsia="仿宋_GB2312"/>
          <w:sz w:val="32"/>
          <w:lang w:eastAsia="zh-CN"/>
        </w:rPr>
        <w:t>；</w:t>
      </w:r>
      <w:r>
        <w:rPr>
          <w:rFonts w:ascii="仿宋_GB2312" w:hAnsi="仿宋_GB2312" w:eastAsia="仿宋_GB2312"/>
          <w:sz w:val="32"/>
        </w:rPr>
        <w:t>管理各项扶贫资金。</w:t>
      </w:r>
    </w:p>
    <w:p w14:paraId="6F00D367">
      <w:pPr>
        <w:spacing w:line="580" w:lineRule="exact"/>
        <w:ind w:firstLine="640"/>
        <w:jc w:val="both"/>
      </w:pPr>
      <w:r>
        <w:rPr>
          <w:rFonts w:ascii="仿宋_GB2312" w:hAnsi="仿宋_GB2312" w:eastAsia="仿宋_GB2312"/>
          <w:sz w:val="32"/>
        </w:rPr>
        <w:t>(七)贯彻执行国家行政事业单位国有资产管理法规、制度和方针政策，制定行政事业单位国有资产管理政策制度并组织实施，按规定管理行政事业单位国有资产，履行行政事业单位国有资产购置、使用、处置监督审核职责</w:t>
      </w:r>
      <w:r>
        <w:rPr>
          <w:rFonts w:hint="eastAsia" w:ascii="仿宋_GB2312" w:hAnsi="仿宋_GB2312" w:eastAsia="仿宋_GB2312"/>
          <w:sz w:val="32"/>
          <w:lang w:eastAsia="zh-CN"/>
        </w:rPr>
        <w:t>；</w:t>
      </w:r>
      <w:r>
        <w:rPr>
          <w:rFonts w:ascii="仿宋_GB2312" w:hAnsi="仿宋_GB2312" w:eastAsia="仿宋_GB2312"/>
          <w:sz w:val="32"/>
        </w:rPr>
        <w:t>牵头编制国有资产管理情况报告，拟定和执行需要全县统一规定的开支标准和支出政策。</w:t>
      </w:r>
    </w:p>
    <w:p w14:paraId="699335A3">
      <w:pPr>
        <w:spacing w:line="580" w:lineRule="exact"/>
        <w:ind w:firstLine="640"/>
        <w:jc w:val="both"/>
      </w:pPr>
      <w:r>
        <w:rPr>
          <w:rFonts w:ascii="仿宋_GB2312" w:hAnsi="仿宋_GB2312" w:eastAsia="仿宋_GB2312"/>
          <w:sz w:val="32"/>
        </w:rPr>
        <w:t>(八)会同有关部门管理各级财政补助、县本级财政社会保障和就业及医疗卫生资金</w:t>
      </w:r>
      <w:r>
        <w:rPr>
          <w:rFonts w:hint="eastAsia" w:ascii="仿宋_GB2312" w:hAnsi="仿宋_GB2312" w:eastAsia="仿宋_GB2312"/>
          <w:sz w:val="32"/>
          <w:lang w:eastAsia="zh-CN"/>
        </w:rPr>
        <w:t>；</w:t>
      </w:r>
      <w:r>
        <w:rPr>
          <w:rFonts w:ascii="仿宋_GB2312" w:hAnsi="仿宋_GB2312" w:eastAsia="仿宋_GB2312"/>
          <w:sz w:val="32"/>
        </w:rPr>
        <w:t>参与社会保障制度的研究制定，会同有关部门研究拟订</w:t>
      </w:r>
      <w:r>
        <w:rPr>
          <w:rFonts w:hint="eastAsia" w:ascii="仿宋_GB2312" w:hAnsi="仿宋_GB2312" w:eastAsia="仿宋_GB2312"/>
          <w:sz w:val="32"/>
          <w:lang w:eastAsia="zh-CN"/>
        </w:rPr>
        <w:t>县级</w:t>
      </w:r>
      <w:r>
        <w:rPr>
          <w:rFonts w:ascii="仿宋_GB2312" w:hAnsi="仿宋_GB2312" w:eastAsia="仿宋_GB2312"/>
          <w:sz w:val="32"/>
        </w:rPr>
        <w:t>社会保障资金(基金)的财务制度和管理办法并组织实施。</w:t>
      </w:r>
    </w:p>
    <w:p w14:paraId="341D6FA9">
      <w:pPr>
        <w:spacing w:line="580" w:lineRule="exact"/>
        <w:ind w:firstLine="640"/>
        <w:jc w:val="both"/>
      </w:pPr>
      <w:r>
        <w:rPr>
          <w:rFonts w:ascii="仿宋_GB2312" w:hAnsi="仿宋_GB2312" w:eastAsia="仿宋_GB2312"/>
          <w:sz w:val="32"/>
        </w:rPr>
        <w:t>(九)负责审核和汇总编制</w:t>
      </w:r>
      <w:bookmarkStart w:id="0" w:name="_GoBack"/>
      <w:r>
        <w:rPr>
          <w:rFonts w:ascii="仿宋_GB2312" w:hAnsi="仿宋_GB2312" w:eastAsia="仿宋_GB2312"/>
          <w:sz w:val="32"/>
        </w:rPr>
        <w:t>国有资本经营预决算</w:t>
      </w:r>
      <w:bookmarkEnd w:id="0"/>
      <w:r>
        <w:rPr>
          <w:rFonts w:ascii="仿宋_GB2312" w:hAnsi="仿宋_GB2312" w:eastAsia="仿宋_GB2312"/>
          <w:sz w:val="32"/>
        </w:rPr>
        <w:t>草案，制定国有资本经营预算的制度和办法，收取县本级企业国有资本收益</w:t>
      </w:r>
      <w:r>
        <w:rPr>
          <w:rFonts w:hint="eastAsia" w:ascii="仿宋_GB2312" w:hAnsi="仿宋_GB2312" w:eastAsia="仿宋_GB2312"/>
          <w:sz w:val="32"/>
          <w:lang w:eastAsia="zh-CN"/>
        </w:rPr>
        <w:t>；</w:t>
      </w:r>
      <w:r>
        <w:rPr>
          <w:rFonts w:ascii="仿宋_GB2312" w:hAnsi="仿宋_GB2312" w:eastAsia="仿宋_GB2312"/>
          <w:sz w:val="32"/>
        </w:rPr>
        <w:t>组织实施企业财务制度。</w:t>
      </w:r>
    </w:p>
    <w:p w14:paraId="12AEA7DF">
      <w:pPr>
        <w:spacing w:line="580" w:lineRule="exact"/>
        <w:ind w:firstLine="640"/>
        <w:jc w:val="both"/>
      </w:pPr>
      <w:r>
        <w:rPr>
          <w:rFonts w:ascii="仿宋_GB2312" w:hAnsi="仿宋_GB2312" w:eastAsia="仿宋_GB2312"/>
          <w:sz w:val="32"/>
        </w:rPr>
        <w:t>(十)管理和指导全县会计工作，加强会计监督，规范会计行为，组织执行国家统一的会计制度，制定补充规定并执行</w:t>
      </w:r>
      <w:r>
        <w:rPr>
          <w:rFonts w:hint="eastAsia" w:ascii="仿宋_GB2312" w:hAnsi="仿宋_GB2312" w:eastAsia="仿宋_GB2312"/>
          <w:sz w:val="32"/>
          <w:lang w:eastAsia="zh-CN"/>
        </w:rPr>
        <w:t>；</w:t>
      </w:r>
      <w:r>
        <w:rPr>
          <w:rFonts w:ascii="仿宋_GB2312" w:hAnsi="仿宋_GB2312" w:eastAsia="仿宋_GB2312"/>
          <w:sz w:val="32"/>
        </w:rPr>
        <w:t>保障会计资料的真实完整</w:t>
      </w:r>
      <w:r>
        <w:rPr>
          <w:rFonts w:hint="eastAsia" w:ascii="仿宋_GB2312" w:hAnsi="仿宋_GB2312" w:eastAsia="仿宋_GB2312"/>
          <w:sz w:val="32"/>
          <w:lang w:eastAsia="zh-CN"/>
        </w:rPr>
        <w:t>；</w:t>
      </w:r>
      <w:r>
        <w:rPr>
          <w:rFonts w:ascii="仿宋_GB2312" w:hAnsi="仿宋_GB2312" w:eastAsia="仿宋_GB2312"/>
          <w:sz w:val="32"/>
        </w:rPr>
        <w:t>组织和管理会计人员的业务培训</w:t>
      </w:r>
      <w:r>
        <w:rPr>
          <w:rFonts w:hint="eastAsia" w:ascii="仿宋_GB2312" w:hAnsi="仿宋_GB2312" w:eastAsia="仿宋_GB2312"/>
          <w:sz w:val="32"/>
          <w:lang w:eastAsia="zh-CN"/>
        </w:rPr>
        <w:t>；</w:t>
      </w:r>
      <w:r>
        <w:rPr>
          <w:rFonts w:ascii="仿宋_GB2312" w:hAnsi="仿宋_GB2312" w:eastAsia="仿宋_GB2312"/>
          <w:sz w:val="32"/>
        </w:rPr>
        <w:t>指导和监督注册会计师、注册资产评估师的工作</w:t>
      </w:r>
      <w:r>
        <w:rPr>
          <w:rFonts w:hint="eastAsia" w:ascii="仿宋_GB2312" w:hAnsi="仿宋_GB2312" w:eastAsia="仿宋_GB2312"/>
          <w:sz w:val="32"/>
          <w:lang w:eastAsia="zh-CN"/>
        </w:rPr>
        <w:t>；</w:t>
      </w:r>
      <w:r>
        <w:rPr>
          <w:rFonts w:ascii="仿宋_GB2312" w:hAnsi="仿宋_GB2312" w:eastAsia="仿宋_GB2312"/>
          <w:sz w:val="32"/>
        </w:rPr>
        <w:t>依法管理资产评估工作</w:t>
      </w:r>
      <w:r>
        <w:rPr>
          <w:rFonts w:hint="eastAsia" w:ascii="仿宋_GB2312" w:hAnsi="仿宋_GB2312" w:eastAsia="仿宋_GB2312"/>
          <w:sz w:val="32"/>
          <w:lang w:eastAsia="zh-CN"/>
        </w:rPr>
        <w:t>；</w:t>
      </w:r>
      <w:r>
        <w:rPr>
          <w:rFonts w:ascii="仿宋_GB2312" w:hAnsi="仿宋_GB2312" w:eastAsia="仿宋_GB2312"/>
          <w:sz w:val="32"/>
        </w:rPr>
        <w:t>指导和管理社会审计。</w:t>
      </w:r>
    </w:p>
    <w:p w14:paraId="1C8C89E6">
      <w:pPr>
        <w:spacing w:line="580" w:lineRule="exact"/>
        <w:ind w:firstLine="640"/>
        <w:jc w:val="both"/>
      </w:pPr>
      <w:r>
        <w:rPr>
          <w:rFonts w:ascii="仿宋_GB2312" w:hAnsi="仿宋_GB2312" w:eastAsia="仿宋_GB2312"/>
          <w:sz w:val="32"/>
        </w:rPr>
        <w:t>(十一)监督财税方针政策、法律法规的执行</w:t>
      </w:r>
      <w:r>
        <w:rPr>
          <w:rFonts w:hint="eastAsia" w:ascii="仿宋_GB2312" w:hAnsi="仿宋_GB2312" w:eastAsia="仿宋_GB2312"/>
          <w:sz w:val="32"/>
          <w:lang w:eastAsia="zh-CN"/>
        </w:rPr>
        <w:t>；</w:t>
      </w:r>
      <w:r>
        <w:rPr>
          <w:rFonts w:ascii="仿宋_GB2312" w:hAnsi="仿宋_GB2312" w:eastAsia="仿宋_GB2312"/>
          <w:sz w:val="32"/>
        </w:rPr>
        <w:t>检查监督县级预算收入征收部门各项预算收入情况和本级各部门、单位财务执行情况</w:t>
      </w:r>
      <w:r>
        <w:rPr>
          <w:rFonts w:hint="eastAsia" w:ascii="仿宋_GB2312" w:hAnsi="仿宋_GB2312" w:eastAsia="仿宋_GB2312"/>
          <w:sz w:val="32"/>
          <w:lang w:eastAsia="zh-CN"/>
        </w:rPr>
        <w:t>；</w:t>
      </w:r>
      <w:r>
        <w:rPr>
          <w:rFonts w:ascii="仿宋_GB2312" w:hAnsi="仿宋_GB2312" w:eastAsia="仿宋_GB2312"/>
          <w:sz w:val="32"/>
        </w:rPr>
        <w:t>延伸检查重点行业部门、重点税源和纳税大户，检查验证税收征管质量和财税政策、制度执行情况</w:t>
      </w:r>
      <w:r>
        <w:rPr>
          <w:rFonts w:hint="eastAsia" w:ascii="仿宋_GB2312" w:hAnsi="仿宋_GB2312" w:eastAsia="仿宋_GB2312"/>
          <w:sz w:val="32"/>
          <w:lang w:eastAsia="zh-CN"/>
        </w:rPr>
        <w:t>；</w:t>
      </w:r>
      <w:r>
        <w:rPr>
          <w:rFonts w:ascii="仿宋_GB2312" w:hAnsi="仿宋_GB2312" w:eastAsia="仿宋_GB2312"/>
          <w:sz w:val="32"/>
        </w:rPr>
        <w:t>检查财政支出管理中的重要问题，提出加强财政管理的政策建议</w:t>
      </w:r>
      <w:r>
        <w:rPr>
          <w:rFonts w:hint="eastAsia" w:ascii="仿宋_GB2312" w:hAnsi="仿宋_GB2312" w:eastAsia="仿宋_GB2312"/>
          <w:sz w:val="32"/>
          <w:lang w:eastAsia="zh-CN"/>
        </w:rPr>
        <w:t>；</w:t>
      </w:r>
      <w:r>
        <w:rPr>
          <w:rFonts w:ascii="仿宋_GB2312" w:hAnsi="仿宋_GB2312" w:eastAsia="仿宋_GB2312"/>
          <w:sz w:val="32"/>
        </w:rPr>
        <w:t>贯彻落实财政绩效管理相关政策制度，组织指导全县预算绩效管理工作</w:t>
      </w:r>
      <w:r>
        <w:rPr>
          <w:rFonts w:hint="eastAsia" w:ascii="仿宋_GB2312" w:hAnsi="仿宋_GB2312" w:eastAsia="仿宋_GB2312"/>
          <w:sz w:val="32"/>
          <w:lang w:eastAsia="zh-CN"/>
        </w:rPr>
        <w:t>；</w:t>
      </w:r>
      <w:r>
        <w:rPr>
          <w:rFonts w:ascii="仿宋_GB2312" w:hAnsi="仿宋_GB2312" w:eastAsia="仿宋_GB2312"/>
          <w:sz w:val="32"/>
        </w:rPr>
        <w:t>组织实施专项资金绩效考核工作</w:t>
      </w:r>
      <w:r>
        <w:rPr>
          <w:rFonts w:hint="eastAsia" w:ascii="仿宋_GB2312" w:hAnsi="仿宋_GB2312" w:eastAsia="仿宋_GB2312"/>
          <w:sz w:val="32"/>
          <w:lang w:eastAsia="zh-CN"/>
        </w:rPr>
        <w:t>；</w:t>
      </w:r>
      <w:r>
        <w:rPr>
          <w:rFonts w:ascii="仿宋_GB2312" w:hAnsi="仿宋_GB2312" w:eastAsia="仿宋_GB2312"/>
          <w:sz w:val="32"/>
        </w:rPr>
        <w:t>研究建立财政支出绩效评价制度和评价体系并组织实施。</w:t>
      </w:r>
    </w:p>
    <w:p w14:paraId="148237EA">
      <w:pPr>
        <w:spacing w:line="580" w:lineRule="exact"/>
        <w:ind w:firstLine="640"/>
        <w:jc w:val="both"/>
      </w:pPr>
      <w:r>
        <w:rPr>
          <w:rFonts w:ascii="仿宋_GB2312" w:hAnsi="仿宋_GB2312" w:eastAsia="仿宋_GB2312"/>
          <w:sz w:val="32"/>
        </w:rPr>
        <w:t>(十二)负责管理县属企业的国有资产，加强国有资产管理</w:t>
      </w:r>
      <w:r>
        <w:rPr>
          <w:rFonts w:hint="eastAsia" w:ascii="仿宋_GB2312" w:hAnsi="仿宋_GB2312" w:eastAsia="仿宋_GB2312"/>
          <w:sz w:val="32"/>
          <w:lang w:eastAsia="zh-CN"/>
        </w:rPr>
        <w:t>；</w:t>
      </w:r>
      <w:r>
        <w:rPr>
          <w:rFonts w:ascii="仿宋_GB2312" w:hAnsi="仿宋_GB2312" w:eastAsia="仿宋_GB2312"/>
          <w:sz w:val="32"/>
        </w:rPr>
        <w:t>承担国有资产保值增值的责任，组织实施国有企业清产核资、产权交易、产权界定、产权登记、产权转让、资产统计、绩效评价及经济运行动态监测等工作</w:t>
      </w:r>
      <w:r>
        <w:rPr>
          <w:rFonts w:hint="eastAsia" w:ascii="仿宋_GB2312" w:hAnsi="仿宋_GB2312" w:eastAsia="仿宋_GB2312"/>
          <w:sz w:val="32"/>
          <w:lang w:eastAsia="zh-CN"/>
        </w:rPr>
        <w:t>；</w:t>
      </w:r>
      <w:r>
        <w:rPr>
          <w:rFonts w:ascii="仿宋_GB2312" w:hAnsi="仿宋_GB2312" w:eastAsia="仿宋_GB2312"/>
          <w:sz w:val="32"/>
        </w:rPr>
        <w:t>指导推进县属国有企业改革和重组，推进县属国有企业的现代企业制度建设，完善治理结构，拟定企业领导任期经营目标、考核标准</w:t>
      </w:r>
      <w:r>
        <w:rPr>
          <w:rFonts w:hint="eastAsia" w:ascii="仿宋_GB2312" w:hAnsi="仿宋_GB2312" w:eastAsia="仿宋_GB2312"/>
          <w:sz w:val="32"/>
          <w:lang w:eastAsia="zh-CN"/>
        </w:rPr>
        <w:t>；</w:t>
      </w:r>
      <w:r>
        <w:rPr>
          <w:rFonts w:ascii="仿宋_GB2312" w:hAnsi="仿宋_GB2312" w:eastAsia="仿宋_GB2312"/>
          <w:sz w:val="32"/>
        </w:rPr>
        <w:t>负责县属企业负责人经营业绩考核</w:t>
      </w:r>
      <w:r>
        <w:rPr>
          <w:rFonts w:hint="eastAsia" w:ascii="仿宋_GB2312" w:hAnsi="仿宋_GB2312" w:eastAsia="仿宋_GB2312"/>
          <w:sz w:val="32"/>
          <w:lang w:eastAsia="zh-CN"/>
        </w:rPr>
        <w:t>；</w:t>
      </w:r>
      <w:r>
        <w:rPr>
          <w:rFonts w:ascii="仿宋_GB2312" w:hAnsi="仿宋_GB2312" w:eastAsia="仿宋_GB2312"/>
          <w:sz w:val="32"/>
        </w:rPr>
        <w:t>负责组织县属企业上缴国有资本收益，参与制定国有资本经营预算的制度和办法，承办企业国有资本经营预决算编制和执行等工作</w:t>
      </w:r>
      <w:r>
        <w:rPr>
          <w:rFonts w:hint="eastAsia" w:ascii="仿宋_GB2312" w:hAnsi="仿宋_GB2312" w:eastAsia="仿宋_GB2312"/>
          <w:sz w:val="32"/>
          <w:lang w:eastAsia="zh-CN"/>
        </w:rPr>
        <w:t>；</w:t>
      </w:r>
      <w:r>
        <w:rPr>
          <w:rFonts w:ascii="仿宋_GB2312" w:hAnsi="仿宋_GB2312" w:eastAsia="仿宋_GB2312"/>
          <w:sz w:val="32"/>
        </w:rPr>
        <w:t>负责审核企业重大项目投资、重大资产处置等事项，防止国有资产流失。贯彻落实国家有关金融宏观调控政策，研究提出促进地方金融发展的财政政策措施，履行县属国有金融资本出资人职责，负责拟订全县统一的国有金融资本管理规章制度</w:t>
      </w:r>
      <w:r>
        <w:rPr>
          <w:rFonts w:hint="eastAsia" w:ascii="仿宋_GB2312" w:hAnsi="仿宋_GB2312" w:eastAsia="仿宋_GB2312"/>
          <w:sz w:val="32"/>
          <w:lang w:eastAsia="zh-CN"/>
        </w:rPr>
        <w:t>；</w:t>
      </w:r>
      <w:r>
        <w:rPr>
          <w:rFonts w:ascii="仿宋_GB2312" w:hAnsi="仿宋_GB2312" w:eastAsia="仿宋_GB2312"/>
          <w:sz w:val="32"/>
        </w:rPr>
        <w:t>依法依规履行国有金融资本管理职责，根据县人民政府授权，履行县属国有金融资本出资人职责，依法对国有资产管理工作进行指导和监督。</w:t>
      </w:r>
    </w:p>
    <w:p w14:paraId="12FCF7D4">
      <w:pPr>
        <w:spacing w:line="580" w:lineRule="exact"/>
        <w:ind w:firstLine="640"/>
        <w:jc w:val="both"/>
      </w:pPr>
      <w:r>
        <w:rPr>
          <w:rFonts w:ascii="仿宋_GB2312" w:hAnsi="仿宋_GB2312" w:eastAsia="仿宋_GB2312"/>
          <w:sz w:val="32"/>
        </w:rPr>
        <w:t>(十三)制定财政干部教育规划</w:t>
      </w:r>
      <w:r>
        <w:rPr>
          <w:rFonts w:hint="eastAsia" w:ascii="仿宋_GB2312" w:hAnsi="仿宋_GB2312" w:eastAsia="仿宋_GB2312"/>
          <w:sz w:val="32"/>
          <w:lang w:eastAsia="zh-CN"/>
        </w:rPr>
        <w:t>；</w:t>
      </w:r>
      <w:r>
        <w:rPr>
          <w:rFonts w:ascii="仿宋_GB2312" w:hAnsi="仿宋_GB2312" w:eastAsia="仿宋_GB2312"/>
          <w:sz w:val="32"/>
        </w:rPr>
        <w:t>组织全县财政</w:t>
      </w:r>
      <w:r>
        <w:rPr>
          <w:rFonts w:hint="eastAsia" w:ascii="仿宋_GB2312" w:hAnsi="仿宋_GB2312" w:eastAsia="仿宋_GB2312"/>
          <w:sz w:val="32"/>
          <w:lang w:eastAsia="zh-CN"/>
        </w:rPr>
        <w:t>部门</w:t>
      </w:r>
      <w:r>
        <w:rPr>
          <w:rFonts w:ascii="仿宋_GB2312" w:hAnsi="仿宋_GB2312" w:eastAsia="仿宋_GB2312"/>
          <w:sz w:val="32"/>
        </w:rPr>
        <w:t>的教育工作；负责财政宣传和财政信息工作；负责县财政系统信息化建设规划并组织实施。</w:t>
      </w:r>
    </w:p>
    <w:p w14:paraId="04D6EAE3">
      <w:pPr>
        <w:spacing w:line="580" w:lineRule="exact"/>
        <w:ind w:firstLine="640"/>
        <w:jc w:val="both"/>
      </w:pPr>
      <w:r>
        <w:rPr>
          <w:rFonts w:ascii="仿宋_GB2312" w:hAnsi="仿宋_GB2312" w:eastAsia="仿宋_GB2312"/>
          <w:sz w:val="32"/>
        </w:rPr>
        <w:t>(十四)完成县委、县人民政府交办的其他任务。</w:t>
      </w:r>
    </w:p>
    <w:p w14:paraId="5E574298">
      <w:pPr>
        <w:spacing w:line="640" w:lineRule="exact"/>
        <w:ind w:firstLine="640"/>
        <w:jc w:val="both"/>
        <w:outlineLvl w:val="2"/>
      </w:pPr>
      <w:r>
        <w:rPr>
          <w:rFonts w:ascii="黑体" w:hAnsi="黑体" w:eastAsia="黑体"/>
          <w:sz w:val="32"/>
        </w:rPr>
        <w:t>二、机构设置及人员情况</w:t>
      </w:r>
    </w:p>
    <w:p w14:paraId="189AAB2B">
      <w:pPr>
        <w:spacing w:line="580" w:lineRule="exact"/>
        <w:ind w:firstLine="640"/>
        <w:jc w:val="both"/>
      </w:pPr>
      <w:r>
        <w:rPr>
          <w:rFonts w:ascii="仿宋_GB2312" w:hAnsi="仿宋_GB2312" w:eastAsia="仿宋_GB2312"/>
          <w:sz w:val="32"/>
        </w:rPr>
        <w:t>吉木萨尔县财政局2024年度，实有人数108人，其中：在职人员54人，减少3人；离休人员0人，增加0人；退休人员54人,增加2人。</w:t>
      </w:r>
    </w:p>
    <w:p w14:paraId="6183BE3A">
      <w:pPr>
        <w:spacing w:line="580" w:lineRule="exact"/>
        <w:ind w:firstLine="640"/>
        <w:jc w:val="both"/>
      </w:pPr>
      <w:r>
        <w:rPr>
          <w:rFonts w:ascii="仿宋_GB2312" w:hAnsi="仿宋_GB2312" w:eastAsia="仿宋_GB2312"/>
          <w:sz w:val="32"/>
        </w:rPr>
        <w:t>吉木萨尔县财政局无下属预算单位，下设5个科室，分别是：办公室、预算科、国库科、社保科、经建科。</w:t>
      </w:r>
    </w:p>
    <w:p w14:paraId="3D40F643">
      <w:r>
        <w:br w:type="page"/>
      </w:r>
    </w:p>
    <w:p w14:paraId="43BB6A0A">
      <w:pPr>
        <w:spacing w:line="240" w:lineRule="auto"/>
        <w:jc w:val="center"/>
        <w:outlineLvl w:val="1"/>
      </w:pPr>
      <w:r>
        <w:rPr>
          <w:rFonts w:ascii="黑体" w:hAnsi="黑体" w:eastAsia="黑体"/>
          <w:sz w:val="32"/>
        </w:rPr>
        <w:t>第二部分 部门决算情况说明</w:t>
      </w:r>
    </w:p>
    <w:p w14:paraId="107D1ABF">
      <w:pPr>
        <w:spacing w:line="640" w:lineRule="exact"/>
        <w:ind w:firstLine="640"/>
        <w:jc w:val="both"/>
        <w:outlineLvl w:val="2"/>
      </w:pPr>
      <w:r>
        <w:rPr>
          <w:rFonts w:ascii="黑体" w:hAnsi="黑体" w:eastAsia="黑体"/>
          <w:sz w:val="32"/>
        </w:rPr>
        <w:t>一、收入支出决算总体情况说明</w:t>
      </w:r>
    </w:p>
    <w:p w14:paraId="64FFC25D">
      <w:pPr>
        <w:spacing w:line="580" w:lineRule="exact"/>
        <w:ind w:firstLine="640"/>
        <w:jc w:val="both"/>
      </w:pPr>
      <w:r>
        <w:rPr>
          <w:rFonts w:ascii="仿宋_GB2312" w:hAnsi="仿宋_GB2312" w:eastAsia="仿宋_GB2312"/>
          <w:b/>
          <w:sz w:val="32"/>
        </w:rPr>
        <w:t>2024年度收入总计1,830.77万元，</w:t>
      </w:r>
      <w:r>
        <w:rPr>
          <w:rFonts w:ascii="仿宋_GB2312" w:hAnsi="仿宋_GB2312" w:eastAsia="仿宋_GB2312"/>
          <w:b w:val="0"/>
          <w:sz w:val="32"/>
        </w:rPr>
        <w:t>其中：本年收入合计1,812.31万元，使用非财政拨款结余（含专用结余）0.00万元，年初结转和结余18.46万元。</w:t>
      </w:r>
    </w:p>
    <w:p w14:paraId="559BB87F">
      <w:pPr>
        <w:spacing w:line="580" w:lineRule="exact"/>
        <w:ind w:firstLine="640"/>
        <w:jc w:val="both"/>
        <w:rPr>
          <w:spacing w:val="-6"/>
          <w:sz w:val="32"/>
        </w:rPr>
      </w:pPr>
      <w:r>
        <w:rPr>
          <w:rFonts w:ascii="仿宋_GB2312" w:hAnsi="仿宋_GB2312" w:eastAsia="仿宋_GB2312"/>
          <w:b/>
          <w:spacing w:val="-6"/>
          <w:sz w:val="32"/>
        </w:rPr>
        <w:t>2024年度支出总计1,830.77万元，</w:t>
      </w:r>
      <w:r>
        <w:rPr>
          <w:rFonts w:ascii="仿宋_GB2312" w:hAnsi="仿宋_GB2312" w:eastAsia="仿宋_GB2312"/>
          <w:b w:val="0"/>
          <w:spacing w:val="-6"/>
          <w:sz w:val="32"/>
        </w:rPr>
        <w:t>其中：本年支出合计1,813.20万元，结余分配0.00万元，年末结转和结余17.57万元。</w:t>
      </w:r>
    </w:p>
    <w:p w14:paraId="01DF99BB">
      <w:pPr>
        <w:spacing w:line="580" w:lineRule="exact"/>
        <w:ind w:firstLine="640"/>
        <w:jc w:val="both"/>
      </w:pPr>
      <w:r>
        <w:rPr>
          <w:rFonts w:ascii="仿宋_GB2312" w:hAnsi="仿宋_GB2312" w:eastAsia="仿宋_GB2312"/>
          <w:b w:val="0"/>
          <w:sz w:val="32"/>
        </w:rPr>
        <w:t>收入支出总体与上年相比，增加181.18万元，增长10.98%，主要原因是：本年在职人员工资调增，社保、公积金基数调增，人员经费增加。本年增加财审中心项目评审资金。</w:t>
      </w:r>
    </w:p>
    <w:p w14:paraId="2EECEA3C">
      <w:pPr>
        <w:spacing w:line="640" w:lineRule="exact"/>
        <w:ind w:firstLine="640"/>
        <w:jc w:val="both"/>
        <w:outlineLvl w:val="2"/>
      </w:pPr>
      <w:r>
        <w:rPr>
          <w:rFonts w:ascii="黑体" w:hAnsi="黑体" w:eastAsia="黑体"/>
          <w:sz w:val="32"/>
        </w:rPr>
        <w:t>二、收入决算情况说明</w:t>
      </w:r>
    </w:p>
    <w:p w14:paraId="7D24A1BE">
      <w:pPr>
        <w:spacing w:line="580" w:lineRule="exact"/>
        <w:ind w:firstLine="640"/>
        <w:jc w:val="both"/>
      </w:pPr>
      <w:r>
        <w:rPr>
          <w:rFonts w:ascii="仿宋_GB2312" w:hAnsi="仿宋_GB2312" w:eastAsia="仿宋_GB2312"/>
          <w:b/>
          <w:sz w:val="32"/>
        </w:rPr>
        <w:t>本年收入1,812.31万元，</w:t>
      </w:r>
      <w:r>
        <w:rPr>
          <w:rFonts w:ascii="仿宋_GB2312" w:hAnsi="仿宋_GB2312" w:eastAsia="仿宋_GB2312"/>
          <w:b w:val="0"/>
          <w:sz w:val="32"/>
        </w:rPr>
        <w:t>其中：财政拨款收入1,803.62万元，占99.52%；上级补助收入0.00万元，占0.00%；事业收入0.00万元，占0.00%；经营收入0.00万元，占0.00%；附属单位上缴收入0.00万元，占0.00%；其他收入8.69万元，占0.48%。</w:t>
      </w:r>
    </w:p>
    <w:p w14:paraId="713D7FE2">
      <w:pPr>
        <w:spacing w:line="640" w:lineRule="exact"/>
        <w:ind w:firstLine="640"/>
        <w:jc w:val="both"/>
        <w:outlineLvl w:val="2"/>
      </w:pPr>
      <w:r>
        <w:rPr>
          <w:rFonts w:ascii="黑体" w:hAnsi="黑体" w:eastAsia="黑体"/>
          <w:sz w:val="32"/>
        </w:rPr>
        <w:t>三、支出决算情况说明</w:t>
      </w:r>
    </w:p>
    <w:p w14:paraId="5DB5EB7E">
      <w:pPr>
        <w:spacing w:line="580" w:lineRule="exact"/>
        <w:ind w:firstLine="640"/>
        <w:jc w:val="both"/>
      </w:pPr>
      <w:r>
        <w:rPr>
          <w:rFonts w:ascii="仿宋_GB2312" w:hAnsi="仿宋_GB2312" w:eastAsia="仿宋_GB2312"/>
          <w:b/>
          <w:sz w:val="32"/>
        </w:rPr>
        <w:t>本年支出1,813.20万元，</w:t>
      </w:r>
      <w:r>
        <w:rPr>
          <w:rFonts w:ascii="仿宋_GB2312" w:hAnsi="仿宋_GB2312" w:eastAsia="仿宋_GB2312"/>
          <w:b w:val="0"/>
          <w:sz w:val="32"/>
        </w:rPr>
        <w:t>其中：基本支出1,264.18万元，占69.72%；项目支出549.03万元，占30.28%；上缴上级支出0.00万元，占0.00%；经营支出0.00万元，占0.00%；对附属单位补助支出0.00万元，占0.00%。</w:t>
      </w:r>
    </w:p>
    <w:p w14:paraId="02DCF32A">
      <w:pPr>
        <w:spacing w:line="640" w:lineRule="exact"/>
        <w:ind w:firstLine="640"/>
        <w:jc w:val="both"/>
        <w:outlineLvl w:val="2"/>
      </w:pPr>
      <w:r>
        <w:rPr>
          <w:rFonts w:ascii="黑体" w:hAnsi="黑体" w:eastAsia="黑体"/>
          <w:sz w:val="32"/>
        </w:rPr>
        <w:t>四、财政拨款收入支出决算总体情况说明</w:t>
      </w:r>
    </w:p>
    <w:p w14:paraId="318035EB">
      <w:pPr>
        <w:spacing w:line="580" w:lineRule="exact"/>
        <w:ind w:firstLine="640"/>
        <w:jc w:val="both"/>
      </w:pPr>
      <w:r>
        <w:rPr>
          <w:rFonts w:ascii="仿宋_GB2312" w:hAnsi="仿宋_GB2312" w:eastAsia="仿宋_GB2312"/>
          <w:b/>
          <w:sz w:val="32"/>
        </w:rPr>
        <w:t>2024年度财政拨款收入总计1,803.62万元，</w:t>
      </w:r>
      <w:r>
        <w:rPr>
          <w:rFonts w:ascii="仿宋_GB2312" w:hAnsi="仿宋_GB2312" w:eastAsia="仿宋_GB2312"/>
          <w:b w:val="0"/>
          <w:sz w:val="32"/>
        </w:rPr>
        <w:t>其中：年初财政拨款结转和结余0.00万元，本年财政拨款收入1,803.62万元。</w:t>
      </w:r>
      <w:r>
        <w:rPr>
          <w:rFonts w:ascii="仿宋_GB2312" w:hAnsi="仿宋_GB2312" w:eastAsia="仿宋_GB2312"/>
          <w:b/>
          <w:sz w:val="32"/>
        </w:rPr>
        <w:t>财政拨款支出总计1,803.62万元，</w:t>
      </w:r>
      <w:r>
        <w:rPr>
          <w:rFonts w:ascii="仿宋_GB2312" w:hAnsi="仿宋_GB2312" w:eastAsia="仿宋_GB2312"/>
          <w:b w:val="0"/>
          <w:sz w:val="32"/>
        </w:rPr>
        <w:t>其中：年末财政拨款结转和结余0.00万元，本年财政拨款支出1,803.62万元。</w:t>
      </w:r>
    </w:p>
    <w:p w14:paraId="1C1EF4D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增加175.34万元，增长10.77%，主要原因是：本年在职人员工资调增，社保、公积金基数调增，人员经费增加。本年增加财审中心项目评审资金。</w:t>
      </w:r>
      <w:r>
        <w:rPr>
          <w:rFonts w:ascii="仿宋_GB2312" w:hAnsi="仿宋_GB2312" w:eastAsia="仿宋_GB2312"/>
          <w:b/>
          <w:sz w:val="32"/>
        </w:rPr>
        <w:t>与年初预算相比，</w:t>
      </w:r>
      <w:r>
        <w:rPr>
          <w:rFonts w:ascii="仿宋_GB2312" w:hAnsi="仿宋_GB2312" w:eastAsia="仿宋_GB2312"/>
          <w:b w:val="0"/>
          <w:sz w:val="32"/>
        </w:rPr>
        <w:t>年初预算数1,802.82万元，决算数1,803.62万元，预决算差异率0.04%，主要原因是：年中追加人员工资、社保、公积金基数调增部分资金，导致预决算存在差异。</w:t>
      </w:r>
    </w:p>
    <w:p w14:paraId="5FACAEE0">
      <w:pPr>
        <w:spacing w:line="640" w:lineRule="exact"/>
        <w:ind w:firstLine="640"/>
        <w:jc w:val="both"/>
        <w:outlineLvl w:val="2"/>
      </w:pPr>
      <w:r>
        <w:rPr>
          <w:rFonts w:ascii="黑体" w:hAnsi="黑体" w:eastAsia="黑体"/>
          <w:sz w:val="32"/>
        </w:rPr>
        <w:t>五、一般公共预算财政拨款支出决算情况说明</w:t>
      </w:r>
    </w:p>
    <w:p w14:paraId="21842E72">
      <w:pPr>
        <w:spacing w:line="640" w:lineRule="exact"/>
        <w:ind w:firstLine="640"/>
        <w:jc w:val="both"/>
        <w:outlineLvl w:val="3"/>
      </w:pPr>
      <w:r>
        <w:rPr>
          <w:rFonts w:ascii="楷体_GB2312" w:hAnsi="楷体_GB2312" w:eastAsia="楷体_GB2312"/>
          <w:b/>
          <w:sz w:val="32"/>
        </w:rPr>
        <w:t>（一）一般公共预算财政拨款支出决算总体情况</w:t>
      </w:r>
    </w:p>
    <w:p w14:paraId="30B44CD2">
      <w:pPr>
        <w:spacing w:line="580" w:lineRule="exact"/>
        <w:ind w:firstLine="640"/>
        <w:jc w:val="both"/>
      </w:pPr>
      <w:r>
        <w:rPr>
          <w:rFonts w:ascii="仿宋_GB2312" w:hAnsi="仿宋_GB2312" w:eastAsia="仿宋_GB2312"/>
          <w:b/>
          <w:sz w:val="32"/>
        </w:rPr>
        <w:t>2024年度一般公共预算财政拨款支出1,803.62万元，</w:t>
      </w:r>
      <w:r>
        <w:rPr>
          <w:rFonts w:ascii="仿宋_GB2312" w:hAnsi="仿宋_GB2312" w:eastAsia="仿宋_GB2312"/>
          <w:b w:val="0"/>
          <w:sz w:val="32"/>
        </w:rPr>
        <w:t>占本年支出合计的99.47%。</w:t>
      </w:r>
      <w:r>
        <w:rPr>
          <w:rFonts w:ascii="仿宋_GB2312" w:hAnsi="仿宋_GB2312" w:eastAsia="仿宋_GB2312"/>
          <w:b/>
          <w:sz w:val="32"/>
        </w:rPr>
        <w:t>与上年相比，</w:t>
      </w:r>
      <w:r>
        <w:rPr>
          <w:rFonts w:ascii="仿宋_GB2312" w:hAnsi="仿宋_GB2312" w:eastAsia="仿宋_GB2312"/>
          <w:b w:val="0"/>
          <w:sz w:val="32"/>
        </w:rPr>
        <w:t>增加175.34万元，增长10.77%，主要原因是：本年在职人员工资调增，社保、公积金基数调增，人员经费增加。本年增加财审中心项目评审资金。</w:t>
      </w:r>
      <w:r>
        <w:rPr>
          <w:rFonts w:ascii="仿宋_GB2312" w:hAnsi="仿宋_GB2312" w:eastAsia="仿宋_GB2312"/>
          <w:b/>
          <w:sz w:val="32"/>
        </w:rPr>
        <w:t>与年初预算相比,</w:t>
      </w:r>
      <w:r>
        <w:rPr>
          <w:rFonts w:ascii="仿宋_GB2312" w:hAnsi="仿宋_GB2312" w:eastAsia="仿宋_GB2312"/>
          <w:b w:val="0"/>
          <w:sz w:val="32"/>
        </w:rPr>
        <w:t>年初预算数1,802.82万元，决算数1,803.62万元，预决算差异率0.04%，主要原因是：年中追加人员工资、社保、公积金基数调增部分资金，导致预决算存在差异。</w:t>
      </w:r>
    </w:p>
    <w:p w14:paraId="45C42D7B">
      <w:pPr>
        <w:spacing w:line="640" w:lineRule="exact"/>
        <w:ind w:firstLine="640"/>
        <w:jc w:val="both"/>
        <w:outlineLvl w:val="3"/>
      </w:pPr>
      <w:r>
        <w:rPr>
          <w:rFonts w:ascii="楷体_GB2312" w:hAnsi="楷体_GB2312" w:eastAsia="楷体_GB2312"/>
          <w:b/>
          <w:sz w:val="32"/>
        </w:rPr>
        <w:t>（二）一般公共预算财政拨款支出决算结构情况</w:t>
      </w:r>
    </w:p>
    <w:p w14:paraId="04EEA1FB">
      <w:pPr>
        <w:spacing w:line="580" w:lineRule="exact"/>
        <w:ind w:firstLine="640"/>
        <w:jc w:val="both"/>
      </w:pPr>
      <w:r>
        <w:rPr>
          <w:rFonts w:ascii="仿宋_GB2312" w:hAnsi="仿宋_GB2312" w:eastAsia="仿宋_GB2312"/>
          <w:b w:val="0"/>
          <w:sz w:val="32"/>
        </w:rPr>
        <w:t>1.一般公共服务支出(类)1,493.21万元,占82.79%。</w:t>
      </w:r>
    </w:p>
    <w:p w14:paraId="416AF822">
      <w:pPr>
        <w:spacing w:line="580" w:lineRule="exact"/>
        <w:ind w:firstLine="640"/>
        <w:jc w:val="both"/>
      </w:pPr>
      <w:r>
        <w:rPr>
          <w:rFonts w:ascii="仿宋_GB2312" w:hAnsi="仿宋_GB2312" w:eastAsia="仿宋_GB2312"/>
          <w:b w:val="0"/>
          <w:sz w:val="32"/>
        </w:rPr>
        <w:t>2.科学技术支出(类)5.43万元,占0.30%。</w:t>
      </w:r>
    </w:p>
    <w:p w14:paraId="7EC864F5">
      <w:pPr>
        <w:spacing w:line="580" w:lineRule="exact"/>
        <w:ind w:firstLine="640"/>
        <w:jc w:val="both"/>
      </w:pPr>
      <w:r>
        <w:rPr>
          <w:rFonts w:ascii="仿宋_GB2312" w:hAnsi="仿宋_GB2312" w:eastAsia="仿宋_GB2312"/>
          <w:b w:val="0"/>
          <w:sz w:val="32"/>
        </w:rPr>
        <w:t>3.社会保障和就业支出(类)184.80万元,占10.25%。</w:t>
      </w:r>
    </w:p>
    <w:p w14:paraId="4E44D320">
      <w:pPr>
        <w:spacing w:line="580" w:lineRule="exact"/>
        <w:ind w:firstLine="640"/>
        <w:jc w:val="both"/>
      </w:pPr>
      <w:r>
        <w:rPr>
          <w:rFonts w:ascii="仿宋_GB2312" w:hAnsi="仿宋_GB2312" w:eastAsia="仿宋_GB2312"/>
          <w:b w:val="0"/>
          <w:sz w:val="32"/>
        </w:rPr>
        <w:t>4.卫生健康支出(类)51.71万元,占2.87%。</w:t>
      </w:r>
    </w:p>
    <w:p w14:paraId="15607E11">
      <w:pPr>
        <w:spacing w:line="580" w:lineRule="exact"/>
        <w:ind w:firstLine="640"/>
        <w:jc w:val="both"/>
      </w:pPr>
      <w:r>
        <w:rPr>
          <w:rFonts w:ascii="仿宋_GB2312" w:hAnsi="仿宋_GB2312" w:eastAsia="仿宋_GB2312"/>
          <w:b w:val="0"/>
          <w:sz w:val="32"/>
        </w:rPr>
        <w:t>5.住房保障支出(类)68.48万元,占3.80%。</w:t>
      </w:r>
    </w:p>
    <w:p w14:paraId="74C1B698">
      <w:pPr>
        <w:spacing w:line="640" w:lineRule="exact"/>
        <w:ind w:firstLine="640"/>
        <w:jc w:val="both"/>
        <w:outlineLvl w:val="3"/>
      </w:pPr>
      <w:r>
        <w:rPr>
          <w:rFonts w:ascii="楷体_GB2312" w:hAnsi="楷体_GB2312" w:eastAsia="楷体_GB2312"/>
          <w:b/>
          <w:sz w:val="32"/>
        </w:rPr>
        <w:t>（三）一般公共预算财政拨款支出决算具体情况</w:t>
      </w:r>
    </w:p>
    <w:p w14:paraId="3F6618DC">
      <w:pPr>
        <w:spacing w:line="580" w:lineRule="exact"/>
        <w:ind w:firstLine="640"/>
        <w:jc w:val="both"/>
      </w:pPr>
      <w:r>
        <w:rPr>
          <w:rFonts w:ascii="仿宋_GB2312" w:hAnsi="仿宋_GB2312" w:eastAsia="仿宋_GB2312"/>
          <w:b w:val="0"/>
          <w:sz w:val="32"/>
        </w:rPr>
        <w:t>1.一般公共服务支出(类)财政事务(款)行政运行(项):支出决算数为756.72万元，比上年决算增加5.08万元，增长0.68%,主要原因是：本年在职人员工资调增，导致相关人员经费较上年有所增加。</w:t>
      </w:r>
    </w:p>
    <w:p w14:paraId="1C762FE5">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2.一般公共服务支出(类)财政事务(款)事业运行(项):支出决算数为187.46万元，比上年决算减少5.30万元，下降2.75%,主要原因是：本年在职人员减少，相应人员经费较上年减少。</w:t>
      </w:r>
    </w:p>
    <w:p w14:paraId="0DE64D4B">
      <w:pPr>
        <w:spacing w:line="580" w:lineRule="exact"/>
        <w:ind w:firstLine="640"/>
        <w:jc w:val="both"/>
      </w:pPr>
      <w:r>
        <w:rPr>
          <w:rFonts w:ascii="仿宋_GB2312" w:hAnsi="仿宋_GB2312" w:eastAsia="仿宋_GB2312"/>
          <w:b w:val="0"/>
          <w:sz w:val="32"/>
        </w:rPr>
        <w:t>3.一般公共服务支出(类)财政事务(款)其他财政事务支出(项):支出决算数为549.03万元，比上年决算增加147.23万元，增长36.64%,主要原因是：本年增加财审中心项目评审资金。</w:t>
      </w:r>
    </w:p>
    <w:p w14:paraId="1D378AF8">
      <w:pPr>
        <w:spacing w:line="580" w:lineRule="exact"/>
        <w:ind w:firstLine="640"/>
        <w:jc w:val="both"/>
      </w:pPr>
      <w:r>
        <w:rPr>
          <w:rFonts w:ascii="仿宋_GB2312" w:hAnsi="仿宋_GB2312" w:eastAsia="仿宋_GB2312"/>
          <w:b w:val="0"/>
          <w:sz w:val="32"/>
        </w:rPr>
        <w:t>4.科学技术支出(类)科技条件与服务(款)其他科技条件与服务支出(项):支出决算数为5.43万元，比上年决算增加5.43万元，增长100.00%,主要原因是：本年增加采购电脑资金。</w:t>
      </w:r>
    </w:p>
    <w:p w14:paraId="2EAFC2DC">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5.社会保障和就业支出(类)行政事业单位养老支出(款)行政单位离退休(项):支出决算数为37.24万元，比上年决算增加22.82万元，增长158.25%,主要原因是：本年退休人员增加，退休人员基础绩效奖</w:t>
      </w:r>
      <w:r>
        <w:rPr>
          <w:rFonts w:hint="eastAsia" w:ascii="仿宋_GB2312" w:hAnsi="仿宋_GB2312" w:eastAsia="仿宋_GB2312"/>
          <w:b w:val="0"/>
          <w:sz w:val="32"/>
          <w:lang w:val="en-US" w:eastAsia="zh-CN"/>
        </w:rPr>
        <w:t>增加</w:t>
      </w:r>
      <w:r>
        <w:rPr>
          <w:rFonts w:ascii="仿宋_GB2312" w:hAnsi="仿宋_GB2312" w:eastAsia="仿宋_GB2312"/>
          <w:b w:val="0"/>
          <w:sz w:val="32"/>
        </w:rPr>
        <w:t>，退休费支出增加。</w:t>
      </w:r>
    </w:p>
    <w:p w14:paraId="125FA127">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95.64万元，比上年决算增加0.89万元，增长0.94%,主要原因是：本年在职人员工资基数调增，养老缴费基数上涨，相应支出增加。</w:t>
      </w:r>
    </w:p>
    <w:p w14:paraId="3D2AF66A">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51.92万元，比上年决算减少1.98万元，下降3.67%,主要原因是：本年新增退休人员较上年减少，职业年金缴费较上年减少。</w:t>
      </w:r>
    </w:p>
    <w:p w14:paraId="5E238081">
      <w:pPr>
        <w:spacing w:line="580" w:lineRule="exact"/>
        <w:ind w:firstLine="640"/>
        <w:jc w:val="both"/>
      </w:pPr>
      <w:r>
        <w:rPr>
          <w:rFonts w:ascii="仿宋_GB2312" w:hAnsi="仿宋_GB2312" w:eastAsia="仿宋_GB2312"/>
          <w:b w:val="0"/>
          <w:sz w:val="32"/>
        </w:rPr>
        <w:t>8.卫生健康支出(类)行政事业单位医疗(款)行政单位医疗(项):支出决算数为33.18万元，比上年决算增加11.22万元，增长51.09%,主要原因是：本年行政在职人员工资基数调增，医疗缴费基数上涨，相应支出增加。</w:t>
      </w:r>
    </w:p>
    <w:p w14:paraId="5B08AED8">
      <w:pPr>
        <w:spacing w:line="580" w:lineRule="exact"/>
        <w:ind w:firstLine="640"/>
        <w:jc w:val="both"/>
      </w:pPr>
      <w:r>
        <w:rPr>
          <w:rFonts w:ascii="仿宋_GB2312" w:hAnsi="仿宋_GB2312" w:eastAsia="仿宋_GB2312"/>
          <w:b w:val="0"/>
          <w:sz w:val="32"/>
        </w:rPr>
        <w:t>9.卫生健康支出(类)行政事业单位医疗(款)事业单位医疗(项):支出决算数为14.92万元，比上年决算减少0.18万元，下降1.19%,主要原因是：本年事业在职人员减少，事业单位医疗支出较上年减少。</w:t>
      </w:r>
    </w:p>
    <w:p w14:paraId="65F0C378">
      <w:pPr>
        <w:spacing w:line="580" w:lineRule="exact"/>
        <w:ind w:firstLine="640"/>
        <w:jc w:val="both"/>
      </w:pPr>
      <w:r>
        <w:rPr>
          <w:rFonts w:ascii="仿宋_GB2312" w:hAnsi="仿宋_GB2312" w:eastAsia="仿宋_GB2312"/>
          <w:b w:val="0"/>
          <w:sz w:val="32"/>
        </w:rPr>
        <w:t>10.卫生健康支出(类)行政事业单位医疗(款)公务员医疗补助(项):支出决算数为3.61万元，比上年决算减少10.78万元，下降74.91%,主要原因是：本年在职人员减少，公务员医疗补助较上年减少。本年因退休人员医疗保险制度改革，退休人员公务员医疗补助不再由单位缴纳，导致经费较上年减少。</w:t>
      </w:r>
    </w:p>
    <w:p w14:paraId="1C15CA56">
      <w:pPr>
        <w:spacing w:line="580" w:lineRule="exact"/>
        <w:ind w:firstLine="640"/>
        <w:jc w:val="both"/>
      </w:pPr>
      <w:r>
        <w:rPr>
          <w:rFonts w:ascii="仿宋_GB2312" w:hAnsi="仿宋_GB2312" w:eastAsia="仿宋_GB2312"/>
          <w:b w:val="0"/>
          <w:sz w:val="32"/>
        </w:rPr>
        <w:t>11.住房保障支出(类)住房改革支出(款)住房公积金(项):支出决算数为68.48万元，比上年决算增加0.92万元，增长1.36%,主要原因是：本年在职人员工资基数调增，公积金缴费基数上涨，相应支出增加。</w:t>
      </w:r>
    </w:p>
    <w:p w14:paraId="7290C2CB">
      <w:pPr>
        <w:spacing w:line="640" w:lineRule="exact"/>
        <w:ind w:firstLine="640"/>
        <w:jc w:val="both"/>
        <w:outlineLvl w:val="2"/>
      </w:pPr>
      <w:r>
        <w:rPr>
          <w:rFonts w:ascii="黑体" w:hAnsi="黑体" w:eastAsia="黑体"/>
          <w:sz w:val="32"/>
        </w:rPr>
        <w:t>六、一般公共预算财政拨款基本支出决算情况说明</w:t>
      </w:r>
    </w:p>
    <w:p w14:paraId="648A29E0">
      <w:pPr>
        <w:spacing w:line="580" w:lineRule="exact"/>
        <w:ind w:firstLine="640"/>
        <w:jc w:val="both"/>
      </w:pPr>
      <w:r>
        <w:rPr>
          <w:rFonts w:ascii="仿宋_GB2312" w:hAnsi="仿宋_GB2312" w:eastAsia="仿宋_GB2312"/>
          <w:b w:val="0"/>
          <w:sz w:val="32"/>
        </w:rPr>
        <w:t>2024年度一般公共预算财政拨款基本支出1,254.59万元，其中：</w:t>
      </w:r>
      <w:r>
        <w:rPr>
          <w:rFonts w:ascii="仿宋_GB2312" w:hAnsi="仿宋_GB2312" w:eastAsia="仿宋_GB2312"/>
          <w:b/>
          <w:sz w:val="32"/>
        </w:rPr>
        <w:t>人员经费983.80万元，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7A810B86">
      <w:pPr>
        <w:spacing w:line="580" w:lineRule="exact"/>
        <w:ind w:firstLine="640"/>
        <w:jc w:val="both"/>
      </w:pPr>
      <w:r>
        <w:rPr>
          <w:rFonts w:ascii="仿宋_GB2312" w:hAnsi="仿宋_GB2312" w:eastAsia="仿宋_GB2312"/>
          <w:b/>
          <w:sz w:val="32"/>
        </w:rPr>
        <w:t>公用经费270.79万元，</w:t>
      </w:r>
      <w:r>
        <w:rPr>
          <w:rFonts w:ascii="仿宋_GB2312" w:hAnsi="仿宋_GB2312" w:eastAsia="仿宋_GB2312"/>
          <w:b w:val="0"/>
          <w:sz w:val="32"/>
        </w:rPr>
        <w:t>包括：办公费、印刷费、咨询费、水费、电费、邮电费、取暖费、差旅费、维修（护）费、培训费、公务接待费、劳务费、工会经费、公务用车运行维护费、其他交通费用、其他商品和服务支出、办公设备购置。</w:t>
      </w:r>
    </w:p>
    <w:p w14:paraId="2F5BDD06">
      <w:pPr>
        <w:spacing w:line="640" w:lineRule="exact"/>
        <w:ind w:firstLine="640"/>
        <w:jc w:val="both"/>
        <w:outlineLvl w:val="2"/>
      </w:pPr>
      <w:r>
        <w:rPr>
          <w:rFonts w:ascii="黑体" w:hAnsi="黑体" w:eastAsia="黑体"/>
          <w:sz w:val="32"/>
        </w:rPr>
        <w:t>七、政府性基金预算财政拨款收入支出决算情况说明</w:t>
      </w:r>
    </w:p>
    <w:p w14:paraId="5E9C0FB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2143372">
      <w:pPr>
        <w:spacing w:line="640" w:lineRule="exact"/>
        <w:ind w:firstLine="640"/>
        <w:jc w:val="both"/>
        <w:outlineLvl w:val="2"/>
      </w:pPr>
      <w:r>
        <w:rPr>
          <w:rFonts w:ascii="黑体" w:hAnsi="黑体" w:eastAsia="黑体"/>
          <w:sz w:val="32"/>
        </w:rPr>
        <w:t>八、国有资本经营预算财政拨款收入支出决算情况说明</w:t>
      </w:r>
    </w:p>
    <w:p w14:paraId="6B42C68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172B100">
      <w:pPr>
        <w:spacing w:line="640" w:lineRule="exact"/>
        <w:ind w:firstLine="640"/>
        <w:jc w:val="both"/>
        <w:outlineLvl w:val="2"/>
      </w:pPr>
      <w:r>
        <w:rPr>
          <w:rFonts w:ascii="黑体" w:hAnsi="黑体" w:eastAsia="黑体"/>
          <w:sz w:val="32"/>
        </w:rPr>
        <w:t>九、财政拨款“三公”经费支出决算情况说明</w:t>
      </w:r>
    </w:p>
    <w:p w14:paraId="691DC2DA">
      <w:pPr>
        <w:spacing w:line="580" w:lineRule="exact"/>
        <w:ind w:firstLine="640"/>
        <w:jc w:val="both"/>
      </w:pPr>
      <w:r>
        <w:rPr>
          <w:rFonts w:ascii="仿宋_GB2312" w:hAnsi="仿宋_GB2312" w:eastAsia="仿宋_GB2312"/>
          <w:b/>
          <w:sz w:val="32"/>
        </w:rPr>
        <w:t>2024年度财政拨款“三公”经费支出13.14万元，</w:t>
      </w:r>
      <w:r>
        <w:rPr>
          <w:rFonts w:ascii="仿宋_GB2312" w:hAnsi="仿宋_GB2312" w:eastAsia="仿宋_GB2312"/>
          <w:b w:val="0"/>
          <w:sz w:val="32"/>
        </w:rPr>
        <w:t>比上年减少0.10万元，下降0.75%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13.08万元，占99.54%，比上年减少0.10万元，下降0.76%，主要原因是：严格落实中央八项规定精神，厉行节约，减少公务用车运行维护费。公务接待费支出0.06万元，占0.46%，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公务接待费与上年一致无变化。</w:t>
      </w:r>
    </w:p>
    <w:p w14:paraId="113A9EE3">
      <w:pPr>
        <w:spacing w:line="580" w:lineRule="exact"/>
        <w:ind w:firstLine="640"/>
        <w:jc w:val="both"/>
      </w:pPr>
      <w:r>
        <w:rPr>
          <w:rFonts w:ascii="仿宋_GB2312" w:hAnsi="仿宋_GB2312" w:eastAsia="仿宋_GB2312"/>
          <w:b/>
          <w:sz w:val="32"/>
        </w:rPr>
        <w:t>具体情况如下：</w:t>
      </w:r>
    </w:p>
    <w:p w14:paraId="2473A02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1F335B3">
      <w:pPr>
        <w:spacing w:line="580" w:lineRule="exact"/>
        <w:ind w:firstLine="640"/>
        <w:jc w:val="both"/>
      </w:pPr>
      <w:r>
        <w:rPr>
          <w:rFonts w:ascii="仿宋_GB2312" w:hAnsi="仿宋_GB2312" w:eastAsia="仿宋_GB2312"/>
          <w:b w:val="0"/>
          <w:sz w:val="32"/>
        </w:rPr>
        <w:t>公务用车购置及运行维护费13.08万元，其中：公务用车购置费0.00万元，公务用车运行维护费13.08万元。公务用车运行维护费开支内容包括车辆加油费、维修费、保险费、审车费、过路费。公务用车购置数0辆，公务用车保有量5辆。国有资产占用情况中固定资产车辆5辆，与公务用车保有量差异原因是：本单位固定资产车辆与公务用车保有量一致无差异。</w:t>
      </w:r>
    </w:p>
    <w:p w14:paraId="34B56103">
      <w:pPr>
        <w:spacing w:line="580" w:lineRule="exact"/>
        <w:ind w:firstLine="640"/>
        <w:jc w:val="both"/>
      </w:pPr>
      <w:r>
        <w:rPr>
          <w:rFonts w:ascii="仿宋_GB2312" w:hAnsi="仿宋_GB2312" w:eastAsia="仿宋_GB2312"/>
          <w:b w:val="0"/>
          <w:sz w:val="32"/>
        </w:rPr>
        <w:t>公务接待费0.06万元，开支内容包括接待上级领导检查时的就餐费。单位全年安排的国内公务接待2批次，13人次。</w:t>
      </w:r>
    </w:p>
    <w:p w14:paraId="29DD141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13.14万元，决算数13.14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13.08万元，决算数13.08万元，预决算差异率0.00%，主要原因是：严格按照预算执行，预决算无差异。公务接待费全年预算数0.06万元，决算数0.06万元，预决算差异率0.00%，主要原因是：严格按照预算执行，预决算无差异。</w:t>
      </w:r>
    </w:p>
    <w:p w14:paraId="7CCBDBED">
      <w:pPr>
        <w:spacing w:line="640" w:lineRule="exact"/>
        <w:ind w:firstLine="640"/>
        <w:jc w:val="both"/>
        <w:outlineLvl w:val="2"/>
      </w:pPr>
      <w:r>
        <w:rPr>
          <w:rFonts w:ascii="黑体" w:hAnsi="黑体" w:eastAsia="黑体"/>
          <w:sz w:val="32"/>
        </w:rPr>
        <w:t>十、其他重要事项的情况说明</w:t>
      </w:r>
    </w:p>
    <w:p w14:paraId="6D3BCAD9">
      <w:pPr>
        <w:spacing w:line="640" w:lineRule="exact"/>
        <w:ind w:firstLine="640"/>
        <w:jc w:val="both"/>
        <w:outlineLvl w:val="3"/>
      </w:pPr>
      <w:r>
        <w:rPr>
          <w:rFonts w:ascii="楷体_GB2312" w:hAnsi="楷体_GB2312" w:eastAsia="楷体_GB2312"/>
          <w:b/>
          <w:sz w:val="32"/>
        </w:rPr>
        <w:t>（一）机关运行经费及公用经费支出情况</w:t>
      </w:r>
    </w:p>
    <w:p w14:paraId="1A076E81">
      <w:pPr>
        <w:spacing w:line="580" w:lineRule="exact"/>
        <w:ind w:firstLine="640"/>
        <w:jc w:val="both"/>
      </w:pPr>
      <w:r>
        <w:rPr>
          <w:rFonts w:ascii="仿宋_GB2312" w:hAnsi="仿宋_GB2312" w:eastAsia="仿宋_GB2312"/>
          <w:b w:val="0"/>
          <w:sz w:val="32"/>
        </w:rPr>
        <w:t>2024年度吉木萨尔县财政局（行政单位和参照公务员法管理事业单位）机关运行经费支出270.79万元，比上年减少237.59万元，下降46.73%，主要原因是：严控经费支出，厉行节约，减少咨询费、维修维护费支出。</w:t>
      </w:r>
    </w:p>
    <w:p w14:paraId="710A7816">
      <w:pPr>
        <w:spacing w:line="640" w:lineRule="exact"/>
        <w:ind w:firstLine="640"/>
        <w:jc w:val="both"/>
        <w:outlineLvl w:val="3"/>
      </w:pPr>
      <w:r>
        <w:rPr>
          <w:rFonts w:ascii="楷体_GB2312" w:hAnsi="楷体_GB2312" w:eastAsia="楷体_GB2312"/>
          <w:b/>
          <w:sz w:val="32"/>
        </w:rPr>
        <w:t>（二）政府采购情况</w:t>
      </w:r>
    </w:p>
    <w:p w14:paraId="7C954D88">
      <w:pPr>
        <w:spacing w:line="580" w:lineRule="exact"/>
        <w:ind w:firstLine="640"/>
        <w:jc w:val="both"/>
      </w:pPr>
      <w:r>
        <w:rPr>
          <w:rFonts w:ascii="仿宋_GB2312" w:hAnsi="仿宋_GB2312" w:eastAsia="仿宋_GB2312"/>
          <w:b w:val="0"/>
          <w:sz w:val="32"/>
        </w:rPr>
        <w:t>2024年度政府采购支出总额73.98万元，其中：政府采购货物支出11.31万元、政府采购工程支出0.00万元、政府采购服务支出62.67万元。</w:t>
      </w:r>
    </w:p>
    <w:p w14:paraId="2413165C">
      <w:pPr>
        <w:spacing w:line="580" w:lineRule="exact"/>
        <w:ind w:firstLine="640"/>
        <w:jc w:val="both"/>
      </w:pPr>
      <w:r>
        <w:rPr>
          <w:rFonts w:ascii="仿宋_GB2312" w:hAnsi="仿宋_GB2312" w:eastAsia="仿宋_GB2312"/>
          <w:b w:val="0"/>
          <w:sz w:val="32"/>
        </w:rPr>
        <w:t>授予中小企业合同金额36.08万元，占政府采购支出总额的48.77%，其中：授予小微企业合同金额36.08万元，占政府采购支出总额的48.77%。</w:t>
      </w:r>
    </w:p>
    <w:p w14:paraId="2CD337CB">
      <w:pPr>
        <w:spacing w:line="640" w:lineRule="exact"/>
        <w:ind w:firstLine="640"/>
        <w:jc w:val="both"/>
        <w:outlineLvl w:val="3"/>
      </w:pPr>
      <w:r>
        <w:rPr>
          <w:rFonts w:ascii="楷体_GB2312" w:hAnsi="楷体_GB2312" w:eastAsia="楷体_GB2312"/>
          <w:b/>
          <w:sz w:val="32"/>
        </w:rPr>
        <w:t>（三）国有资产占用情况说明</w:t>
      </w:r>
    </w:p>
    <w:p w14:paraId="4516E0A0">
      <w:pPr>
        <w:spacing w:line="580" w:lineRule="exact"/>
        <w:ind w:firstLine="640"/>
        <w:jc w:val="both"/>
      </w:pPr>
      <w:r>
        <w:rPr>
          <w:rFonts w:ascii="仿宋_GB2312" w:hAnsi="仿宋_GB2312" w:eastAsia="仿宋_GB2312"/>
          <w:b w:val="0"/>
          <w:sz w:val="32"/>
        </w:rPr>
        <w:t>截至2024年12月31日，房屋0.00平方米，价值0.00万元。车辆5辆，价值131.89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7ED07A5D">
      <w:pPr>
        <w:spacing w:line="640" w:lineRule="exact"/>
        <w:ind w:firstLine="640"/>
        <w:jc w:val="both"/>
        <w:outlineLvl w:val="2"/>
      </w:pPr>
      <w:r>
        <w:rPr>
          <w:rFonts w:ascii="黑体" w:hAnsi="黑体" w:eastAsia="黑体"/>
          <w:sz w:val="32"/>
        </w:rPr>
        <w:t>十一、预算绩效的情况说明</w:t>
      </w:r>
    </w:p>
    <w:p w14:paraId="0ACCF44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1,830.77万元，实际执行总额1,813.20万元；预算绩效评价项目3个，全年预算数549.02万元，全年执行数549.02万元。预算绩效管理取得的成效：一是确保资金的高效使用，切实发挥财政资金的使用效果；二是严格按照工作职责和相关文件依据，确保专款专用。发现的问题及原因：目标设定科学性及评价存在</w:t>
      </w:r>
      <w:r>
        <w:rPr>
          <w:rFonts w:hint="eastAsia" w:ascii="仿宋_GB2312" w:hAnsi="仿宋_GB2312" w:eastAsia="仿宋_GB2312"/>
          <w:b w:val="0"/>
          <w:sz w:val="32"/>
          <w:lang w:eastAsia="zh-CN"/>
        </w:rPr>
        <w:t>难题</w:t>
      </w:r>
      <w:r>
        <w:rPr>
          <w:rFonts w:ascii="仿宋_GB2312" w:hAnsi="仿宋_GB2312" w:eastAsia="仿宋_GB2312"/>
          <w:b w:val="0"/>
          <w:sz w:val="32"/>
        </w:rPr>
        <w:t>，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5E4A650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5D227F">
        <w:tblPrEx>
          <w:tblCellMar>
            <w:top w:w="0" w:type="dxa"/>
            <w:left w:w="108" w:type="dxa"/>
            <w:bottom w:w="0" w:type="dxa"/>
            <w:right w:w="108" w:type="dxa"/>
          </w:tblCellMar>
        </w:tblPrEx>
        <w:tc>
          <w:tcPr>
            <w:tcW w:w="8847" w:type="dxa"/>
            <w:gridSpan w:val="9"/>
            <w:vAlign w:val="center"/>
          </w:tcPr>
          <w:p w14:paraId="4818F703">
            <w:pPr>
              <w:jc w:val="center"/>
            </w:pPr>
            <w:r>
              <w:rPr>
                <w:rFonts w:ascii="宋体" w:hAnsi="宋体" w:eastAsia="宋体"/>
                <w:sz w:val="24"/>
              </w:rPr>
              <w:t>单位整体支出绩效自评表</w:t>
            </w:r>
          </w:p>
        </w:tc>
      </w:tr>
      <w:tr w14:paraId="31CA8266">
        <w:tblPrEx>
          <w:tblCellMar>
            <w:top w:w="0" w:type="dxa"/>
            <w:left w:w="108" w:type="dxa"/>
            <w:bottom w:w="0" w:type="dxa"/>
            <w:right w:w="108" w:type="dxa"/>
          </w:tblCellMar>
        </w:tblPrEx>
        <w:tc>
          <w:tcPr>
            <w:tcW w:w="8847" w:type="dxa"/>
            <w:gridSpan w:val="9"/>
            <w:vAlign w:val="center"/>
          </w:tcPr>
          <w:p w14:paraId="0F5B0065">
            <w:pPr>
              <w:jc w:val="center"/>
            </w:pPr>
            <w:r>
              <w:rPr>
                <w:rFonts w:ascii="宋体" w:hAnsi="宋体" w:eastAsia="宋体"/>
                <w:sz w:val="24"/>
              </w:rPr>
              <w:t>（2024年度）</w:t>
            </w:r>
          </w:p>
        </w:tc>
      </w:tr>
      <w:tr w14:paraId="544065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3CD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A3F4C0">
            <w:pPr>
              <w:jc w:val="center"/>
            </w:pPr>
            <w:r>
              <w:rPr>
                <w:rFonts w:ascii="宋体" w:hAnsi="宋体" w:eastAsia="宋体"/>
                <w:sz w:val="16"/>
              </w:rPr>
              <w:t>吉木萨尔县财政局</w:t>
            </w:r>
          </w:p>
        </w:tc>
      </w:tr>
      <w:tr w14:paraId="336868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341BF">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D9EB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5B0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446D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C83A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229B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3EF1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66AF7">
            <w:pPr>
              <w:jc w:val="center"/>
            </w:pPr>
            <w:r>
              <w:rPr>
                <w:rFonts w:ascii="宋体" w:hAnsi="宋体" w:eastAsia="宋体"/>
                <w:sz w:val="16"/>
              </w:rPr>
              <w:t>得分</w:t>
            </w:r>
          </w:p>
        </w:tc>
      </w:tr>
      <w:tr w14:paraId="670708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BB2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E12E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5DE8A">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82545">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A6CE5">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D83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D1C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7BA14">
            <w:pPr>
              <w:jc w:val="center"/>
            </w:pPr>
            <w:r>
              <w:rPr>
                <w:rFonts w:ascii="宋体" w:hAnsi="宋体" w:eastAsia="宋体"/>
                <w:sz w:val="16"/>
              </w:rPr>
              <w:t>-</w:t>
            </w:r>
          </w:p>
        </w:tc>
      </w:tr>
      <w:tr w14:paraId="3A9901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5D4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C7C9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86D65">
            <w:pPr>
              <w:jc w:val="center"/>
            </w:pPr>
            <w:r>
              <w:rPr>
                <w:rFonts w:ascii="宋体" w:hAnsi="宋体" w:eastAsia="宋体"/>
                <w:sz w:val="16"/>
              </w:rPr>
              <w:t>1,767.81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926E5">
            <w:pPr>
              <w:jc w:val="center"/>
            </w:pPr>
            <w:r>
              <w:rPr>
                <w:rFonts w:ascii="宋体" w:hAnsi="宋体" w:eastAsia="宋体"/>
                <w:sz w:val="16"/>
              </w:rPr>
              <w:t>1,795.77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B35E2">
            <w:pPr>
              <w:jc w:val="center"/>
            </w:pPr>
            <w:r>
              <w:rPr>
                <w:rFonts w:ascii="宋体" w:hAnsi="宋体" w:eastAsia="宋体"/>
                <w:sz w:val="16"/>
              </w:rPr>
              <w:t>1,778.20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BEB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8D1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BD105">
            <w:pPr>
              <w:jc w:val="center"/>
            </w:pPr>
            <w:r>
              <w:rPr>
                <w:rFonts w:ascii="宋体" w:hAnsi="宋体" w:eastAsia="宋体"/>
                <w:sz w:val="16"/>
              </w:rPr>
              <w:t>-</w:t>
            </w:r>
          </w:p>
        </w:tc>
      </w:tr>
      <w:tr w14:paraId="6E44D3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1E4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E2CA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099C8">
            <w:pPr>
              <w:jc w:val="center"/>
            </w:pPr>
            <w:r>
              <w:rPr>
                <w:rFonts w:ascii="宋体" w:hAnsi="宋体" w:eastAsia="宋体"/>
                <w:sz w:val="16"/>
              </w:rPr>
              <w:t>30.10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809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76B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0D8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43F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8CBD1">
            <w:pPr>
              <w:jc w:val="center"/>
            </w:pPr>
            <w:r>
              <w:rPr>
                <w:rFonts w:ascii="宋体" w:hAnsi="宋体" w:eastAsia="宋体"/>
                <w:sz w:val="16"/>
              </w:rPr>
              <w:t>-</w:t>
            </w:r>
          </w:p>
        </w:tc>
      </w:tr>
      <w:tr w14:paraId="4DE25E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DD1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CDB8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EB7E9">
            <w:pPr>
              <w:jc w:val="center"/>
            </w:pPr>
            <w:r>
              <w:rPr>
                <w:rFonts w:ascii="宋体" w:hAnsi="宋体" w:eastAsia="宋体"/>
                <w:sz w:val="16"/>
              </w:rPr>
              <w:t>1,832.91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E6C0E">
            <w:pPr>
              <w:jc w:val="center"/>
            </w:pPr>
            <w:r>
              <w:rPr>
                <w:rFonts w:ascii="宋体" w:hAnsi="宋体" w:eastAsia="宋体"/>
                <w:sz w:val="16"/>
              </w:rPr>
              <w:t>1,830.77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5476D">
            <w:pPr>
              <w:jc w:val="center"/>
            </w:pPr>
            <w:r>
              <w:rPr>
                <w:rFonts w:ascii="宋体" w:hAnsi="宋体" w:eastAsia="宋体"/>
                <w:sz w:val="16"/>
              </w:rPr>
              <w:t>1,813.20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FE6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37A81">
            <w:pPr>
              <w:jc w:val="center"/>
            </w:pPr>
            <w:r>
              <w:rPr>
                <w:rFonts w:ascii="宋体" w:hAnsi="宋体" w:eastAsia="宋体"/>
                <w:sz w:val="16"/>
              </w:rPr>
              <w:t>99.04%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1E391">
            <w:pPr>
              <w:jc w:val="center"/>
            </w:pPr>
            <w:r>
              <w:rPr>
                <w:rFonts w:ascii="宋体" w:hAnsi="宋体" w:eastAsia="宋体"/>
                <w:sz w:val="16"/>
              </w:rPr>
              <w:t>9.9</w:t>
            </w:r>
          </w:p>
        </w:tc>
      </w:tr>
      <w:tr w14:paraId="388A8B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098E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5F0C2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1B92E8">
            <w:pPr>
              <w:jc w:val="center"/>
            </w:pPr>
            <w:r>
              <w:rPr>
                <w:rFonts w:ascii="宋体" w:hAnsi="宋体" w:eastAsia="宋体"/>
                <w:sz w:val="16"/>
              </w:rPr>
              <w:t>实际完成情况</w:t>
            </w:r>
          </w:p>
        </w:tc>
      </w:tr>
      <w:tr w14:paraId="4EBFEB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E1266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510C29">
            <w:pPr>
              <w:jc w:val="both"/>
            </w:pPr>
            <w:r>
              <w:rPr>
                <w:rFonts w:ascii="宋体" w:hAnsi="宋体" w:eastAsia="宋体"/>
                <w:sz w:val="16"/>
              </w:rPr>
              <w:t>吉木萨尔县财政局贯彻落实党中央关于财政工作和国有资产监督管理工作的方针政策和决策部署以及自治区、自治州、县党委工作要求，在履行职责过程中坚持和加强党对财政工作和国有资产监督管理工作的集中统一领导。（一）根据全县国民经济和社会发展战略，拟订县财政发展中长期财政规划并组织实施</w:t>
            </w:r>
            <w:r>
              <w:rPr>
                <w:rFonts w:hint="eastAsia" w:ascii="宋体" w:hAnsi="宋体"/>
                <w:sz w:val="16"/>
                <w:lang w:eastAsia="zh-CN"/>
              </w:rPr>
              <w:t>；</w:t>
            </w:r>
            <w:r>
              <w:rPr>
                <w:rFonts w:ascii="宋体" w:hAnsi="宋体" w:eastAsia="宋体"/>
                <w:sz w:val="16"/>
              </w:rPr>
              <w:t>(二)承担全县各项财政收支管理责任</w:t>
            </w:r>
            <w:r>
              <w:rPr>
                <w:rFonts w:hint="eastAsia" w:ascii="宋体" w:hAnsi="宋体"/>
                <w:sz w:val="16"/>
                <w:lang w:eastAsia="zh-CN"/>
              </w:rPr>
              <w:t>；</w:t>
            </w:r>
            <w:r>
              <w:rPr>
                <w:rFonts w:ascii="宋体" w:hAnsi="宋体" w:eastAsia="宋体"/>
                <w:sz w:val="16"/>
              </w:rPr>
              <w:t>负责编制县本级预决算草案并组织执行，审查、批复部门预算</w:t>
            </w:r>
            <w:r>
              <w:rPr>
                <w:rFonts w:hint="eastAsia" w:ascii="宋体" w:hAnsi="宋体"/>
                <w:sz w:val="16"/>
                <w:lang w:eastAsia="zh-CN"/>
              </w:rPr>
              <w:t>；</w:t>
            </w:r>
            <w:r>
              <w:rPr>
                <w:rFonts w:ascii="宋体" w:hAnsi="宋体" w:eastAsia="宋体"/>
                <w:sz w:val="16"/>
              </w:rPr>
              <w:t>(三)根据预算安排，拟订财政税收收入计划并组织实施和监督管理</w:t>
            </w:r>
            <w:r>
              <w:rPr>
                <w:rFonts w:hint="eastAsia" w:ascii="宋体" w:hAnsi="宋体"/>
                <w:sz w:val="16"/>
                <w:lang w:eastAsia="zh-CN"/>
              </w:rPr>
              <w:t>；</w:t>
            </w:r>
            <w:r>
              <w:rPr>
                <w:rFonts w:ascii="宋体" w:hAnsi="宋体" w:eastAsia="宋体"/>
                <w:sz w:val="16"/>
              </w:rPr>
              <w:t>按管理权限拟订免税上报事项和对全县预算影响大的临时和特殊的地方税减免事项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1018D1">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年初预算数为1832.91万元，预算调整数1830.77万元，执行数1813.20万元，执行率99.04%，稳定了财政队伍，使各项工作胜利开展，保障了全县各项财政收支管理责任，1.在职54名机关工作人员工资、津贴、社保费、奖金、公积金；1名遗属人员生活补助费；9名政府购买</w:t>
            </w:r>
            <w:r>
              <w:rPr>
                <w:rFonts w:hint="eastAsia" w:ascii="宋体" w:hAnsi="宋体"/>
                <w:sz w:val="16"/>
                <w:lang w:eastAsia="zh-CN"/>
              </w:rPr>
              <w:t>岗位</w:t>
            </w:r>
            <w:r>
              <w:rPr>
                <w:rFonts w:ascii="宋体" w:hAnsi="宋体" w:eastAsia="宋体"/>
                <w:sz w:val="16"/>
              </w:rPr>
              <w:t>工资、社保费；54名退休人员交通费、独生子女费、冬季取暖补贴等。2.机关办公经费、工会经费、车辆运行经费、差旅费、培训费、财政工资经费等。</w:t>
            </w:r>
          </w:p>
        </w:tc>
      </w:tr>
      <w:tr w14:paraId="458774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A800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E43AF">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824B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B1B3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078F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F178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4C99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33FE0">
            <w:pPr>
              <w:jc w:val="center"/>
            </w:pPr>
            <w:r>
              <w:rPr>
                <w:rFonts w:ascii="宋体" w:hAnsi="宋体" w:eastAsia="宋体"/>
                <w:sz w:val="16"/>
              </w:rPr>
              <w:t>得分</w:t>
            </w:r>
          </w:p>
        </w:tc>
      </w:tr>
      <w:tr w14:paraId="3EC49D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0BE7C">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970E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0BDD9">
            <w:pPr>
              <w:jc w:val="center"/>
            </w:pPr>
            <w:r>
              <w:rPr>
                <w:rFonts w:ascii="宋体" w:hAnsi="宋体" w:eastAsia="宋体"/>
                <w:sz w:val="16"/>
              </w:rPr>
              <w:t>保障办公人员数量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61A78">
            <w:pPr>
              <w:jc w:val="center"/>
            </w:pPr>
            <w:r>
              <w:rPr>
                <w:rFonts w:ascii="宋体" w:hAnsi="宋体" w:eastAsia="宋体"/>
                <w:sz w:val="16"/>
              </w:rPr>
              <w:t>&gt;=52人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8544C">
            <w:pPr>
              <w:jc w:val="center"/>
            </w:pPr>
            <w:r>
              <w:rPr>
                <w:rFonts w:ascii="宋体" w:hAnsi="宋体" w:eastAsia="宋体"/>
                <w:sz w:val="16"/>
              </w:rPr>
              <w:t>2023年部门决算表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BAA4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DCFE9">
            <w:pPr>
              <w:jc w:val="center"/>
            </w:pPr>
            <w:r>
              <w:rPr>
                <w:rFonts w:ascii="宋体" w:hAnsi="宋体" w:eastAsia="宋体"/>
                <w:sz w:val="16"/>
              </w:rPr>
              <w:t>=54人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C6BB4">
            <w:pPr>
              <w:jc w:val="center"/>
            </w:pPr>
            <w:r>
              <w:rPr>
                <w:rFonts w:ascii="宋体" w:hAnsi="宋体" w:eastAsia="宋体"/>
                <w:sz w:val="16"/>
              </w:rPr>
              <w:t>5</w:t>
            </w:r>
          </w:p>
        </w:tc>
      </w:tr>
      <w:tr w14:paraId="2F6F40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6B3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87E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FBD07">
            <w:pPr>
              <w:jc w:val="center"/>
            </w:pPr>
            <w:r>
              <w:rPr>
                <w:rFonts w:ascii="宋体" w:hAnsi="宋体" w:eastAsia="宋体"/>
                <w:sz w:val="16"/>
              </w:rPr>
              <w:t>房屋建筑供暖面积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A21BB">
            <w:pPr>
              <w:jc w:val="center"/>
            </w:pPr>
            <w:r>
              <w:rPr>
                <w:rFonts w:ascii="宋体" w:hAnsi="宋体" w:eastAsia="宋体"/>
                <w:sz w:val="16"/>
              </w:rPr>
              <w:t>&gt;=2534平方米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94B52">
            <w:pPr>
              <w:jc w:val="center"/>
            </w:pPr>
            <w:r>
              <w:rPr>
                <w:rFonts w:ascii="宋体" w:hAnsi="宋体" w:eastAsia="宋体"/>
                <w:sz w:val="16"/>
              </w:rPr>
              <w:t>关于核查2023-2024年度预算机关单位公用取暖面积的函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791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9A86F">
            <w:pPr>
              <w:jc w:val="center"/>
            </w:pPr>
            <w:r>
              <w:rPr>
                <w:rFonts w:ascii="宋体" w:hAnsi="宋体" w:eastAsia="宋体"/>
                <w:sz w:val="16"/>
              </w:rPr>
              <w:t>=2534平方米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9EA72">
            <w:pPr>
              <w:jc w:val="center"/>
            </w:pPr>
            <w:r>
              <w:rPr>
                <w:rFonts w:ascii="宋体" w:hAnsi="宋体" w:eastAsia="宋体"/>
                <w:sz w:val="16"/>
              </w:rPr>
              <w:t>5</w:t>
            </w:r>
          </w:p>
        </w:tc>
      </w:tr>
      <w:tr w14:paraId="10B982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03B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FCF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10BF9">
            <w:pPr>
              <w:jc w:val="center"/>
            </w:pPr>
            <w:r>
              <w:rPr>
                <w:rFonts w:ascii="宋体" w:hAnsi="宋体" w:eastAsia="宋体"/>
                <w:sz w:val="16"/>
              </w:rPr>
              <w:t>保障退休人员数量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4EA59">
            <w:pPr>
              <w:jc w:val="center"/>
            </w:pPr>
            <w:r>
              <w:rPr>
                <w:rFonts w:ascii="宋体" w:hAnsi="宋体" w:eastAsia="宋体"/>
                <w:sz w:val="16"/>
              </w:rPr>
              <w:t>&gt;=52人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CDC62">
            <w:pPr>
              <w:jc w:val="center"/>
            </w:pPr>
            <w:r>
              <w:rPr>
                <w:rFonts w:ascii="宋体" w:hAnsi="宋体" w:eastAsia="宋体"/>
                <w:sz w:val="16"/>
              </w:rPr>
              <w:t>2023年部门决算表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2BE7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4CADC">
            <w:pPr>
              <w:jc w:val="center"/>
            </w:pPr>
            <w:r>
              <w:rPr>
                <w:rFonts w:ascii="宋体" w:hAnsi="宋体" w:eastAsia="宋体"/>
                <w:sz w:val="16"/>
              </w:rPr>
              <w:t>=54人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6AC94">
            <w:pPr>
              <w:jc w:val="center"/>
            </w:pPr>
            <w:r>
              <w:rPr>
                <w:rFonts w:ascii="宋体" w:hAnsi="宋体" w:eastAsia="宋体"/>
                <w:sz w:val="16"/>
              </w:rPr>
              <w:t>5</w:t>
            </w:r>
          </w:p>
        </w:tc>
      </w:tr>
      <w:tr w14:paraId="47D20E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45FC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923B9">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DA988">
            <w:pPr>
              <w:jc w:val="center"/>
            </w:pPr>
            <w:r>
              <w:rPr>
                <w:rFonts w:ascii="宋体" w:hAnsi="宋体" w:eastAsia="宋体"/>
                <w:sz w:val="16"/>
              </w:rPr>
              <w:t>一般公共预算收入同比增长率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171DE">
            <w:pPr>
              <w:jc w:val="center"/>
            </w:pPr>
            <w:r>
              <w:rPr>
                <w:rFonts w:ascii="宋体" w:hAnsi="宋体" w:eastAsia="宋体"/>
                <w:sz w:val="16"/>
              </w:rPr>
              <w:t>&gt;=10%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6D0A4">
            <w:pPr>
              <w:jc w:val="center"/>
            </w:pPr>
            <w:r>
              <w:rPr>
                <w:rFonts w:ascii="宋体" w:hAnsi="宋体" w:eastAsia="宋体"/>
                <w:sz w:val="16"/>
              </w:rPr>
              <w:t>关于吉木萨尔县2023年预算执行情况和2024年预算（草案）的报告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AFEF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FF62">
            <w:pPr>
              <w:jc w:val="center"/>
            </w:pPr>
            <w:r>
              <w:rPr>
                <w:rFonts w:ascii="宋体" w:hAnsi="宋体" w:eastAsia="宋体"/>
                <w:sz w:val="16"/>
              </w:rPr>
              <w:t>=11.33%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3CBE0">
            <w:pPr>
              <w:jc w:val="center"/>
            </w:pPr>
            <w:r>
              <w:rPr>
                <w:rFonts w:ascii="宋体" w:hAnsi="宋体" w:eastAsia="宋体"/>
                <w:sz w:val="16"/>
              </w:rPr>
              <w:t>15</w:t>
            </w:r>
          </w:p>
        </w:tc>
      </w:tr>
      <w:tr w14:paraId="1CCA69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E75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7B1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DD436">
            <w:pPr>
              <w:jc w:val="center"/>
            </w:pPr>
            <w:r>
              <w:rPr>
                <w:rFonts w:ascii="宋体" w:hAnsi="宋体" w:eastAsia="宋体"/>
                <w:sz w:val="16"/>
              </w:rPr>
              <w:t>一般公共预算支出同比增长率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9E0A7">
            <w:pPr>
              <w:jc w:val="center"/>
            </w:pPr>
            <w:r>
              <w:rPr>
                <w:rFonts w:ascii="宋体" w:hAnsi="宋体" w:eastAsia="宋体"/>
                <w:sz w:val="16"/>
              </w:rPr>
              <w:t>&gt;=8.8%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D6CCF">
            <w:pPr>
              <w:jc w:val="center"/>
            </w:pPr>
            <w:r>
              <w:rPr>
                <w:rFonts w:ascii="宋体" w:hAnsi="宋体" w:eastAsia="宋体"/>
                <w:sz w:val="16"/>
              </w:rPr>
              <w:t>关于吉木萨尔县2023年预算执行情况和2024年预算（草案）的报告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64AB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C7C40">
            <w:pPr>
              <w:jc w:val="center"/>
            </w:pPr>
            <w:r>
              <w:rPr>
                <w:rFonts w:ascii="宋体" w:hAnsi="宋体" w:eastAsia="宋体"/>
                <w:sz w:val="16"/>
              </w:rPr>
              <w:t>=31.06%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252C0">
            <w:pPr>
              <w:jc w:val="center"/>
            </w:pPr>
            <w:r>
              <w:rPr>
                <w:rFonts w:ascii="宋体" w:hAnsi="宋体" w:eastAsia="宋体"/>
                <w:sz w:val="16"/>
              </w:rPr>
              <w:t>15</w:t>
            </w:r>
          </w:p>
        </w:tc>
      </w:tr>
      <w:tr w14:paraId="4BEB0E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BBB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1793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0128">
            <w:pPr>
              <w:jc w:val="center"/>
            </w:pPr>
            <w:r>
              <w:rPr>
                <w:rFonts w:ascii="宋体" w:hAnsi="宋体" w:eastAsia="宋体"/>
                <w:sz w:val="16"/>
              </w:rPr>
              <w:t>会计监督检查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800F9">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F9670">
            <w:pPr>
              <w:jc w:val="center"/>
            </w:pPr>
            <w:r>
              <w:rPr>
                <w:rFonts w:ascii="宋体" w:hAnsi="宋体" w:eastAsia="宋体"/>
                <w:sz w:val="16"/>
              </w:rPr>
              <w:t>关于吉木萨尔县2023年预算执行情况和2024年预算（草案）的报告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24888">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5616A">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307E3">
            <w:pPr>
              <w:jc w:val="center"/>
            </w:pPr>
            <w:r>
              <w:rPr>
                <w:rFonts w:ascii="宋体" w:hAnsi="宋体" w:eastAsia="宋体"/>
                <w:sz w:val="16"/>
              </w:rPr>
              <w:t>11</w:t>
            </w:r>
          </w:p>
        </w:tc>
      </w:tr>
      <w:tr w14:paraId="6BE22F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CE7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140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0F8B1">
            <w:pPr>
              <w:jc w:val="center"/>
            </w:pPr>
            <w:r>
              <w:rPr>
                <w:rFonts w:ascii="宋体" w:hAnsi="宋体" w:eastAsia="宋体"/>
                <w:sz w:val="16"/>
              </w:rPr>
              <w:t>隐性债务化解任务完成率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1FF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D5715">
            <w:pPr>
              <w:jc w:val="center"/>
            </w:pPr>
            <w:r>
              <w:rPr>
                <w:rFonts w:ascii="宋体" w:hAnsi="宋体" w:eastAsia="宋体"/>
                <w:sz w:val="16"/>
              </w:rPr>
              <w:t>关于吉木萨尔县2023年预算执行情况和2024年预算（草案）的报告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51FE">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6B6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C7B96">
            <w:pPr>
              <w:jc w:val="center"/>
            </w:pPr>
            <w:r>
              <w:rPr>
                <w:rFonts w:ascii="宋体" w:hAnsi="宋体" w:eastAsia="宋体"/>
                <w:sz w:val="16"/>
              </w:rPr>
              <w:t>12</w:t>
            </w:r>
          </w:p>
        </w:tc>
      </w:tr>
      <w:tr w14:paraId="451AD2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0F7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6E7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62846">
            <w:pPr>
              <w:jc w:val="center"/>
            </w:pPr>
            <w:r>
              <w:rPr>
                <w:rFonts w:ascii="宋体" w:hAnsi="宋体" w:eastAsia="宋体"/>
                <w:sz w:val="16"/>
              </w:rPr>
              <w:t>“三保”保障率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878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69D32">
            <w:pPr>
              <w:jc w:val="center"/>
            </w:pPr>
            <w:r>
              <w:rPr>
                <w:rFonts w:ascii="宋体" w:hAnsi="宋体" w:eastAsia="宋体"/>
                <w:sz w:val="16"/>
              </w:rPr>
              <w:t>关于吉木萨尔县2023年预算执行情况和2024年预算（草案）的报告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D5CE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98E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F7EC2">
            <w:pPr>
              <w:jc w:val="center"/>
            </w:pPr>
            <w:r>
              <w:rPr>
                <w:rFonts w:ascii="宋体" w:hAnsi="宋体" w:eastAsia="宋体"/>
                <w:sz w:val="16"/>
              </w:rPr>
              <w:t>12</w:t>
            </w:r>
          </w:p>
        </w:tc>
      </w:tr>
      <w:tr w14:paraId="2B4E71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1D5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998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E6583">
            <w:pPr>
              <w:jc w:val="center"/>
            </w:pPr>
            <w:r>
              <w:rPr>
                <w:rFonts w:ascii="宋体" w:hAnsi="宋体" w:eastAsia="宋体"/>
                <w:sz w:val="16"/>
              </w:rPr>
              <w:t>政</w:t>
            </w:r>
            <w:r>
              <w:rPr>
                <w:rFonts w:hint="eastAsia" w:ascii="宋体" w:hAnsi="宋体"/>
                <w:sz w:val="16"/>
                <w:lang w:eastAsia="zh-CN"/>
              </w:rPr>
              <w:t>－</w:t>
            </w:r>
            <w:r>
              <w:rPr>
                <w:rFonts w:ascii="宋体" w:hAnsi="宋体" w:eastAsia="宋体"/>
                <w:sz w:val="16"/>
              </w:rPr>
              <w:t>金</w:t>
            </w:r>
            <w:r>
              <w:rPr>
                <w:rFonts w:hint="eastAsia" w:ascii="宋体" w:hAnsi="宋体"/>
                <w:sz w:val="16"/>
                <w:lang w:eastAsia="zh-CN"/>
              </w:rPr>
              <w:t>－</w:t>
            </w:r>
            <w:r>
              <w:rPr>
                <w:rFonts w:ascii="宋体" w:hAnsi="宋体" w:eastAsia="宋体"/>
                <w:sz w:val="16"/>
              </w:rPr>
              <w:t>企业座谈会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8747E">
            <w:pPr>
              <w:jc w:val="center"/>
            </w:pPr>
            <w:r>
              <w:rPr>
                <w:rFonts w:ascii="宋体" w:hAnsi="宋体" w:eastAsia="宋体"/>
                <w:sz w:val="16"/>
              </w:rPr>
              <w:t>&gt;=4场次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913C5">
            <w:pPr>
              <w:jc w:val="center"/>
            </w:pPr>
            <w:r>
              <w:rPr>
                <w:rFonts w:ascii="宋体" w:hAnsi="宋体" w:eastAsia="宋体"/>
                <w:sz w:val="16"/>
              </w:rPr>
              <w:t>关于吉木萨尔县2023年预算执行情况和2024年预算（草案）的报告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30C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1D0C3">
            <w:pPr>
              <w:jc w:val="center"/>
            </w:pPr>
            <w:r>
              <w:rPr>
                <w:rFonts w:ascii="宋体" w:hAnsi="宋体" w:eastAsia="宋体"/>
                <w:sz w:val="16"/>
              </w:rPr>
              <w:t>=4场次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5C349">
            <w:pPr>
              <w:jc w:val="center"/>
            </w:pPr>
            <w:r>
              <w:rPr>
                <w:rFonts w:ascii="宋体" w:hAnsi="宋体" w:eastAsia="宋体"/>
                <w:sz w:val="16"/>
              </w:rPr>
              <w:t>10</w:t>
            </w:r>
          </w:p>
        </w:tc>
      </w:tr>
    </w:tbl>
    <w:p w14:paraId="24C8F6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3FD63E8">
        <w:tblPrEx>
          <w:tblCellMar>
            <w:top w:w="0" w:type="dxa"/>
            <w:left w:w="108" w:type="dxa"/>
            <w:bottom w:w="0" w:type="dxa"/>
            <w:right w:w="108" w:type="dxa"/>
          </w:tblCellMar>
        </w:tblPrEx>
        <w:tc>
          <w:tcPr>
            <w:tcW w:w="8848" w:type="dxa"/>
            <w:gridSpan w:val="14"/>
            <w:vAlign w:val="center"/>
          </w:tcPr>
          <w:p w14:paraId="7A77008B">
            <w:pPr>
              <w:jc w:val="center"/>
            </w:pPr>
            <w:r>
              <w:rPr>
                <w:rFonts w:ascii="宋体" w:hAnsi="宋体" w:eastAsia="宋体"/>
                <w:sz w:val="24"/>
              </w:rPr>
              <w:t>项目支出绩效自评表</w:t>
            </w:r>
          </w:p>
        </w:tc>
      </w:tr>
      <w:tr w14:paraId="6492841A">
        <w:tblPrEx>
          <w:tblCellMar>
            <w:top w:w="0" w:type="dxa"/>
            <w:left w:w="108" w:type="dxa"/>
            <w:bottom w:w="0" w:type="dxa"/>
            <w:right w:w="108" w:type="dxa"/>
          </w:tblCellMar>
        </w:tblPrEx>
        <w:tc>
          <w:tcPr>
            <w:tcW w:w="8848" w:type="dxa"/>
            <w:gridSpan w:val="14"/>
            <w:vAlign w:val="center"/>
          </w:tcPr>
          <w:p w14:paraId="332C0EF5">
            <w:pPr>
              <w:jc w:val="center"/>
            </w:pPr>
            <w:r>
              <w:rPr>
                <w:rFonts w:ascii="宋体" w:hAnsi="宋体" w:eastAsia="宋体"/>
                <w:sz w:val="24"/>
              </w:rPr>
              <w:t>(2024年度)</w:t>
            </w:r>
          </w:p>
        </w:tc>
      </w:tr>
      <w:tr w14:paraId="3FE921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13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3152B7">
            <w:pPr>
              <w:jc w:val="center"/>
            </w:pPr>
            <w:r>
              <w:rPr>
                <w:rFonts w:ascii="宋体" w:hAnsi="宋体" w:eastAsia="宋体"/>
                <w:sz w:val="16"/>
              </w:rPr>
              <w:t>2023年全面实施预算绩效管理运营经费</w:t>
            </w:r>
          </w:p>
        </w:tc>
      </w:tr>
      <w:tr w14:paraId="4C4D25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E8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6ED7B">
            <w:pPr>
              <w:jc w:val="center"/>
            </w:pPr>
            <w:r>
              <w:rPr>
                <w:rFonts w:ascii="宋体" w:hAnsi="宋体" w:eastAsia="宋体"/>
                <w:sz w:val="16"/>
              </w:rPr>
              <w:t>吉木萨尔县财政局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CA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356364">
            <w:pPr>
              <w:jc w:val="center"/>
            </w:pPr>
            <w:r>
              <w:rPr>
                <w:rFonts w:ascii="宋体" w:hAnsi="宋体" w:eastAsia="宋体"/>
                <w:sz w:val="16"/>
              </w:rPr>
              <w:t>吉木萨尔县财政局</w:t>
            </w:r>
          </w:p>
        </w:tc>
      </w:tr>
      <w:tr w14:paraId="2C58FB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0E6A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6CC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9EE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B76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1FE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B41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3CE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02A9">
            <w:pPr>
              <w:jc w:val="center"/>
            </w:pPr>
            <w:r>
              <w:rPr>
                <w:rFonts w:ascii="宋体" w:hAnsi="宋体" w:eastAsia="宋体"/>
                <w:sz w:val="16"/>
              </w:rPr>
              <w:t>得分</w:t>
            </w:r>
          </w:p>
        </w:tc>
      </w:tr>
      <w:tr w14:paraId="6364D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6B2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BA1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58B8">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517EB">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48092">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144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01B1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0341">
            <w:pPr>
              <w:jc w:val="center"/>
            </w:pPr>
            <w:r>
              <w:rPr>
                <w:rFonts w:ascii="宋体" w:hAnsi="宋体" w:eastAsia="宋体"/>
                <w:sz w:val="16"/>
              </w:rPr>
              <w:t>10.00</w:t>
            </w:r>
          </w:p>
        </w:tc>
      </w:tr>
      <w:tr w14:paraId="4E2C1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ABB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B97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676F2">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C214A">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78844">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E14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10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C27E">
            <w:pPr>
              <w:jc w:val="center"/>
            </w:pPr>
            <w:r>
              <w:rPr>
                <w:rFonts w:ascii="宋体" w:hAnsi="宋体" w:eastAsia="宋体"/>
                <w:sz w:val="16"/>
              </w:rPr>
              <w:t>—</w:t>
            </w:r>
          </w:p>
        </w:tc>
      </w:tr>
      <w:tr w14:paraId="028B5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2D8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DA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FED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1A1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841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0A2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9C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CD06">
            <w:pPr>
              <w:jc w:val="center"/>
            </w:pPr>
            <w:r>
              <w:rPr>
                <w:rFonts w:ascii="宋体" w:hAnsi="宋体" w:eastAsia="宋体"/>
                <w:sz w:val="16"/>
              </w:rPr>
              <w:t>—</w:t>
            </w:r>
          </w:p>
        </w:tc>
      </w:tr>
      <w:tr w14:paraId="19CF6B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25D8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93D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6C8657">
            <w:pPr>
              <w:jc w:val="center"/>
            </w:pPr>
            <w:r>
              <w:rPr>
                <w:rFonts w:ascii="宋体" w:hAnsi="宋体" w:eastAsia="宋体"/>
                <w:sz w:val="16"/>
              </w:rPr>
              <w:t>实际完成情况</w:t>
            </w:r>
          </w:p>
        </w:tc>
      </w:tr>
      <w:tr w14:paraId="3F544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377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39C3F">
            <w:pPr>
              <w:jc w:val="both"/>
            </w:pPr>
            <w:r>
              <w:rPr>
                <w:rFonts w:ascii="宋体" w:hAnsi="宋体" w:eastAsia="宋体"/>
                <w:sz w:val="16"/>
              </w:rPr>
              <w:t>聘请1家绩效服务咨询机构和1家绩效系统维护咨询机构，推进预算绩效管理，建立健全绩效评价机制，推进预算绩效管理制度化、规范化，提高财政资金使用效益。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1B9744">
            <w:pPr>
              <w:jc w:val="both"/>
            </w:pPr>
            <w:r>
              <w:rPr>
                <w:rFonts w:hint="eastAsia" w:ascii="宋体" w:hAnsi="宋体"/>
                <w:sz w:val="16"/>
                <w:lang w:eastAsia="zh-CN"/>
              </w:rPr>
              <w:t>截至</w:t>
            </w:r>
            <w:r>
              <w:rPr>
                <w:rFonts w:ascii="宋体" w:hAnsi="宋体" w:eastAsia="宋体"/>
                <w:sz w:val="16"/>
              </w:rPr>
              <w:t>2024年12月31日，项目实际支出35万元，预算执行率100%，实际支付绩效服务咨询机构和绩效系统维护费，推进预算绩效管理，建立健全绩效评价机制，推进预算绩效管理制度化、规范化，提高财政资金使用效益。</w:t>
            </w:r>
          </w:p>
        </w:tc>
      </w:tr>
      <w:tr w14:paraId="564982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65D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78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0B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F3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CF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CFB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CEA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612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2FC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FA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1D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63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47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2B39">
            <w:pPr>
              <w:jc w:val="center"/>
            </w:pPr>
            <w:r>
              <w:rPr>
                <w:rFonts w:ascii="宋体" w:hAnsi="宋体" w:eastAsia="宋体"/>
                <w:sz w:val="16"/>
              </w:rPr>
              <w:t>偏差原因分析及改进措施</w:t>
            </w:r>
          </w:p>
        </w:tc>
      </w:tr>
      <w:tr w14:paraId="3A8D3D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F06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1ED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770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AB44">
            <w:pPr>
              <w:jc w:val="center"/>
            </w:pPr>
            <w:r>
              <w:rPr>
                <w:rFonts w:ascii="宋体" w:hAnsi="宋体" w:eastAsia="宋体"/>
                <w:sz w:val="16"/>
              </w:rPr>
              <w:t>评聘绩效服务咨询机构数量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C1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F78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A35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7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C4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3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5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55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CA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E2A2">
            <w:pPr>
              <w:jc w:val="center"/>
            </w:pPr>
          </w:p>
        </w:tc>
      </w:tr>
      <w:tr w14:paraId="1F80D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B5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4C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73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2608">
            <w:pPr>
              <w:jc w:val="center"/>
            </w:pPr>
            <w:r>
              <w:rPr>
                <w:rFonts w:ascii="宋体" w:hAnsi="宋体" w:eastAsia="宋体"/>
                <w:sz w:val="16"/>
              </w:rPr>
              <w:t>绩效工作培训场次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639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D4E2">
            <w:pPr>
              <w:jc w:val="center"/>
            </w:pPr>
            <w:r>
              <w:rPr>
                <w:rFonts w:ascii="宋体" w:hAnsi="宋体" w:eastAsia="宋体"/>
                <w:sz w:val="16"/>
              </w:rPr>
              <w:t>&gt;=4场次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8BE4">
            <w:pPr>
              <w:jc w:val="center"/>
            </w:pPr>
            <w:r>
              <w:rPr>
                <w:rFonts w:ascii="宋体" w:hAnsi="宋体" w:eastAsia="宋体"/>
                <w:sz w:val="16"/>
              </w:rPr>
              <w: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2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63E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0A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12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55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1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731B">
            <w:pPr>
              <w:jc w:val="center"/>
            </w:pPr>
          </w:p>
        </w:tc>
      </w:tr>
      <w:tr w14:paraId="3665F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7E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34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29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51B0">
            <w:pPr>
              <w:jc w:val="center"/>
            </w:pPr>
            <w:r>
              <w:rPr>
                <w:rFonts w:ascii="宋体" w:hAnsi="宋体" w:eastAsia="宋体"/>
                <w:sz w:val="16"/>
              </w:rPr>
              <w:t>聘请绩效系统维护咨询机构数量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BE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E08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241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46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9B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9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5C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7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51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0ACE">
            <w:pPr>
              <w:jc w:val="center"/>
            </w:pPr>
          </w:p>
        </w:tc>
      </w:tr>
      <w:tr w14:paraId="3C8E7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C6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A01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DB0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58BC">
            <w:pPr>
              <w:jc w:val="center"/>
            </w:pPr>
            <w:r>
              <w:rPr>
                <w:rFonts w:ascii="宋体" w:hAnsi="宋体" w:eastAsia="宋体"/>
                <w:sz w:val="16"/>
              </w:rPr>
              <w:t>绩效审核工作按时完成率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A2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B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1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7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A3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3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D7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7D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57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9A67">
            <w:pPr>
              <w:jc w:val="center"/>
            </w:pPr>
          </w:p>
        </w:tc>
      </w:tr>
      <w:tr w14:paraId="32090A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EC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6D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6F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DB08">
            <w:pPr>
              <w:jc w:val="center"/>
            </w:pPr>
            <w:r>
              <w:rPr>
                <w:rFonts w:ascii="宋体" w:hAnsi="宋体" w:eastAsia="宋体"/>
                <w:sz w:val="16"/>
              </w:rPr>
              <w:t>绩效系统维护及时率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25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0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A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6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2E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CB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D8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0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C1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E0C1">
            <w:pPr>
              <w:jc w:val="center"/>
            </w:pPr>
          </w:p>
        </w:tc>
      </w:tr>
      <w:tr w14:paraId="2E26A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09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F7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88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5524">
            <w:pPr>
              <w:jc w:val="center"/>
            </w:pPr>
            <w:r>
              <w:rPr>
                <w:rFonts w:ascii="宋体" w:hAnsi="宋体" w:eastAsia="宋体"/>
                <w:sz w:val="16"/>
              </w:rPr>
              <w:t>聘请单位服务周期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A4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F5BA">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72DC">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E9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39D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C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FE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62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10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ECFB">
            <w:pPr>
              <w:jc w:val="center"/>
            </w:pPr>
          </w:p>
        </w:tc>
      </w:tr>
      <w:tr w14:paraId="77AD5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D28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493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D5C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59B7">
            <w:pPr>
              <w:jc w:val="center"/>
            </w:pPr>
            <w:r>
              <w:rPr>
                <w:rFonts w:ascii="宋体" w:hAnsi="宋体" w:eastAsia="宋体"/>
                <w:sz w:val="16"/>
              </w:rPr>
              <w:t>绩效系统维护服务费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29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049C">
            <w:pPr>
              <w:jc w:val="center"/>
            </w:pPr>
            <w:r>
              <w:rPr>
                <w:rFonts w:ascii="宋体" w:hAnsi="宋体" w:eastAsia="宋体"/>
                <w:sz w:val="16"/>
              </w:rPr>
              <w:t>&lt;=4.80万元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57BB">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8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CB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28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A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6B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90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28C7">
            <w:pPr>
              <w:jc w:val="center"/>
            </w:pPr>
          </w:p>
        </w:tc>
      </w:tr>
      <w:tr w14:paraId="6C486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3F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51C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999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636D">
            <w:pPr>
              <w:jc w:val="center"/>
            </w:pPr>
            <w:r>
              <w:rPr>
                <w:rFonts w:ascii="宋体" w:hAnsi="宋体" w:eastAsia="宋体"/>
                <w:sz w:val="16"/>
              </w:rPr>
              <w:t>绩效咨询服务费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817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7685">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6DD9">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5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3D3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C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D7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9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65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55B5">
            <w:pPr>
              <w:jc w:val="center"/>
            </w:pPr>
          </w:p>
        </w:tc>
      </w:tr>
      <w:tr w14:paraId="22825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775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E9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E1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B668">
            <w:pPr>
              <w:jc w:val="center"/>
            </w:pPr>
            <w:r>
              <w:rPr>
                <w:rFonts w:ascii="宋体" w:hAnsi="宋体" w:eastAsia="宋体"/>
                <w:sz w:val="16"/>
              </w:rPr>
              <w:t>提高绩效服务管理水平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DC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BAA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203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3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60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2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7B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76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D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7976">
            <w:pPr>
              <w:jc w:val="center"/>
            </w:pPr>
          </w:p>
        </w:tc>
      </w:tr>
      <w:tr w14:paraId="3FF67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2D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92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11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6BBB">
            <w:pPr>
              <w:jc w:val="center"/>
            </w:pPr>
            <w:r>
              <w:rPr>
                <w:rFonts w:ascii="宋体" w:hAnsi="宋体" w:eastAsia="宋体"/>
                <w:sz w:val="16"/>
              </w:rPr>
              <w:t>使用系统单位满意度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DC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DD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35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D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2A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6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16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CE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0A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0B09">
            <w:pPr>
              <w:jc w:val="center"/>
            </w:pPr>
          </w:p>
        </w:tc>
      </w:tr>
      <w:tr w14:paraId="0517C8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AB2B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4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CBE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0E5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09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400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B8B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106B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C0D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B3DF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7B6BED"/>
        </w:tc>
      </w:tr>
    </w:tbl>
    <w:p w14:paraId="6C2E54B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776"/>
        <w:gridCol w:w="696"/>
        <w:gridCol w:w="629"/>
        <w:gridCol w:w="696"/>
        <w:gridCol w:w="625"/>
        <w:gridCol w:w="625"/>
        <w:gridCol w:w="625"/>
        <w:gridCol w:w="625"/>
        <w:gridCol w:w="632"/>
      </w:tblGrid>
      <w:tr w14:paraId="6E1F50A3">
        <w:tblPrEx>
          <w:tblCellMar>
            <w:top w:w="0" w:type="dxa"/>
            <w:left w:w="108" w:type="dxa"/>
            <w:bottom w:w="0" w:type="dxa"/>
            <w:right w:w="108" w:type="dxa"/>
          </w:tblCellMar>
        </w:tblPrEx>
        <w:tc>
          <w:tcPr>
            <w:tcW w:w="8848" w:type="dxa"/>
            <w:gridSpan w:val="14"/>
            <w:vAlign w:val="center"/>
          </w:tcPr>
          <w:p w14:paraId="1CFD00FB">
            <w:pPr>
              <w:jc w:val="center"/>
            </w:pPr>
            <w:r>
              <w:rPr>
                <w:rFonts w:ascii="宋体" w:hAnsi="宋体" w:eastAsia="宋体"/>
                <w:sz w:val="24"/>
              </w:rPr>
              <w:t>项目支出绩效自评表</w:t>
            </w:r>
          </w:p>
        </w:tc>
      </w:tr>
      <w:tr w14:paraId="3F0648D3">
        <w:tblPrEx>
          <w:tblCellMar>
            <w:top w:w="0" w:type="dxa"/>
            <w:left w:w="108" w:type="dxa"/>
            <w:bottom w:w="0" w:type="dxa"/>
            <w:right w:w="108" w:type="dxa"/>
          </w:tblCellMar>
        </w:tblPrEx>
        <w:tc>
          <w:tcPr>
            <w:tcW w:w="8848" w:type="dxa"/>
            <w:gridSpan w:val="14"/>
            <w:vAlign w:val="center"/>
          </w:tcPr>
          <w:p w14:paraId="246CF71C">
            <w:pPr>
              <w:jc w:val="center"/>
            </w:pPr>
            <w:r>
              <w:rPr>
                <w:rFonts w:ascii="宋体" w:hAnsi="宋体" w:eastAsia="宋体"/>
                <w:sz w:val="24"/>
              </w:rPr>
              <w:t>(2024年度)</w:t>
            </w:r>
          </w:p>
        </w:tc>
      </w:tr>
      <w:tr w14:paraId="22F63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B5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081C24">
            <w:pPr>
              <w:jc w:val="center"/>
            </w:pPr>
            <w:r>
              <w:rPr>
                <w:rFonts w:ascii="宋体" w:hAnsi="宋体" w:eastAsia="宋体"/>
                <w:sz w:val="16"/>
              </w:rPr>
              <w:t>吉木萨尔县及各乡镇办公及公众活动等公益设施、办公楼、教学楼及其附属设施保险费用</w:t>
            </w:r>
          </w:p>
        </w:tc>
      </w:tr>
      <w:tr w14:paraId="5848D3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3C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5E2796">
            <w:pPr>
              <w:jc w:val="center"/>
            </w:pPr>
            <w:r>
              <w:rPr>
                <w:rFonts w:ascii="宋体" w:hAnsi="宋体" w:eastAsia="宋体"/>
                <w:sz w:val="16"/>
              </w:rPr>
              <w:t>吉木萨尔县财政局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1F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482F4C">
            <w:pPr>
              <w:jc w:val="center"/>
            </w:pPr>
            <w:r>
              <w:rPr>
                <w:rFonts w:ascii="宋体" w:hAnsi="宋体" w:eastAsia="宋体"/>
                <w:sz w:val="16"/>
              </w:rPr>
              <w:t>吉木萨尔县财政局</w:t>
            </w:r>
          </w:p>
        </w:tc>
      </w:tr>
      <w:tr w14:paraId="6FB941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A46A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D25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D49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B60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DB1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2BB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F3D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8BCE">
            <w:pPr>
              <w:jc w:val="center"/>
            </w:pPr>
            <w:r>
              <w:rPr>
                <w:rFonts w:ascii="宋体" w:hAnsi="宋体" w:eastAsia="宋体"/>
                <w:sz w:val="16"/>
              </w:rPr>
              <w:t>得分</w:t>
            </w:r>
          </w:p>
        </w:tc>
      </w:tr>
      <w:tr w14:paraId="4AFA3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9E5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054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43AC">
            <w:pPr>
              <w:jc w:val="center"/>
            </w:pPr>
            <w:r>
              <w:rPr>
                <w:rFonts w:ascii="宋体" w:hAnsi="宋体" w:eastAsia="宋体"/>
                <w:sz w:val="16"/>
              </w:rPr>
              <w:t>29.46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948B4">
            <w:pPr>
              <w:jc w:val="center"/>
            </w:pPr>
            <w:r>
              <w:rPr>
                <w:rFonts w:ascii="宋体" w:hAnsi="宋体" w:eastAsia="宋体"/>
                <w:sz w:val="16"/>
              </w:rPr>
              <w:t>29.46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A0180">
            <w:pPr>
              <w:jc w:val="center"/>
            </w:pPr>
            <w:r>
              <w:rPr>
                <w:rFonts w:ascii="宋体" w:hAnsi="宋体" w:eastAsia="宋体"/>
                <w:sz w:val="16"/>
              </w:rPr>
              <w:t>29.46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E1A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AE5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2F78">
            <w:pPr>
              <w:jc w:val="center"/>
            </w:pPr>
            <w:r>
              <w:rPr>
                <w:rFonts w:ascii="宋体" w:hAnsi="宋体" w:eastAsia="宋体"/>
                <w:sz w:val="16"/>
              </w:rPr>
              <w:t>10.00</w:t>
            </w:r>
          </w:p>
        </w:tc>
      </w:tr>
      <w:tr w14:paraId="441DC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7A5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B29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E4169">
            <w:pPr>
              <w:jc w:val="center"/>
            </w:pPr>
            <w:r>
              <w:rPr>
                <w:rFonts w:ascii="宋体" w:hAnsi="宋体" w:eastAsia="宋体"/>
                <w:sz w:val="16"/>
              </w:rPr>
              <w:t>29.46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B01D2">
            <w:pPr>
              <w:jc w:val="center"/>
            </w:pPr>
            <w:r>
              <w:rPr>
                <w:rFonts w:ascii="宋体" w:hAnsi="宋体" w:eastAsia="宋体"/>
                <w:sz w:val="16"/>
              </w:rPr>
              <w:t>29.46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46285">
            <w:pPr>
              <w:jc w:val="center"/>
            </w:pPr>
            <w:r>
              <w:rPr>
                <w:rFonts w:ascii="宋体" w:hAnsi="宋体" w:eastAsia="宋体"/>
                <w:sz w:val="16"/>
              </w:rPr>
              <w:t>29.46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E17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AD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E512">
            <w:pPr>
              <w:jc w:val="center"/>
            </w:pPr>
            <w:r>
              <w:rPr>
                <w:rFonts w:ascii="宋体" w:hAnsi="宋体" w:eastAsia="宋体"/>
                <w:sz w:val="16"/>
              </w:rPr>
              <w:t>—</w:t>
            </w:r>
          </w:p>
        </w:tc>
      </w:tr>
      <w:tr w14:paraId="5E543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623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E50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E35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D7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C1A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F32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D6F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0AAF">
            <w:pPr>
              <w:jc w:val="center"/>
            </w:pPr>
            <w:r>
              <w:rPr>
                <w:rFonts w:ascii="宋体" w:hAnsi="宋体" w:eastAsia="宋体"/>
                <w:sz w:val="16"/>
              </w:rPr>
              <w:t>—</w:t>
            </w:r>
          </w:p>
        </w:tc>
      </w:tr>
      <w:tr w14:paraId="62E44A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841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E6C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2E7E2B">
            <w:pPr>
              <w:jc w:val="center"/>
            </w:pPr>
            <w:r>
              <w:rPr>
                <w:rFonts w:ascii="宋体" w:hAnsi="宋体" w:eastAsia="宋体"/>
                <w:sz w:val="16"/>
              </w:rPr>
              <w:t>实际完成情况</w:t>
            </w:r>
          </w:p>
        </w:tc>
      </w:tr>
      <w:tr w14:paraId="4B6B8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141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986D4">
            <w:pPr>
              <w:jc w:val="both"/>
            </w:pPr>
            <w:r>
              <w:rPr>
                <w:rFonts w:ascii="宋体" w:hAnsi="宋体" w:eastAsia="宋体"/>
                <w:sz w:val="16"/>
              </w:rPr>
              <w:t>为吉木萨尔县及各县镇办公及公众活动等公益设施、办公楼、教学楼及其附属设施购买保险，2024年计划投入保险费为29.465万元。通过本项目的实施，确保吉木萨尔县及各县镇办公及公众活动等公益设施、办公楼、教学楼及其附属设施，在发生不可抗力因素的自然灾害及意外情况下</w:t>
            </w:r>
            <w:r>
              <w:rPr>
                <w:rFonts w:hint="eastAsia" w:ascii="宋体" w:hAnsi="宋体"/>
                <w:sz w:val="16"/>
                <w:lang w:eastAsia="zh-CN"/>
              </w:rPr>
              <w:t>可以</w:t>
            </w:r>
            <w:r>
              <w:rPr>
                <w:rFonts w:ascii="宋体" w:hAnsi="宋体" w:eastAsia="宋体"/>
                <w:sz w:val="16"/>
              </w:rPr>
              <w:t>最大程度减轻县财政资金支出的压力，受益各单位满</w:t>
            </w:r>
            <w:r>
              <w:rPr>
                <w:rFonts w:hint="eastAsia" w:ascii="宋体" w:hAnsi="宋体"/>
                <w:sz w:val="16"/>
                <w:lang w:eastAsia="zh-CN"/>
              </w:rPr>
              <w:t>意度</w:t>
            </w:r>
            <w:r>
              <w:rPr>
                <w:rFonts w:ascii="宋体" w:hAnsi="宋体" w:eastAsia="宋体"/>
                <w:sz w:val="16"/>
              </w:rPr>
              <w:t>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A3E4CF">
            <w:pPr>
              <w:jc w:val="both"/>
            </w:pPr>
            <w:r>
              <w:rPr>
                <w:rFonts w:hint="eastAsia" w:ascii="宋体" w:hAnsi="宋体"/>
                <w:sz w:val="16"/>
                <w:lang w:eastAsia="zh-CN"/>
              </w:rPr>
              <w:t>截至</w:t>
            </w:r>
            <w:r>
              <w:rPr>
                <w:rFonts w:ascii="宋体" w:hAnsi="宋体" w:eastAsia="宋体"/>
                <w:sz w:val="16"/>
              </w:rPr>
              <w:t>2024年12月31日，项目实际支出29.46万元，预算执行率为100%。实际为吉木萨尔县及各县镇办公及公众活动等公益设施、办公楼、教学楼及其附属设施购买保险，20通过本项目的实施，确保吉木萨尔县及各县镇办公及公众活动等公益设施、办公楼、教学楼及其附属设施，在发生不可抗力因素的自然灾害及意外情况下可最大程度减轻县财政资金支出的压力，受益各单位满</w:t>
            </w:r>
            <w:r>
              <w:rPr>
                <w:rFonts w:hint="eastAsia" w:ascii="宋体" w:hAnsi="宋体"/>
                <w:sz w:val="16"/>
                <w:lang w:eastAsia="zh-CN"/>
              </w:rPr>
              <w:t>意度</w:t>
            </w:r>
            <w:r>
              <w:rPr>
                <w:rFonts w:ascii="宋体" w:hAnsi="宋体" w:eastAsia="宋体"/>
                <w:sz w:val="16"/>
              </w:rPr>
              <w:t>达到90%。</w:t>
            </w:r>
          </w:p>
        </w:tc>
      </w:tr>
      <w:tr w14:paraId="47C71A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08F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BE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E6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02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EC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26D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B1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58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725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C7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58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3C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B3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EA6C">
            <w:pPr>
              <w:jc w:val="center"/>
            </w:pPr>
            <w:r>
              <w:rPr>
                <w:rFonts w:ascii="宋体" w:hAnsi="宋体" w:eastAsia="宋体"/>
                <w:sz w:val="16"/>
              </w:rPr>
              <w:t>偏差原因分析及改进措施</w:t>
            </w:r>
          </w:p>
        </w:tc>
      </w:tr>
      <w:tr w14:paraId="6CB0FD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CFC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DA3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2F6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9847">
            <w:pPr>
              <w:jc w:val="center"/>
            </w:pPr>
            <w:r>
              <w:rPr>
                <w:rFonts w:ascii="宋体" w:hAnsi="宋体" w:eastAsia="宋体"/>
                <w:sz w:val="16"/>
              </w:rPr>
              <w:t>购买保险险种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D1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1AFB">
            <w:pPr>
              <w:jc w:val="center"/>
            </w:pPr>
            <w:r>
              <w:rPr>
                <w:rFonts w:ascii="宋体" w:hAnsi="宋体" w:eastAsia="宋体"/>
                <w:sz w:val="16"/>
              </w:rPr>
              <w: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0164">
            <w:pPr>
              <w:jc w:val="center"/>
            </w:pPr>
            <w:r>
              <w:rPr>
                <w:rFonts w:ascii="宋体" w:hAnsi="宋体" w:eastAsia="宋体"/>
                <w:sz w:val="16"/>
              </w:rPr>
              <w: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D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91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E2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E2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F9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0B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CA65">
            <w:pPr>
              <w:jc w:val="center"/>
            </w:pPr>
          </w:p>
        </w:tc>
      </w:tr>
      <w:tr w14:paraId="59855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2D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6F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3A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6737">
            <w:pPr>
              <w:jc w:val="center"/>
            </w:pPr>
            <w:r>
              <w:rPr>
                <w:rFonts w:ascii="宋体" w:hAnsi="宋体" w:eastAsia="宋体"/>
                <w:sz w:val="16"/>
              </w:rPr>
              <w:t>保险标的地址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7504">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772F">
            <w:pPr>
              <w:jc w:val="center"/>
            </w:pPr>
            <w:r>
              <w:rPr>
                <w:rFonts w:ascii="宋体" w:hAnsi="宋体" w:eastAsia="宋体"/>
                <w:sz w:val="16"/>
              </w:rPr>
              <w:t>&gt;=42处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3FFE">
            <w:pPr>
              <w:jc w:val="center"/>
            </w:pPr>
            <w:r>
              <w:rPr>
                <w:rFonts w:ascii="宋体" w:hAnsi="宋体" w:eastAsia="宋体"/>
                <w:sz w:val="16"/>
              </w:rPr>
              <w:t>=42处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C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E985">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3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D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F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6B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AB79">
            <w:pPr>
              <w:jc w:val="center"/>
            </w:pPr>
          </w:p>
        </w:tc>
      </w:tr>
      <w:tr w14:paraId="3586C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9A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EF9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B28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CC56">
            <w:pPr>
              <w:jc w:val="center"/>
            </w:pPr>
            <w:r>
              <w:rPr>
                <w:rFonts w:ascii="宋体" w:hAnsi="宋体" w:eastAsia="宋体"/>
                <w:sz w:val="16"/>
              </w:rPr>
              <w:t>保险金理赔标准执行率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EF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1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9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8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97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E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BB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D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4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AED2">
            <w:pPr>
              <w:jc w:val="center"/>
            </w:pPr>
          </w:p>
        </w:tc>
      </w:tr>
      <w:tr w14:paraId="1FB55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D1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1B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D1D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C38B">
            <w:pPr>
              <w:jc w:val="center"/>
            </w:pPr>
            <w:r>
              <w:rPr>
                <w:rFonts w:ascii="宋体" w:hAnsi="宋体" w:eastAsia="宋体"/>
                <w:sz w:val="16"/>
              </w:rPr>
              <w:t>购买保险程序合规性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B9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B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2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A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45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B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5E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5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6D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8BF4">
            <w:pPr>
              <w:jc w:val="center"/>
            </w:pPr>
          </w:p>
        </w:tc>
      </w:tr>
      <w:tr w14:paraId="75DFE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2E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179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F98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64E8">
            <w:pPr>
              <w:jc w:val="center"/>
            </w:pPr>
            <w:r>
              <w:rPr>
                <w:rFonts w:ascii="宋体" w:hAnsi="宋体" w:eastAsia="宋体"/>
                <w:sz w:val="16"/>
              </w:rPr>
              <w:t>出险及时率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B3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C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BD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1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E9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B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39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A6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3F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2DE8">
            <w:pPr>
              <w:jc w:val="center"/>
            </w:pPr>
          </w:p>
        </w:tc>
      </w:tr>
      <w:tr w14:paraId="0673C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1E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F6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CD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3C28B">
            <w:pPr>
              <w:jc w:val="center"/>
            </w:pPr>
            <w:r>
              <w:rPr>
                <w:rFonts w:ascii="宋体" w:hAnsi="宋体" w:eastAsia="宋体"/>
                <w:sz w:val="16"/>
              </w:rPr>
              <w:t>保险保期时间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C7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A186">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D035">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4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9C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A2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08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F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38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868C">
            <w:pPr>
              <w:jc w:val="center"/>
            </w:pPr>
          </w:p>
        </w:tc>
      </w:tr>
      <w:tr w14:paraId="25579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7A1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D3D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9C7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FF2F">
            <w:pPr>
              <w:jc w:val="center"/>
            </w:pPr>
            <w:r>
              <w:rPr>
                <w:rFonts w:ascii="宋体" w:hAnsi="宋体" w:eastAsia="宋体"/>
                <w:sz w:val="16"/>
              </w:rPr>
              <w:t>保险投入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F96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4D17">
            <w:pPr>
              <w:jc w:val="center"/>
            </w:pPr>
            <w:r>
              <w:rPr>
                <w:rFonts w:ascii="宋体" w:hAnsi="宋体" w:eastAsia="宋体"/>
                <w:sz w:val="16"/>
              </w:rPr>
              <w:t>&lt;=29.46万元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500D">
            <w:pPr>
              <w:jc w:val="center"/>
            </w:pPr>
            <w:r>
              <w:rPr>
                <w:rFonts w:ascii="宋体" w:hAnsi="宋体" w:eastAsia="宋体"/>
                <w:sz w:val="16"/>
              </w:rPr>
              <w:t>=29.46万元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4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CA6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39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B2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C5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7C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0612">
            <w:pPr>
              <w:jc w:val="center"/>
            </w:pPr>
          </w:p>
        </w:tc>
      </w:tr>
      <w:tr w14:paraId="166DB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A8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CD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ED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1181">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71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0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C1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6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A4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C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6C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7A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90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CA03">
            <w:pPr>
              <w:jc w:val="center"/>
            </w:pPr>
          </w:p>
        </w:tc>
      </w:tr>
      <w:tr w14:paraId="0FB4D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2D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3C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4C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D163">
            <w:pPr>
              <w:jc w:val="center"/>
            </w:pPr>
            <w:r>
              <w:rPr>
                <w:rFonts w:ascii="宋体" w:hAnsi="宋体" w:eastAsia="宋体"/>
                <w:sz w:val="16"/>
              </w:rPr>
              <w:t>有效保障国有资产安全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8F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571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ADC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32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F5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C8E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C8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CD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94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2039">
            <w:pPr>
              <w:jc w:val="center"/>
            </w:pPr>
          </w:p>
        </w:tc>
      </w:tr>
      <w:tr w14:paraId="3E53A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10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15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46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3BF5">
            <w:pPr>
              <w:jc w:val="center"/>
            </w:pPr>
            <w:r>
              <w:rPr>
                <w:rFonts w:ascii="宋体" w:hAnsi="宋体" w:eastAsia="宋体"/>
                <w:sz w:val="16"/>
              </w:rPr>
              <w:t>受益各单位满意度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74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D5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F53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45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05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390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B7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4D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CA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C337">
            <w:pPr>
              <w:jc w:val="center"/>
            </w:pPr>
          </w:p>
        </w:tc>
      </w:tr>
      <w:tr w14:paraId="7DFF11C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0A90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9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487B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584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B0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DA5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8DF0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6A87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3BE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CB1D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65D0F"/>
        </w:tc>
      </w:tr>
    </w:tbl>
    <w:p w14:paraId="7E44A2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24180691">
        <w:tblPrEx>
          <w:tblCellMar>
            <w:top w:w="0" w:type="dxa"/>
            <w:left w:w="108" w:type="dxa"/>
            <w:bottom w:w="0" w:type="dxa"/>
            <w:right w:w="108" w:type="dxa"/>
          </w:tblCellMar>
        </w:tblPrEx>
        <w:tc>
          <w:tcPr>
            <w:tcW w:w="9056" w:type="dxa"/>
            <w:gridSpan w:val="14"/>
            <w:vAlign w:val="center"/>
          </w:tcPr>
          <w:p w14:paraId="7C193251">
            <w:pPr>
              <w:jc w:val="center"/>
            </w:pPr>
            <w:r>
              <w:rPr>
                <w:rFonts w:ascii="宋体" w:hAnsi="宋体" w:eastAsia="宋体"/>
                <w:sz w:val="24"/>
              </w:rPr>
              <w:t>项目支出绩效自评表</w:t>
            </w:r>
          </w:p>
        </w:tc>
      </w:tr>
      <w:tr w14:paraId="670C55E0">
        <w:tblPrEx>
          <w:tblCellMar>
            <w:top w:w="0" w:type="dxa"/>
            <w:left w:w="108" w:type="dxa"/>
            <w:bottom w:w="0" w:type="dxa"/>
            <w:right w:w="108" w:type="dxa"/>
          </w:tblCellMar>
        </w:tblPrEx>
        <w:tc>
          <w:tcPr>
            <w:tcW w:w="9056" w:type="dxa"/>
            <w:gridSpan w:val="14"/>
            <w:vAlign w:val="center"/>
          </w:tcPr>
          <w:p w14:paraId="4E3EB417">
            <w:pPr>
              <w:jc w:val="center"/>
            </w:pPr>
            <w:r>
              <w:rPr>
                <w:rFonts w:ascii="宋体" w:hAnsi="宋体" w:eastAsia="宋体"/>
                <w:sz w:val="24"/>
              </w:rPr>
              <w:t>(2024年度)</w:t>
            </w:r>
          </w:p>
        </w:tc>
      </w:tr>
      <w:tr w14:paraId="256FFB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C07E">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15F5AD">
            <w:pPr>
              <w:jc w:val="center"/>
            </w:pPr>
            <w:r>
              <w:rPr>
                <w:rFonts w:ascii="宋体" w:hAnsi="宋体" w:eastAsia="宋体"/>
                <w:sz w:val="16"/>
              </w:rPr>
              <w:t>2024年政府预算财政局财审中心政府投资项目评审费</w:t>
            </w:r>
          </w:p>
        </w:tc>
      </w:tr>
      <w:tr w14:paraId="5CFBB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129C">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4E0E1D">
            <w:pPr>
              <w:jc w:val="center"/>
            </w:pPr>
            <w:r>
              <w:rPr>
                <w:rFonts w:ascii="宋体" w:hAnsi="宋体" w:eastAsia="宋体"/>
                <w:sz w:val="16"/>
              </w:rPr>
              <w:t>吉木萨尔县财政局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28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B82111">
            <w:pPr>
              <w:jc w:val="center"/>
            </w:pPr>
            <w:r>
              <w:rPr>
                <w:rFonts w:ascii="宋体" w:hAnsi="宋体" w:eastAsia="宋体"/>
                <w:sz w:val="16"/>
              </w:rPr>
              <w:t>吉木萨尔县财政局</w:t>
            </w:r>
          </w:p>
        </w:tc>
      </w:tr>
      <w:tr w14:paraId="674C6B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BCA0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33D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3B73E">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EE9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566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009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FF8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5595">
            <w:pPr>
              <w:jc w:val="center"/>
            </w:pPr>
            <w:r>
              <w:rPr>
                <w:rFonts w:ascii="宋体" w:hAnsi="宋体" w:eastAsia="宋体"/>
                <w:sz w:val="16"/>
              </w:rPr>
              <w:t>得分</w:t>
            </w:r>
          </w:p>
        </w:tc>
      </w:tr>
      <w:tr w14:paraId="1C114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BE4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075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C65C7">
            <w:pPr>
              <w:jc w:val="center"/>
            </w:pPr>
            <w:r>
              <w:rPr>
                <w:rFonts w:ascii="宋体" w:hAnsi="宋体" w:eastAsia="宋体"/>
                <w:sz w:val="16"/>
              </w:rPr>
              <w:t>484.56</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4BE87">
            <w:pPr>
              <w:jc w:val="center"/>
            </w:pPr>
            <w:r>
              <w:rPr>
                <w:rFonts w:ascii="宋体" w:hAnsi="宋体" w:eastAsia="宋体"/>
                <w:sz w:val="16"/>
              </w:rPr>
              <w:t>484.56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C2025">
            <w:pPr>
              <w:jc w:val="center"/>
            </w:pPr>
            <w:r>
              <w:rPr>
                <w:rFonts w:ascii="宋体" w:hAnsi="宋体" w:eastAsia="宋体"/>
                <w:sz w:val="16"/>
              </w:rPr>
              <w:t>484.56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18E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09FD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8149">
            <w:pPr>
              <w:jc w:val="center"/>
            </w:pPr>
            <w:r>
              <w:rPr>
                <w:rFonts w:ascii="宋体" w:hAnsi="宋体" w:eastAsia="宋体"/>
                <w:sz w:val="16"/>
              </w:rPr>
              <w:t>10.00</w:t>
            </w:r>
          </w:p>
        </w:tc>
      </w:tr>
      <w:tr w14:paraId="0DD59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709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4C7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2D1FC">
            <w:pPr>
              <w:jc w:val="center"/>
            </w:pPr>
            <w:r>
              <w:rPr>
                <w:rFonts w:ascii="宋体" w:hAnsi="宋体" w:eastAsia="宋体"/>
                <w:sz w:val="16"/>
              </w:rPr>
              <w:t>484.56</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BBB16">
            <w:pPr>
              <w:jc w:val="center"/>
            </w:pPr>
            <w:r>
              <w:rPr>
                <w:rFonts w:ascii="宋体" w:hAnsi="宋体" w:eastAsia="宋体"/>
                <w:sz w:val="16"/>
              </w:rPr>
              <w:t>484.56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ACE7A">
            <w:pPr>
              <w:jc w:val="center"/>
            </w:pPr>
            <w:r>
              <w:rPr>
                <w:rFonts w:ascii="宋体" w:hAnsi="宋体" w:eastAsia="宋体"/>
                <w:sz w:val="16"/>
              </w:rPr>
              <w:t>484.56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9A9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B55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14BA">
            <w:pPr>
              <w:jc w:val="center"/>
            </w:pPr>
            <w:r>
              <w:rPr>
                <w:rFonts w:ascii="宋体" w:hAnsi="宋体" w:eastAsia="宋体"/>
                <w:sz w:val="16"/>
              </w:rPr>
              <w:t>—</w:t>
            </w:r>
          </w:p>
        </w:tc>
      </w:tr>
      <w:tr w14:paraId="1D043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BF2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FF1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0AD4D">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04E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4E5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6DA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83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1488">
            <w:pPr>
              <w:jc w:val="center"/>
            </w:pPr>
            <w:r>
              <w:rPr>
                <w:rFonts w:ascii="宋体" w:hAnsi="宋体" w:eastAsia="宋体"/>
                <w:sz w:val="16"/>
              </w:rPr>
              <w:t>—</w:t>
            </w:r>
          </w:p>
        </w:tc>
      </w:tr>
      <w:tr w14:paraId="10AE9D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B3697">
            <w:pPr>
              <w:jc w:val="center"/>
            </w:pPr>
            <w:r>
              <w:rPr>
                <w:rFonts w:ascii="宋体" w:hAnsi="宋体" w:eastAsia="宋体"/>
                <w:sz w:val="16"/>
              </w:rPr>
              <w:t>年度总体目标</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5C7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2D8E22">
            <w:pPr>
              <w:jc w:val="center"/>
            </w:pPr>
            <w:r>
              <w:rPr>
                <w:rFonts w:ascii="宋体" w:hAnsi="宋体" w:eastAsia="宋体"/>
                <w:sz w:val="16"/>
              </w:rPr>
              <w:t>实际完成情况</w:t>
            </w:r>
          </w:p>
        </w:tc>
      </w:tr>
      <w:tr w14:paraId="697B0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D18A1"/>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1A5C6">
            <w:pPr>
              <w:jc w:val="both"/>
            </w:pPr>
            <w:r>
              <w:rPr>
                <w:rFonts w:ascii="宋体" w:hAnsi="宋体" w:eastAsia="宋体"/>
                <w:sz w:val="16"/>
              </w:rPr>
              <w:t>聘请审核控制价第三方20家，对控制价复审项目数85个，结算复审项目数80个。对财政性投资项目基本建设、重点工程、便民工程，进行控制价与结算价复审，节约财政资金，提高资金使用效率。项目控制价评审合格率达到100%。保障审核控制价工作按时按点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2FD3A0">
            <w:pPr>
              <w:jc w:val="both"/>
            </w:pPr>
            <w:r>
              <w:rPr>
                <w:rFonts w:hint="eastAsia" w:ascii="宋体" w:hAnsi="宋体"/>
                <w:sz w:val="16"/>
                <w:lang w:eastAsia="zh-CN"/>
              </w:rPr>
              <w:t>截至2024</w:t>
            </w:r>
            <w:r>
              <w:rPr>
                <w:rFonts w:ascii="宋体" w:hAnsi="宋体" w:eastAsia="宋体"/>
                <w:sz w:val="16"/>
              </w:rPr>
              <w:t>年12月31日，项目实际支出484.56万元，预算执行率为100%，聘请审核控制价第三方20家，对控制价复审项目数85个，结算复审项目数80个。对财政性投资项目基本建设、重点工程、便民工程，进行控制价与结算价复审，节约财政资金，提高资金使用效率。项目控制价评审合格率达到100%。保障审核控制价工作按时按点完成。</w:t>
            </w:r>
          </w:p>
        </w:tc>
      </w:tr>
      <w:tr w14:paraId="7D7E9B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50E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C1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00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E19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327E">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47F195">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96477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502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D03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3B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CD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CB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67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8311">
            <w:pPr>
              <w:jc w:val="center"/>
            </w:pPr>
            <w:r>
              <w:rPr>
                <w:rFonts w:ascii="宋体" w:hAnsi="宋体" w:eastAsia="宋体"/>
                <w:sz w:val="16"/>
              </w:rPr>
              <w:t>偏差原因分析及改进措施</w:t>
            </w:r>
          </w:p>
        </w:tc>
      </w:tr>
      <w:tr w14:paraId="293CB4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7B3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FFB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3AF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4BCE">
            <w:pPr>
              <w:jc w:val="center"/>
            </w:pPr>
            <w:r>
              <w:rPr>
                <w:rFonts w:ascii="宋体" w:hAnsi="宋体" w:eastAsia="宋体"/>
                <w:sz w:val="16"/>
              </w:rPr>
              <w:t>聘请审核控制价第三方家数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0103">
            <w:pPr>
              <w:jc w:val="center"/>
            </w:pPr>
            <w:r>
              <w:rPr>
                <w:rFonts w:ascii="宋体" w:hAnsi="宋体" w:eastAsia="宋体"/>
                <w:sz w:val="16"/>
              </w:rPr>
              <w:t>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046168">
            <w:pPr>
              <w:jc w:val="center"/>
            </w:pPr>
            <w:r>
              <w:rPr>
                <w:rFonts w:ascii="宋体" w:hAnsi="宋体" w:eastAsia="宋体"/>
                <w:sz w:val="16"/>
              </w:rPr>
              <w:t>&lt;=20家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0028B8">
            <w:pPr>
              <w:jc w:val="center"/>
            </w:pPr>
            <w:r>
              <w:rPr>
                <w:rFonts w:ascii="宋体" w:hAnsi="宋体" w:eastAsia="宋体"/>
                <w:sz w:val="16"/>
              </w:rPr>
              <w:t>=19家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E4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9C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C3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61D4">
            <w:pPr>
              <w:jc w:val="center"/>
            </w:pPr>
            <w:r>
              <w:rPr>
                <w:rFonts w:ascii="宋体" w:hAnsi="宋体" w:eastAsia="宋体"/>
                <w:sz w:val="16"/>
              </w:rPr>
              <w:t>19家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C4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D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F441">
            <w:pPr>
              <w:jc w:val="center"/>
            </w:pPr>
            <w:r>
              <w:rPr>
                <w:rFonts w:ascii="宋体" w:hAnsi="宋体" w:eastAsia="宋体"/>
                <w:sz w:val="16"/>
              </w:rPr>
              <w:t>实际招标入围达到24家</w:t>
            </w:r>
          </w:p>
        </w:tc>
      </w:tr>
      <w:tr w14:paraId="4860A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68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864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A8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9903">
            <w:pPr>
              <w:jc w:val="center"/>
            </w:pPr>
            <w:r>
              <w:rPr>
                <w:rFonts w:ascii="宋体" w:hAnsi="宋体" w:eastAsia="宋体"/>
                <w:sz w:val="16"/>
              </w:rPr>
              <w:t>控制价复审项目数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676B">
            <w:pPr>
              <w:jc w:val="center"/>
            </w:pPr>
            <w:r>
              <w:rPr>
                <w:rFonts w:ascii="宋体" w:hAnsi="宋体" w:eastAsia="宋体"/>
                <w:sz w:val="16"/>
              </w:rPr>
              <w:t>11</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7A9C95">
            <w:pPr>
              <w:jc w:val="center"/>
            </w:pPr>
            <w:r>
              <w:rPr>
                <w:rFonts w:ascii="宋体" w:hAnsi="宋体" w:eastAsia="宋体"/>
                <w:sz w:val="16"/>
              </w:rPr>
              <w:t>&gt;=85个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743534">
            <w:pPr>
              <w:jc w:val="center"/>
            </w:pPr>
            <w:r>
              <w:rPr>
                <w:rFonts w:ascii="宋体" w:hAnsi="宋体" w:eastAsia="宋体"/>
                <w:sz w:val="16"/>
              </w:rPr>
              <w:t>=101个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8C88">
            <w:pPr>
              <w:jc w:val="center"/>
            </w:pPr>
            <w:r>
              <w:rPr>
                <w:rFonts w:ascii="宋体" w:hAnsi="宋体" w:eastAsia="宋体"/>
                <w:sz w:val="16"/>
              </w:rPr>
              <w:t>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4907">
            <w:pPr>
              <w:jc w:val="center"/>
            </w:pPr>
            <w:r>
              <w:rPr>
                <w:rFonts w:ascii="宋体" w:hAnsi="宋体" w:eastAsia="宋体"/>
                <w:sz w:val="16"/>
              </w:rPr>
              <w:t>9.02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B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82FF">
            <w:pPr>
              <w:jc w:val="center"/>
            </w:pPr>
            <w:r>
              <w:rPr>
                <w:rFonts w:ascii="宋体" w:hAnsi="宋体" w:eastAsia="宋体"/>
                <w:sz w:val="16"/>
              </w:rPr>
              <w:t>68个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37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B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9820">
            <w:pPr>
              <w:jc w:val="center"/>
            </w:pPr>
            <w:r>
              <w:rPr>
                <w:rFonts w:ascii="宋体" w:hAnsi="宋体" w:eastAsia="宋体"/>
                <w:sz w:val="16"/>
              </w:rPr>
              <w:t>因年中追加项目个数较多，导致控制价超额完成</w:t>
            </w:r>
          </w:p>
        </w:tc>
      </w:tr>
      <w:tr w14:paraId="4DCD4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EC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96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DC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1BEE">
            <w:pPr>
              <w:jc w:val="center"/>
            </w:pPr>
            <w:r>
              <w:rPr>
                <w:rFonts w:ascii="宋体" w:hAnsi="宋体" w:eastAsia="宋体"/>
                <w:sz w:val="16"/>
              </w:rPr>
              <w:t>结算复审项目数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E2A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D7F1E97">
            <w:pPr>
              <w:jc w:val="center"/>
            </w:pPr>
            <w:r>
              <w:rPr>
                <w:rFonts w:ascii="宋体" w:hAnsi="宋体" w:eastAsia="宋体"/>
                <w:sz w:val="16"/>
              </w:rPr>
              <w:t>&gt;=80个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01BFA1">
            <w:pPr>
              <w:jc w:val="center"/>
            </w:pPr>
            <w:r>
              <w:rPr>
                <w:rFonts w:ascii="宋体" w:hAnsi="宋体" w:eastAsia="宋体"/>
                <w:sz w:val="16"/>
              </w:rPr>
              <w:t>=102个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8AC6">
            <w:pPr>
              <w:jc w:val="center"/>
            </w:pPr>
            <w:r>
              <w:rPr>
                <w:rFonts w:ascii="宋体" w:hAnsi="宋体" w:eastAsia="宋体"/>
                <w:sz w:val="16"/>
              </w:rPr>
              <w:t>128%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8258">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C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615A">
            <w:pPr>
              <w:jc w:val="center"/>
            </w:pPr>
            <w:r>
              <w:rPr>
                <w:rFonts w:ascii="宋体" w:hAnsi="宋体" w:eastAsia="宋体"/>
                <w:sz w:val="16"/>
              </w:rPr>
              <w:t>36个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CC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99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E525">
            <w:pPr>
              <w:jc w:val="center"/>
            </w:pPr>
            <w:r>
              <w:rPr>
                <w:rFonts w:ascii="宋体" w:hAnsi="宋体" w:eastAsia="宋体"/>
                <w:sz w:val="16"/>
              </w:rPr>
              <w:t>因年中追加项目个数较多，导致结算复审项目超额完成</w:t>
            </w:r>
          </w:p>
        </w:tc>
      </w:tr>
      <w:tr w14:paraId="34AC3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B8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A8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25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5DB4">
            <w:pPr>
              <w:jc w:val="center"/>
            </w:pPr>
            <w:r>
              <w:rPr>
                <w:rFonts w:ascii="宋体" w:hAnsi="宋体" w:eastAsia="宋体"/>
                <w:sz w:val="16"/>
              </w:rPr>
              <w:t>项目控制价评审合格率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80DF">
            <w:pPr>
              <w:jc w:val="center"/>
            </w:pPr>
            <w:r>
              <w:rPr>
                <w:rFonts w:ascii="宋体" w:hAnsi="宋体" w:eastAsia="宋体"/>
                <w:sz w:val="16"/>
              </w:rPr>
              <w:t>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A11D0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DB4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A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DE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53F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89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62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E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AA67">
            <w:pPr>
              <w:jc w:val="center"/>
            </w:pPr>
          </w:p>
        </w:tc>
      </w:tr>
      <w:tr w14:paraId="49EAD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49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FC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FF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9445">
            <w:pPr>
              <w:jc w:val="center"/>
            </w:pPr>
            <w:r>
              <w:rPr>
                <w:rFonts w:ascii="宋体" w:hAnsi="宋体" w:eastAsia="宋体"/>
                <w:sz w:val="16"/>
              </w:rPr>
              <w:t>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D964">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3009DB">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66F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CC0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2C08">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3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FC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F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AD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21D6">
            <w:pPr>
              <w:jc w:val="center"/>
            </w:pPr>
            <w:r>
              <w:rPr>
                <w:rFonts w:ascii="宋体" w:hAnsi="宋体" w:eastAsia="宋体"/>
                <w:sz w:val="16"/>
              </w:rPr>
              <w:t>按照实际安排任务已全部完成。</w:t>
            </w:r>
          </w:p>
        </w:tc>
      </w:tr>
      <w:tr w14:paraId="1744E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787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720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743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19B5">
            <w:pPr>
              <w:jc w:val="center"/>
            </w:pPr>
            <w:r>
              <w:rPr>
                <w:rFonts w:ascii="宋体" w:hAnsi="宋体" w:eastAsia="宋体"/>
                <w:sz w:val="16"/>
              </w:rPr>
              <w:t>聘请第三方机构审核经费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6F17">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978340B">
            <w:pPr>
              <w:jc w:val="center"/>
            </w:pPr>
            <w:r>
              <w:rPr>
                <w:rFonts w:ascii="宋体" w:hAnsi="宋体" w:eastAsia="宋体"/>
                <w:sz w:val="16"/>
              </w:rPr>
              <w:t>&lt;=400万元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B20A25">
            <w:pPr>
              <w:jc w:val="center"/>
            </w:pPr>
            <w:r>
              <w:rPr>
                <w:rFonts w:ascii="宋体" w:hAnsi="宋体" w:eastAsia="宋体"/>
                <w:sz w:val="16"/>
              </w:rPr>
              <w: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B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D5D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F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54A4">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01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8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2FCC">
            <w:pPr>
              <w:jc w:val="center"/>
            </w:pPr>
          </w:p>
        </w:tc>
      </w:tr>
      <w:tr w14:paraId="3480C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06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43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23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8C44">
            <w:pPr>
              <w:jc w:val="center"/>
            </w:pPr>
            <w:r>
              <w:rPr>
                <w:rFonts w:ascii="宋体" w:hAnsi="宋体" w:eastAsia="宋体"/>
                <w:sz w:val="16"/>
              </w:rPr>
              <w:t>聘请第三方机构2023年费用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27F1">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7D0948">
            <w:pPr>
              <w:jc w:val="center"/>
            </w:pPr>
            <w:r>
              <w:rPr>
                <w:rFonts w:ascii="宋体" w:hAnsi="宋体" w:eastAsia="宋体"/>
                <w:sz w:val="16"/>
              </w:rPr>
              <w:t>&lt;=84.56万元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114377">
            <w:pPr>
              <w:jc w:val="center"/>
            </w:pPr>
            <w:r>
              <w:rPr>
                <w:rFonts w:ascii="宋体" w:hAnsi="宋体" w:eastAsia="宋体"/>
                <w:sz w:val="16"/>
              </w:rPr>
              <w:t>=84.56万元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4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AC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C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91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C4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D5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F772">
            <w:pPr>
              <w:jc w:val="center"/>
            </w:pPr>
          </w:p>
        </w:tc>
      </w:tr>
      <w:tr w14:paraId="69267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3B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E2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3DB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EE49">
            <w:pPr>
              <w:jc w:val="center"/>
            </w:pPr>
            <w:r>
              <w:rPr>
                <w:rFonts w:ascii="宋体" w:hAnsi="宋体" w:eastAsia="宋体"/>
                <w:sz w:val="16"/>
              </w:rPr>
              <w:t>节约财政资金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2329">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100FE94">
            <w:pPr>
              <w:jc w:val="center"/>
            </w:pPr>
            <w:r>
              <w:rPr>
                <w:rFonts w:ascii="宋体" w:hAnsi="宋体" w:eastAsia="宋体"/>
                <w:sz w:val="16"/>
              </w:rPr>
              <w:t>&gt;=1100万元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7C101B">
            <w:pPr>
              <w:jc w:val="center"/>
            </w:pPr>
            <w:r>
              <w:rPr>
                <w:rFonts w:ascii="宋体" w:hAnsi="宋体" w:eastAsia="宋体"/>
                <w:sz w:val="16"/>
              </w:rPr>
              <w:t>=1200万元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C790">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92D9">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B9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3D2B">
            <w:pPr>
              <w:jc w:val="center"/>
            </w:pPr>
            <w:r>
              <w:rPr>
                <w:rFonts w:ascii="宋体" w:hAnsi="宋体" w:eastAsia="宋体"/>
                <w:sz w:val="16"/>
              </w:rPr>
              <w:t>816万元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6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7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23DE">
            <w:pPr>
              <w:jc w:val="center"/>
            </w:pPr>
            <w:r>
              <w:rPr>
                <w:rFonts w:ascii="宋体" w:hAnsi="宋体" w:eastAsia="宋体"/>
                <w:sz w:val="16"/>
              </w:rPr>
              <w:t>通过该手段，有效</w:t>
            </w:r>
            <w:r>
              <w:rPr>
                <w:rFonts w:hint="eastAsia" w:ascii="宋体" w:hAnsi="宋体"/>
                <w:sz w:val="16"/>
                <w:lang w:eastAsia="zh-CN"/>
              </w:rPr>
              <w:t>地节约</w:t>
            </w:r>
            <w:r>
              <w:rPr>
                <w:rFonts w:ascii="宋体" w:hAnsi="宋体" w:eastAsia="宋体"/>
                <w:sz w:val="16"/>
              </w:rPr>
              <w:t>财政资金。</w:t>
            </w:r>
          </w:p>
        </w:tc>
      </w:tr>
      <w:tr w14:paraId="19D33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C3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D9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AB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B724">
            <w:pPr>
              <w:jc w:val="center"/>
            </w:pPr>
            <w:r>
              <w:rPr>
                <w:rFonts w:ascii="宋体" w:hAnsi="宋体" w:eastAsia="宋体"/>
                <w:sz w:val="16"/>
              </w:rPr>
              <w:t>提高行政事业单位满意度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8ED2">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897BE3">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3E78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8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9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B13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D4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66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35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C534">
            <w:pPr>
              <w:jc w:val="center"/>
            </w:pPr>
          </w:p>
        </w:tc>
      </w:tr>
      <w:tr w14:paraId="2281ED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EBD3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3ABA">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4E5B7B0"/>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E054F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E54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0D6F">
            <w:pPr>
              <w:jc w:val="center"/>
            </w:pPr>
            <w:r>
              <w:rPr>
                <w:rFonts w:ascii="宋体" w:hAnsi="宋体" w:eastAsia="宋体"/>
                <w:sz w:val="16"/>
              </w:rPr>
              <w:t>92.67分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FC9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F567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B1A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E80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CAD68"/>
        </w:tc>
      </w:tr>
    </w:tbl>
    <w:p w14:paraId="243FC77C">
      <w:r>
        <w:br w:type="page"/>
      </w:r>
    </w:p>
    <w:p w14:paraId="56675D16">
      <w:pPr>
        <w:spacing w:line="640" w:lineRule="exact"/>
        <w:ind w:firstLine="640"/>
        <w:jc w:val="both"/>
        <w:outlineLvl w:val="2"/>
      </w:pPr>
      <w:r>
        <w:rPr>
          <w:rFonts w:ascii="黑体" w:hAnsi="黑体" w:eastAsia="黑体"/>
          <w:sz w:val="32"/>
        </w:rPr>
        <w:t>十二、其他需说明的事项</w:t>
      </w:r>
    </w:p>
    <w:p w14:paraId="0346EECC">
      <w:pPr>
        <w:spacing w:line="580" w:lineRule="exact"/>
        <w:ind w:firstLine="640"/>
        <w:jc w:val="both"/>
      </w:pPr>
      <w:r>
        <w:rPr>
          <w:rFonts w:ascii="仿宋_GB2312" w:hAnsi="仿宋_GB2312" w:eastAsia="仿宋_GB2312"/>
          <w:b w:val="0"/>
          <w:sz w:val="32"/>
        </w:rPr>
        <w:t>本单位无其他需说明的事项。</w:t>
      </w:r>
    </w:p>
    <w:p w14:paraId="30182F9B">
      <w:r>
        <w:br w:type="page"/>
      </w:r>
    </w:p>
    <w:p w14:paraId="6855A4DF">
      <w:pPr>
        <w:spacing w:line="240" w:lineRule="auto"/>
        <w:jc w:val="center"/>
        <w:outlineLvl w:val="1"/>
      </w:pPr>
      <w:r>
        <w:rPr>
          <w:rFonts w:ascii="黑体" w:hAnsi="黑体" w:eastAsia="黑体"/>
          <w:sz w:val="32"/>
        </w:rPr>
        <w:t>第三部分 专业名词解释</w:t>
      </w:r>
    </w:p>
    <w:p w14:paraId="6A07F4D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02FC0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AC3FE7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89B1FB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0D47FB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2F19CD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1F994A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097391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EA6E4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F6A2D9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1E1915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000FF1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9DDF11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93A99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DE81DEC">
      <w:r>
        <w:br w:type="page"/>
      </w:r>
    </w:p>
    <w:p w14:paraId="4CA318A8">
      <w:pPr>
        <w:spacing w:line="240" w:lineRule="auto"/>
        <w:jc w:val="center"/>
        <w:outlineLvl w:val="1"/>
      </w:pPr>
      <w:r>
        <w:rPr>
          <w:rFonts w:ascii="黑体" w:hAnsi="黑体" w:eastAsia="黑体"/>
          <w:sz w:val="32"/>
        </w:rPr>
        <w:t>第四部分 部门决算报表（见附表）</w:t>
      </w:r>
    </w:p>
    <w:p w14:paraId="320A8940">
      <w:pPr>
        <w:spacing w:line="240" w:lineRule="auto"/>
        <w:ind w:firstLine="640"/>
        <w:jc w:val="both"/>
      </w:pPr>
      <w:r>
        <w:rPr>
          <w:rFonts w:ascii="仿宋_GB2312" w:hAnsi="仿宋_GB2312" w:eastAsia="仿宋_GB2312"/>
          <w:b w:val="0"/>
          <w:sz w:val="32"/>
        </w:rPr>
        <w:t>一、《收入支出决算总表》</w:t>
      </w:r>
    </w:p>
    <w:p w14:paraId="496850BB">
      <w:pPr>
        <w:spacing w:line="240" w:lineRule="auto"/>
        <w:ind w:firstLine="640"/>
        <w:jc w:val="both"/>
      </w:pPr>
      <w:r>
        <w:rPr>
          <w:rFonts w:ascii="仿宋_GB2312" w:hAnsi="仿宋_GB2312" w:eastAsia="仿宋_GB2312"/>
          <w:b w:val="0"/>
          <w:sz w:val="32"/>
        </w:rPr>
        <w:t>二、《收入决算表》</w:t>
      </w:r>
    </w:p>
    <w:p w14:paraId="6A5A1FA5">
      <w:pPr>
        <w:spacing w:line="240" w:lineRule="auto"/>
        <w:ind w:firstLine="640"/>
        <w:jc w:val="both"/>
      </w:pPr>
      <w:r>
        <w:rPr>
          <w:rFonts w:ascii="仿宋_GB2312" w:hAnsi="仿宋_GB2312" w:eastAsia="仿宋_GB2312"/>
          <w:b w:val="0"/>
          <w:sz w:val="32"/>
        </w:rPr>
        <w:t>三、《支出决算表》</w:t>
      </w:r>
    </w:p>
    <w:p w14:paraId="5FAFF597">
      <w:pPr>
        <w:spacing w:line="240" w:lineRule="auto"/>
        <w:ind w:firstLine="640"/>
        <w:jc w:val="both"/>
      </w:pPr>
      <w:r>
        <w:rPr>
          <w:rFonts w:ascii="仿宋_GB2312" w:hAnsi="仿宋_GB2312" w:eastAsia="仿宋_GB2312"/>
          <w:b w:val="0"/>
          <w:sz w:val="32"/>
        </w:rPr>
        <w:t>四、《财政拨款收入支出决算总表》</w:t>
      </w:r>
    </w:p>
    <w:p w14:paraId="782D923B">
      <w:pPr>
        <w:spacing w:line="240" w:lineRule="auto"/>
        <w:ind w:firstLine="640"/>
        <w:jc w:val="both"/>
      </w:pPr>
      <w:r>
        <w:rPr>
          <w:rFonts w:ascii="仿宋_GB2312" w:hAnsi="仿宋_GB2312" w:eastAsia="仿宋_GB2312"/>
          <w:b w:val="0"/>
          <w:sz w:val="32"/>
        </w:rPr>
        <w:t>五、《一般公共预算财政拨款支出决算表》</w:t>
      </w:r>
    </w:p>
    <w:p w14:paraId="060B5C6C">
      <w:pPr>
        <w:spacing w:line="240" w:lineRule="auto"/>
        <w:ind w:firstLine="640"/>
        <w:jc w:val="both"/>
      </w:pPr>
      <w:r>
        <w:rPr>
          <w:rFonts w:ascii="仿宋_GB2312" w:hAnsi="仿宋_GB2312" w:eastAsia="仿宋_GB2312"/>
          <w:b w:val="0"/>
          <w:sz w:val="32"/>
        </w:rPr>
        <w:t>六、《一般公共预算财政拨款基本支出决算表》</w:t>
      </w:r>
    </w:p>
    <w:p w14:paraId="67549385">
      <w:pPr>
        <w:spacing w:line="240" w:lineRule="auto"/>
        <w:ind w:firstLine="640"/>
        <w:jc w:val="both"/>
      </w:pPr>
      <w:r>
        <w:rPr>
          <w:rFonts w:ascii="仿宋_GB2312" w:hAnsi="仿宋_GB2312" w:eastAsia="仿宋_GB2312"/>
          <w:b w:val="0"/>
          <w:sz w:val="32"/>
        </w:rPr>
        <w:t>七、《政府性基金预算财政拨款收入支出决算表》</w:t>
      </w:r>
    </w:p>
    <w:p w14:paraId="44EA91B3">
      <w:pPr>
        <w:spacing w:line="240" w:lineRule="auto"/>
        <w:ind w:firstLine="640"/>
        <w:jc w:val="both"/>
      </w:pPr>
      <w:r>
        <w:rPr>
          <w:rFonts w:ascii="仿宋_GB2312" w:hAnsi="仿宋_GB2312" w:eastAsia="仿宋_GB2312"/>
          <w:b w:val="0"/>
          <w:sz w:val="32"/>
        </w:rPr>
        <w:t>八、《国有资本经营预算财政拨款收入支出决算表》</w:t>
      </w:r>
    </w:p>
    <w:p w14:paraId="7CF3D5CB">
      <w:pPr>
        <w:spacing w:line="240" w:lineRule="auto"/>
        <w:ind w:firstLine="640"/>
        <w:jc w:val="both"/>
      </w:pPr>
      <w:r>
        <w:rPr>
          <w:rFonts w:ascii="仿宋_GB2312" w:hAnsi="仿宋_GB2312" w:eastAsia="仿宋_GB2312"/>
          <w:b w:val="0"/>
          <w:sz w:val="32"/>
        </w:rPr>
        <w:t>九、《财政拨款“三公”经费支出决算表》</w:t>
      </w:r>
    </w:p>
    <w:p w14:paraId="1B3FBE55">
      <w:pPr>
        <w:spacing w:line="240" w:lineRule="auto"/>
        <w:ind w:firstLine="640"/>
        <w:jc w:val="both"/>
      </w:pPr>
    </w:p>
    <w:p w14:paraId="61CCC104">
      <w:pPr>
        <w:spacing w:line="240" w:lineRule="auto"/>
        <w:ind w:firstLine="640"/>
        <w:jc w:val="both"/>
      </w:pPr>
    </w:p>
    <w:p w14:paraId="435D82D1">
      <w:pPr>
        <w:spacing w:line="240" w:lineRule="auto"/>
        <w:ind w:firstLine="640"/>
        <w:jc w:val="both"/>
      </w:pPr>
    </w:p>
    <w:p w14:paraId="79138D5B">
      <w:pPr>
        <w:spacing w:line="240" w:lineRule="auto"/>
        <w:ind w:firstLine="640"/>
        <w:jc w:val="both"/>
      </w:pPr>
    </w:p>
    <w:p w14:paraId="3176706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DE5447F"/>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CA45F4"/>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7667</Words>
  <Characters>8665</Characters>
  <Lines>0</Lines>
  <Paragraphs>0</Paragraphs>
  <TotalTime>17</TotalTime>
  <ScaleCrop>false</ScaleCrop>
  <LinksUpToDate>false</LinksUpToDate>
  <CharactersWithSpaces>8673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2025-10-14T03:00:23Z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