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吉木萨尔县融媒体中心2024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B5BE977">
      <w:r>
        <w:br w:type="page"/>
      </w:r>
    </w:p>
    <w:p w14:paraId="296019F3">
      <w:pPr>
        <w:spacing w:line="640" w:lineRule="exact"/>
        <w:jc w:val="center"/>
        <w:outlineLvl w:val="1"/>
      </w:pPr>
      <w:r>
        <w:rPr>
          <w:rFonts w:ascii="黑体" w:hAnsi="黑体" w:eastAsia="黑体"/>
          <w:sz w:val="32"/>
        </w:rPr>
        <w:t>第一部分 单位概况</w:t>
      </w:r>
    </w:p>
    <w:p w14:paraId="2C078519">
      <w:pPr>
        <w:spacing w:line="640" w:lineRule="exact"/>
        <w:ind w:firstLine="640"/>
        <w:jc w:val="both"/>
        <w:outlineLvl w:val="2"/>
      </w:pPr>
      <w:r>
        <w:rPr>
          <w:rFonts w:ascii="黑体" w:hAnsi="黑体" w:eastAsia="黑体"/>
          <w:sz w:val="32"/>
        </w:rPr>
        <w:t>一、主要职能</w:t>
      </w:r>
    </w:p>
    <w:p w14:paraId="78870E53">
      <w:pPr>
        <w:spacing w:line="580" w:lineRule="exact"/>
        <w:ind w:firstLine="640"/>
        <w:jc w:val="both"/>
      </w:pPr>
      <w:r>
        <w:rPr>
          <w:rFonts w:ascii="仿宋_GB2312" w:hAnsi="仿宋_GB2312" w:eastAsia="仿宋_GB2312"/>
          <w:sz w:val="32"/>
        </w:rPr>
        <w:t>全面贯彻广播电视、新闻宣传事业建设发展的路线方针，政策及国家法律法规的落实。</w:t>
      </w:r>
    </w:p>
    <w:p w14:paraId="49335A66">
      <w:pPr>
        <w:spacing w:line="640" w:lineRule="exact"/>
        <w:ind w:firstLine="640"/>
        <w:jc w:val="both"/>
        <w:outlineLvl w:val="2"/>
      </w:pPr>
      <w:r>
        <w:rPr>
          <w:rFonts w:ascii="黑体" w:hAnsi="黑体" w:eastAsia="黑体"/>
          <w:sz w:val="32"/>
        </w:rPr>
        <w:t>二、机构设置及人员情况</w:t>
      </w:r>
    </w:p>
    <w:p w14:paraId="47233EA2">
      <w:pPr>
        <w:spacing w:line="580" w:lineRule="exact"/>
        <w:ind w:firstLine="640"/>
        <w:jc w:val="both"/>
      </w:pPr>
      <w:r>
        <w:rPr>
          <w:rFonts w:ascii="仿宋_GB2312" w:hAnsi="仿宋_GB2312" w:eastAsia="仿宋_GB2312"/>
          <w:sz w:val="32"/>
        </w:rPr>
        <w:t>吉木萨尔县融媒体中心2024年度，实有人数63人，其中：在职人员36人，增加0人；离休人员0人，增加0人；退休人员27人,增加2人。</w:t>
      </w:r>
    </w:p>
    <w:p w14:paraId="3FE10178">
      <w:pPr>
        <w:spacing w:line="580" w:lineRule="exact"/>
        <w:ind w:firstLine="640"/>
        <w:jc w:val="both"/>
      </w:pPr>
      <w:r>
        <w:rPr>
          <w:rFonts w:ascii="仿宋_GB2312" w:hAnsi="仿宋_GB2312" w:eastAsia="仿宋_GB2312"/>
          <w:sz w:val="32"/>
        </w:rPr>
        <w:t>吉木萨尔县融媒体中心无下属预算单位，下设6个科室，分别是：行政办公室、技术部、新闻中心、播音部、广告部、广播电视运维中心办公室。</w:t>
      </w:r>
    </w:p>
    <w:p w14:paraId="11FEA4E2">
      <w:r>
        <w:br w:type="page"/>
      </w:r>
    </w:p>
    <w:p w14:paraId="28C05855">
      <w:pPr>
        <w:spacing w:line="240" w:lineRule="auto"/>
        <w:jc w:val="center"/>
        <w:outlineLvl w:val="1"/>
      </w:pPr>
      <w:r>
        <w:rPr>
          <w:rFonts w:ascii="黑体" w:hAnsi="黑体" w:eastAsia="黑体"/>
          <w:sz w:val="32"/>
        </w:rPr>
        <w:t>第二部分 部门决算情况说明</w:t>
      </w:r>
    </w:p>
    <w:p w14:paraId="5CF99E61">
      <w:pPr>
        <w:spacing w:line="640" w:lineRule="exact"/>
        <w:ind w:firstLine="640"/>
        <w:jc w:val="both"/>
        <w:outlineLvl w:val="2"/>
      </w:pPr>
      <w:r>
        <w:rPr>
          <w:rFonts w:ascii="黑体" w:hAnsi="黑体" w:eastAsia="黑体"/>
          <w:sz w:val="32"/>
        </w:rPr>
        <w:t>一、收入支出决算总体情况说明</w:t>
      </w:r>
    </w:p>
    <w:p w14:paraId="0B146923">
      <w:pPr>
        <w:spacing w:line="580" w:lineRule="exact"/>
        <w:ind w:firstLine="640"/>
        <w:jc w:val="both"/>
      </w:pPr>
      <w:r>
        <w:rPr>
          <w:rFonts w:ascii="仿宋_GB2312" w:hAnsi="仿宋_GB2312" w:eastAsia="仿宋_GB2312"/>
          <w:b/>
          <w:sz w:val="32"/>
        </w:rPr>
        <w:t>2024年度收入总计2,158.91万元，</w:t>
      </w:r>
      <w:r>
        <w:rPr>
          <w:rFonts w:ascii="仿宋_GB2312" w:hAnsi="仿宋_GB2312" w:eastAsia="仿宋_GB2312"/>
          <w:b w:val="0"/>
          <w:sz w:val="32"/>
        </w:rPr>
        <w:t>其中：本年收入合计2,153.69万元，使用非财政拨款结余（含专用结余）0.00万元，年初结转和结余5.22万元。</w:t>
      </w:r>
    </w:p>
    <w:p w14:paraId="16A0A696">
      <w:pPr>
        <w:spacing w:line="580" w:lineRule="exact"/>
        <w:ind w:firstLine="640"/>
        <w:jc w:val="both"/>
      </w:pPr>
      <w:r>
        <w:rPr>
          <w:rFonts w:ascii="仿宋_GB2312" w:hAnsi="仿宋_GB2312" w:eastAsia="仿宋_GB2312"/>
          <w:b/>
          <w:sz w:val="32"/>
        </w:rPr>
        <w:t>2024年度支出总计2,158.91万元，</w:t>
      </w:r>
      <w:r>
        <w:rPr>
          <w:rFonts w:ascii="仿宋_GB2312" w:hAnsi="仿宋_GB2312" w:eastAsia="仿宋_GB2312"/>
          <w:b w:val="0"/>
          <w:sz w:val="32"/>
        </w:rPr>
        <w:t>其中：本年支出合计2,155.92万元，结余分配0.00万元，年末结转和结余3.00万元。</w:t>
      </w:r>
    </w:p>
    <w:p w14:paraId="1AB32AB6">
      <w:pPr>
        <w:spacing w:line="580" w:lineRule="exact"/>
        <w:ind w:firstLine="640"/>
        <w:jc w:val="both"/>
      </w:pPr>
      <w:r>
        <w:rPr>
          <w:rFonts w:ascii="仿宋_GB2312" w:hAnsi="仿宋_GB2312" w:eastAsia="仿宋_GB2312"/>
          <w:b w:val="0"/>
          <w:sz w:val="32"/>
        </w:rPr>
        <w:t>收入支出总体与上年相比，增加1,149.30万元，增长113.84%，主要原因是：本年增加播发高清采编播发及网络安全提升改造项目、自治区广播电视节目无线覆盖运行维护经费、2024年9月完工已结算施工类项目等经费，导致经费较上年增加。</w:t>
      </w:r>
    </w:p>
    <w:p w14:paraId="0C4AED6F">
      <w:pPr>
        <w:spacing w:line="640" w:lineRule="exact"/>
        <w:ind w:firstLine="640"/>
        <w:jc w:val="both"/>
        <w:outlineLvl w:val="2"/>
      </w:pPr>
      <w:r>
        <w:rPr>
          <w:rFonts w:ascii="黑体" w:hAnsi="黑体" w:eastAsia="黑体"/>
          <w:sz w:val="32"/>
        </w:rPr>
        <w:t>二、收入决算情况说明</w:t>
      </w:r>
    </w:p>
    <w:p w14:paraId="111A9B57">
      <w:pPr>
        <w:spacing w:line="580" w:lineRule="exact"/>
        <w:ind w:firstLine="640"/>
        <w:jc w:val="both"/>
      </w:pPr>
      <w:r>
        <w:rPr>
          <w:rFonts w:ascii="仿宋_GB2312" w:hAnsi="仿宋_GB2312" w:eastAsia="仿宋_GB2312"/>
          <w:b/>
          <w:sz w:val="32"/>
        </w:rPr>
        <w:t>本年收入2,153.69万元，</w:t>
      </w:r>
      <w:r>
        <w:rPr>
          <w:rFonts w:ascii="仿宋_GB2312" w:hAnsi="仿宋_GB2312" w:eastAsia="仿宋_GB2312"/>
          <w:b w:val="0"/>
          <w:sz w:val="32"/>
        </w:rPr>
        <w:t>其中：财政拨款收入1,041.06万元，占48.34%；上级补助收入0.00万元，占0.00%；事业收入0.00万元，占0.00%；经营收入0.00万元，占0.00%；附属单位上缴收入0.00万元，占0.00%；其他收入1,112.64万元，占51.66%。</w:t>
      </w:r>
    </w:p>
    <w:p w14:paraId="661F6796">
      <w:pPr>
        <w:spacing w:line="640" w:lineRule="exact"/>
        <w:ind w:firstLine="640"/>
        <w:jc w:val="both"/>
        <w:outlineLvl w:val="2"/>
      </w:pPr>
      <w:r>
        <w:rPr>
          <w:rFonts w:ascii="黑体" w:hAnsi="黑体" w:eastAsia="黑体"/>
          <w:sz w:val="32"/>
        </w:rPr>
        <w:t>三、支出决算情况说明</w:t>
      </w:r>
    </w:p>
    <w:p w14:paraId="753881E0">
      <w:pPr>
        <w:spacing w:line="580" w:lineRule="exact"/>
        <w:ind w:firstLine="640"/>
        <w:jc w:val="both"/>
      </w:pPr>
      <w:r>
        <w:rPr>
          <w:rFonts w:ascii="仿宋_GB2312" w:hAnsi="仿宋_GB2312" w:eastAsia="仿宋_GB2312"/>
          <w:b/>
          <w:sz w:val="32"/>
        </w:rPr>
        <w:t>本年支出2,155.92万元，</w:t>
      </w:r>
      <w:r>
        <w:rPr>
          <w:rFonts w:ascii="仿宋_GB2312" w:hAnsi="仿宋_GB2312" w:eastAsia="仿宋_GB2312"/>
          <w:b w:val="0"/>
          <w:sz w:val="32"/>
        </w:rPr>
        <w:t>其中：基本支出1,991.98万元，占92.40%；项目支出163.94万元，占7.60%；上缴上级支出0.00万元，占0.00%；经营支出0.00万元，占0.00%；对附属单位补助支出0.00万元，占0.00%。</w:t>
      </w:r>
    </w:p>
    <w:p w14:paraId="5702BC91">
      <w:pPr>
        <w:spacing w:line="640" w:lineRule="exact"/>
        <w:ind w:firstLine="640"/>
        <w:jc w:val="both"/>
        <w:outlineLvl w:val="2"/>
      </w:pPr>
      <w:r>
        <w:rPr>
          <w:rFonts w:ascii="黑体" w:hAnsi="黑体" w:eastAsia="黑体"/>
          <w:sz w:val="32"/>
        </w:rPr>
        <w:t>四、财政拨款收入支出决算总体情况说明</w:t>
      </w:r>
    </w:p>
    <w:p w14:paraId="79BB0174">
      <w:pPr>
        <w:spacing w:line="580" w:lineRule="exact"/>
        <w:ind w:firstLine="640"/>
        <w:jc w:val="both"/>
      </w:pPr>
      <w:r>
        <w:rPr>
          <w:rFonts w:ascii="仿宋_GB2312" w:hAnsi="仿宋_GB2312" w:eastAsia="仿宋_GB2312"/>
          <w:b/>
          <w:sz w:val="32"/>
        </w:rPr>
        <w:t>2024年度财政拨款收入总计1,041.06万元，</w:t>
      </w:r>
      <w:r>
        <w:rPr>
          <w:rFonts w:ascii="仿宋_GB2312" w:hAnsi="仿宋_GB2312" w:eastAsia="仿宋_GB2312"/>
          <w:b w:val="0"/>
          <w:sz w:val="32"/>
        </w:rPr>
        <w:t>其中：年初财政拨款结转和结余0.00万元，本年财政拨款收入1,041.06万元。</w:t>
      </w:r>
      <w:r>
        <w:rPr>
          <w:rFonts w:ascii="仿宋_GB2312" w:hAnsi="仿宋_GB2312" w:eastAsia="仿宋_GB2312"/>
          <w:b/>
          <w:sz w:val="32"/>
        </w:rPr>
        <w:t>财政拨款支出总计1,041.06万元，</w:t>
      </w:r>
      <w:r>
        <w:rPr>
          <w:rFonts w:ascii="仿宋_GB2312" w:hAnsi="仿宋_GB2312" w:eastAsia="仿宋_GB2312"/>
          <w:b w:val="0"/>
          <w:sz w:val="32"/>
        </w:rPr>
        <w:t>其中：年末财政拨款结转和结余0.00万元，本年财政拨款支出1,041.06万元。</w:t>
      </w:r>
    </w:p>
    <w:p w14:paraId="289CB5F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增加61.68万元，增长6.30%，主要原因是：本年增加自治区广播电视节目无线覆盖运行维护经费、2024年9月完工已结算施工类项目等经费，导致经费较上年增加。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926.15万元，决算数1,041.06万元，预决算差异率12.41%，主要原因是：年中追加少数民族和边疆地区文化安全补助资金、中央补助地方公共文化服务体系建设补助资金、文化产业赋能乡村振兴推进会及“丝路友城”活动经费等，导致预决算存在差异。</w:t>
      </w:r>
    </w:p>
    <w:p w14:paraId="15A90785">
      <w:pPr>
        <w:spacing w:line="640" w:lineRule="exact"/>
        <w:ind w:firstLine="640"/>
        <w:jc w:val="both"/>
        <w:outlineLvl w:val="2"/>
      </w:pPr>
      <w:r>
        <w:rPr>
          <w:rFonts w:ascii="黑体" w:hAnsi="黑体" w:eastAsia="黑体"/>
          <w:sz w:val="32"/>
        </w:rPr>
        <w:t>五、一般公共预算财政拨款支出决算情况说明</w:t>
      </w:r>
    </w:p>
    <w:p w14:paraId="0B3E2EDE">
      <w:pPr>
        <w:spacing w:line="640" w:lineRule="exact"/>
        <w:ind w:firstLine="640"/>
        <w:jc w:val="both"/>
        <w:outlineLvl w:val="3"/>
      </w:pPr>
      <w:r>
        <w:rPr>
          <w:rFonts w:ascii="楷体_GB2312" w:hAnsi="楷体_GB2312" w:eastAsia="楷体_GB2312"/>
          <w:b/>
          <w:sz w:val="32"/>
        </w:rPr>
        <w:t>（一）一般公共预算财政拨款支出决算总体情况</w:t>
      </w:r>
    </w:p>
    <w:p w14:paraId="7405F5AE">
      <w:pPr>
        <w:spacing w:line="580" w:lineRule="exact"/>
        <w:ind w:firstLine="640"/>
        <w:jc w:val="both"/>
      </w:pPr>
      <w:r>
        <w:rPr>
          <w:rFonts w:ascii="仿宋_GB2312" w:hAnsi="仿宋_GB2312" w:eastAsia="仿宋_GB2312"/>
          <w:b/>
          <w:sz w:val="32"/>
        </w:rPr>
        <w:t>2024年度一般公共预算财政拨款支出1,041.06万元，</w:t>
      </w:r>
      <w:r>
        <w:rPr>
          <w:rFonts w:ascii="仿宋_GB2312" w:hAnsi="仿宋_GB2312" w:eastAsia="仿宋_GB2312"/>
          <w:b w:val="0"/>
          <w:sz w:val="32"/>
        </w:rPr>
        <w:t>占本年支出合计的48.29%。</w:t>
      </w:r>
      <w:r>
        <w:rPr>
          <w:rFonts w:ascii="仿宋_GB2312" w:hAnsi="仿宋_GB2312" w:eastAsia="仿宋_GB2312"/>
          <w:b/>
          <w:sz w:val="32"/>
        </w:rPr>
        <w:t>与上年相比，</w:t>
      </w:r>
      <w:r>
        <w:rPr>
          <w:rFonts w:ascii="仿宋_GB2312" w:hAnsi="仿宋_GB2312" w:eastAsia="仿宋_GB2312"/>
          <w:b w:val="0"/>
          <w:sz w:val="32"/>
        </w:rPr>
        <w:t>增加61.68万元，增长6.30%，主要原因是：本年增加自治区广播电视节目无线覆盖运行维护经费、2024年9月完工已结算施工类项目等经费，导致经费较上年增加。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926.15万元，决算数1,041.06万元，预决算差异率12.41%，主要原因是：年中追加少数民族和边疆地区文化安全补助资金、中央补助地方公共文化服务体系建设补助资金、文化产业赋能乡村振兴推进会及“丝路友城”活动经费等，导致预决算存在差异。</w:t>
      </w:r>
    </w:p>
    <w:p w14:paraId="591C379C">
      <w:pPr>
        <w:spacing w:line="640" w:lineRule="exact"/>
        <w:ind w:firstLine="640"/>
        <w:jc w:val="both"/>
        <w:outlineLvl w:val="3"/>
      </w:pPr>
      <w:r>
        <w:rPr>
          <w:rFonts w:ascii="楷体_GB2312" w:hAnsi="楷体_GB2312" w:eastAsia="楷体_GB2312"/>
          <w:b/>
          <w:sz w:val="32"/>
        </w:rPr>
        <w:t>（二）一般公共预算财政拨款支出决算结构情况</w:t>
      </w:r>
    </w:p>
    <w:p w14:paraId="0ACC113C">
      <w:pPr>
        <w:spacing w:line="580" w:lineRule="exact"/>
        <w:ind w:firstLine="640"/>
        <w:jc w:val="both"/>
      </w:pPr>
      <w:r>
        <w:rPr>
          <w:rFonts w:ascii="仿宋_GB2312" w:hAnsi="仿宋_GB2312" w:eastAsia="仿宋_GB2312"/>
          <w:b w:val="0"/>
          <w:sz w:val="32"/>
        </w:rPr>
        <w:t>1.文化旅游体育与传媒支出(类)843.87万元,占81.06%。</w:t>
      </w:r>
    </w:p>
    <w:p w14:paraId="06E25D17">
      <w:pPr>
        <w:spacing w:line="580" w:lineRule="exact"/>
        <w:ind w:firstLine="640"/>
        <w:jc w:val="both"/>
      </w:pPr>
      <w:r>
        <w:rPr>
          <w:rFonts w:ascii="仿宋_GB2312" w:hAnsi="仿宋_GB2312" w:eastAsia="仿宋_GB2312"/>
          <w:b w:val="0"/>
          <w:sz w:val="32"/>
        </w:rPr>
        <w:t>2.社会保障和就业支出(类)112.08万元,占10.77%。</w:t>
      </w:r>
    </w:p>
    <w:p w14:paraId="0C6A6C24">
      <w:pPr>
        <w:spacing w:line="580" w:lineRule="exact"/>
        <w:ind w:firstLine="640"/>
        <w:jc w:val="both"/>
      </w:pPr>
      <w:r>
        <w:rPr>
          <w:rFonts w:ascii="仿宋_GB2312" w:hAnsi="仿宋_GB2312" w:eastAsia="仿宋_GB2312"/>
          <w:b w:val="0"/>
          <w:sz w:val="32"/>
        </w:rPr>
        <w:t>3.卫生健康支出(类)37.92万元,占3.64%。</w:t>
      </w:r>
    </w:p>
    <w:p w14:paraId="3E447218">
      <w:pPr>
        <w:spacing w:line="580" w:lineRule="exact"/>
        <w:ind w:firstLine="640"/>
        <w:jc w:val="both"/>
      </w:pPr>
      <w:r>
        <w:rPr>
          <w:rFonts w:ascii="仿宋_GB2312" w:hAnsi="仿宋_GB2312" w:eastAsia="仿宋_GB2312"/>
          <w:b w:val="0"/>
          <w:sz w:val="32"/>
        </w:rPr>
        <w:t>4.住房保障支出(类)47.19万元,占4.53%。</w:t>
      </w:r>
    </w:p>
    <w:p w14:paraId="4DD76E98">
      <w:pPr>
        <w:spacing w:line="640" w:lineRule="exact"/>
        <w:ind w:firstLine="640"/>
        <w:jc w:val="both"/>
        <w:outlineLvl w:val="3"/>
      </w:pPr>
      <w:r>
        <w:rPr>
          <w:rFonts w:ascii="楷体_GB2312" w:hAnsi="楷体_GB2312" w:eastAsia="楷体_GB2312"/>
          <w:b/>
          <w:sz w:val="32"/>
        </w:rPr>
        <w:t>（三）一般公共预算财政拨款支出决算具体情况</w:t>
      </w:r>
    </w:p>
    <w:p w14:paraId="3D9CDDE6">
      <w:pPr>
        <w:spacing w:line="580" w:lineRule="exact"/>
        <w:ind w:firstLine="640"/>
        <w:jc w:val="both"/>
      </w:pPr>
      <w:r>
        <w:rPr>
          <w:rFonts w:ascii="仿宋_GB2312" w:hAnsi="仿宋_GB2312" w:eastAsia="仿宋_GB2312"/>
          <w:b w:val="0"/>
          <w:sz w:val="32"/>
        </w:rPr>
        <w:t>1.文化旅游体育与传媒支出(类)广播电视(款)行政运行(项):支出决算数为674.94万元，比上年决算减少16.64万元，下降2.41%,主要原因是：本年在职人员调入调出，人员职级不同，工资基数不同，导致人员经费较上年减少。</w:t>
      </w:r>
    </w:p>
    <w:p w14:paraId="577D6360">
      <w:pPr>
        <w:spacing w:line="580" w:lineRule="exact"/>
        <w:ind w:firstLine="640"/>
        <w:jc w:val="both"/>
      </w:pPr>
      <w:r>
        <w:rPr>
          <w:rFonts w:ascii="仿宋_GB2312" w:hAnsi="仿宋_GB2312" w:eastAsia="仿宋_GB2312"/>
          <w:b w:val="0"/>
          <w:sz w:val="32"/>
        </w:rPr>
        <w:t>2.文化旅游体育与传媒支出(类)广播电视(款)其他广播电视支出(项):支出决算数为90.21万元，比上年决算增加56.59万元，增长168.32%,主要原因是：本年增加铸牢中华民族共同体意识系列活动“百名书记话铸牢”活动经费、抖音账号策划运营项目经费等。</w:t>
      </w:r>
    </w:p>
    <w:p w14:paraId="745E8D74">
      <w:pPr>
        <w:spacing w:line="580" w:lineRule="exact"/>
        <w:ind w:firstLine="640"/>
        <w:jc w:val="both"/>
      </w:pPr>
      <w:r>
        <w:rPr>
          <w:rFonts w:ascii="仿宋_GB2312" w:hAnsi="仿宋_GB2312" w:eastAsia="仿宋_GB2312"/>
          <w:b w:val="0"/>
          <w:sz w:val="32"/>
        </w:rPr>
        <w:t>3.文化旅游体育与传媒支出(类)其他文化旅游体育与传媒支出(款)其他文化旅游体育与传媒支出(项):支出决算数为78.73万元，比上年决算增加1.20万元，增长1.55%,主要原因是：本年增加自治区文化产业赋能乡村振兴推进会及“丝路友城”活动经费。</w:t>
      </w:r>
    </w:p>
    <w:p w14:paraId="1FB1169E">
      <w:pPr>
        <w:spacing w:line="580" w:lineRule="exact"/>
        <w:ind w:firstLine="640"/>
        <w:jc w:val="both"/>
      </w:pPr>
      <w:r>
        <w:rPr>
          <w:rFonts w:ascii="仿宋_GB2312" w:hAnsi="仿宋_GB2312" w:eastAsia="仿宋_GB2312"/>
          <w:b w:val="0"/>
          <w:sz w:val="32"/>
        </w:rPr>
        <w:t>4.社会保障和就业支出(类)行政事业单位养老支出(款)事业单位离退休(项):支出决算数为17.70万元，比上年决算增加11.25万元，增长174.42%,主要原因是：本年退休人员增加，退休费支出增加。</w:t>
      </w:r>
    </w:p>
    <w:p w14:paraId="3D2010B2">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57.99万元，比上年决算减少3.98万元，下降6.42%,主要原因是：本年在职人员调入调出，人员职级不同，缴费基数不同，导致养老保险缴费较上年减少。</w:t>
      </w:r>
    </w:p>
    <w:p w14:paraId="3774FC65">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6.社会保障和就业支出(类)行政事业单位养老支出(款)机关事业单位职业年金缴费支出(项):支出决算数为36.40万元，比上年决算增加6.69万元，增长22.52%,主要原因是：本年新增退休人员，职业年金缴费支出增加。</w:t>
      </w:r>
    </w:p>
    <w:p w14:paraId="7F5B9E66">
      <w:pPr>
        <w:spacing w:line="580" w:lineRule="exact"/>
        <w:ind w:firstLine="640"/>
        <w:jc w:val="both"/>
      </w:pPr>
      <w:r>
        <w:rPr>
          <w:rFonts w:ascii="仿宋_GB2312" w:hAnsi="仿宋_GB2312" w:eastAsia="仿宋_GB2312"/>
          <w:b w:val="0"/>
          <w:sz w:val="32"/>
        </w:rPr>
        <w:t>7.卫生健康支出(类)行政事业单位医疗(款)事业单位医疗(项):支出决算数为35.43万元，比上年决算增加3.52万元，增长11.03%,主要原因是：本年在职人员工资基数调增，医疗缴费基数上涨，相应支出增加。</w:t>
      </w:r>
    </w:p>
    <w:p w14:paraId="2B05361B">
      <w:pPr>
        <w:spacing w:line="580" w:lineRule="exact"/>
        <w:ind w:firstLine="640"/>
        <w:jc w:val="both"/>
      </w:pPr>
      <w:r>
        <w:rPr>
          <w:rFonts w:ascii="仿宋_GB2312" w:hAnsi="仿宋_GB2312" w:eastAsia="仿宋_GB2312"/>
          <w:b w:val="0"/>
          <w:sz w:val="32"/>
        </w:rPr>
        <w:t>8.卫生健康支出(类)行政事业单位医疗(款)公务员医疗补助(项):支出决算数为2.49万元，比上年决算减少0.29万元，下降10.43%,主要原因是：本年在职人员调入调出，人员职级不同，缴费基数不同，导致公务员医疗补助较上年减少。</w:t>
      </w:r>
    </w:p>
    <w:p w14:paraId="551D6468">
      <w:pPr>
        <w:spacing w:line="580" w:lineRule="exact"/>
        <w:ind w:firstLine="640"/>
        <w:jc w:val="both"/>
      </w:pPr>
      <w:r>
        <w:rPr>
          <w:rFonts w:ascii="仿宋_GB2312" w:hAnsi="仿宋_GB2312" w:eastAsia="仿宋_GB2312"/>
          <w:b w:val="0"/>
          <w:sz w:val="32"/>
        </w:rPr>
        <w:t>9.住房保障支出(类)住房改革支出(款)住房公积金(项):支出决算数为47.19万元，比上年决算增加3.35万元，增长7.64%,主要原因是：本年在职人员工资基数调增，公积金缴费基数上涨，相应支出增加。</w:t>
      </w:r>
    </w:p>
    <w:p w14:paraId="5048BA13">
      <w:pPr>
        <w:spacing w:line="640" w:lineRule="exact"/>
        <w:ind w:firstLine="640"/>
        <w:jc w:val="both"/>
        <w:outlineLvl w:val="2"/>
      </w:pPr>
      <w:r>
        <w:rPr>
          <w:rFonts w:ascii="黑体" w:hAnsi="黑体" w:eastAsia="黑体"/>
          <w:sz w:val="32"/>
        </w:rPr>
        <w:t>六、一般公共预算财政拨款基本支出决算情况说明</w:t>
      </w:r>
    </w:p>
    <w:p w14:paraId="2D0ABED8">
      <w:pPr>
        <w:spacing w:line="580" w:lineRule="exact"/>
        <w:ind w:firstLine="640"/>
        <w:jc w:val="both"/>
      </w:pPr>
      <w:r>
        <w:rPr>
          <w:rFonts w:ascii="仿宋_GB2312" w:hAnsi="仿宋_GB2312" w:eastAsia="仿宋_GB2312"/>
          <w:b w:val="0"/>
          <w:sz w:val="32"/>
        </w:rPr>
        <w:t>2024年度一般公共预算财政拨款基本支出877.12万元，其中：</w:t>
      </w:r>
      <w:r>
        <w:rPr>
          <w:rFonts w:ascii="仿宋_GB2312" w:hAnsi="仿宋_GB2312" w:eastAsia="仿宋_GB2312"/>
          <w:b/>
          <w:sz w:val="32"/>
        </w:rPr>
        <w:t>人员经费823.33万元，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生活补助、其他对个人和家庭的补助。</w:t>
      </w:r>
    </w:p>
    <w:p w14:paraId="2DC6A626">
      <w:pPr>
        <w:spacing w:line="580" w:lineRule="exact"/>
        <w:ind w:firstLine="640"/>
        <w:jc w:val="both"/>
      </w:pPr>
      <w:r>
        <w:rPr>
          <w:rFonts w:ascii="仿宋_GB2312" w:hAnsi="仿宋_GB2312" w:eastAsia="仿宋_GB2312"/>
          <w:b/>
          <w:sz w:val="32"/>
        </w:rPr>
        <w:t>公用经费53.79万元，</w:t>
      </w:r>
      <w:r>
        <w:rPr>
          <w:rFonts w:ascii="仿宋_GB2312" w:hAnsi="仿宋_GB2312" w:eastAsia="仿宋_GB2312"/>
          <w:b w:val="0"/>
          <w:sz w:val="32"/>
        </w:rPr>
        <w:t>包括：办公费、电费、取暖费、差旅费、委托业务费、工会经费、公务用车运行维护费。</w:t>
      </w:r>
    </w:p>
    <w:p w14:paraId="1A5C8478">
      <w:pPr>
        <w:spacing w:line="640" w:lineRule="exact"/>
        <w:ind w:firstLine="640"/>
        <w:jc w:val="both"/>
        <w:outlineLvl w:val="2"/>
      </w:pPr>
      <w:r>
        <w:rPr>
          <w:rFonts w:ascii="黑体" w:hAnsi="黑体" w:eastAsia="黑体"/>
          <w:sz w:val="32"/>
        </w:rPr>
        <w:t>七、政府性基金预算财政拨款收入支出决算情况说明</w:t>
      </w:r>
    </w:p>
    <w:p w14:paraId="2AC86CBE">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965E525">
      <w:pPr>
        <w:spacing w:line="640" w:lineRule="exact"/>
        <w:ind w:firstLine="640"/>
        <w:jc w:val="both"/>
        <w:outlineLvl w:val="2"/>
      </w:pPr>
      <w:r>
        <w:rPr>
          <w:rFonts w:ascii="黑体" w:hAnsi="黑体" w:eastAsia="黑体"/>
          <w:sz w:val="32"/>
        </w:rPr>
        <w:t>八、国有资本经营预算财政拨款收入支出决算情况说明</w:t>
      </w:r>
    </w:p>
    <w:p w14:paraId="72413F9A">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4D572DE">
      <w:pPr>
        <w:spacing w:line="640" w:lineRule="exact"/>
        <w:ind w:firstLine="640"/>
        <w:jc w:val="both"/>
        <w:outlineLvl w:val="2"/>
      </w:pPr>
      <w:r>
        <w:rPr>
          <w:rFonts w:ascii="黑体" w:hAnsi="黑体" w:eastAsia="黑体"/>
          <w:sz w:val="32"/>
        </w:rPr>
        <w:t>九、财政拨款“三公”经费支出决算情况说明</w:t>
      </w:r>
    </w:p>
    <w:p w14:paraId="31D1846C">
      <w:pPr>
        <w:spacing w:line="580" w:lineRule="exact"/>
        <w:ind w:firstLine="640"/>
        <w:jc w:val="both"/>
      </w:pPr>
      <w:r>
        <w:rPr>
          <w:rFonts w:ascii="仿宋_GB2312" w:hAnsi="仿宋_GB2312" w:eastAsia="仿宋_GB2312"/>
          <w:b/>
          <w:sz w:val="32"/>
        </w:rPr>
        <w:t>2024年度财政拨款“三公”经费支出2.00万元，</w:t>
      </w:r>
      <w:r>
        <w:rPr>
          <w:rFonts w:ascii="仿宋_GB2312" w:hAnsi="仿宋_GB2312" w:eastAsia="仿宋_GB2312"/>
          <w:b w:val="0"/>
          <w:sz w:val="32"/>
        </w:rPr>
        <w:t>比上年减少0.30万元，下降13.04%，主要原因是：严格落实中央八项规定精神，厉行节约，减少公务接待费。其中：因公出国（境）费支出0.00万元，占0.00%，比上年增加0.00万元，增长0.00%，主要原因是：2023年与2024年均未安排因公出国（境）费支出。公务用车购置及运行维护费支出2.00万元，占100.00%，比上年增加0.00万元，增长0.00%，主要原因是：本单位公务用车运行维护费与上年一致无变化。公务接待费支出0.00万元，占0.00%，比上年减少0.30万元，下降100.00%，主要原因是：严格落实中央八项规定精神，厉行节约，减少公务接待费。</w:t>
      </w:r>
    </w:p>
    <w:p w14:paraId="137C4B4D">
      <w:pPr>
        <w:spacing w:line="580" w:lineRule="exact"/>
        <w:ind w:firstLine="640"/>
        <w:jc w:val="both"/>
      </w:pPr>
      <w:r>
        <w:rPr>
          <w:rFonts w:ascii="仿宋_GB2312" w:hAnsi="仿宋_GB2312" w:eastAsia="仿宋_GB2312"/>
          <w:b/>
          <w:sz w:val="32"/>
        </w:rPr>
        <w:t>具体情况如下：</w:t>
      </w:r>
    </w:p>
    <w:p w14:paraId="6EB2EE1E">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3EA6BCB">
      <w:pPr>
        <w:spacing w:line="580" w:lineRule="exact"/>
        <w:ind w:firstLine="640"/>
        <w:jc w:val="both"/>
      </w:pPr>
      <w:r>
        <w:rPr>
          <w:rFonts w:ascii="仿宋_GB2312" w:hAnsi="仿宋_GB2312" w:eastAsia="仿宋_GB2312"/>
          <w:b w:val="0"/>
          <w:sz w:val="32"/>
        </w:rPr>
        <w:t>公务用车购置及运行维护费2.00万元，其中：公务用车购置费0.00万元，公务用车运行维护费2.00万元。公务用车运行维护费开支内容包括车辆加油费、维修费、保险费、审车费、过路费等。公务用车购置数0辆，公务用车保有量1辆。国有资产占用情况中固定资产车辆1辆，与公务用车保有量差异原因是：本单位固定资产车辆与公务用车保有量一致无差异。</w:t>
      </w:r>
    </w:p>
    <w:p w14:paraId="240FD239">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F05D3FF">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2.30万元，决算数2.00万元，预决算差异率-13.04%，主要原因是：严格落实中央八项规定精神，厉行节约，减少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2.00万元，决算数2.00万元，预决算差异率0.00%，主要原因是：严格按照预算执行，预决算无差异。公务接待费全年预算数0.30万元，决算数0.00万元，预决算差异率-100.00%，主要原因是：严格落实中央八项规定精神，厉行节约，减少经费支出。</w:t>
      </w:r>
    </w:p>
    <w:p w14:paraId="266A9F1B">
      <w:pPr>
        <w:spacing w:line="640" w:lineRule="exact"/>
        <w:ind w:firstLine="640"/>
        <w:jc w:val="both"/>
        <w:outlineLvl w:val="2"/>
      </w:pPr>
      <w:r>
        <w:rPr>
          <w:rFonts w:ascii="黑体" w:hAnsi="黑体" w:eastAsia="黑体"/>
          <w:sz w:val="32"/>
        </w:rPr>
        <w:t>十、其他重要事项的情况说明</w:t>
      </w:r>
    </w:p>
    <w:p w14:paraId="7AE1D2DB">
      <w:pPr>
        <w:spacing w:line="640" w:lineRule="exact"/>
        <w:ind w:firstLine="640"/>
        <w:jc w:val="both"/>
        <w:outlineLvl w:val="3"/>
      </w:pPr>
      <w:r>
        <w:rPr>
          <w:rFonts w:ascii="楷体_GB2312" w:hAnsi="楷体_GB2312" w:eastAsia="楷体_GB2312"/>
          <w:b/>
          <w:sz w:val="32"/>
        </w:rPr>
        <w:t>（一）机关运行经费及公用经费支出情况</w:t>
      </w:r>
    </w:p>
    <w:p w14:paraId="0BCA2040">
      <w:pPr>
        <w:spacing w:line="580" w:lineRule="exact"/>
        <w:ind w:firstLine="640"/>
        <w:jc w:val="both"/>
      </w:pPr>
      <w:r>
        <w:rPr>
          <w:rFonts w:ascii="仿宋_GB2312" w:hAnsi="仿宋_GB2312" w:eastAsia="仿宋_GB2312"/>
          <w:b w:val="0"/>
          <w:sz w:val="32"/>
        </w:rPr>
        <w:t>2024年度吉木萨尔县融媒体中心（事业单位）公用经费支出53.79万元，比上年减少20.14万元，下降27.24%，主要原因是：严控</w:t>
      </w:r>
      <w:bookmarkStart w:id="0" w:name="_GoBack"/>
      <w:r>
        <w:rPr>
          <w:rFonts w:ascii="仿宋_GB2312" w:hAnsi="仿宋_GB2312" w:eastAsia="仿宋_GB2312"/>
          <w:b w:val="0"/>
          <w:sz w:val="32"/>
        </w:rPr>
        <w:t>经费支出，厉行节约，减少经费支</w:t>
      </w:r>
      <w:bookmarkEnd w:id="0"/>
      <w:r>
        <w:rPr>
          <w:rFonts w:ascii="仿宋_GB2312" w:hAnsi="仿宋_GB2312" w:eastAsia="仿宋_GB2312"/>
          <w:b w:val="0"/>
          <w:sz w:val="32"/>
        </w:rPr>
        <w:t>出。</w:t>
      </w:r>
    </w:p>
    <w:p w14:paraId="4D2FC5C9">
      <w:pPr>
        <w:spacing w:line="640" w:lineRule="exact"/>
        <w:ind w:firstLine="640"/>
        <w:jc w:val="both"/>
        <w:outlineLvl w:val="3"/>
      </w:pPr>
      <w:r>
        <w:rPr>
          <w:rFonts w:ascii="楷体_GB2312" w:hAnsi="楷体_GB2312" w:eastAsia="楷体_GB2312"/>
          <w:b/>
          <w:sz w:val="32"/>
        </w:rPr>
        <w:t>（二）政府采购情况</w:t>
      </w:r>
    </w:p>
    <w:p w14:paraId="436F5309">
      <w:pPr>
        <w:spacing w:line="580" w:lineRule="exact"/>
        <w:ind w:firstLine="640"/>
        <w:jc w:val="both"/>
      </w:pPr>
      <w:r>
        <w:rPr>
          <w:rFonts w:ascii="仿宋_GB2312" w:hAnsi="仿宋_GB2312" w:eastAsia="仿宋_GB2312"/>
          <w:b w:val="0"/>
          <w:sz w:val="32"/>
        </w:rPr>
        <w:t>2024年度政府采购支出总额70.95万元，其中：政府采购货物支出10.37万元、政府采购工程支出0.00万元、政府采购服务支出60.58万元。</w:t>
      </w:r>
    </w:p>
    <w:p w14:paraId="6DB02E98">
      <w:pPr>
        <w:spacing w:line="580" w:lineRule="exact"/>
        <w:ind w:firstLine="640"/>
        <w:jc w:val="both"/>
      </w:pPr>
      <w:r>
        <w:rPr>
          <w:rFonts w:ascii="仿宋_GB2312" w:hAnsi="仿宋_GB2312" w:eastAsia="仿宋_GB2312"/>
          <w:b w:val="0"/>
          <w:sz w:val="32"/>
        </w:rPr>
        <w:t>授予中小企业合同金额70.23万元，占政府采购支出总额的98.99%，其中：授予小微企业合同金额69.78万元，占政府采购支出总额的98.35%。</w:t>
      </w:r>
    </w:p>
    <w:p w14:paraId="2D35E08E">
      <w:pPr>
        <w:spacing w:line="640" w:lineRule="exact"/>
        <w:ind w:firstLine="640"/>
        <w:jc w:val="both"/>
        <w:outlineLvl w:val="3"/>
      </w:pPr>
      <w:r>
        <w:rPr>
          <w:rFonts w:ascii="楷体_GB2312" w:hAnsi="楷体_GB2312" w:eastAsia="楷体_GB2312"/>
          <w:b/>
          <w:sz w:val="32"/>
        </w:rPr>
        <w:t>（三）国有资产占用情况说明</w:t>
      </w:r>
    </w:p>
    <w:p w14:paraId="7AFAC111">
      <w:pPr>
        <w:spacing w:line="580" w:lineRule="exact"/>
        <w:ind w:firstLine="640"/>
        <w:jc w:val="both"/>
      </w:pPr>
      <w:r>
        <w:rPr>
          <w:rFonts w:ascii="仿宋_GB2312" w:hAnsi="仿宋_GB2312" w:eastAsia="仿宋_GB2312"/>
          <w:b w:val="0"/>
          <w:sz w:val="32"/>
        </w:rPr>
        <w:t>截至2024年12月31日，房屋1,173.16平方米，价值1,054.39万元。车辆1辆，价值15.85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2台（套）。</w:t>
      </w:r>
    </w:p>
    <w:p w14:paraId="5D80062C">
      <w:pPr>
        <w:spacing w:line="640" w:lineRule="exact"/>
        <w:ind w:firstLine="640"/>
        <w:jc w:val="both"/>
        <w:outlineLvl w:val="2"/>
      </w:pPr>
      <w:r>
        <w:rPr>
          <w:rFonts w:ascii="黑体" w:hAnsi="黑体" w:eastAsia="黑体"/>
          <w:sz w:val="32"/>
        </w:rPr>
        <w:t>十一、预算绩效的情况说明</w:t>
      </w:r>
    </w:p>
    <w:p w14:paraId="3967080A">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2,158.92万元，实际执行总额2,155.92万元；预算绩效评价项目3个，全年预算数68.35万元，全年执行数68.35万元。预算绩效管理取得的成效：</w:t>
      </w:r>
      <w:r>
        <w:rPr>
          <w:rFonts w:hint="eastAsia" w:ascii="仿宋_GB2312" w:hAnsi="Times New Roman" w:eastAsia="仿宋_GB2312" w:cs="Times New Roman"/>
          <w:color w:val="auto"/>
          <w:spacing w:val="0"/>
          <w:kern w:val="2"/>
          <w:sz w:val="32"/>
          <w:szCs w:val="32"/>
          <w:highlight w:val="none"/>
          <w:lang w:val="en-US" w:eastAsia="zh-CN" w:bidi="ar-SA"/>
        </w:rPr>
        <w:t>一是确保资金的高效使用，切实发挥财政资金的使用效果。二是严格按照工作职责和相关文件依据，确保专款专用。三是严格控制资金的流出方向，确保资金的合规性</w:t>
      </w:r>
      <w:r>
        <w:rPr>
          <w:rFonts w:ascii="仿宋_GB2312" w:hAnsi="仿宋_GB2312" w:eastAsia="仿宋_GB2312"/>
          <w:b w:val="0"/>
          <w:sz w:val="32"/>
        </w:rPr>
        <w:t>。发现的问题及原因：一是融合创作队伍能力素质薄弱。县融媒体中心是以广播电视台为主体改革建设成立，缺乏系统化、规范化、体系化的培训学习，综合能力素质还无法适应从“纸与笔”到“数与网”的转变。二是仍然难以跳出媒体看待媒体。在互联网自媒体成为传媒主导的当下，县融媒体中心缺乏造血功能，自我定性为公益类事业单位，依赖财政补贴进行运转，无政策和渠道实现网络流量“变现”，无法走上良性运转的轨道。三是部分宣传产品“碎片化”现象突出。部分主题类、系列类宣传产品缺乏深度挖掘报道，在“发现新闻背后的新闻”方面用功不足，宣传报道形式零碎。下一步改进措施：</w:t>
      </w:r>
      <w:r>
        <w:rPr>
          <w:rFonts w:hint="default" w:ascii="仿宋_GB2312" w:hAnsi="Times New Roman" w:eastAsia="仿宋_GB2312" w:cs="Times New Roman"/>
          <w:color w:val="auto"/>
          <w:spacing w:val="0"/>
          <w:kern w:val="2"/>
          <w:sz w:val="32"/>
          <w:szCs w:val="32"/>
          <w:highlight w:val="none"/>
          <w:lang w:val="en-US" w:eastAsia="zh-CN" w:bidi="ar-SA"/>
        </w:rPr>
        <w:t>一是加强学习，进一步明确如何参照考核体系，科学合理设定绩效目标，充分发挥预算绩效管理工作效用。二是财务上会计核算要更加详细，为本单位各项工作的开展、总结、评估提供有效数据资料支撑,为各项业务工作更好</w:t>
      </w:r>
      <w:r>
        <w:rPr>
          <w:rFonts w:hint="eastAsia" w:ascii="仿宋_GB2312" w:hAnsi="Times New Roman" w:eastAsia="仿宋_GB2312" w:cs="Times New Roman"/>
          <w:color w:val="auto"/>
          <w:spacing w:val="0"/>
          <w:kern w:val="2"/>
          <w:sz w:val="32"/>
          <w:szCs w:val="32"/>
          <w:highlight w:val="none"/>
          <w:lang w:val="en-US" w:eastAsia="zh-CN" w:bidi="ar-SA"/>
        </w:rPr>
        <w:t>地</w:t>
      </w:r>
      <w:r>
        <w:rPr>
          <w:rFonts w:hint="default" w:ascii="仿宋_GB2312" w:hAnsi="Times New Roman" w:eastAsia="仿宋_GB2312" w:cs="Times New Roman"/>
          <w:color w:val="auto"/>
          <w:spacing w:val="0"/>
          <w:kern w:val="2"/>
          <w:sz w:val="32"/>
          <w:szCs w:val="32"/>
          <w:highlight w:val="none"/>
          <w:lang w:val="en-US" w:eastAsia="zh-CN" w:bidi="ar-SA"/>
        </w:rPr>
        <w:t>开展提供帮助。三是从源头上</w:t>
      </w:r>
      <w:r>
        <w:rPr>
          <w:rFonts w:hint="eastAsia" w:ascii="仿宋_GB2312" w:hAnsi="Times New Roman" w:eastAsia="仿宋_GB2312" w:cs="Times New Roman"/>
          <w:color w:val="auto"/>
          <w:spacing w:val="0"/>
          <w:kern w:val="2"/>
          <w:sz w:val="32"/>
          <w:szCs w:val="32"/>
          <w:highlight w:val="none"/>
          <w:lang w:val="en-US" w:eastAsia="zh-CN" w:bidi="ar-SA"/>
        </w:rPr>
        <w:t>强化</w:t>
      </w:r>
      <w:r>
        <w:rPr>
          <w:rFonts w:hint="default" w:ascii="仿宋_GB2312" w:hAnsi="Times New Roman" w:eastAsia="仿宋_GB2312" w:cs="Times New Roman"/>
          <w:color w:val="auto"/>
          <w:spacing w:val="0"/>
          <w:kern w:val="2"/>
          <w:sz w:val="32"/>
          <w:szCs w:val="32"/>
          <w:highlight w:val="none"/>
          <w:lang w:val="en-US" w:eastAsia="zh-CN" w:bidi="ar-SA"/>
        </w:rPr>
        <w:t>专项资金预算管理，实行专项资金预算管理，结合单位实际,按轻重缓急统筹安排编制预算,提高预算编制科学性和合理性，优化资金结构</w:t>
      </w:r>
      <w:r>
        <w:rPr>
          <w:rFonts w:ascii="仿宋_GB2312" w:hAnsi="仿宋_GB2312" w:eastAsia="仿宋_GB2312"/>
          <w:b w:val="0"/>
          <w:sz w:val="32"/>
        </w:rPr>
        <w:t>。具体附整体支出绩效自评表，项目支出绩效自评表。</w:t>
      </w:r>
    </w:p>
    <w:p w14:paraId="504A651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1062D9E">
        <w:tblPrEx>
          <w:tblCellMar>
            <w:top w:w="0" w:type="dxa"/>
            <w:left w:w="108" w:type="dxa"/>
            <w:bottom w:w="0" w:type="dxa"/>
            <w:right w:w="108" w:type="dxa"/>
          </w:tblCellMar>
        </w:tblPrEx>
        <w:tc>
          <w:tcPr>
            <w:tcW w:w="8847" w:type="dxa"/>
            <w:gridSpan w:val="9"/>
            <w:vAlign w:val="center"/>
          </w:tcPr>
          <w:p w14:paraId="685799B2">
            <w:pPr>
              <w:jc w:val="center"/>
            </w:pPr>
            <w:r>
              <w:rPr>
                <w:rFonts w:ascii="宋体" w:hAnsi="宋体" w:eastAsia="宋体"/>
                <w:sz w:val="24"/>
              </w:rPr>
              <w:t>单位整体支出绩效自评表</w:t>
            </w:r>
          </w:p>
        </w:tc>
      </w:tr>
      <w:tr w14:paraId="6B0A38F9">
        <w:tblPrEx>
          <w:tblCellMar>
            <w:top w:w="0" w:type="dxa"/>
            <w:left w:w="108" w:type="dxa"/>
            <w:bottom w:w="0" w:type="dxa"/>
            <w:right w:w="108" w:type="dxa"/>
          </w:tblCellMar>
        </w:tblPrEx>
        <w:tc>
          <w:tcPr>
            <w:tcW w:w="8847" w:type="dxa"/>
            <w:gridSpan w:val="9"/>
            <w:vAlign w:val="center"/>
          </w:tcPr>
          <w:p w14:paraId="3949963C">
            <w:pPr>
              <w:jc w:val="center"/>
            </w:pPr>
            <w:r>
              <w:rPr>
                <w:rFonts w:ascii="宋体" w:hAnsi="宋体" w:eastAsia="宋体"/>
                <w:sz w:val="24"/>
              </w:rPr>
              <w:t>（2024年度）</w:t>
            </w:r>
          </w:p>
        </w:tc>
      </w:tr>
      <w:tr w14:paraId="2CE515F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31CFE2">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9124098">
            <w:pPr>
              <w:jc w:val="center"/>
            </w:pPr>
            <w:r>
              <w:rPr>
                <w:rFonts w:ascii="宋体" w:hAnsi="宋体" w:eastAsia="宋体"/>
                <w:sz w:val="16"/>
              </w:rPr>
              <w:t>吉木萨尔县融媒体中心</w:t>
            </w:r>
          </w:p>
        </w:tc>
      </w:tr>
      <w:tr w14:paraId="645EF72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1C4E56">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10736">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872AE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003D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8A90C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5410D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8C05E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72F73">
            <w:pPr>
              <w:jc w:val="center"/>
            </w:pPr>
            <w:r>
              <w:rPr>
                <w:rFonts w:ascii="宋体" w:hAnsi="宋体" w:eastAsia="宋体"/>
                <w:sz w:val="16"/>
              </w:rPr>
              <w:t>得分</w:t>
            </w:r>
          </w:p>
        </w:tc>
      </w:tr>
      <w:tr w14:paraId="347D66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301FD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2BA0C">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54B9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4A1AA">
            <w:pPr>
              <w:jc w:val="center"/>
            </w:pPr>
            <w:r>
              <w:rPr>
                <w:rFonts w:ascii="宋体" w:hAnsi="宋体" w:eastAsia="宋体"/>
                <w:sz w:val="16"/>
              </w:rPr>
              <w:t>78.73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F13A1">
            <w:pPr>
              <w:jc w:val="center"/>
            </w:pPr>
            <w:r>
              <w:rPr>
                <w:rFonts w:ascii="宋体" w:hAnsi="宋体" w:eastAsia="宋体"/>
                <w:sz w:val="16"/>
              </w:rPr>
              <w:t>78.73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2C91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9747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0411D">
            <w:pPr>
              <w:jc w:val="center"/>
            </w:pPr>
            <w:r>
              <w:rPr>
                <w:rFonts w:ascii="宋体" w:hAnsi="宋体" w:eastAsia="宋体"/>
                <w:sz w:val="16"/>
              </w:rPr>
              <w:t>-</w:t>
            </w:r>
          </w:p>
        </w:tc>
      </w:tr>
      <w:tr w14:paraId="0CC07F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05773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9CAEC">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1C923">
            <w:pPr>
              <w:jc w:val="center"/>
            </w:pPr>
            <w:r>
              <w:rPr>
                <w:rFonts w:ascii="宋体" w:hAnsi="宋体" w:eastAsia="宋体"/>
                <w:sz w:val="16"/>
              </w:rPr>
              <w:t>926.15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CED3F">
            <w:pPr>
              <w:jc w:val="center"/>
            </w:pPr>
            <w:r>
              <w:rPr>
                <w:rFonts w:ascii="宋体" w:hAnsi="宋体" w:eastAsia="宋体"/>
                <w:sz w:val="16"/>
              </w:rPr>
              <w:t>2,080.19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360A2">
            <w:pPr>
              <w:jc w:val="center"/>
            </w:pPr>
            <w:r>
              <w:rPr>
                <w:rFonts w:ascii="宋体" w:hAnsi="宋体" w:eastAsia="宋体"/>
                <w:sz w:val="16"/>
              </w:rPr>
              <w:t>2,077.19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52070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0782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D707D">
            <w:pPr>
              <w:jc w:val="center"/>
            </w:pPr>
            <w:r>
              <w:rPr>
                <w:rFonts w:ascii="宋体" w:hAnsi="宋体" w:eastAsia="宋体"/>
                <w:sz w:val="16"/>
              </w:rPr>
              <w:t>-</w:t>
            </w:r>
          </w:p>
        </w:tc>
      </w:tr>
      <w:tr w14:paraId="7193A7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DFB05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A3680">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649B5">
            <w:pPr>
              <w:jc w:val="center"/>
            </w:pPr>
            <w:r>
              <w:rPr>
                <w:rFonts w:ascii="宋体" w:hAnsi="宋体" w:eastAsia="宋体"/>
                <w:sz w:val="16"/>
              </w:rPr>
              <w:t>32.33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C8CD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46812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8D51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8980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6B61F">
            <w:pPr>
              <w:jc w:val="center"/>
            </w:pPr>
            <w:r>
              <w:rPr>
                <w:rFonts w:ascii="宋体" w:hAnsi="宋体" w:eastAsia="宋体"/>
                <w:sz w:val="16"/>
              </w:rPr>
              <w:t>-</w:t>
            </w:r>
          </w:p>
        </w:tc>
      </w:tr>
      <w:tr w14:paraId="1856C4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F03F5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D8BBB">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C8EB3">
            <w:pPr>
              <w:jc w:val="center"/>
            </w:pPr>
            <w:r>
              <w:rPr>
                <w:rFonts w:ascii="宋体" w:hAnsi="宋体" w:eastAsia="宋体"/>
                <w:sz w:val="16"/>
              </w:rPr>
              <w:t>958.48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B5D18">
            <w:pPr>
              <w:jc w:val="center"/>
            </w:pPr>
            <w:r>
              <w:rPr>
                <w:rFonts w:ascii="宋体" w:hAnsi="宋体" w:eastAsia="宋体"/>
                <w:sz w:val="16"/>
              </w:rPr>
              <w:t>2,158.92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34C1F">
            <w:pPr>
              <w:jc w:val="center"/>
            </w:pPr>
            <w:r>
              <w:rPr>
                <w:rFonts w:ascii="宋体" w:hAnsi="宋体" w:eastAsia="宋体"/>
                <w:sz w:val="16"/>
              </w:rPr>
              <w:t>2,155.92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35D77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50F63">
            <w:pPr>
              <w:jc w:val="center"/>
            </w:pPr>
            <w:r>
              <w:rPr>
                <w:rFonts w:ascii="宋体" w:hAnsi="宋体" w:eastAsia="宋体"/>
                <w:sz w:val="16"/>
              </w:rPr>
              <w:t>99.86%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3025F">
            <w:pPr>
              <w:jc w:val="center"/>
            </w:pPr>
            <w:r>
              <w:rPr>
                <w:rFonts w:ascii="宋体" w:hAnsi="宋体" w:eastAsia="宋体"/>
                <w:sz w:val="16"/>
              </w:rPr>
              <w:t>9.98</w:t>
            </w:r>
          </w:p>
        </w:tc>
      </w:tr>
      <w:tr w14:paraId="6C61718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595FD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8A734A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6A55BD">
            <w:pPr>
              <w:jc w:val="center"/>
            </w:pPr>
            <w:r>
              <w:rPr>
                <w:rFonts w:ascii="宋体" w:hAnsi="宋体" w:eastAsia="宋体"/>
                <w:sz w:val="16"/>
              </w:rPr>
              <w:t>实际完成情况</w:t>
            </w:r>
          </w:p>
        </w:tc>
      </w:tr>
      <w:tr w14:paraId="1527A2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A725C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9CAE7A3">
            <w:pPr>
              <w:jc w:val="both"/>
            </w:pPr>
            <w:r>
              <w:rPr>
                <w:rFonts w:ascii="宋体" w:hAnsi="宋体" w:eastAsia="宋体"/>
                <w:sz w:val="16"/>
              </w:rPr>
              <w:t>全面贯彻广播电视、新闻宣传事业建设发展的路线方针，政策及国家法律法规的落实。一.通过保障单位在职人员和退休人员、编外人员的工资、奖金、绩效、社会保险缴费、住房公积金正常发放和缴纳，稳定干部职工队伍；二.及时支付公用经费，包含办公费、邮电费、差旅费、公务用车运行费、工会经费、劳务费等，确保单位正常工作运行。</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B0A223">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全年预算数为2158.91万元，全年执行数为2155.92万元，主要完成任务内容如下：1.实际完成保障单位在职人员和退休人员、编外人员的工资、奖金、绩效、社会保险缴费、住房公积金正常发放和缴纳，稳定干部职工队伍；2.实际完成及时支付公用经费，包含办公费、邮电费、差旅费、公务用车运行费、工会经费、劳务费等，确保单位正常工作运行。</w:t>
            </w:r>
          </w:p>
        </w:tc>
      </w:tr>
      <w:tr w14:paraId="27441D5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D2E8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C24D0">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690B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83A8C">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0726C">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FBAD4">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CD7BC">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2A2B2">
            <w:pPr>
              <w:jc w:val="center"/>
            </w:pPr>
            <w:r>
              <w:rPr>
                <w:rFonts w:ascii="宋体" w:hAnsi="宋体" w:eastAsia="宋体"/>
                <w:sz w:val="16"/>
              </w:rPr>
              <w:t>得分</w:t>
            </w:r>
          </w:p>
        </w:tc>
      </w:tr>
      <w:tr w14:paraId="10364AC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41B2FD">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C93DB0">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5B751">
            <w:pPr>
              <w:jc w:val="center"/>
            </w:pPr>
            <w:r>
              <w:rPr>
                <w:rFonts w:ascii="宋体" w:hAnsi="宋体" w:eastAsia="宋体"/>
                <w:sz w:val="16"/>
              </w:rPr>
              <w:t>邀请上级媒体业务骨干授课培训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B7A72">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04001">
            <w:pPr>
              <w:jc w:val="center"/>
            </w:pPr>
            <w:r>
              <w:rPr>
                <w:rFonts w:ascii="宋体" w:hAnsi="宋体" w:eastAsia="宋体"/>
                <w:sz w:val="16"/>
              </w:rPr>
              <w:t>吉木萨尔县融媒体中心2023年工作总结及2024年工作计划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5E4B9">
            <w:pPr>
              <w:jc w:val="center"/>
            </w:pPr>
            <w:r>
              <w:rPr>
                <w:rFonts w:ascii="宋体" w:hAnsi="宋体" w:eastAsia="宋体"/>
                <w:sz w:val="16"/>
              </w:rPr>
              <w:t>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741D5">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D4BE4">
            <w:pPr>
              <w:jc w:val="center"/>
            </w:pPr>
            <w:r>
              <w:rPr>
                <w:rFonts w:ascii="宋体" w:hAnsi="宋体" w:eastAsia="宋体"/>
                <w:sz w:val="16"/>
              </w:rPr>
              <w:t>13</w:t>
            </w:r>
          </w:p>
        </w:tc>
      </w:tr>
      <w:tr w14:paraId="31BEE1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97006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A4285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C2241">
            <w:pPr>
              <w:jc w:val="center"/>
            </w:pPr>
            <w:r>
              <w:rPr>
                <w:rFonts w:ascii="宋体" w:hAnsi="宋体" w:eastAsia="宋体"/>
                <w:sz w:val="16"/>
              </w:rPr>
              <w:t>开展网络直播推广宣传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A1F7F">
            <w:pPr>
              <w:jc w:val="center"/>
            </w:pPr>
            <w:r>
              <w:rPr>
                <w:rFonts w:ascii="宋体" w:hAnsi="宋体" w:eastAsia="宋体"/>
                <w:sz w:val="16"/>
              </w:rPr>
              <w:t>&gt;=10次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AA672">
            <w:pPr>
              <w:jc w:val="center"/>
            </w:pPr>
            <w:r>
              <w:rPr>
                <w:rFonts w:ascii="宋体" w:hAnsi="宋体" w:eastAsia="宋体"/>
                <w:sz w:val="16"/>
              </w:rPr>
              <w:t>吉木萨尔县融媒体中心2023年工作总结及2024年工作计划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56B076">
            <w:pPr>
              <w:jc w:val="center"/>
            </w:pPr>
            <w:r>
              <w:rPr>
                <w:rFonts w:ascii="宋体" w:hAnsi="宋体" w:eastAsia="宋体"/>
                <w:sz w:val="16"/>
              </w:rPr>
              <w:t>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B17D2">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605B83">
            <w:pPr>
              <w:jc w:val="center"/>
            </w:pPr>
            <w:r>
              <w:rPr>
                <w:rFonts w:ascii="宋体" w:hAnsi="宋体" w:eastAsia="宋体"/>
                <w:sz w:val="16"/>
              </w:rPr>
              <w:t>21</w:t>
            </w:r>
          </w:p>
        </w:tc>
      </w:tr>
      <w:tr w14:paraId="02A3BE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59C12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FA49B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10676">
            <w:pPr>
              <w:jc w:val="center"/>
            </w:pPr>
            <w:r>
              <w:rPr>
                <w:rFonts w:ascii="宋体" w:hAnsi="宋体" w:eastAsia="宋体"/>
                <w:sz w:val="16"/>
              </w:rPr>
              <w:t>制作“正能量”方言情景剧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75A0F">
            <w:pPr>
              <w:jc w:val="center"/>
            </w:pPr>
            <w:r>
              <w:rPr>
                <w:rFonts w:ascii="宋体" w:hAnsi="宋体" w:eastAsia="宋体"/>
                <w:sz w:val="16"/>
              </w:rPr>
              <w:t>&gt;=2部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5C57B">
            <w:pPr>
              <w:jc w:val="center"/>
            </w:pPr>
            <w:r>
              <w:rPr>
                <w:rFonts w:ascii="宋体" w:hAnsi="宋体" w:eastAsia="宋体"/>
                <w:sz w:val="16"/>
              </w:rPr>
              <w:t>吉木萨尔县融媒体中心2023年工作总结及2024年工作计划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31AEE">
            <w:pPr>
              <w:jc w:val="center"/>
            </w:pPr>
            <w:r>
              <w:rPr>
                <w:rFonts w:ascii="宋体" w:hAnsi="宋体" w:eastAsia="宋体"/>
                <w:sz w:val="16"/>
              </w:rPr>
              <w:t>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C5DB3">
            <w:pPr>
              <w:jc w:val="center"/>
            </w:pPr>
            <w:r>
              <w:rPr>
                <w:rFonts w:ascii="宋体" w:hAnsi="宋体" w:eastAsia="宋体"/>
                <w:sz w:val="16"/>
              </w:rPr>
              <w:t>=2部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C6EB0">
            <w:pPr>
              <w:jc w:val="center"/>
            </w:pPr>
            <w:r>
              <w:rPr>
                <w:rFonts w:ascii="宋体" w:hAnsi="宋体" w:eastAsia="宋体"/>
                <w:sz w:val="16"/>
              </w:rPr>
              <w:t>22</w:t>
            </w:r>
          </w:p>
        </w:tc>
      </w:tr>
      <w:tr w14:paraId="790883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823B9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0675A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E4587">
            <w:pPr>
              <w:jc w:val="center"/>
            </w:pPr>
            <w:r>
              <w:rPr>
                <w:rFonts w:ascii="宋体" w:hAnsi="宋体" w:eastAsia="宋体"/>
                <w:sz w:val="16"/>
              </w:rPr>
              <w:t>开展安全播出应急演练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75ACE">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34AA9">
            <w:pPr>
              <w:jc w:val="center"/>
            </w:pPr>
            <w:r>
              <w:rPr>
                <w:rFonts w:ascii="宋体" w:hAnsi="宋体" w:eastAsia="宋体"/>
                <w:sz w:val="16"/>
              </w:rPr>
              <w:t>吉木萨尔县融媒体中心2023年工作总结及2024年工作计划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25E92">
            <w:pPr>
              <w:jc w:val="center"/>
            </w:pPr>
            <w:r>
              <w:rPr>
                <w:rFonts w:ascii="宋体" w:hAnsi="宋体" w:eastAsia="宋体"/>
                <w:sz w:val="16"/>
              </w:rPr>
              <w:t>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32AA2">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81187">
            <w:pPr>
              <w:jc w:val="center"/>
            </w:pPr>
            <w:r>
              <w:rPr>
                <w:rFonts w:ascii="宋体" w:hAnsi="宋体" w:eastAsia="宋体"/>
                <w:sz w:val="16"/>
              </w:rPr>
              <w:t>19</w:t>
            </w:r>
          </w:p>
        </w:tc>
      </w:tr>
      <w:tr w14:paraId="567CCD6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C5823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48F67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CA371">
            <w:pPr>
              <w:jc w:val="center"/>
            </w:pPr>
            <w:r>
              <w:rPr>
                <w:rFonts w:ascii="宋体" w:hAnsi="宋体" w:eastAsia="宋体"/>
                <w:sz w:val="16"/>
              </w:rPr>
              <w:t>对广播电视基础设备开展巡检维护</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A2BC8">
            <w:pPr>
              <w:jc w:val="center"/>
            </w:pPr>
            <w:r>
              <w:rPr>
                <w:rFonts w:ascii="宋体" w:hAnsi="宋体" w:eastAsia="宋体"/>
                <w:sz w:val="16"/>
              </w:rPr>
              <w:t>&gt;=4次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BBD2B">
            <w:pPr>
              <w:jc w:val="center"/>
            </w:pPr>
            <w:r>
              <w:rPr>
                <w:rFonts w:ascii="宋体" w:hAnsi="宋体" w:eastAsia="宋体"/>
                <w:sz w:val="16"/>
              </w:rPr>
              <w:t>吉木萨尔县融媒体中心2023年工作总结及2024年工作计划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8603C">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FF77DC">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01A93">
            <w:pPr>
              <w:jc w:val="center"/>
            </w:pPr>
            <w:r>
              <w:rPr>
                <w:rFonts w:ascii="宋体" w:hAnsi="宋体" w:eastAsia="宋体"/>
                <w:sz w:val="16"/>
              </w:rPr>
              <w:t>15</w:t>
            </w:r>
          </w:p>
        </w:tc>
      </w:tr>
    </w:tbl>
    <w:p w14:paraId="77B2FF2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96"/>
        <w:gridCol w:w="632"/>
        <w:gridCol w:w="632"/>
        <w:gridCol w:w="632"/>
        <w:gridCol w:w="632"/>
        <w:gridCol w:w="632"/>
        <w:gridCol w:w="632"/>
        <w:gridCol w:w="632"/>
      </w:tblGrid>
      <w:tr w14:paraId="12C44C6B">
        <w:tblPrEx>
          <w:tblCellMar>
            <w:top w:w="0" w:type="dxa"/>
            <w:left w:w="108" w:type="dxa"/>
            <w:bottom w:w="0" w:type="dxa"/>
            <w:right w:w="108" w:type="dxa"/>
          </w:tblCellMar>
        </w:tblPrEx>
        <w:tc>
          <w:tcPr>
            <w:tcW w:w="8848" w:type="dxa"/>
            <w:gridSpan w:val="14"/>
            <w:vAlign w:val="center"/>
          </w:tcPr>
          <w:p w14:paraId="03630869">
            <w:pPr>
              <w:jc w:val="center"/>
            </w:pPr>
            <w:r>
              <w:rPr>
                <w:rFonts w:ascii="宋体" w:hAnsi="宋体" w:eastAsia="宋体"/>
                <w:sz w:val="24"/>
              </w:rPr>
              <w:t>项目支出绩效自评表</w:t>
            </w:r>
          </w:p>
        </w:tc>
      </w:tr>
      <w:tr w14:paraId="2843C005">
        <w:tblPrEx>
          <w:tblCellMar>
            <w:top w:w="0" w:type="dxa"/>
            <w:left w:w="108" w:type="dxa"/>
            <w:bottom w:w="0" w:type="dxa"/>
            <w:right w:w="108" w:type="dxa"/>
          </w:tblCellMar>
        </w:tblPrEx>
        <w:tc>
          <w:tcPr>
            <w:tcW w:w="8848" w:type="dxa"/>
            <w:gridSpan w:val="14"/>
            <w:vAlign w:val="center"/>
          </w:tcPr>
          <w:p w14:paraId="6BB4F1DB">
            <w:pPr>
              <w:jc w:val="center"/>
            </w:pPr>
            <w:r>
              <w:rPr>
                <w:rFonts w:ascii="宋体" w:hAnsi="宋体" w:eastAsia="宋体"/>
                <w:sz w:val="24"/>
              </w:rPr>
              <w:t>(2024年度)</w:t>
            </w:r>
          </w:p>
        </w:tc>
      </w:tr>
      <w:tr w14:paraId="32A7E2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6E73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01C09B8">
            <w:pPr>
              <w:jc w:val="center"/>
            </w:pPr>
            <w:r>
              <w:rPr>
                <w:rFonts w:ascii="宋体" w:hAnsi="宋体" w:eastAsia="宋体"/>
                <w:sz w:val="16"/>
              </w:rPr>
              <w:t>昌州财教</w:t>
            </w:r>
            <w:r>
              <w:rPr>
                <w:rFonts w:hint="eastAsia" w:ascii="宋体" w:hAnsi="宋体"/>
                <w:sz w:val="16"/>
                <w:lang w:eastAsia="zh-CN"/>
              </w:rPr>
              <w:t>〔2023〕65号</w:t>
            </w:r>
            <w:r>
              <w:rPr>
                <w:rFonts w:ascii="宋体" w:hAnsi="宋体" w:eastAsia="宋体"/>
                <w:sz w:val="16"/>
              </w:rPr>
              <w:t>关于下达自治区2024年广播电视“村村通”运行维护聘用人员经费预算</w:t>
            </w:r>
          </w:p>
        </w:tc>
      </w:tr>
      <w:tr w14:paraId="5DDDC8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70BF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11CA29">
            <w:pPr>
              <w:jc w:val="center"/>
            </w:pPr>
            <w:r>
              <w:rPr>
                <w:rFonts w:ascii="宋体" w:hAnsi="宋体" w:eastAsia="宋体"/>
                <w:sz w:val="16"/>
              </w:rPr>
              <w:t>吉木萨尔</w:t>
            </w:r>
            <w:r>
              <w:rPr>
                <w:rFonts w:hint="eastAsia" w:ascii="宋体" w:hAnsi="宋体"/>
                <w:sz w:val="16"/>
                <w:lang w:eastAsia="zh-CN"/>
              </w:rPr>
              <w:t>县委宣传部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D61D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D3B359">
            <w:pPr>
              <w:jc w:val="center"/>
            </w:pPr>
            <w:r>
              <w:rPr>
                <w:rFonts w:ascii="宋体" w:hAnsi="宋体" w:eastAsia="宋体"/>
                <w:sz w:val="16"/>
              </w:rPr>
              <w:t>吉木萨尔县融媒体中心</w:t>
            </w:r>
          </w:p>
        </w:tc>
      </w:tr>
      <w:tr w14:paraId="6DC3DA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A475D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37BC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0A97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F360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E28C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E60F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A114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2E784">
            <w:pPr>
              <w:jc w:val="center"/>
            </w:pPr>
            <w:r>
              <w:rPr>
                <w:rFonts w:ascii="宋体" w:hAnsi="宋体" w:eastAsia="宋体"/>
                <w:sz w:val="16"/>
              </w:rPr>
              <w:t>得分</w:t>
            </w:r>
          </w:p>
        </w:tc>
      </w:tr>
      <w:tr w14:paraId="690C48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9AA5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D371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0993E">
            <w:pPr>
              <w:jc w:val="center"/>
            </w:pPr>
            <w:r>
              <w:rPr>
                <w:rFonts w:ascii="宋体" w:hAnsi="宋体" w:eastAsia="宋体"/>
                <w:sz w:val="16"/>
              </w:rPr>
              <w:t>11.62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FA343">
            <w:pPr>
              <w:jc w:val="center"/>
            </w:pPr>
            <w:r>
              <w:rPr>
                <w:rFonts w:ascii="宋体" w:hAnsi="宋体" w:eastAsia="宋体"/>
                <w:sz w:val="16"/>
              </w:rPr>
              <w:t>11.62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9EC94">
            <w:pPr>
              <w:jc w:val="center"/>
            </w:pPr>
            <w:r>
              <w:rPr>
                <w:rFonts w:ascii="宋体" w:hAnsi="宋体" w:eastAsia="宋体"/>
                <w:sz w:val="16"/>
              </w:rPr>
              <w:t>11.62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E725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0F72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8AEE0">
            <w:pPr>
              <w:jc w:val="center"/>
            </w:pPr>
            <w:r>
              <w:rPr>
                <w:rFonts w:ascii="宋体" w:hAnsi="宋体" w:eastAsia="宋体"/>
                <w:sz w:val="16"/>
              </w:rPr>
              <w:t>10.00</w:t>
            </w:r>
          </w:p>
        </w:tc>
      </w:tr>
      <w:tr w14:paraId="14ECC6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B3E8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429A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C8E55">
            <w:pPr>
              <w:jc w:val="center"/>
            </w:pPr>
            <w:r>
              <w:rPr>
                <w:rFonts w:ascii="宋体" w:hAnsi="宋体" w:eastAsia="宋体"/>
                <w:sz w:val="16"/>
              </w:rPr>
              <w:t>11.62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9C8E3">
            <w:pPr>
              <w:jc w:val="center"/>
            </w:pPr>
            <w:r>
              <w:rPr>
                <w:rFonts w:ascii="宋体" w:hAnsi="宋体" w:eastAsia="宋体"/>
                <w:sz w:val="16"/>
              </w:rPr>
              <w:t>11.62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82B72">
            <w:pPr>
              <w:jc w:val="center"/>
            </w:pPr>
            <w:r>
              <w:rPr>
                <w:rFonts w:ascii="宋体" w:hAnsi="宋体" w:eastAsia="宋体"/>
                <w:sz w:val="16"/>
              </w:rPr>
              <w:t>11.62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CE7B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BF5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EDF40">
            <w:pPr>
              <w:jc w:val="center"/>
            </w:pPr>
            <w:r>
              <w:rPr>
                <w:rFonts w:ascii="宋体" w:hAnsi="宋体" w:eastAsia="宋体"/>
                <w:sz w:val="16"/>
              </w:rPr>
              <w:t>—</w:t>
            </w:r>
          </w:p>
        </w:tc>
      </w:tr>
      <w:tr w14:paraId="49A0FA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6A92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8BE3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92E3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FAA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05F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151A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97E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CDB54">
            <w:pPr>
              <w:jc w:val="center"/>
            </w:pPr>
            <w:r>
              <w:rPr>
                <w:rFonts w:ascii="宋体" w:hAnsi="宋体" w:eastAsia="宋体"/>
                <w:sz w:val="16"/>
              </w:rPr>
              <w:t>—</w:t>
            </w:r>
          </w:p>
        </w:tc>
      </w:tr>
      <w:tr w14:paraId="6292F3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C8EE3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7345F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2EE52F">
            <w:pPr>
              <w:jc w:val="center"/>
            </w:pPr>
            <w:r>
              <w:rPr>
                <w:rFonts w:ascii="宋体" w:hAnsi="宋体" w:eastAsia="宋体"/>
                <w:sz w:val="16"/>
              </w:rPr>
              <w:t>实际完成情况</w:t>
            </w:r>
          </w:p>
        </w:tc>
      </w:tr>
      <w:tr w14:paraId="5F742D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62CD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727F19">
            <w:pPr>
              <w:jc w:val="both"/>
            </w:pPr>
            <w:r>
              <w:rPr>
                <w:rFonts w:ascii="宋体" w:hAnsi="宋体" w:eastAsia="宋体"/>
                <w:sz w:val="16"/>
              </w:rPr>
              <w:t>1.通过财政预算安排“村村通”人员待遇的方式，稳定基层“村村通”技术人员队伍，确保广播电视节目正常收听收看。 2.有效保障广播电视节目正常播放。 3.稳定人员队伍，确保工作正常开展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8AD444">
            <w:pPr>
              <w:jc w:val="both"/>
            </w:pPr>
            <w:r>
              <w:rPr>
                <w:rFonts w:hint="eastAsia" w:ascii="宋体" w:hAnsi="宋体"/>
                <w:sz w:val="16"/>
                <w:lang w:eastAsia="zh-CN"/>
              </w:rPr>
              <w:t>截至2024</w:t>
            </w:r>
            <w:r>
              <w:rPr>
                <w:rFonts w:ascii="宋体" w:hAnsi="宋体" w:eastAsia="宋体"/>
                <w:sz w:val="16"/>
              </w:rPr>
              <w:t>年12月31日，项目实际支出11.62万元，预算执行率为100%，通过本项目的实施，稳定了基层“村村通”运行维护技术人员队伍，确保了广播电视“村村通”设备的正常运行，保障了广播电视节目信号的正常接收，提升了广大广播电视用户正常收听收看节目的体验感。更好</w:t>
            </w:r>
            <w:r>
              <w:rPr>
                <w:rFonts w:hint="eastAsia" w:ascii="宋体" w:hAnsi="宋体"/>
                <w:sz w:val="16"/>
                <w:lang w:eastAsia="zh-CN"/>
              </w:rPr>
              <w:t>地</w:t>
            </w:r>
            <w:r>
              <w:rPr>
                <w:rFonts w:ascii="宋体" w:hAnsi="宋体" w:eastAsia="宋体"/>
                <w:sz w:val="16"/>
              </w:rPr>
              <w:t>维护好了文化阵地安全。</w:t>
            </w:r>
          </w:p>
        </w:tc>
      </w:tr>
      <w:tr w14:paraId="296242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0DADE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394C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7E2D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5309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31E3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0C5E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5AF18">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9FE0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2CA7F">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7D48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2F7F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5104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A721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49823">
            <w:pPr>
              <w:jc w:val="center"/>
            </w:pPr>
            <w:r>
              <w:rPr>
                <w:rFonts w:ascii="宋体" w:hAnsi="宋体" w:eastAsia="宋体"/>
                <w:sz w:val="16"/>
              </w:rPr>
              <w:t>偏差原因分析及改进措施</w:t>
            </w:r>
          </w:p>
        </w:tc>
      </w:tr>
      <w:tr w14:paraId="3F37346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F4B5E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92EAB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48B7F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86519">
            <w:pPr>
              <w:jc w:val="center"/>
            </w:pPr>
            <w:r>
              <w:rPr>
                <w:rFonts w:ascii="宋体" w:hAnsi="宋体" w:eastAsia="宋体"/>
                <w:sz w:val="16"/>
              </w:rPr>
              <w:t>发放补助人数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C1D79">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D6F76">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952CB">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5F6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11D1C">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DEE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6D6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B92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010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AD877">
            <w:pPr>
              <w:jc w:val="center"/>
            </w:pPr>
          </w:p>
        </w:tc>
      </w:tr>
      <w:tr w14:paraId="1C9DA2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978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795D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4DBF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424A9">
            <w:pPr>
              <w:jc w:val="center"/>
            </w:pPr>
            <w:r>
              <w:rPr>
                <w:rFonts w:ascii="宋体" w:hAnsi="宋体" w:eastAsia="宋体"/>
                <w:sz w:val="16"/>
              </w:rPr>
              <w:t>发放补助次数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214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9BC2E">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4934B">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4ED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BD1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06C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E20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3EB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8EE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DAE0A">
            <w:pPr>
              <w:jc w:val="center"/>
            </w:pPr>
          </w:p>
        </w:tc>
      </w:tr>
      <w:tr w14:paraId="5CE925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335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5B94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5C29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97E8F">
            <w:pPr>
              <w:jc w:val="center"/>
            </w:pPr>
            <w:r>
              <w:rPr>
                <w:rFonts w:ascii="宋体" w:hAnsi="宋体" w:eastAsia="宋体"/>
                <w:sz w:val="16"/>
              </w:rPr>
              <w:t>聘用人员年度考核合格率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A97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59BB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FB8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20590">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F6324">
            <w:pPr>
              <w:jc w:val="center"/>
            </w:pPr>
            <w:r>
              <w:rPr>
                <w:rFonts w:ascii="宋体" w:hAnsi="宋体" w:eastAsia="宋体"/>
                <w:sz w:val="16"/>
              </w:rPr>
              <w:t>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7E6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689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4BF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14C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AD2D5">
            <w:pPr>
              <w:jc w:val="center"/>
            </w:pPr>
            <w:r>
              <w:rPr>
                <w:rFonts w:ascii="宋体" w:hAnsi="宋体" w:eastAsia="宋体"/>
                <w:sz w:val="16"/>
              </w:rPr>
              <w:t>原因为预期指标值设置过低，指标在实际完成中超额完成。</w:t>
            </w:r>
          </w:p>
        </w:tc>
      </w:tr>
      <w:tr w14:paraId="7AC7F1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049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DD53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89D5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43571">
            <w:pPr>
              <w:jc w:val="center"/>
            </w:pPr>
            <w:r>
              <w:rPr>
                <w:rFonts w:ascii="宋体" w:hAnsi="宋体" w:eastAsia="宋体"/>
                <w:sz w:val="16"/>
              </w:rPr>
              <w:t>补助资金发放及时率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8399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66B5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1D1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8ECB2">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5376D">
            <w:pPr>
              <w:jc w:val="center"/>
            </w:pPr>
            <w:r>
              <w:rPr>
                <w:rFonts w:ascii="宋体" w:hAnsi="宋体" w:eastAsia="宋体"/>
                <w:sz w:val="16"/>
              </w:rPr>
              <w:t>7.12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3B2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906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D66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344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FD8F9">
            <w:pPr>
              <w:jc w:val="center"/>
            </w:pPr>
            <w:r>
              <w:rPr>
                <w:rFonts w:ascii="宋体" w:hAnsi="宋体" w:eastAsia="宋体"/>
                <w:sz w:val="16"/>
              </w:rPr>
              <w:t>原因为预期指标值设置过低，指标在实际完成中超额完成。</w:t>
            </w:r>
          </w:p>
        </w:tc>
      </w:tr>
      <w:tr w14:paraId="6C740E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823D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C783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1EAE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4DC8B">
            <w:pPr>
              <w:jc w:val="center"/>
            </w:pPr>
            <w:r>
              <w:rPr>
                <w:rFonts w:ascii="宋体" w:hAnsi="宋体" w:eastAsia="宋体"/>
                <w:sz w:val="16"/>
              </w:rPr>
              <w:t>每次发放资金数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210D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71B51">
            <w:pPr>
              <w:jc w:val="center"/>
            </w:pPr>
            <w:r>
              <w:rPr>
                <w:rFonts w:ascii="宋体" w:hAnsi="宋体" w:eastAsia="宋体"/>
                <w:sz w:val="16"/>
              </w:rPr>
              <w:t>&lt;=0.96万元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90F27">
            <w:pPr>
              <w:jc w:val="center"/>
            </w:pPr>
            <w:r>
              <w:rPr>
                <w:rFonts w:ascii="宋体" w:hAnsi="宋体" w:eastAsia="宋体"/>
                <w:sz w:val="16"/>
              </w:rPr>
              <w:t>=0.96万元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324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0EBB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509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0A0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6E3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A80A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759C0">
            <w:pPr>
              <w:jc w:val="center"/>
            </w:pPr>
          </w:p>
        </w:tc>
      </w:tr>
      <w:tr w14:paraId="317174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2F0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4AA4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4553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F99B2">
            <w:pPr>
              <w:jc w:val="center"/>
            </w:pPr>
            <w:r>
              <w:rPr>
                <w:rFonts w:ascii="宋体" w:hAnsi="宋体" w:eastAsia="宋体"/>
                <w:sz w:val="16"/>
              </w:rPr>
              <w:t>提高我县村村通运行维护水平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3FAC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77275">
            <w:pPr>
              <w:jc w:val="center"/>
            </w:pPr>
            <w:r>
              <w:rPr>
                <w:rFonts w:ascii="宋体" w:hAnsi="宋体" w:eastAsia="宋体"/>
                <w:sz w:val="16"/>
              </w:rPr>
              <w:t>长期有效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6DBF3">
            <w:pPr>
              <w:jc w:val="center"/>
            </w:pPr>
            <w:r>
              <w:rPr>
                <w:rFonts w:ascii="宋体" w:hAnsi="宋体" w:eastAsia="宋体"/>
                <w:sz w:val="16"/>
              </w:rPr>
              <w:t>长期有效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E73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2405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7D4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0BA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3F8B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D93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79B1C">
            <w:pPr>
              <w:jc w:val="center"/>
            </w:pPr>
          </w:p>
        </w:tc>
      </w:tr>
      <w:tr w14:paraId="252C2F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77FA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A8CE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3046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69745">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16D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2F69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E55E2">
            <w:pPr>
              <w:jc w:val="center"/>
            </w:pPr>
            <w:r>
              <w:rPr>
                <w:rFonts w:ascii="宋体" w:hAnsi="宋体" w:eastAsia="宋体"/>
                <w:sz w:val="16"/>
              </w:rPr>
              <w:t>=96.7%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5FD4D">
            <w:pPr>
              <w:jc w:val="center"/>
            </w:pPr>
            <w:r>
              <w:rPr>
                <w:rFonts w:ascii="宋体" w:hAnsi="宋体" w:eastAsia="宋体"/>
                <w:sz w:val="16"/>
              </w:rPr>
              <w:t>107%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250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D7E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DD0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A770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8A1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0A585">
            <w:pPr>
              <w:jc w:val="center"/>
            </w:pPr>
            <w:r>
              <w:rPr>
                <w:rFonts w:ascii="宋体" w:hAnsi="宋体" w:eastAsia="宋体"/>
                <w:sz w:val="16"/>
              </w:rPr>
              <w:t>原因为预期指标值设置过低，指标在实际完成中超额完成。</w:t>
            </w:r>
          </w:p>
        </w:tc>
      </w:tr>
      <w:tr w14:paraId="6154C7B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6ADE61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A89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D11F3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24A54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474F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160A4">
            <w:pPr>
              <w:jc w:val="center"/>
            </w:pPr>
            <w:r>
              <w:rPr>
                <w:rFonts w:ascii="宋体" w:hAnsi="宋体" w:eastAsia="宋体"/>
                <w:sz w:val="16"/>
              </w:rPr>
              <w:t>98.02分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F6E82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B1481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EB099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1E8C8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DD6614"/>
        </w:tc>
      </w:tr>
    </w:tbl>
    <w:p w14:paraId="3BCB5C0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96"/>
        <w:gridCol w:w="632"/>
        <w:gridCol w:w="696"/>
        <w:gridCol w:w="632"/>
        <w:gridCol w:w="632"/>
        <w:gridCol w:w="632"/>
        <w:gridCol w:w="632"/>
        <w:gridCol w:w="632"/>
      </w:tblGrid>
      <w:tr w14:paraId="1255D695">
        <w:tc>
          <w:tcPr>
            <w:tcW w:w="8848" w:type="dxa"/>
            <w:gridSpan w:val="14"/>
            <w:vAlign w:val="center"/>
          </w:tcPr>
          <w:p w14:paraId="3FBBF24D">
            <w:pPr>
              <w:jc w:val="center"/>
            </w:pPr>
            <w:r>
              <w:rPr>
                <w:rFonts w:ascii="宋体" w:hAnsi="宋体" w:eastAsia="宋体"/>
                <w:sz w:val="24"/>
              </w:rPr>
              <w:t>项目支出绩效自评表</w:t>
            </w:r>
          </w:p>
        </w:tc>
      </w:tr>
      <w:tr w14:paraId="6751E2CC">
        <w:tblPrEx>
          <w:tblCellMar>
            <w:top w:w="0" w:type="dxa"/>
            <w:left w:w="108" w:type="dxa"/>
            <w:bottom w:w="0" w:type="dxa"/>
            <w:right w:w="108" w:type="dxa"/>
          </w:tblCellMar>
        </w:tblPrEx>
        <w:tc>
          <w:tcPr>
            <w:tcW w:w="8848" w:type="dxa"/>
            <w:gridSpan w:val="14"/>
            <w:vAlign w:val="center"/>
          </w:tcPr>
          <w:p w14:paraId="6DB45DB9">
            <w:pPr>
              <w:jc w:val="center"/>
            </w:pPr>
            <w:r>
              <w:rPr>
                <w:rFonts w:ascii="宋体" w:hAnsi="宋体" w:eastAsia="宋体"/>
                <w:sz w:val="24"/>
              </w:rPr>
              <w:t>(2024年度)</w:t>
            </w:r>
          </w:p>
        </w:tc>
      </w:tr>
      <w:tr w14:paraId="1EC249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8AAA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5D573AE">
            <w:pPr>
              <w:jc w:val="center"/>
            </w:pPr>
            <w:r>
              <w:rPr>
                <w:rFonts w:ascii="宋体" w:hAnsi="宋体" w:eastAsia="宋体"/>
                <w:sz w:val="16"/>
              </w:rPr>
              <w:t>昌州财教</w:t>
            </w:r>
            <w:r>
              <w:rPr>
                <w:rFonts w:hint="eastAsia" w:ascii="宋体" w:hAnsi="宋体"/>
                <w:sz w:val="16"/>
                <w:lang w:eastAsia="zh-CN"/>
              </w:rPr>
              <w:t>〔2023〕73号</w:t>
            </w:r>
            <w:r>
              <w:rPr>
                <w:rFonts w:ascii="宋体" w:hAnsi="宋体" w:eastAsia="宋体"/>
                <w:sz w:val="16"/>
              </w:rPr>
              <w:t>关于提前下达2024年自治区广播电视节目无线覆盖运行维护经费预算</w:t>
            </w:r>
          </w:p>
        </w:tc>
      </w:tr>
      <w:tr w14:paraId="7842D0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D3AD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D276FD">
            <w:pPr>
              <w:jc w:val="center"/>
            </w:pPr>
            <w:r>
              <w:rPr>
                <w:rFonts w:ascii="宋体" w:hAnsi="宋体" w:eastAsia="宋体"/>
                <w:sz w:val="16"/>
              </w:rPr>
              <w:t>吉木萨尔</w:t>
            </w:r>
            <w:r>
              <w:rPr>
                <w:rFonts w:hint="eastAsia" w:ascii="宋体" w:hAnsi="宋体"/>
                <w:sz w:val="16"/>
                <w:lang w:eastAsia="zh-CN"/>
              </w:rPr>
              <w:t>县委宣传部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210A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23D8E3">
            <w:pPr>
              <w:jc w:val="center"/>
            </w:pPr>
            <w:r>
              <w:rPr>
                <w:rFonts w:ascii="宋体" w:hAnsi="宋体" w:eastAsia="宋体"/>
                <w:sz w:val="16"/>
              </w:rPr>
              <w:t>吉木萨尔县融媒体中心</w:t>
            </w:r>
          </w:p>
        </w:tc>
      </w:tr>
      <w:tr w14:paraId="792CEC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9A5E3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AC45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B11B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E6AB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6AC5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0B72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7B5A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D84CE">
            <w:pPr>
              <w:jc w:val="center"/>
            </w:pPr>
            <w:r>
              <w:rPr>
                <w:rFonts w:ascii="宋体" w:hAnsi="宋体" w:eastAsia="宋体"/>
                <w:sz w:val="16"/>
              </w:rPr>
              <w:t>得分</w:t>
            </w:r>
          </w:p>
        </w:tc>
      </w:tr>
      <w:tr w14:paraId="35B263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D36B7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A72D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7B448">
            <w:pPr>
              <w:jc w:val="center"/>
            </w:pPr>
            <w:r>
              <w:rPr>
                <w:rFonts w:ascii="宋体" w:hAnsi="宋体" w:eastAsia="宋体"/>
                <w:sz w:val="16"/>
              </w:rPr>
              <w:t>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78C30">
            <w:pPr>
              <w:jc w:val="center"/>
            </w:pPr>
            <w:r>
              <w:rPr>
                <w:rFonts w:ascii="宋体" w:hAnsi="宋体" w:eastAsia="宋体"/>
                <w:sz w:val="16"/>
              </w:rPr>
              <w:t>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8A223">
            <w:pPr>
              <w:jc w:val="center"/>
            </w:pPr>
            <w:r>
              <w:rPr>
                <w:rFonts w:ascii="宋体" w:hAnsi="宋体" w:eastAsia="宋体"/>
                <w:sz w:val="16"/>
              </w:rPr>
              <w:t>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CB0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E864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2F5BD">
            <w:pPr>
              <w:jc w:val="center"/>
            </w:pPr>
            <w:r>
              <w:rPr>
                <w:rFonts w:ascii="宋体" w:hAnsi="宋体" w:eastAsia="宋体"/>
                <w:sz w:val="16"/>
              </w:rPr>
              <w:t>10.00</w:t>
            </w:r>
          </w:p>
        </w:tc>
      </w:tr>
      <w:tr w14:paraId="0903E6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851B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D84A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265E4">
            <w:pPr>
              <w:jc w:val="center"/>
            </w:pPr>
            <w:r>
              <w:rPr>
                <w:rFonts w:ascii="宋体" w:hAnsi="宋体" w:eastAsia="宋体"/>
                <w:sz w:val="16"/>
              </w:rPr>
              <w:t>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185AF">
            <w:pPr>
              <w:jc w:val="center"/>
            </w:pPr>
            <w:r>
              <w:rPr>
                <w:rFonts w:ascii="宋体" w:hAnsi="宋体" w:eastAsia="宋体"/>
                <w:sz w:val="16"/>
              </w:rPr>
              <w:t>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0532A">
            <w:pPr>
              <w:jc w:val="center"/>
            </w:pPr>
            <w:r>
              <w:rPr>
                <w:rFonts w:ascii="宋体" w:hAnsi="宋体" w:eastAsia="宋体"/>
                <w:sz w:val="16"/>
              </w:rPr>
              <w:t>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2FF8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564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49E36">
            <w:pPr>
              <w:jc w:val="center"/>
            </w:pPr>
            <w:r>
              <w:rPr>
                <w:rFonts w:ascii="宋体" w:hAnsi="宋体" w:eastAsia="宋体"/>
                <w:sz w:val="16"/>
              </w:rPr>
              <w:t>—</w:t>
            </w:r>
          </w:p>
        </w:tc>
      </w:tr>
      <w:tr w14:paraId="0C2532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C0C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B0EB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08C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767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AEE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C190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D74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22682">
            <w:pPr>
              <w:jc w:val="center"/>
            </w:pPr>
            <w:r>
              <w:rPr>
                <w:rFonts w:ascii="宋体" w:hAnsi="宋体" w:eastAsia="宋体"/>
                <w:sz w:val="16"/>
              </w:rPr>
              <w:t>—</w:t>
            </w:r>
          </w:p>
        </w:tc>
      </w:tr>
      <w:tr w14:paraId="446F0CB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3D04B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7AF1E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5A2335">
            <w:pPr>
              <w:jc w:val="center"/>
            </w:pPr>
            <w:r>
              <w:rPr>
                <w:rFonts w:ascii="宋体" w:hAnsi="宋体" w:eastAsia="宋体"/>
                <w:sz w:val="16"/>
              </w:rPr>
              <w:t>实际完成情况</w:t>
            </w:r>
          </w:p>
        </w:tc>
      </w:tr>
      <w:tr w14:paraId="64B4FD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BD8A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0A53B2">
            <w:pPr>
              <w:jc w:val="both"/>
            </w:pPr>
            <w:r>
              <w:rPr>
                <w:rFonts w:ascii="宋体" w:hAnsi="宋体" w:eastAsia="宋体"/>
                <w:sz w:val="16"/>
              </w:rPr>
              <w:t>通过有效实施自治区广播电视设施设备运行维护工程，计划安排维护经费，确保自治区为县市级配备的转播中央及自治区节目的电视发射机和调频发射机以及村村通设备正常运转，有效</w:t>
            </w:r>
            <w:r>
              <w:rPr>
                <w:rFonts w:hint="eastAsia" w:ascii="宋体" w:hAnsi="宋体"/>
                <w:sz w:val="16"/>
                <w:lang w:eastAsia="zh-CN"/>
              </w:rPr>
              <w:t>地</w:t>
            </w:r>
            <w:r>
              <w:rPr>
                <w:rFonts w:ascii="宋体" w:hAnsi="宋体" w:eastAsia="宋体"/>
                <w:sz w:val="16"/>
              </w:rPr>
              <w:t>改善我区现有20户以上自然村广播电视盲点农牧民群众能够正常收听收看中央和自治区广播电视节目。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58DB67">
            <w:pPr>
              <w:jc w:val="both"/>
            </w:pPr>
            <w:r>
              <w:rPr>
                <w:rFonts w:hint="eastAsia" w:ascii="宋体" w:hAnsi="宋体"/>
                <w:sz w:val="16"/>
                <w:lang w:eastAsia="zh-CN"/>
              </w:rPr>
              <w:t>截至</w:t>
            </w:r>
            <w:r>
              <w:rPr>
                <w:rFonts w:ascii="宋体" w:hAnsi="宋体" w:eastAsia="宋体"/>
                <w:sz w:val="16"/>
              </w:rPr>
              <w:t>2024年12月31日，项目实际支出22万元，预算执行率为100%。通过该项目资金的安排使用，确保了自治区为县市级配备的转播中央及自治区节目的数字电视发射机和调频广播发射机以及“村村通”设施设备的正常运转，有效</w:t>
            </w:r>
            <w:r>
              <w:rPr>
                <w:rFonts w:hint="eastAsia" w:ascii="宋体" w:hAnsi="宋体"/>
                <w:sz w:val="16"/>
                <w:lang w:eastAsia="zh-CN"/>
              </w:rPr>
              <w:t>地</w:t>
            </w:r>
            <w:r>
              <w:rPr>
                <w:rFonts w:ascii="宋体" w:hAnsi="宋体" w:eastAsia="宋体"/>
                <w:sz w:val="16"/>
              </w:rPr>
              <w:t>改善了我区现有20户以上自然村广播电视盲点农牧民群众能够正常收听收看中央和自治区广播电视节目。更好</w:t>
            </w:r>
            <w:r>
              <w:rPr>
                <w:rFonts w:hint="eastAsia" w:ascii="宋体" w:hAnsi="宋体"/>
                <w:sz w:val="16"/>
                <w:lang w:eastAsia="zh-CN"/>
              </w:rPr>
              <w:t>地</w:t>
            </w:r>
            <w:r>
              <w:rPr>
                <w:rFonts w:ascii="宋体" w:hAnsi="宋体" w:eastAsia="宋体"/>
                <w:sz w:val="16"/>
              </w:rPr>
              <w:t>维护了文化阵地的安全。</w:t>
            </w:r>
          </w:p>
        </w:tc>
      </w:tr>
      <w:tr w14:paraId="3E2B78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86D45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5E6E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D033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CA43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4075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1D4B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C14B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D88A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C8E1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94F1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C604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F758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3C50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E8AEF">
            <w:pPr>
              <w:jc w:val="center"/>
            </w:pPr>
            <w:r>
              <w:rPr>
                <w:rFonts w:ascii="宋体" w:hAnsi="宋体" w:eastAsia="宋体"/>
                <w:sz w:val="16"/>
              </w:rPr>
              <w:t>偏差原因分析及改进措施</w:t>
            </w:r>
          </w:p>
        </w:tc>
      </w:tr>
      <w:tr w14:paraId="014051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2CCD0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65C3F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83A8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EE0FC">
            <w:pPr>
              <w:jc w:val="center"/>
            </w:pPr>
            <w:r>
              <w:rPr>
                <w:rFonts w:ascii="宋体" w:hAnsi="宋体" w:eastAsia="宋体"/>
                <w:sz w:val="16"/>
              </w:rPr>
              <w:t>模拟调频发射机维护数量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2B6E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072B9">
            <w:pPr>
              <w:jc w:val="center"/>
            </w:pPr>
            <w:r>
              <w:rPr>
                <w:rFonts w:ascii="宋体" w:hAnsi="宋体" w:eastAsia="宋体"/>
                <w:sz w:val="16"/>
              </w:rPr>
              <w:t>=6部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00D83">
            <w:pPr>
              <w:jc w:val="center"/>
            </w:pPr>
            <w:r>
              <w:rPr>
                <w:rFonts w:ascii="宋体" w:hAnsi="宋体" w:eastAsia="宋体"/>
                <w:sz w:val="16"/>
              </w:rPr>
              <w:t>=6部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54E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8E63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A6056">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B44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474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39E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1BCCC">
            <w:pPr>
              <w:jc w:val="center"/>
            </w:pPr>
          </w:p>
        </w:tc>
      </w:tr>
      <w:tr w14:paraId="601226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610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624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459F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389F8">
            <w:pPr>
              <w:jc w:val="center"/>
            </w:pPr>
            <w:r>
              <w:rPr>
                <w:rFonts w:ascii="宋体" w:hAnsi="宋体" w:eastAsia="宋体"/>
                <w:sz w:val="16"/>
              </w:rPr>
              <w:t>模拟发射机“三满”播出率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398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B1E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A64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7E2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1C6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F3F51">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0C9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589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FAC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6A562">
            <w:pPr>
              <w:jc w:val="center"/>
            </w:pPr>
          </w:p>
        </w:tc>
      </w:tr>
      <w:tr w14:paraId="553F9E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3D11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BF6A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05D4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039C3">
            <w:pPr>
              <w:jc w:val="center"/>
            </w:pPr>
            <w:r>
              <w:rPr>
                <w:rFonts w:ascii="宋体" w:hAnsi="宋体" w:eastAsia="宋体"/>
                <w:sz w:val="16"/>
              </w:rPr>
              <w:t>自治区模拟广播节目播出任务完成率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A87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3E0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B07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633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9FD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3A406">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D50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9D68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BD3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C6687">
            <w:pPr>
              <w:jc w:val="center"/>
            </w:pPr>
          </w:p>
        </w:tc>
      </w:tr>
      <w:tr w14:paraId="41E145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064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944D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B3E3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487E9">
            <w:pPr>
              <w:jc w:val="center"/>
            </w:pPr>
            <w:r>
              <w:rPr>
                <w:rFonts w:ascii="宋体" w:hAnsi="宋体" w:eastAsia="宋体"/>
                <w:sz w:val="16"/>
              </w:rPr>
              <w:t>运行维护经费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2298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6F885">
            <w:pPr>
              <w:jc w:val="center"/>
            </w:pPr>
            <w:r>
              <w:rPr>
                <w:rFonts w:ascii="宋体" w:hAnsi="宋体" w:eastAsia="宋体"/>
                <w:sz w:val="16"/>
              </w:rPr>
              <w:t>&lt;=22万元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71D4B">
            <w:pPr>
              <w:jc w:val="center"/>
            </w:pPr>
            <w:r>
              <w:rPr>
                <w:rFonts w:ascii="宋体" w:hAnsi="宋体" w:eastAsia="宋体"/>
                <w:sz w:val="16"/>
              </w:rPr>
              <w:t>=22万元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80C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850B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885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DB9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E07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D043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37479">
            <w:pPr>
              <w:jc w:val="center"/>
            </w:pPr>
          </w:p>
        </w:tc>
      </w:tr>
      <w:tr w14:paraId="47FD0B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D806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B55DA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725BC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AEBAA">
            <w:pPr>
              <w:jc w:val="center"/>
            </w:pPr>
            <w:r>
              <w:rPr>
                <w:rFonts w:ascii="宋体" w:hAnsi="宋体" w:eastAsia="宋体"/>
                <w:sz w:val="16"/>
              </w:rPr>
              <w:t>广播节目综合人口覆盖率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E45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3A514">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BE48F">
            <w:pPr>
              <w:jc w:val="center"/>
            </w:pPr>
            <w:r>
              <w:rPr>
                <w:rFonts w:ascii="宋体" w:hAnsi="宋体" w:eastAsia="宋体"/>
                <w:sz w:val="16"/>
              </w:rPr>
              <w:t>=99.5%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B2A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6B9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630B9">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EA0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D4E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659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ED13E">
            <w:pPr>
              <w:jc w:val="center"/>
            </w:pPr>
          </w:p>
        </w:tc>
      </w:tr>
      <w:tr w14:paraId="677F08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3A4D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C883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ABE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08CDC">
            <w:pPr>
              <w:jc w:val="center"/>
            </w:pPr>
            <w:r>
              <w:rPr>
                <w:rFonts w:ascii="宋体" w:hAnsi="宋体" w:eastAsia="宋体"/>
                <w:sz w:val="16"/>
              </w:rPr>
              <w:t>基本公共文化服务水平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3B7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DC34A">
            <w:pPr>
              <w:jc w:val="center"/>
            </w:pPr>
            <w:r>
              <w:rPr>
                <w:rFonts w:ascii="宋体" w:hAnsi="宋体" w:eastAsia="宋体"/>
                <w:sz w:val="16"/>
              </w:rPr>
              <w:t>稳步提升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C573E">
            <w:pPr>
              <w:jc w:val="center"/>
            </w:pPr>
            <w:r>
              <w:rPr>
                <w:rFonts w:ascii="宋体" w:hAnsi="宋体" w:eastAsia="宋体"/>
                <w:sz w:val="16"/>
              </w:rPr>
              <w:t>稳步提升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B12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35C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49C51">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AEF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83EC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E01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DAAF8">
            <w:pPr>
              <w:jc w:val="center"/>
            </w:pPr>
          </w:p>
        </w:tc>
      </w:tr>
      <w:tr w14:paraId="5F066C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4696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556A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92AB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632E8">
            <w:pPr>
              <w:jc w:val="center"/>
            </w:pPr>
            <w:r>
              <w:rPr>
                <w:rFonts w:ascii="宋体" w:hAnsi="宋体" w:eastAsia="宋体"/>
                <w:sz w:val="16"/>
              </w:rPr>
              <w:t>群众对广播电视基本公共服务满意度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067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6C10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6EA5D">
            <w:pPr>
              <w:jc w:val="center"/>
            </w:pPr>
            <w:r>
              <w:rPr>
                <w:rFonts w:ascii="宋体" w:hAnsi="宋体" w:eastAsia="宋体"/>
                <w:sz w:val="16"/>
              </w:rPr>
              <w:t>=96.7%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C1B6C">
            <w:pPr>
              <w:jc w:val="center"/>
            </w:pPr>
            <w:r>
              <w:rPr>
                <w:rFonts w:ascii="宋体" w:hAnsi="宋体" w:eastAsia="宋体"/>
                <w:sz w:val="16"/>
              </w:rPr>
              <w:t>102%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15F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9E035">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9DB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3585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3ED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3F48F">
            <w:pPr>
              <w:jc w:val="center"/>
            </w:pPr>
            <w:r>
              <w:rPr>
                <w:rFonts w:ascii="宋体" w:hAnsi="宋体" w:eastAsia="宋体"/>
                <w:sz w:val="16"/>
              </w:rPr>
              <w:t>通过调研问卷该项目的实施，使得群众对广播电视基本公共服务满意度达到96.7%</w:t>
            </w:r>
          </w:p>
        </w:tc>
      </w:tr>
      <w:tr w14:paraId="4A09D89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F027D5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8C4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F1A57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26B72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97FA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6BA1E">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4EA57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3E9F9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0FA42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21827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DC3768"/>
        </w:tc>
      </w:tr>
    </w:tbl>
    <w:p w14:paraId="191973B1">
      <w:r>
        <w:br w:type="page"/>
      </w:r>
    </w:p>
    <w:tbl>
      <w:tblPr>
        <w:tblStyle w:val="9"/>
        <w:tblW w:w="0" w:type="auto"/>
        <w:tblInd w:w="0" w:type="dxa"/>
        <w:tblLayout w:type="autofit"/>
        <w:tblCellMar>
          <w:top w:w="0" w:type="dxa"/>
          <w:left w:w="108" w:type="dxa"/>
          <w:bottom w:w="0" w:type="dxa"/>
          <w:right w:w="108" w:type="dxa"/>
        </w:tblCellMar>
      </w:tblPr>
      <w:tblGrid>
        <w:gridCol w:w="621"/>
        <w:gridCol w:w="605"/>
        <w:gridCol w:w="605"/>
        <w:gridCol w:w="622"/>
        <w:gridCol w:w="613"/>
        <w:gridCol w:w="776"/>
        <w:gridCol w:w="696"/>
        <w:gridCol w:w="622"/>
        <w:gridCol w:w="696"/>
        <w:gridCol w:w="605"/>
        <w:gridCol w:w="605"/>
        <w:gridCol w:w="605"/>
        <w:gridCol w:w="613"/>
        <w:gridCol w:w="776"/>
      </w:tblGrid>
      <w:tr w14:paraId="01746D04">
        <w:tblPrEx>
          <w:tblCellMar>
            <w:top w:w="0" w:type="dxa"/>
            <w:left w:w="108" w:type="dxa"/>
            <w:bottom w:w="0" w:type="dxa"/>
            <w:right w:w="108" w:type="dxa"/>
          </w:tblCellMar>
        </w:tblPrEx>
        <w:tc>
          <w:tcPr>
            <w:tcW w:w="8848" w:type="dxa"/>
            <w:gridSpan w:val="14"/>
            <w:vAlign w:val="center"/>
          </w:tcPr>
          <w:p w14:paraId="53F17B7F">
            <w:pPr>
              <w:jc w:val="center"/>
            </w:pPr>
            <w:r>
              <w:rPr>
                <w:rFonts w:ascii="宋体" w:hAnsi="宋体" w:eastAsia="宋体"/>
                <w:sz w:val="24"/>
              </w:rPr>
              <w:t>项目支出绩效自评表</w:t>
            </w:r>
          </w:p>
        </w:tc>
      </w:tr>
      <w:tr w14:paraId="23AE7520">
        <w:tblPrEx>
          <w:tblCellMar>
            <w:top w:w="0" w:type="dxa"/>
            <w:left w:w="108" w:type="dxa"/>
            <w:bottom w:w="0" w:type="dxa"/>
            <w:right w:w="108" w:type="dxa"/>
          </w:tblCellMar>
        </w:tblPrEx>
        <w:tc>
          <w:tcPr>
            <w:tcW w:w="8848" w:type="dxa"/>
            <w:gridSpan w:val="14"/>
            <w:vAlign w:val="center"/>
          </w:tcPr>
          <w:p w14:paraId="157D90C3">
            <w:pPr>
              <w:jc w:val="center"/>
            </w:pPr>
            <w:r>
              <w:rPr>
                <w:rFonts w:ascii="宋体" w:hAnsi="宋体" w:eastAsia="宋体"/>
                <w:sz w:val="24"/>
              </w:rPr>
              <w:t>(2024年度)</w:t>
            </w:r>
          </w:p>
        </w:tc>
      </w:tr>
      <w:tr w14:paraId="40D451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19B2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0C60B33">
            <w:pPr>
              <w:jc w:val="center"/>
            </w:pPr>
            <w:r>
              <w:rPr>
                <w:rFonts w:ascii="宋体" w:hAnsi="宋体" w:eastAsia="宋体"/>
                <w:sz w:val="16"/>
              </w:rPr>
              <w:t>昌州财教</w:t>
            </w:r>
            <w:r>
              <w:rPr>
                <w:rFonts w:hint="eastAsia" w:ascii="宋体" w:hAnsi="宋体"/>
                <w:sz w:val="16"/>
                <w:lang w:eastAsia="zh-CN"/>
              </w:rPr>
              <w:t>〔2023〕79号</w:t>
            </w:r>
            <w:r>
              <w:rPr>
                <w:rFonts w:ascii="宋体" w:hAnsi="宋体" w:eastAsia="宋体"/>
                <w:sz w:val="16"/>
              </w:rPr>
              <w:t>关于提前下达2024年中央补助地方公共文化服务体系建设补助资金</w:t>
            </w:r>
          </w:p>
        </w:tc>
      </w:tr>
      <w:tr w14:paraId="28340C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13D8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5D32FC">
            <w:pPr>
              <w:jc w:val="center"/>
            </w:pPr>
            <w:r>
              <w:rPr>
                <w:rFonts w:ascii="宋体" w:hAnsi="宋体" w:eastAsia="宋体"/>
                <w:sz w:val="16"/>
              </w:rPr>
              <w:t>县委宣传部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992C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6409A7">
            <w:pPr>
              <w:jc w:val="center"/>
            </w:pPr>
            <w:r>
              <w:rPr>
                <w:rFonts w:ascii="宋体" w:hAnsi="宋体" w:eastAsia="宋体"/>
                <w:sz w:val="16"/>
              </w:rPr>
              <w:t>吉木萨尔县融媒体中心</w:t>
            </w:r>
          </w:p>
        </w:tc>
      </w:tr>
      <w:tr w14:paraId="417124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51F5B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6711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44F9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EDE0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0EE8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D9A0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1C87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B8267">
            <w:pPr>
              <w:jc w:val="center"/>
            </w:pPr>
            <w:r>
              <w:rPr>
                <w:rFonts w:ascii="宋体" w:hAnsi="宋体" w:eastAsia="宋体"/>
                <w:sz w:val="16"/>
              </w:rPr>
              <w:t>得分</w:t>
            </w:r>
          </w:p>
        </w:tc>
      </w:tr>
      <w:tr w14:paraId="7C7884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6E1C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15ED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C85A7">
            <w:pPr>
              <w:jc w:val="center"/>
            </w:pPr>
            <w:r>
              <w:rPr>
                <w:rFonts w:ascii="宋体" w:hAnsi="宋体" w:eastAsia="宋体"/>
                <w:sz w:val="16"/>
              </w:rPr>
              <w:t>34.73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C35E8">
            <w:pPr>
              <w:jc w:val="center"/>
            </w:pPr>
            <w:r>
              <w:rPr>
                <w:rFonts w:ascii="宋体" w:hAnsi="宋体" w:eastAsia="宋体"/>
                <w:sz w:val="16"/>
              </w:rPr>
              <w:t>34.73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46E68">
            <w:pPr>
              <w:jc w:val="center"/>
            </w:pPr>
            <w:r>
              <w:rPr>
                <w:rFonts w:ascii="宋体" w:hAnsi="宋体" w:eastAsia="宋体"/>
                <w:sz w:val="16"/>
              </w:rPr>
              <w:t>34.73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B57D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7C60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A1E6C">
            <w:pPr>
              <w:jc w:val="center"/>
            </w:pPr>
            <w:r>
              <w:rPr>
                <w:rFonts w:ascii="宋体" w:hAnsi="宋体" w:eastAsia="宋体"/>
                <w:sz w:val="16"/>
              </w:rPr>
              <w:t>10.00</w:t>
            </w:r>
          </w:p>
        </w:tc>
      </w:tr>
      <w:tr w14:paraId="64ACB1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DB6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3B6E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8D600">
            <w:pPr>
              <w:jc w:val="center"/>
            </w:pPr>
            <w:r>
              <w:rPr>
                <w:rFonts w:ascii="宋体" w:hAnsi="宋体" w:eastAsia="宋体"/>
                <w:sz w:val="16"/>
              </w:rPr>
              <w:t>34.73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5E3DD">
            <w:pPr>
              <w:jc w:val="center"/>
            </w:pPr>
            <w:r>
              <w:rPr>
                <w:rFonts w:ascii="宋体" w:hAnsi="宋体" w:eastAsia="宋体"/>
                <w:sz w:val="16"/>
              </w:rPr>
              <w:t>34.73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F5A2D">
            <w:pPr>
              <w:jc w:val="center"/>
            </w:pPr>
            <w:r>
              <w:rPr>
                <w:rFonts w:ascii="宋体" w:hAnsi="宋体" w:eastAsia="宋体"/>
                <w:sz w:val="16"/>
              </w:rPr>
              <w:t>34.73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436E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A86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E70B9">
            <w:pPr>
              <w:jc w:val="center"/>
            </w:pPr>
            <w:r>
              <w:rPr>
                <w:rFonts w:ascii="宋体" w:hAnsi="宋体" w:eastAsia="宋体"/>
                <w:sz w:val="16"/>
              </w:rPr>
              <w:t>—</w:t>
            </w:r>
          </w:p>
        </w:tc>
      </w:tr>
      <w:tr w14:paraId="4BFDC6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BE6C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D811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DC0E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F85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03E0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E27E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928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66B51">
            <w:pPr>
              <w:jc w:val="center"/>
            </w:pPr>
            <w:r>
              <w:rPr>
                <w:rFonts w:ascii="宋体" w:hAnsi="宋体" w:eastAsia="宋体"/>
                <w:sz w:val="16"/>
              </w:rPr>
              <w:t>—</w:t>
            </w:r>
          </w:p>
        </w:tc>
      </w:tr>
      <w:tr w14:paraId="7FCA3E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90FCE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555B4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63741C">
            <w:pPr>
              <w:jc w:val="center"/>
            </w:pPr>
            <w:r>
              <w:rPr>
                <w:rFonts w:ascii="宋体" w:hAnsi="宋体" w:eastAsia="宋体"/>
                <w:sz w:val="16"/>
              </w:rPr>
              <w:t>实际完成情况</w:t>
            </w:r>
          </w:p>
        </w:tc>
      </w:tr>
      <w:tr w14:paraId="207339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FD894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82795A">
            <w:pPr>
              <w:jc w:val="both"/>
            </w:pPr>
            <w:r>
              <w:rPr>
                <w:rFonts w:ascii="宋体" w:hAnsi="宋体" w:eastAsia="宋体"/>
                <w:sz w:val="16"/>
              </w:rPr>
              <w:t>融媒体中心 昌州财办教</w:t>
            </w:r>
            <w:r>
              <w:rPr>
                <w:rFonts w:hint="eastAsia" w:ascii="宋体" w:hAnsi="宋体"/>
                <w:sz w:val="16"/>
                <w:lang w:eastAsia="zh-CN"/>
              </w:rPr>
              <w:t>〔2023〕79号</w:t>
            </w:r>
            <w:r>
              <w:rPr>
                <w:rFonts w:ascii="宋体" w:hAnsi="宋体" w:eastAsia="宋体"/>
                <w:sz w:val="16"/>
              </w:rPr>
              <w:t>2024年中央补助地方公共文化服务体系建设补助资金，由县财政安排资金34.73万元，县融媒体中心负责项目实施，用于广播电视基础设施更新换代及维护，确保广播电视节目正常播放，维护文化阵地安全。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A60DD2">
            <w:pPr>
              <w:jc w:val="both"/>
            </w:pPr>
            <w:r>
              <w:rPr>
                <w:rFonts w:hint="eastAsia" w:ascii="宋体" w:hAnsi="宋体"/>
                <w:sz w:val="16"/>
                <w:lang w:eastAsia="zh-CN"/>
              </w:rPr>
              <w:t>截至</w:t>
            </w:r>
            <w:r>
              <w:rPr>
                <w:rFonts w:ascii="宋体" w:hAnsi="宋体" w:eastAsia="宋体"/>
                <w:sz w:val="16"/>
              </w:rPr>
              <w:t>2024年12月31日，项目实际支出34.73万元，预算执行率为100%。通过本项目的实施，及时发现并解决了设备存在的问题，确保了节目的连续性和稳定性。有效减缓了设备的老化速度，延长了其使用寿命，从而确保广播电视节目正常播放，满足了观众对高质量视听体验的需求。更好</w:t>
            </w:r>
            <w:r>
              <w:rPr>
                <w:rFonts w:hint="eastAsia" w:ascii="宋体" w:hAnsi="宋体"/>
                <w:sz w:val="16"/>
                <w:lang w:eastAsia="zh-CN"/>
              </w:rPr>
              <w:t>地</w:t>
            </w:r>
            <w:r>
              <w:rPr>
                <w:rFonts w:ascii="宋体" w:hAnsi="宋体" w:eastAsia="宋体"/>
                <w:sz w:val="16"/>
              </w:rPr>
              <w:t>维护了文化阵地安全。</w:t>
            </w:r>
          </w:p>
        </w:tc>
      </w:tr>
      <w:tr w14:paraId="29DD74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A23BA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FF8F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1487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5444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080A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7A10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0714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0D73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1F94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235C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59C6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DC52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F034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0E353">
            <w:pPr>
              <w:jc w:val="center"/>
            </w:pPr>
            <w:r>
              <w:rPr>
                <w:rFonts w:ascii="宋体" w:hAnsi="宋体" w:eastAsia="宋体"/>
                <w:sz w:val="16"/>
              </w:rPr>
              <w:t>偏差原因分析及改进措施</w:t>
            </w:r>
          </w:p>
        </w:tc>
      </w:tr>
      <w:tr w14:paraId="4887261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F8A3D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658CD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461E0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5D881">
            <w:pPr>
              <w:jc w:val="center"/>
            </w:pPr>
            <w:r>
              <w:rPr>
                <w:rFonts w:ascii="宋体" w:hAnsi="宋体" w:eastAsia="宋体"/>
                <w:sz w:val="16"/>
              </w:rPr>
              <w:t>维修广电设施设备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7AC5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14866">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1AF79">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733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B0EC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51578">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C79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1F7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3A9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DF54D">
            <w:pPr>
              <w:jc w:val="center"/>
            </w:pPr>
          </w:p>
        </w:tc>
      </w:tr>
      <w:tr w14:paraId="42DEE4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A63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1083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AE7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7FBCF">
            <w:pPr>
              <w:jc w:val="center"/>
            </w:pPr>
            <w:r>
              <w:rPr>
                <w:rFonts w:ascii="宋体" w:hAnsi="宋体" w:eastAsia="宋体"/>
                <w:sz w:val="16"/>
              </w:rPr>
              <w:t>更新广电设施设备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7AF0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0CC71">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49BEE">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0C1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8FD1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41E19">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2EB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7E8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CA2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E26C2">
            <w:pPr>
              <w:jc w:val="center"/>
            </w:pPr>
          </w:p>
        </w:tc>
      </w:tr>
      <w:tr w14:paraId="07CE07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F31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4C74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84CC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CA5E1">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E25E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936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C8C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2F1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771E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86F08">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5E0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27B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EF6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4195D">
            <w:pPr>
              <w:jc w:val="center"/>
            </w:pPr>
          </w:p>
        </w:tc>
      </w:tr>
      <w:tr w14:paraId="051D49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43D1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B16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FCC3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773E0">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66B9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D00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7A9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A63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A34B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65933">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1C3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B74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177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321B3">
            <w:pPr>
              <w:jc w:val="center"/>
            </w:pPr>
          </w:p>
        </w:tc>
      </w:tr>
      <w:tr w14:paraId="6F9237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E13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C8C4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E04A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58AE8">
            <w:pPr>
              <w:jc w:val="center"/>
            </w:pPr>
            <w:r>
              <w:rPr>
                <w:rFonts w:ascii="宋体" w:hAnsi="宋体" w:eastAsia="宋体"/>
                <w:sz w:val="16"/>
              </w:rPr>
              <w:t>项目资金总成本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23AF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7D7CC">
            <w:pPr>
              <w:jc w:val="center"/>
            </w:pPr>
            <w:r>
              <w:rPr>
                <w:rFonts w:ascii="宋体" w:hAnsi="宋体" w:eastAsia="宋体"/>
                <w:sz w:val="16"/>
              </w:rPr>
              <w:t>&lt;=34.73万元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80F59">
            <w:pPr>
              <w:jc w:val="center"/>
            </w:pPr>
            <w:r>
              <w:rPr>
                <w:rFonts w:ascii="宋体" w:hAnsi="宋体" w:eastAsia="宋体"/>
                <w:sz w:val="16"/>
              </w:rPr>
              <w:t>=34.73万元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692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5551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BD857">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37F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007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1A0FA">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0F414">
            <w:pPr>
              <w:jc w:val="center"/>
            </w:pPr>
          </w:p>
        </w:tc>
      </w:tr>
      <w:tr w14:paraId="66F05D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2399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FD7A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349D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67B88">
            <w:pPr>
              <w:jc w:val="center"/>
            </w:pPr>
            <w:r>
              <w:rPr>
                <w:rFonts w:ascii="宋体" w:hAnsi="宋体" w:eastAsia="宋体"/>
                <w:sz w:val="16"/>
              </w:rPr>
              <w:t>保障广播电视正常播放，确保文化阵地安全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1B4B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A6D87">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53742">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271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BE22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7C521">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106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BBC4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40A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50B7B">
            <w:pPr>
              <w:jc w:val="center"/>
            </w:pPr>
          </w:p>
        </w:tc>
      </w:tr>
      <w:tr w14:paraId="51A623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ED1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6C79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029A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825BF">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534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4705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E1BD9">
            <w:pPr>
              <w:jc w:val="center"/>
            </w:pPr>
            <w:r>
              <w:rPr>
                <w:rFonts w:ascii="宋体" w:hAnsi="宋体" w:eastAsia="宋体"/>
                <w:sz w:val="16"/>
              </w:rPr>
              <w:t>=96.7%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FC0CA">
            <w:pPr>
              <w:jc w:val="center"/>
            </w:pPr>
            <w:r>
              <w:rPr>
                <w:rFonts w:ascii="宋体" w:hAnsi="宋体" w:eastAsia="宋体"/>
                <w:sz w:val="16"/>
              </w:rPr>
              <w:t>107%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BA6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BFE85">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402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0B59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679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D006C">
            <w:pPr>
              <w:jc w:val="center"/>
            </w:pPr>
            <w:r>
              <w:rPr>
                <w:rFonts w:ascii="宋体" w:hAnsi="宋体" w:eastAsia="宋体"/>
                <w:sz w:val="16"/>
              </w:rPr>
              <w:t>通过满意度调研，该项目实施比较满意。满意度达到96.7%。</w:t>
            </w:r>
          </w:p>
        </w:tc>
      </w:tr>
      <w:tr w14:paraId="63C0096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03DB3F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E0B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940F1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55B7C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C9D8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833C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5C9A9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FC3B0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8CD53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BF233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2B86F4"/>
        </w:tc>
      </w:tr>
    </w:tbl>
    <w:p w14:paraId="7D883FB8">
      <w:r>
        <w:br w:type="page"/>
      </w:r>
    </w:p>
    <w:p w14:paraId="195E7886">
      <w:pPr>
        <w:spacing w:line="640" w:lineRule="exact"/>
        <w:ind w:firstLine="640"/>
        <w:jc w:val="both"/>
        <w:outlineLvl w:val="2"/>
      </w:pPr>
      <w:r>
        <w:rPr>
          <w:rFonts w:ascii="黑体" w:hAnsi="黑体" w:eastAsia="黑体"/>
          <w:sz w:val="32"/>
        </w:rPr>
        <w:t>十二、其他需说明的事项</w:t>
      </w:r>
    </w:p>
    <w:p w14:paraId="711DA251">
      <w:pPr>
        <w:spacing w:line="580" w:lineRule="exact"/>
        <w:ind w:firstLine="640"/>
        <w:jc w:val="both"/>
      </w:pPr>
      <w:r>
        <w:rPr>
          <w:rFonts w:ascii="仿宋_GB2312" w:hAnsi="仿宋_GB2312" w:eastAsia="仿宋_GB2312"/>
          <w:b w:val="0"/>
          <w:sz w:val="32"/>
        </w:rPr>
        <w:t>本单位无其他需说明的事项。</w:t>
      </w:r>
    </w:p>
    <w:p w14:paraId="3434590E">
      <w:r>
        <w:br w:type="page"/>
      </w:r>
    </w:p>
    <w:p w14:paraId="1A08B77A">
      <w:pPr>
        <w:spacing w:line="240" w:lineRule="auto"/>
        <w:jc w:val="center"/>
        <w:outlineLvl w:val="1"/>
      </w:pPr>
      <w:r>
        <w:rPr>
          <w:rFonts w:ascii="黑体" w:hAnsi="黑体" w:eastAsia="黑体"/>
          <w:sz w:val="32"/>
        </w:rPr>
        <w:t>第三部分 专业名词解释</w:t>
      </w:r>
    </w:p>
    <w:p w14:paraId="1E4ED60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BA7FDB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C6FD517">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51D699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B52CFBF">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49A85D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470F1F4">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B5C2F3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149CDC0">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2B976E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25EE503">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9C4D1B7">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B45CA66">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A16339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32DFD3B">
      <w:r>
        <w:br w:type="page"/>
      </w:r>
    </w:p>
    <w:p w14:paraId="2BAB4720">
      <w:pPr>
        <w:spacing w:line="240" w:lineRule="auto"/>
        <w:jc w:val="center"/>
        <w:outlineLvl w:val="1"/>
      </w:pPr>
      <w:r>
        <w:rPr>
          <w:rFonts w:ascii="黑体" w:hAnsi="黑体" w:eastAsia="黑体"/>
          <w:sz w:val="32"/>
        </w:rPr>
        <w:t>第四部分 部门决算报表（见附表）</w:t>
      </w:r>
    </w:p>
    <w:p w14:paraId="7AB1159B">
      <w:pPr>
        <w:spacing w:line="240" w:lineRule="auto"/>
        <w:ind w:firstLine="640"/>
        <w:jc w:val="both"/>
      </w:pPr>
      <w:r>
        <w:rPr>
          <w:rFonts w:ascii="仿宋_GB2312" w:hAnsi="仿宋_GB2312" w:eastAsia="仿宋_GB2312"/>
          <w:b w:val="0"/>
          <w:sz w:val="32"/>
        </w:rPr>
        <w:t>一、《收入支出决算总表》</w:t>
      </w:r>
    </w:p>
    <w:p w14:paraId="589EEA08">
      <w:pPr>
        <w:spacing w:line="240" w:lineRule="auto"/>
        <w:ind w:firstLine="640"/>
        <w:jc w:val="both"/>
      </w:pPr>
      <w:r>
        <w:rPr>
          <w:rFonts w:ascii="仿宋_GB2312" w:hAnsi="仿宋_GB2312" w:eastAsia="仿宋_GB2312"/>
          <w:b w:val="0"/>
          <w:sz w:val="32"/>
        </w:rPr>
        <w:t>二、《收入决算表》</w:t>
      </w:r>
    </w:p>
    <w:p w14:paraId="74A39A45">
      <w:pPr>
        <w:spacing w:line="240" w:lineRule="auto"/>
        <w:ind w:firstLine="640"/>
        <w:jc w:val="both"/>
      </w:pPr>
      <w:r>
        <w:rPr>
          <w:rFonts w:ascii="仿宋_GB2312" w:hAnsi="仿宋_GB2312" w:eastAsia="仿宋_GB2312"/>
          <w:b w:val="0"/>
          <w:sz w:val="32"/>
        </w:rPr>
        <w:t>三、《支出决算表》</w:t>
      </w:r>
    </w:p>
    <w:p w14:paraId="06C4617C">
      <w:pPr>
        <w:spacing w:line="240" w:lineRule="auto"/>
        <w:ind w:firstLine="640"/>
        <w:jc w:val="both"/>
      </w:pPr>
      <w:r>
        <w:rPr>
          <w:rFonts w:ascii="仿宋_GB2312" w:hAnsi="仿宋_GB2312" w:eastAsia="仿宋_GB2312"/>
          <w:b w:val="0"/>
          <w:sz w:val="32"/>
        </w:rPr>
        <w:t>四、《财政拨款收入支出决算总表》</w:t>
      </w:r>
    </w:p>
    <w:p w14:paraId="6A6E27CF">
      <w:pPr>
        <w:spacing w:line="240" w:lineRule="auto"/>
        <w:ind w:firstLine="640"/>
        <w:jc w:val="both"/>
      </w:pPr>
      <w:r>
        <w:rPr>
          <w:rFonts w:ascii="仿宋_GB2312" w:hAnsi="仿宋_GB2312" w:eastAsia="仿宋_GB2312"/>
          <w:b w:val="0"/>
          <w:sz w:val="32"/>
        </w:rPr>
        <w:t>五、《一般公共预算财政拨款支出决算表》</w:t>
      </w:r>
    </w:p>
    <w:p w14:paraId="7BEC0389">
      <w:pPr>
        <w:spacing w:line="240" w:lineRule="auto"/>
        <w:ind w:firstLine="640"/>
        <w:jc w:val="both"/>
      </w:pPr>
      <w:r>
        <w:rPr>
          <w:rFonts w:ascii="仿宋_GB2312" w:hAnsi="仿宋_GB2312" w:eastAsia="仿宋_GB2312"/>
          <w:b w:val="0"/>
          <w:sz w:val="32"/>
        </w:rPr>
        <w:t>六、《一般公共预算财政拨款基本支出决算表》</w:t>
      </w:r>
    </w:p>
    <w:p w14:paraId="6FF18E3C">
      <w:pPr>
        <w:spacing w:line="240" w:lineRule="auto"/>
        <w:ind w:firstLine="640"/>
        <w:jc w:val="both"/>
      </w:pPr>
      <w:r>
        <w:rPr>
          <w:rFonts w:ascii="仿宋_GB2312" w:hAnsi="仿宋_GB2312" w:eastAsia="仿宋_GB2312"/>
          <w:b w:val="0"/>
          <w:sz w:val="32"/>
        </w:rPr>
        <w:t>七、《政府性基金预算财政拨款收入支出决算表》</w:t>
      </w:r>
    </w:p>
    <w:p w14:paraId="5EF1BCE7">
      <w:pPr>
        <w:spacing w:line="240" w:lineRule="auto"/>
        <w:ind w:firstLine="640"/>
        <w:jc w:val="both"/>
      </w:pPr>
      <w:r>
        <w:rPr>
          <w:rFonts w:ascii="仿宋_GB2312" w:hAnsi="仿宋_GB2312" w:eastAsia="仿宋_GB2312"/>
          <w:b w:val="0"/>
          <w:sz w:val="32"/>
        </w:rPr>
        <w:t>八、《国有资本经营预算财政拨款收入支出决算表》</w:t>
      </w:r>
    </w:p>
    <w:p w14:paraId="2FF93701">
      <w:pPr>
        <w:spacing w:line="240" w:lineRule="auto"/>
        <w:ind w:firstLine="640"/>
        <w:jc w:val="both"/>
      </w:pPr>
      <w:r>
        <w:rPr>
          <w:rFonts w:ascii="仿宋_GB2312" w:hAnsi="仿宋_GB2312" w:eastAsia="仿宋_GB2312"/>
          <w:b w:val="0"/>
          <w:sz w:val="32"/>
        </w:rPr>
        <w:t>九、《财政拨款“三公”经费支出决算表》</w:t>
      </w:r>
    </w:p>
    <w:p w14:paraId="2B4C25CB">
      <w:pPr>
        <w:spacing w:line="240" w:lineRule="auto"/>
        <w:ind w:firstLine="640"/>
        <w:jc w:val="both"/>
      </w:pPr>
    </w:p>
    <w:p w14:paraId="094C18AA">
      <w:pPr>
        <w:spacing w:line="240" w:lineRule="auto"/>
        <w:ind w:firstLine="640"/>
        <w:jc w:val="both"/>
      </w:pPr>
    </w:p>
    <w:p w14:paraId="0A08BC27">
      <w:pPr>
        <w:spacing w:line="240" w:lineRule="auto"/>
        <w:ind w:firstLine="640"/>
        <w:jc w:val="both"/>
      </w:pPr>
    </w:p>
    <w:p w14:paraId="73406046">
      <w:pPr>
        <w:spacing w:line="240" w:lineRule="auto"/>
        <w:ind w:firstLine="640"/>
        <w:jc w:val="both"/>
      </w:pPr>
    </w:p>
    <w:p w14:paraId="5DF24CB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2CB8602-4476-4349-B347-A25B05A471F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1F1844A6-9145-4E26-BEF9-22DE4B038FC6}"/>
  </w:font>
  <w:font w:name="仿宋_GB2312">
    <w:panose1 w:val="02010609030101010101"/>
    <w:charset w:val="86"/>
    <w:family w:val="modern"/>
    <w:pitch w:val="default"/>
    <w:sig w:usb0="00000001" w:usb1="080E0000" w:usb2="00000000" w:usb3="00000000" w:csb0="00040000" w:csb1="00000000"/>
    <w:embedRegular r:id="rId3" w:fontKey="{C9E7D6CE-4C95-4D67-A5FC-4B02A2FAD3A7}"/>
  </w:font>
  <w:font w:name="楷体_GB2312">
    <w:panose1 w:val="02010609030101010101"/>
    <w:charset w:val="86"/>
    <w:family w:val="auto"/>
    <w:pitch w:val="default"/>
    <w:sig w:usb0="00000001" w:usb1="080E0000" w:usb2="00000000" w:usb3="00000000" w:csb0="00040000" w:csb1="00000000"/>
    <w:embedRegular r:id="rId4" w:fontKey="{506298C3-57B4-42CD-B4FD-EBB62459FC7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6C346A1"/>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39265B"/>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2D6C9C"/>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5600</Words>
  <Characters>6473</Characters>
  <Lines>0</Lines>
  <Paragraphs>0</Paragraphs>
  <TotalTime>3</TotalTime>
  <ScaleCrop>false</ScaleCrop>
  <LinksUpToDate>false</LinksUpToDate>
  <CharactersWithSpaces>6481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2025-10-14T03:13:59Z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eyJoZGlkIjoiZjZjY2YzNDY3YWM4YThjNjdkZTk2MDAwYjE2OGQzNDQiLCJ1c2VySWQiOiIzNzI2MDMzNTYifQ==</vt:lpwstr>
  </property>
</Properties>
</file>