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吉木萨尔县第四幼儿园2024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9CCC3C">
      <w:r>
        <w:br w:type="page"/>
      </w:r>
    </w:p>
    <w:p w14:paraId="7347B95E">
      <w:pPr>
        <w:spacing w:line="640" w:lineRule="exact"/>
        <w:jc w:val="center"/>
        <w:outlineLvl w:val="1"/>
      </w:pPr>
      <w:r>
        <w:rPr>
          <w:rFonts w:ascii="黑体" w:hAnsi="黑体" w:eastAsia="黑体"/>
          <w:sz w:val="32"/>
        </w:rPr>
        <w:t>第一部分 单位概况</w:t>
      </w:r>
    </w:p>
    <w:p w14:paraId="557B2CCF">
      <w:pPr>
        <w:spacing w:line="640" w:lineRule="exact"/>
        <w:ind w:firstLine="640"/>
        <w:jc w:val="both"/>
        <w:outlineLvl w:val="2"/>
      </w:pPr>
      <w:r>
        <w:rPr>
          <w:rFonts w:ascii="黑体" w:hAnsi="黑体" w:eastAsia="黑体"/>
          <w:sz w:val="32"/>
        </w:rPr>
        <w:t>一、主要职能</w:t>
      </w:r>
    </w:p>
    <w:p w14:paraId="17E2CA61">
      <w:pPr>
        <w:spacing w:line="580" w:lineRule="exact"/>
        <w:ind w:firstLine="640"/>
        <w:jc w:val="both"/>
      </w:pPr>
      <w:r>
        <w:rPr>
          <w:rFonts w:ascii="仿宋_GB2312" w:hAnsi="仿宋_GB2312" w:eastAsia="仿宋_GB2312"/>
          <w:sz w:val="32"/>
        </w:rPr>
        <w:t>1、实施幼儿保育幼儿教育工作。</w:t>
      </w:r>
    </w:p>
    <w:p w14:paraId="08D470BF">
      <w:pPr>
        <w:spacing w:line="580" w:lineRule="exact"/>
        <w:ind w:firstLine="640"/>
        <w:jc w:val="both"/>
      </w:pPr>
      <w:r>
        <w:rPr>
          <w:rFonts w:ascii="仿宋_GB2312" w:hAnsi="仿宋_GB2312" w:eastAsia="仿宋_GB2312"/>
          <w:sz w:val="32"/>
        </w:rPr>
        <w:t>2、负责幼儿园教学业务指导和教研工作。</w:t>
      </w:r>
    </w:p>
    <w:p w14:paraId="52DE675E">
      <w:pPr>
        <w:spacing w:line="580" w:lineRule="exact"/>
        <w:ind w:firstLine="640"/>
        <w:jc w:val="both"/>
      </w:pPr>
      <w:r>
        <w:rPr>
          <w:rFonts w:ascii="仿宋_GB2312" w:hAnsi="仿宋_GB2312" w:eastAsia="仿宋_GB2312"/>
          <w:sz w:val="32"/>
        </w:rPr>
        <w:t>3、负责幼儿园领导班子的考核和推荐。</w:t>
      </w:r>
    </w:p>
    <w:p w14:paraId="16FFDDFE">
      <w:pPr>
        <w:spacing w:line="580" w:lineRule="exact"/>
        <w:ind w:firstLine="640"/>
        <w:jc w:val="both"/>
      </w:pPr>
      <w:r>
        <w:rPr>
          <w:rFonts w:ascii="仿宋_GB2312" w:hAnsi="仿宋_GB2312" w:eastAsia="仿宋_GB2312"/>
          <w:sz w:val="32"/>
        </w:rPr>
        <w:t>4、负责幼儿园教师的管理和服务。</w:t>
      </w:r>
    </w:p>
    <w:p w14:paraId="206E7359">
      <w:pPr>
        <w:spacing w:line="580" w:lineRule="exact"/>
        <w:ind w:firstLine="640"/>
        <w:jc w:val="both"/>
      </w:pPr>
      <w:r>
        <w:rPr>
          <w:rFonts w:ascii="仿宋_GB2312" w:hAnsi="仿宋_GB2312" w:eastAsia="仿宋_GB2312"/>
          <w:sz w:val="32"/>
        </w:rPr>
        <w:t>5、负责幼儿园各项经费的安排使用和管理。</w:t>
      </w:r>
    </w:p>
    <w:p w14:paraId="1CD43D5C">
      <w:pPr>
        <w:spacing w:line="640" w:lineRule="exact"/>
        <w:ind w:firstLine="640"/>
        <w:jc w:val="both"/>
        <w:outlineLvl w:val="2"/>
      </w:pPr>
      <w:r>
        <w:rPr>
          <w:rFonts w:ascii="黑体" w:hAnsi="黑体" w:eastAsia="黑体"/>
          <w:sz w:val="32"/>
        </w:rPr>
        <w:t>二、机构设置及人员情况</w:t>
      </w:r>
    </w:p>
    <w:p w14:paraId="0675F1E3">
      <w:pPr>
        <w:spacing w:line="580" w:lineRule="exact"/>
        <w:ind w:firstLine="640"/>
        <w:jc w:val="both"/>
      </w:pPr>
      <w:r>
        <w:rPr>
          <w:rFonts w:ascii="仿宋_GB2312" w:hAnsi="仿宋_GB2312" w:eastAsia="仿宋_GB2312"/>
          <w:sz w:val="32"/>
        </w:rPr>
        <w:t>吉木萨尔县第四幼儿园2024年度，实有人数20人，其中：在职人员20人，减少2人；离休人员0人，增加0人；退休人员0人,增加0人。</w:t>
      </w:r>
    </w:p>
    <w:p w14:paraId="7AF77A5D">
      <w:pPr>
        <w:spacing w:line="580" w:lineRule="exact"/>
        <w:ind w:firstLine="640"/>
        <w:jc w:val="both"/>
      </w:pPr>
      <w:r>
        <w:rPr>
          <w:rFonts w:ascii="仿宋_GB2312" w:hAnsi="仿宋_GB2312" w:eastAsia="仿宋_GB2312"/>
          <w:sz w:val="32"/>
        </w:rPr>
        <w:t>吉木萨尔县第四幼儿园无下属预算单位，下设7个科室，分</w:t>
      </w:r>
      <w:r>
        <w:rPr>
          <w:rFonts w:ascii="仿宋_GB2312" w:hAnsi="仿宋_GB2312" w:eastAsia="仿宋_GB2312"/>
          <w:w w:val="97"/>
          <w:sz w:val="32"/>
        </w:rPr>
        <w:t>别是：教务处、德育处、党建室、工会、财务室、安全办、后勤处。</w:t>
      </w:r>
    </w:p>
    <w:p w14:paraId="22E311A1">
      <w:r>
        <w:br w:type="page"/>
      </w:r>
    </w:p>
    <w:p w14:paraId="625565EB">
      <w:pPr>
        <w:spacing w:line="240" w:lineRule="auto"/>
        <w:jc w:val="center"/>
        <w:outlineLvl w:val="1"/>
      </w:pPr>
      <w:r>
        <w:rPr>
          <w:rFonts w:ascii="黑体" w:hAnsi="黑体" w:eastAsia="黑体"/>
          <w:sz w:val="32"/>
        </w:rPr>
        <w:t>第二部分 部门决算情况说明</w:t>
      </w:r>
    </w:p>
    <w:p w14:paraId="7CE293A1">
      <w:pPr>
        <w:spacing w:line="640" w:lineRule="exact"/>
        <w:ind w:firstLine="640"/>
        <w:jc w:val="both"/>
        <w:outlineLvl w:val="2"/>
      </w:pPr>
      <w:r>
        <w:rPr>
          <w:rFonts w:ascii="黑体" w:hAnsi="黑体" w:eastAsia="黑体"/>
          <w:sz w:val="32"/>
        </w:rPr>
        <w:t>一、收入支出决算总体情况说明</w:t>
      </w:r>
    </w:p>
    <w:p w14:paraId="5E5B939F">
      <w:pPr>
        <w:spacing w:line="580" w:lineRule="exact"/>
        <w:ind w:firstLine="640"/>
        <w:jc w:val="both"/>
      </w:pPr>
      <w:r>
        <w:rPr>
          <w:rFonts w:ascii="仿宋_GB2312" w:hAnsi="仿宋_GB2312" w:eastAsia="仿宋_GB2312"/>
          <w:b/>
          <w:sz w:val="32"/>
        </w:rPr>
        <w:t>2024年度收入总计559.14万元，</w:t>
      </w:r>
      <w:r>
        <w:rPr>
          <w:rFonts w:ascii="仿宋_GB2312" w:hAnsi="仿宋_GB2312" w:eastAsia="仿宋_GB2312"/>
          <w:b w:val="0"/>
          <w:sz w:val="32"/>
        </w:rPr>
        <w:t>其中：本年收入合计557.76万元，使用非财政拨款结余（含专用结余）0.00万元，年初结转和结余1.38万元。</w:t>
      </w:r>
    </w:p>
    <w:p w14:paraId="0FAB3E05">
      <w:pPr>
        <w:spacing w:line="580" w:lineRule="exact"/>
        <w:ind w:firstLine="640"/>
        <w:jc w:val="both"/>
      </w:pPr>
      <w:r>
        <w:rPr>
          <w:rFonts w:ascii="仿宋_GB2312" w:hAnsi="仿宋_GB2312" w:eastAsia="仿宋_GB2312"/>
          <w:b/>
          <w:sz w:val="32"/>
        </w:rPr>
        <w:t>2024年度支出总计559.14万元，</w:t>
      </w:r>
      <w:r>
        <w:rPr>
          <w:rFonts w:ascii="仿宋_GB2312" w:hAnsi="仿宋_GB2312" w:eastAsia="仿宋_GB2312"/>
          <w:b w:val="0"/>
          <w:sz w:val="32"/>
        </w:rPr>
        <w:t>其中：本年支出合计557.76万元，结余分配0.00万元，年末结转和结余1.38万元。</w:t>
      </w:r>
    </w:p>
    <w:p w14:paraId="08226438">
      <w:pPr>
        <w:spacing w:line="580" w:lineRule="exact"/>
        <w:ind w:firstLine="640"/>
        <w:jc w:val="both"/>
      </w:pPr>
      <w:r>
        <w:rPr>
          <w:rFonts w:ascii="仿宋_GB2312" w:hAnsi="仿宋_GB2312" w:eastAsia="仿宋_GB2312"/>
          <w:b w:val="0"/>
          <w:sz w:val="32"/>
        </w:rPr>
        <w:t>收入支出总体与上年相比，增加61.29万元，增长12.31%，主要原因是：本年在职人员工资调增，社保、公积金基数调增，人员经费增加；增加2024年度公用采暖费差额经费、学校建设经费。</w:t>
      </w:r>
    </w:p>
    <w:p w14:paraId="2AEC364B">
      <w:pPr>
        <w:spacing w:line="640" w:lineRule="exact"/>
        <w:ind w:firstLine="640"/>
        <w:jc w:val="both"/>
        <w:outlineLvl w:val="2"/>
      </w:pPr>
      <w:r>
        <w:rPr>
          <w:rFonts w:ascii="黑体" w:hAnsi="黑体" w:eastAsia="黑体"/>
          <w:sz w:val="32"/>
        </w:rPr>
        <w:t>二、收入决算情况说明</w:t>
      </w:r>
    </w:p>
    <w:p w14:paraId="009ADEDC">
      <w:pPr>
        <w:spacing w:line="580" w:lineRule="exact"/>
        <w:ind w:firstLine="640"/>
        <w:jc w:val="both"/>
      </w:pPr>
      <w:r>
        <w:rPr>
          <w:rFonts w:ascii="仿宋_GB2312" w:hAnsi="仿宋_GB2312" w:eastAsia="仿宋_GB2312"/>
          <w:b/>
          <w:sz w:val="32"/>
        </w:rPr>
        <w:t>本年收入557.76万元，</w:t>
      </w:r>
      <w:r>
        <w:rPr>
          <w:rFonts w:ascii="仿宋_GB2312" w:hAnsi="仿宋_GB2312" w:eastAsia="仿宋_GB2312"/>
          <w:b w:val="0"/>
          <w:sz w:val="32"/>
        </w:rPr>
        <w:t>其中：财政拨款收入552.72万元，占99.10%；上级补助收入0.00万元，占0.00%；事业收入0.00万元，占0.00%；经营收入0.00万元，占0.00%；附属单位上缴收入0.00万元，占0.00%；其他收入5.05万元，占0.91%。</w:t>
      </w:r>
    </w:p>
    <w:p w14:paraId="6D2CDC92">
      <w:pPr>
        <w:spacing w:line="640" w:lineRule="exact"/>
        <w:ind w:firstLine="640"/>
        <w:jc w:val="both"/>
        <w:outlineLvl w:val="2"/>
      </w:pPr>
      <w:r>
        <w:rPr>
          <w:rFonts w:ascii="黑体" w:hAnsi="黑体" w:eastAsia="黑体"/>
          <w:sz w:val="32"/>
        </w:rPr>
        <w:t>三、支出决算情况说明</w:t>
      </w:r>
    </w:p>
    <w:p w14:paraId="61576294">
      <w:pPr>
        <w:spacing w:line="580" w:lineRule="exact"/>
        <w:ind w:firstLine="640"/>
        <w:jc w:val="both"/>
      </w:pPr>
      <w:r>
        <w:rPr>
          <w:rFonts w:ascii="仿宋_GB2312" w:hAnsi="仿宋_GB2312" w:eastAsia="仿宋_GB2312"/>
          <w:b/>
          <w:sz w:val="32"/>
        </w:rPr>
        <w:t>本年支出557.76万元，</w:t>
      </w:r>
      <w:r>
        <w:rPr>
          <w:rFonts w:ascii="仿宋_GB2312" w:hAnsi="仿宋_GB2312" w:eastAsia="仿宋_GB2312"/>
          <w:b w:val="0"/>
          <w:sz w:val="32"/>
        </w:rPr>
        <w:t>其中：基本支出420.94万元，占75.47%；项目支出136.83万元，占24.53%；上缴上级支出0.00万元，占0.00%；经营支出0.00万元，占0.00%；对附属单位补助支出0.00万元，占0.00%。</w:t>
      </w:r>
    </w:p>
    <w:p w14:paraId="1B570439">
      <w:pPr>
        <w:spacing w:line="640" w:lineRule="exact"/>
        <w:ind w:firstLine="640"/>
        <w:jc w:val="both"/>
        <w:outlineLvl w:val="2"/>
      </w:pPr>
      <w:r>
        <w:rPr>
          <w:rFonts w:ascii="黑体" w:hAnsi="黑体" w:eastAsia="黑体"/>
          <w:sz w:val="32"/>
        </w:rPr>
        <w:t>四、财政拨款收入支出决算总体情况说明</w:t>
      </w:r>
    </w:p>
    <w:p w14:paraId="48CEA24B">
      <w:pPr>
        <w:spacing w:line="580" w:lineRule="exact"/>
        <w:ind w:firstLine="640"/>
        <w:jc w:val="both"/>
      </w:pPr>
      <w:r>
        <w:rPr>
          <w:rFonts w:ascii="仿宋_GB2312" w:hAnsi="仿宋_GB2312" w:eastAsia="仿宋_GB2312"/>
          <w:b/>
          <w:sz w:val="32"/>
        </w:rPr>
        <w:t>2024年度财政拨款收入总计554.10万元，</w:t>
      </w:r>
      <w:r>
        <w:rPr>
          <w:rFonts w:ascii="仿宋_GB2312" w:hAnsi="仿宋_GB2312" w:eastAsia="仿宋_GB2312"/>
          <w:b w:val="0"/>
          <w:sz w:val="32"/>
        </w:rPr>
        <w:t>其中：年初财政拨款结转和结余1.38万元，本年财政拨款收入552.72万元。</w:t>
      </w:r>
      <w:r>
        <w:rPr>
          <w:rFonts w:ascii="仿宋_GB2312" w:hAnsi="仿宋_GB2312" w:eastAsia="仿宋_GB2312"/>
          <w:b/>
          <w:sz w:val="32"/>
        </w:rPr>
        <w:t>财政拨款支出总计554.10万元，</w:t>
      </w:r>
      <w:r>
        <w:rPr>
          <w:rFonts w:ascii="仿宋_GB2312" w:hAnsi="仿宋_GB2312" w:eastAsia="仿宋_GB2312"/>
          <w:b w:val="0"/>
          <w:sz w:val="32"/>
        </w:rPr>
        <w:t>其中：年末财政拨款结转和结余1.38万元，本年财政拨款支出552.72万元。</w:t>
      </w:r>
    </w:p>
    <w:p w14:paraId="5178326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增加56.62万元，增长11.38%，主要原因是：本年在职人员工资调增，社保、公积金基数调增，人员经费增加；增加2024年度公用采暖费差额经费。</w:t>
      </w:r>
      <w:r>
        <w:rPr>
          <w:rFonts w:ascii="仿宋_GB2312" w:hAnsi="仿宋_GB2312" w:eastAsia="仿宋_GB2312"/>
          <w:b/>
          <w:sz w:val="32"/>
        </w:rPr>
        <w:t>与年初预算相比，</w:t>
      </w:r>
      <w:r>
        <w:rPr>
          <w:rFonts w:ascii="仿宋_GB2312" w:hAnsi="仿宋_GB2312" w:eastAsia="仿宋_GB2312"/>
          <w:b w:val="0"/>
          <w:sz w:val="32"/>
        </w:rPr>
        <w:t>年初预算数475.79万元，决算数554.10万元，预决算差异率16.46%，主要原因是：年中追加人员工资、社保、公积金基数调增部分资金，导致预决算存在差异。</w:t>
      </w:r>
    </w:p>
    <w:p w14:paraId="4F081E6E">
      <w:pPr>
        <w:spacing w:line="640" w:lineRule="exact"/>
        <w:ind w:firstLine="640"/>
        <w:jc w:val="both"/>
        <w:outlineLvl w:val="2"/>
      </w:pPr>
      <w:r>
        <w:rPr>
          <w:rFonts w:ascii="黑体" w:hAnsi="黑体" w:eastAsia="黑体"/>
          <w:sz w:val="32"/>
        </w:rPr>
        <w:t>五、一般公共预算财政拨款支出决算情况说明</w:t>
      </w:r>
    </w:p>
    <w:p w14:paraId="6C0C82AA">
      <w:pPr>
        <w:spacing w:line="640" w:lineRule="exact"/>
        <w:ind w:firstLine="640"/>
        <w:jc w:val="both"/>
        <w:outlineLvl w:val="3"/>
      </w:pPr>
      <w:r>
        <w:rPr>
          <w:rFonts w:ascii="楷体_GB2312" w:hAnsi="楷体_GB2312" w:eastAsia="楷体_GB2312"/>
          <w:b/>
          <w:sz w:val="32"/>
        </w:rPr>
        <w:t>（一）一般公共预算财政拨款支出决算总体情况</w:t>
      </w:r>
    </w:p>
    <w:p w14:paraId="5F79020F">
      <w:pPr>
        <w:spacing w:line="580" w:lineRule="exact"/>
        <w:ind w:firstLine="640"/>
        <w:jc w:val="both"/>
      </w:pPr>
      <w:r>
        <w:rPr>
          <w:rFonts w:ascii="仿宋_GB2312" w:hAnsi="仿宋_GB2312" w:eastAsia="仿宋_GB2312"/>
          <w:b/>
          <w:sz w:val="32"/>
        </w:rPr>
        <w:t>2024年度一般公共预算财政拨款支出552.72万元，</w:t>
      </w:r>
      <w:r>
        <w:rPr>
          <w:rFonts w:ascii="仿宋_GB2312" w:hAnsi="仿宋_GB2312" w:eastAsia="仿宋_GB2312"/>
          <w:b w:val="0"/>
          <w:sz w:val="32"/>
        </w:rPr>
        <w:t>占本年支出合计的99.10%。</w:t>
      </w:r>
      <w:r>
        <w:rPr>
          <w:rFonts w:ascii="仿宋_GB2312" w:hAnsi="仿宋_GB2312" w:eastAsia="仿宋_GB2312"/>
          <w:b/>
          <w:sz w:val="32"/>
        </w:rPr>
        <w:t>与上年相比，</w:t>
      </w:r>
      <w:r>
        <w:rPr>
          <w:rFonts w:ascii="仿宋_GB2312" w:hAnsi="仿宋_GB2312" w:eastAsia="仿宋_GB2312"/>
          <w:b w:val="0"/>
          <w:sz w:val="32"/>
        </w:rPr>
        <w:t>增加56.61万元，增长11.41%，主要原因是：本年在职人员工资调增，社保、公积金基数调增，人员经费增加；增加2024年度公用采暖费差额经费。</w:t>
      </w:r>
      <w:r>
        <w:rPr>
          <w:rFonts w:ascii="仿宋_GB2312" w:hAnsi="仿宋_GB2312" w:eastAsia="仿宋_GB2312"/>
          <w:b/>
          <w:sz w:val="32"/>
        </w:rPr>
        <w:t>与年初预算相比,</w:t>
      </w:r>
      <w:r>
        <w:rPr>
          <w:rFonts w:ascii="仿宋_GB2312" w:hAnsi="仿宋_GB2312" w:eastAsia="仿宋_GB2312"/>
          <w:b w:val="0"/>
          <w:sz w:val="32"/>
        </w:rPr>
        <w:t>年初预算数475.79万元，决算数552.72万元，预决算差异率16.17%，主要原因是：年中追加人员工资、社保、公积金基数调增部分资金，导致预决算存在差异。</w:t>
      </w:r>
    </w:p>
    <w:p w14:paraId="61B3B6D3">
      <w:pPr>
        <w:spacing w:line="640" w:lineRule="exact"/>
        <w:ind w:firstLine="640"/>
        <w:jc w:val="both"/>
        <w:outlineLvl w:val="3"/>
      </w:pPr>
      <w:r>
        <w:rPr>
          <w:rFonts w:ascii="楷体_GB2312" w:hAnsi="楷体_GB2312" w:eastAsia="楷体_GB2312"/>
          <w:b/>
          <w:sz w:val="32"/>
        </w:rPr>
        <w:t>（二）一般公共预算财政拨款支出决算结构情况</w:t>
      </w:r>
    </w:p>
    <w:p w14:paraId="309AD972">
      <w:pPr>
        <w:spacing w:line="580" w:lineRule="exact"/>
        <w:ind w:firstLine="640"/>
        <w:jc w:val="both"/>
      </w:pPr>
      <w:r>
        <w:rPr>
          <w:rFonts w:ascii="仿宋_GB2312" w:hAnsi="仿宋_GB2312" w:eastAsia="仿宋_GB2312"/>
          <w:b w:val="0"/>
          <w:sz w:val="32"/>
        </w:rPr>
        <w:t>1.教育支出(类)552.72万元,占100.00%。</w:t>
      </w:r>
    </w:p>
    <w:p w14:paraId="59B63F1B">
      <w:pPr>
        <w:spacing w:line="640" w:lineRule="exact"/>
        <w:ind w:firstLine="640"/>
        <w:jc w:val="both"/>
        <w:outlineLvl w:val="3"/>
      </w:pPr>
      <w:r>
        <w:rPr>
          <w:rFonts w:ascii="楷体_GB2312" w:hAnsi="楷体_GB2312" w:eastAsia="楷体_GB2312"/>
          <w:b/>
          <w:sz w:val="32"/>
        </w:rPr>
        <w:t>（三）一般公共预算财政拨款支出决算具体情况</w:t>
      </w:r>
    </w:p>
    <w:p w14:paraId="0B2EDF7B">
      <w:pPr>
        <w:spacing w:line="580" w:lineRule="exact"/>
        <w:ind w:firstLine="640"/>
        <w:jc w:val="both"/>
      </w:pPr>
      <w:r>
        <w:rPr>
          <w:rFonts w:ascii="仿宋_GB2312" w:hAnsi="仿宋_GB2312" w:eastAsia="仿宋_GB2312"/>
          <w:b w:val="0"/>
          <w:sz w:val="32"/>
        </w:rPr>
        <w:t>1.教育支出(类)普通教育(款)学前教育(项):支出决算数为534.93万元，比上年决算增加38.82万元，增长7.82%,主要原因是：本年在职人员工资调增，社保、公积金基数调增，人员经费增加。</w:t>
      </w:r>
    </w:p>
    <w:p w14:paraId="1F646360">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2.教育支出(类)教育费附加安排的支出(款)其他教育费附加安排的支出(项):支出决算数为17.79万元，比上年决算增加17.79万元，增长100.00%,主要原因是：本年增加2024年度公用采暖费差额经费。</w:t>
      </w:r>
    </w:p>
    <w:p w14:paraId="6D3EC9B9">
      <w:pPr>
        <w:spacing w:line="640" w:lineRule="exact"/>
        <w:ind w:firstLine="640"/>
        <w:jc w:val="both"/>
        <w:outlineLvl w:val="2"/>
      </w:pPr>
      <w:r>
        <w:rPr>
          <w:rFonts w:ascii="黑体" w:hAnsi="黑体" w:eastAsia="黑体"/>
          <w:sz w:val="32"/>
        </w:rPr>
        <w:t>六、一般公共预算财政拨款基本支出决算情况说明</w:t>
      </w:r>
    </w:p>
    <w:p w14:paraId="731C9D4A">
      <w:pPr>
        <w:spacing w:line="580" w:lineRule="exact"/>
        <w:ind w:firstLine="640"/>
        <w:jc w:val="both"/>
      </w:pPr>
      <w:r>
        <w:rPr>
          <w:rFonts w:ascii="仿宋_GB2312" w:hAnsi="仿宋_GB2312" w:eastAsia="仿宋_GB2312"/>
          <w:b w:val="0"/>
          <w:sz w:val="32"/>
        </w:rPr>
        <w:t>2024年度一般公共预算财政拨款基本支出415.89万元，其中：</w:t>
      </w:r>
      <w:r>
        <w:rPr>
          <w:rFonts w:ascii="仿宋_GB2312" w:hAnsi="仿宋_GB2312" w:eastAsia="仿宋_GB2312"/>
          <w:b/>
          <w:sz w:val="32"/>
        </w:rPr>
        <w:t>人员经费406.45万元，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28B64F9B">
      <w:pPr>
        <w:spacing w:line="580" w:lineRule="exact"/>
        <w:ind w:firstLine="640"/>
        <w:jc w:val="both"/>
      </w:pPr>
      <w:r>
        <w:rPr>
          <w:rFonts w:ascii="仿宋_GB2312" w:hAnsi="仿宋_GB2312" w:eastAsia="仿宋_GB2312"/>
          <w:b/>
          <w:sz w:val="32"/>
        </w:rPr>
        <w:t>公用经费9.44万元，</w:t>
      </w:r>
      <w:r>
        <w:rPr>
          <w:rFonts w:ascii="仿宋_GB2312" w:hAnsi="仿宋_GB2312" w:eastAsia="仿宋_GB2312"/>
          <w:b w:val="0"/>
          <w:sz w:val="32"/>
        </w:rPr>
        <w:t>包括：取暖费、培训费、工会经费。</w:t>
      </w:r>
    </w:p>
    <w:p w14:paraId="4E5EFD89">
      <w:pPr>
        <w:spacing w:line="640" w:lineRule="exact"/>
        <w:ind w:firstLine="640"/>
        <w:jc w:val="both"/>
        <w:outlineLvl w:val="2"/>
      </w:pPr>
      <w:r>
        <w:rPr>
          <w:rFonts w:ascii="黑体" w:hAnsi="黑体" w:eastAsia="黑体"/>
          <w:sz w:val="32"/>
        </w:rPr>
        <w:t>七、政府性基金预算财政拨款收入支出决算情况说明</w:t>
      </w:r>
    </w:p>
    <w:p w14:paraId="3FD9D0A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ABCCB5">
      <w:pPr>
        <w:spacing w:line="640" w:lineRule="exact"/>
        <w:ind w:firstLine="640"/>
        <w:jc w:val="both"/>
        <w:outlineLvl w:val="2"/>
      </w:pPr>
      <w:r>
        <w:rPr>
          <w:rFonts w:ascii="黑体" w:hAnsi="黑体" w:eastAsia="黑体"/>
          <w:sz w:val="32"/>
        </w:rPr>
        <w:t>八、国有资本经营预算财政拨款收入支出决算情况说明</w:t>
      </w:r>
    </w:p>
    <w:p w14:paraId="3044AFD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91A705">
      <w:pPr>
        <w:spacing w:line="640" w:lineRule="exact"/>
        <w:ind w:firstLine="640"/>
        <w:jc w:val="both"/>
        <w:outlineLvl w:val="2"/>
      </w:pPr>
      <w:r>
        <w:rPr>
          <w:rFonts w:ascii="黑体" w:hAnsi="黑体" w:eastAsia="黑体"/>
          <w:sz w:val="32"/>
        </w:rPr>
        <w:t>九、财政拨款“三公”经费支出决算情况说明</w:t>
      </w:r>
    </w:p>
    <w:p w14:paraId="3870EC3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84673B8">
      <w:pPr>
        <w:spacing w:line="580" w:lineRule="exact"/>
        <w:ind w:firstLine="640"/>
        <w:jc w:val="both"/>
      </w:pPr>
      <w:r>
        <w:rPr>
          <w:rFonts w:ascii="仿宋_GB2312" w:hAnsi="仿宋_GB2312" w:eastAsia="仿宋_GB2312"/>
          <w:b/>
          <w:sz w:val="32"/>
        </w:rPr>
        <w:t>具体情况如下：</w:t>
      </w:r>
    </w:p>
    <w:p w14:paraId="5E3AB68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BDFE8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车辆0辆，与公务用车保有量差异原因是：本单位无固定资产车辆。</w:t>
      </w:r>
    </w:p>
    <w:p w14:paraId="6408658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0ABA8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8501ACA">
      <w:pPr>
        <w:spacing w:line="640" w:lineRule="exact"/>
        <w:ind w:firstLine="640"/>
        <w:jc w:val="both"/>
        <w:outlineLvl w:val="2"/>
      </w:pPr>
      <w:r>
        <w:rPr>
          <w:rFonts w:ascii="黑体" w:hAnsi="黑体" w:eastAsia="黑体"/>
          <w:sz w:val="32"/>
        </w:rPr>
        <w:t>十、其他重要事项的情况说明</w:t>
      </w:r>
    </w:p>
    <w:p w14:paraId="6F502F34">
      <w:pPr>
        <w:spacing w:line="640" w:lineRule="exact"/>
        <w:ind w:firstLine="640"/>
        <w:jc w:val="both"/>
        <w:outlineLvl w:val="3"/>
      </w:pPr>
      <w:r>
        <w:rPr>
          <w:rFonts w:ascii="楷体_GB2312" w:hAnsi="楷体_GB2312" w:eastAsia="楷体_GB2312"/>
          <w:b/>
          <w:sz w:val="32"/>
        </w:rPr>
        <w:t>（一）机关运行经费及公用经费支出情况</w:t>
      </w:r>
    </w:p>
    <w:p w14:paraId="1B86DEC9">
      <w:pPr>
        <w:spacing w:line="580" w:lineRule="exact"/>
        <w:ind w:firstLine="640"/>
        <w:jc w:val="both"/>
      </w:pPr>
      <w:r>
        <w:rPr>
          <w:rFonts w:ascii="仿宋_GB2312" w:hAnsi="仿宋_GB2312" w:eastAsia="仿宋_GB2312"/>
          <w:b w:val="0"/>
          <w:sz w:val="32"/>
        </w:rPr>
        <w:t>2024年度吉木萨尔县第四幼儿园（事业单位）公用经费支出9.44万元，比上年增加3.77万元，增长66.49%，主要原因是：本年更新、维护补充办公用品，导致公用经费较上年增加。</w:t>
      </w:r>
    </w:p>
    <w:p w14:paraId="585DB699">
      <w:pPr>
        <w:spacing w:line="640" w:lineRule="exact"/>
        <w:ind w:firstLine="640"/>
        <w:jc w:val="both"/>
        <w:outlineLvl w:val="3"/>
      </w:pPr>
      <w:r>
        <w:rPr>
          <w:rFonts w:ascii="楷体_GB2312" w:hAnsi="楷体_GB2312" w:eastAsia="楷体_GB2312"/>
          <w:b/>
          <w:sz w:val="32"/>
        </w:rPr>
        <w:t>（二）政府采购情况</w:t>
      </w:r>
    </w:p>
    <w:p w14:paraId="6A8FF28C">
      <w:pPr>
        <w:spacing w:line="580" w:lineRule="exact"/>
        <w:ind w:firstLine="640"/>
        <w:jc w:val="both"/>
      </w:pPr>
      <w:r>
        <w:rPr>
          <w:rFonts w:ascii="仿宋_GB2312" w:hAnsi="仿宋_GB2312" w:eastAsia="仿宋_GB2312"/>
          <w:b w:val="0"/>
          <w:sz w:val="32"/>
        </w:rPr>
        <w:t>2024年度政府采购支出总额2.40万元，其中：政府采购货物支出2.11万元、政府采购工程支出0.00万元、政府采购服务支出0.29万元。</w:t>
      </w:r>
    </w:p>
    <w:p w14:paraId="7D6D3D40">
      <w:pPr>
        <w:spacing w:line="580" w:lineRule="exact"/>
        <w:ind w:firstLine="640"/>
        <w:jc w:val="both"/>
      </w:pPr>
      <w:r>
        <w:rPr>
          <w:rFonts w:ascii="仿宋_GB2312" w:hAnsi="仿宋_GB2312" w:eastAsia="仿宋_GB2312"/>
          <w:b w:val="0"/>
          <w:sz w:val="32"/>
        </w:rPr>
        <w:t>授予中小企业合同金额2.40万元，占政府采购支出总额的100.00%，其中：授予小微企业合同金额2.33万元，占政府采购支出总额的97.08%。</w:t>
      </w:r>
    </w:p>
    <w:p w14:paraId="46191233">
      <w:pPr>
        <w:spacing w:line="640" w:lineRule="exact"/>
        <w:ind w:firstLine="640"/>
        <w:jc w:val="both"/>
        <w:outlineLvl w:val="3"/>
      </w:pPr>
      <w:r>
        <w:rPr>
          <w:rFonts w:ascii="楷体_GB2312" w:hAnsi="楷体_GB2312" w:eastAsia="楷体_GB2312"/>
          <w:b/>
          <w:sz w:val="32"/>
        </w:rPr>
        <w:t>（三）国有资产占用情况说明</w:t>
      </w:r>
    </w:p>
    <w:p w14:paraId="712E78A8">
      <w:pPr>
        <w:spacing w:line="580" w:lineRule="exact"/>
        <w:ind w:firstLine="640"/>
        <w:jc w:val="both"/>
      </w:pPr>
      <w:r>
        <w:rPr>
          <w:rFonts w:ascii="仿宋_GB2312" w:hAnsi="仿宋_GB2312" w:eastAsia="仿宋_GB2312"/>
          <w:b w:val="0"/>
          <w:sz w:val="32"/>
        </w:rPr>
        <w:t>截至2024年12月31日，房屋4,612.59平方米，价值566.34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w w:val="97"/>
          <w:sz w:val="32"/>
        </w:rPr>
        <w:t>无其他用车。单价100万元（含）以上设备（不含车辆）0台（套）。</w:t>
      </w:r>
    </w:p>
    <w:p w14:paraId="64008F63">
      <w:pPr>
        <w:spacing w:line="640" w:lineRule="exact"/>
        <w:ind w:firstLine="640"/>
        <w:jc w:val="both"/>
        <w:outlineLvl w:val="2"/>
      </w:pPr>
      <w:r>
        <w:rPr>
          <w:rFonts w:ascii="黑体" w:hAnsi="黑体" w:eastAsia="黑体"/>
          <w:sz w:val="32"/>
        </w:rPr>
        <w:t>十一、预算绩效的情况说明</w:t>
      </w:r>
    </w:p>
    <w:p w14:paraId="53611ED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559.14万元，实际执行总额557.76万元；预算绩效评价项目5个，全年预算数136.83万元，全年执行数136.83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预算绩效管理办法》，《州财政局机关预算管理办法》的要求对项目资金列入部门预算、进一步规范项目绩效管理工作</w:t>
      </w:r>
      <w:r>
        <w:rPr>
          <w:rFonts w:hint="eastAsia" w:ascii="仿宋_GB2312" w:hAnsi="仿宋_GB2312" w:eastAsia="仿宋_GB2312"/>
          <w:b w:val="0"/>
          <w:sz w:val="32"/>
          <w:lang w:eastAsia="zh-CN"/>
        </w:rPr>
        <w:t>及</w:t>
      </w:r>
      <w:r>
        <w:rPr>
          <w:rFonts w:ascii="仿宋_GB2312" w:hAnsi="仿宋_GB2312" w:eastAsia="仿宋_GB2312"/>
          <w:b w:val="0"/>
          <w:sz w:val="32"/>
        </w:rPr>
        <w:t>时规范收支账务处理和会计核算等工作。确保项目资金合理、高效使用到位。三是深化学习，努力提高思想理论水平，加强事业心和责任感，并坚持理论联系实际，注重学习以致用。具体附整体支出绩效自评表，项目支出绩效自评表。</w:t>
      </w:r>
    </w:p>
    <w:p w14:paraId="6B8B8E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273EBC">
        <w:tblPrEx>
          <w:tblCellMar>
            <w:top w:w="0" w:type="dxa"/>
            <w:left w:w="108" w:type="dxa"/>
            <w:bottom w:w="0" w:type="dxa"/>
            <w:right w:w="108" w:type="dxa"/>
          </w:tblCellMar>
        </w:tblPrEx>
        <w:tc>
          <w:tcPr>
            <w:tcW w:w="8847" w:type="dxa"/>
            <w:gridSpan w:val="9"/>
            <w:vAlign w:val="center"/>
          </w:tcPr>
          <w:p w14:paraId="5E22680E">
            <w:pPr>
              <w:jc w:val="center"/>
            </w:pPr>
            <w:r>
              <w:rPr>
                <w:rFonts w:ascii="宋体" w:hAnsi="宋体" w:eastAsia="宋体"/>
                <w:sz w:val="24"/>
              </w:rPr>
              <w:t>单位整体支出绩效自评表</w:t>
            </w:r>
          </w:p>
        </w:tc>
      </w:tr>
      <w:tr w14:paraId="70F504D8">
        <w:tblPrEx>
          <w:tblCellMar>
            <w:top w:w="0" w:type="dxa"/>
            <w:left w:w="108" w:type="dxa"/>
            <w:bottom w:w="0" w:type="dxa"/>
            <w:right w:w="108" w:type="dxa"/>
          </w:tblCellMar>
        </w:tblPrEx>
        <w:tc>
          <w:tcPr>
            <w:tcW w:w="8847" w:type="dxa"/>
            <w:gridSpan w:val="9"/>
            <w:vAlign w:val="center"/>
          </w:tcPr>
          <w:p w14:paraId="64EAEC11">
            <w:pPr>
              <w:jc w:val="center"/>
            </w:pPr>
            <w:r>
              <w:rPr>
                <w:rFonts w:ascii="宋体" w:hAnsi="宋体" w:eastAsia="宋体"/>
                <w:sz w:val="24"/>
              </w:rPr>
              <w:t>（2024年度）</w:t>
            </w:r>
          </w:p>
        </w:tc>
      </w:tr>
      <w:tr w14:paraId="0D3041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7E43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F07C21">
            <w:pPr>
              <w:jc w:val="center"/>
            </w:pPr>
            <w:r>
              <w:rPr>
                <w:rFonts w:ascii="宋体" w:hAnsi="宋体" w:eastAsia="宋体"/>
                <w:sz w:val="16"/>
              </w:rPr>
              <w:t>吉木萨尔县第四幼儿园</w:t>
            </w:r>
          </w:p>
        </w:tc>
      </w:tr>
      <w:tr w14:paraId="1A6C6E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054F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577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200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F25A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D5F4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1F5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73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7DF74">
            <w:pPr>
              <w:jc w:val="center"/>
            </w:pPr>
            <w:r>
              <w:rPr>
                <w:rFonts w:ascii="宋体" w:hAnsi="宋体" w:eastAsia="宋体"/>
                <w:sz w:val="16"/>
              </w:rPr>
              <w:t>得分</w:t>
            </w:r>
          </w:p>
        </w:tc>
      </w:tr>
      <w:tr w14:paraId="48021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CC5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13F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6927">
            <w:pPr>
              <w:jc w:val="center"/>
            </w:pPr>
            <w:r>
              <w:rPr>
                <w:rFonts w:ascii="宋体" w:hAnsi="宋体" w:eastAsia="宋体"/>
                <w:sz w:val="16"/>
              </w:rPr>
              <w:t>54.47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4A41">
            <w:pPr>
              <w:jc w:val="center"/>
            </w:pPr>
            <w:r>
              <w:rPr>
                <w:rFonts w:ascii="宋体" w:hAnsi="宋体" w:eastAsia="宋体"/>
                <w:sz w:val="16"/>
              </w:rPr>
              <w:t>67.23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6B4BE">
            <w:pPr>
              <w:jc w:val="center"/>
            </w:pPr>
            <w:r>
              <w:rPr>
                <w:rFonts w:ascii="宋体" w:hAnsi="宋体" w:eastAsia="宋体"/>
                <w:sz w:val="16"/>
              </w:rPr>
              <w:t>67.23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FB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EF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E587">
            <w:pPr>
              <w:jc w:val="center"/>
            </w:pPr>
            <w:r>
              <w:rPr>
                <w:rFonts w:ascii="宋体" w:hAnsi="宋体" w:eastAsia="宋体"/>
                <w:sz w:val="16"/>
              </w:rPr>
              <w:t>-</w:t>
            </w:r>
          </w:p>
        </w:tc>
      </w:tr>
      <w:tr w14:paraId="605770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09C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75F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EF7B8">
            <w:pPr>
              <w:jc w:val="center"/>
            </w:pPr>
            <w:r>
              <w:rPr>
                <w:rFonts w:ascii="宋体" w:hAnsi="宋体" w:eastAsia="宋体"/>
                <w:sz w:val="16"/>
              </w:rPr>
              <w:t>421.32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1CF5E">
            <w:pPr>
              <w:jc w:val="center"/>
            </w:pPr>
            <w:r>
              <w:rPr>
                <w:rFonts w:ascii="宋体" w:hAnsi="宋体" w:eastAsia="宋体"/>
                <w:sz w:val="16"/>
              </w:rPr>
              <w:t>491.91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C1392">
            <w:pPr>
              <w:jc w:val="center"/>
            </w:pPr>
            <w:r>
              <w:rPr>
                <w:rFonts w:ascii="宋体" w:hAnsi="宋体" w:eastAsia="宋体"/>
                <w:sz w:val="16"/>
              </w:rPr>
              <w:t>490.53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D94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A89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9BA0B">
            <w:pPr>
              <w:jc w:val="center"/>
            </w:pPr>
            <w:r>
              <w:rPr>
                <w:rFonts w:ascii="宋体" w:hAnsi="宋体" w:eastAsia="宋体"/>
                <w:sz w:val="16"/>
              </w:rPr>
              <w:t>-</w:t>
            </w:r>
          </w:p>
        </w:tc>
      </w:tr>
      <w:tr w14:paraId="1C773C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C81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CC40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529BE">
            <w:pPr>
              <w:jc w:val="center"/>
            </w:pPr>
            <w:r>
              <w:rPr>
                <w:rFonts w:ascii="宋体" w:hAnsi="宋体" w:eastAsia="宋体"/>
                <w:sz w:val="16"/>
              </w:rPr>
              <w:t>19.11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36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300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DF2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029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099E7">
            <w:pPr>
              <w:jc w:val="center"/>
            </w:pPr>
            <w:r>
              <w:rPr>
                <w:rFonts w:ascii="宋体" w:hAnsi="宋体" w:eastAsia="宋体"/>
                <w:sz w:val="16"/>
              </w:rPr>
              <w:t>-</w:t>
            </w:r>
          </w:p>
        </w:tc>
      </w:tr>
      <w:tr w14:paraId="0477FF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FD8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250B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6394">
            <w:pPr>
              <w:jc w:val="center"/>
            </w:pPr>
            <w:r>
              <w:rPr>
                <w:rFonts w:ascii="宋体" w:hAnsi="宋体" w:eastAsia="宋体"/>
                <w:sz w:val="16"/>
              </w:rPr>
              <w:t>494.90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9DA19">
            <w:pPr>
              <w:jc w:val="center"/>
            </w:pPr>
            <w:r>
              <w:rPr>
                <w:rFonts w:ascii="宋体" w:hAnsi="宋体" w:eastAsia="宋体"/>
                <w:sz w:val="16"/>
              </w:rPr>
              <w:t>559.14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8A01A">
            <w:pPr>
              <w:jc w:val="center"/>
            </w:pPr>
            <w:r>
              <w:rPr>
                <w:rFonts w:ascii="宋体" w:hAnsi="宋体" w:eastAsia="宋体"/>
                <w:sz w:val="16"/>
              </w:rPr>
              <w:t>557.76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6B7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31276">
            <w:pPr>
              <w:jc w:val="center"/>
            </w:pPr>
            <w:r>
              <w:rPr>
                <w:rFonts w:ascii="宋体" w:hAnsi="宋体" w:eastAsia="宋体"/>
                <w:sz w:val="16"/>
              </w:rPr>
              <w:t>99.75%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EFDD">
            <w:pPr>
              <w:jc w:val="center"/>
            </w:pPr>
            <w:r>
              <w:rPr>
                <w:rFonts w:ascii="宋体" w:hAnsi="宋体" w:eastAsia="宋体"/>
                <w:sz w:val="16"/>
              </w:rPr>
              <w:t>9.87</w:t>
            </w:r>
          </w:p>
        </w:tc>
      </w:tr>
      <w:tr w14:paraId="481FB9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D15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A34C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D8802">
            <w:pPr>
              <w:jc w:val="center"/>
            </w:pPr>
            <w:r>
              <w:rPr>
                <w:rFonts w:ascii="宋体" w:hAnsi="宋体" w:eastAsia="宋体"/>
                <w:sz w:val="16"/>
              </w:rPr>
              <w:t>实际完成情况</w:t>
            </w:r>
          </w:p>
        </w:tc>
      </w:tr>
      <w:tr w14:paraId="22C08C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AAC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4C2431">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，落实有关教育经费的法规政策，普惠性幼儿园覆盖率达到100%，学前三年毛入园率达到90%，让国家优惠政策落实到每家每户，逐步提高乡镇师生的满意度。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6D7FC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w:t>
            </w:r>
            <w:r>
              <w:rPr>
                <w:rFonts w:hint="eastAsia" w:ascii="宋体" w:hAnsi="宋体"/>
                <w:sz w:val="16"/>
                <w:lang w:eastAsia="zh-CN"/>
              </w:rPr>
              <w:t>数</w:t>
            </w:r>
            <w:r>
              <w:rPr>
                <w:rFonts w:ascii="宋体" w:hAnsi="宋体" w:eastAsia="宋体"/>
                <w:sz w:val="16"/>
              </w:rPr>
              <w:t>为494.9万元，全年执行数为557.78万元，2024年</w:t>
            </w:r>
            <w:r>
              <w:rPr>
                <w:rFonts w:hint="eastAsia" w:ascii="宋体" w:hAnsi="宋体"/>
                <w:sz w:val="16"/>
                <w:lang w:eastAsia="zh-CN"/>
              </w:rPr>
              <w:t>本单位</w:t>
            </w:r>
            <w:r>
              <w:rPr>
                <w:rFonts w:ascii="宋体" w:hAnsi="宋体" w:eastAsia="宋体"/>
                <w:sz w:val="16"/>
              </w:rPr>
              <w:t>完成以下工作内容：1.保障人员工资、社保、公积金等人员经费支出；2.普惠性幼儿园持续发展、巩固九年义务教育教学。通过以上工作的实施，学校各项办公经费得到保障，使学校正常运转，落实有关教育经费的法规政策，让国家优惠政策落实到每家每户，逐步提高受益群众的满意度。</w:t>
            </w:r>
          </w:p>
        </w:tc>
      </w:tr>
      <w:tr w14:paraId="4BBD8F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3F4A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9D4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2D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56E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8197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2CDE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7A55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EFD0">
            <w:pPr>
              <w:jc w:val="center"/>
            </w:pPr>
            <w:r>
              <w:rPr>
                <w:rFonts w:ascii="宋体" w:hAnsi="宋体" w:eastAsia="宋体"/>
                <w:sz w:val="16"/>
              </w:rPr>
              <w:t>得分</w:t>
            </w:r>
          </w:p>
        </w:tc>
      </w:tr>
      <w:tr w14:paraId="33E159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9F8E4">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1E2E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AF28">
            <w:pPr>
              <w:jc w:val="center"/>
            </w:pPr>
            <w:r>
              <w:rPr>
                <w:rFonts w:ascii="宋体" w:hAnsi="宋体" w:eastAsia="宋体"/>
                <w:sz w:val="16"/>
              </w:rPr>
              <w:t>幼儿入园人数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2466">
            <w:pPr>
              <w:jc w:val="center"/>
            </w:pPr>
            <w:r>
              <w:rPr>
                <w:rFonts w:ascii="宋体" w:hAnsi="宋体" w:eastAsia="宋体"/>
                <w:sz w:val="16"/>
              </w:rPr>
              <w:t>&lt;=404人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B5F5D">
            <w:pPr>
              <w:jc w:val="center"/>
            </w:pPr>
            <w:r>
              <w:rPr>
                <w:rFonts w:ascii="宋体" w:hAnsi="宋体" w:eastAsia="宋体"/>
                <w:sz w:val="16"/>
              </w:rPr>
              <w:t>吉木萨尔县第四幼儿园经费年报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5484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1849C">
            <w:pPr>
              <w:jc w:val="center"/>
            </w:pPr>
            <w:r>
              <w:rPr>
                <w:rFonts w:ascii="宋体" w:hAnsi="宋体" w:eastAsia="宋体"/>
                <w:sz w:val="16"/>
              </w:rPr>
              <w: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FA073">
            <w:pPr>
              <w:jc w:val="center"/>
            </w:pPr>
            <w:r>
              <w:rPr>
                <w:rFonts w:ascii="宋体" w:hAnsi="宋体" w:eastAsia="宋体"/>
                <w:sz w:val="16"/>
              </w:rPr>
              <w:t>13.74</w:t>
            </w:r>
          </w:p>
        </w:tc>
      </w:tr>
      <w:tr w14:paraId="17F032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960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3B7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8E5F1">
            <w:pPr>
              <w:jc w:val="center"/>
            </w:pPr>
            <w:r>
              <w:rPr>
                <w:rFonts w:ascii="宋体" w:hAnsi="宋体" w:eastAsia="宋体"/>
                <w:sz w:val="16"/>
              </w:rPr>
              <w:t>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17094">
            <w:pPr>
              <w:jc w:val="center"/>
            </w:pPr>
            <w:r>
              <w:rPr>
                <w:rFonts w:ascii="宋体" w:hAnsi="宋体" w:eastAsia="宋体"/>
                <w:sz w:val="16"/>
              </w:rPr>
              <w:t>&lt;=35人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D901">
            <w:pPr>
              <w:jc w:val="center"/>
            </w:pPr>
            <w:r>
              <w:rPr>
                <w:rFonts w:ascii="宋体" w:hAnsi="宋体" w:eastAsia="宋体"/>
                <w:sz w:val="16"/>
              </w:rPr>
              <w:t>吉木萨尔县第四幼儿园</w:t>
            </w:r>
            <w:bookmarkStart w:id="0" w:name="_GoBack"/>
            <w:bookmarkEnd w:id="0"/>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5036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7EB2">
            <w:pPr>
              <w:jc w:val="center"/>
            </w:pPr>
            <w:r>
              <w:rPr>
                <w:rFonts w:ascii="宋体" w:hAnsi="宋体" w:eastAsia="宋体"/>
                <w:sz w:val="16"/>
              </w:rPr>
              <w:t>=33人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2834D">
            <w:pPr>
              <w:jc w:val="center"/>
            </w:pPr>
            <w:r>
              <w:rPr>
                <w:rFonts w:ascii="宋体" w:hAnsi="宋体" w:eastAsia="宋体"/>
                <w:sz w:val="16"/>
              </w:rPr>
              <w:t>14.1</w:t>
            </w:r>
          </w:p>
        </w:tc>
      </w:tr>
      <w:tr w14:paraId="46F222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9D5F6">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BD3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8335">
            <w:pPr>
              <w:jc w:val="center"/>
            </w:pPr>
            <w:r>
              <w:rPr>
                <w:rFonts w:ascii="宋体" w:hAnsi="宋体" w:eastAsia="宋体"/>
                <w:sz w:val="16"/>
              </w:rPr>
              <w:t>参加县级教研活动次数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9E8A7">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BCCE0">
            <w:pPr>
              <w:jc w:val="center"/>
            </w:pPr>
            <w:r>
              <w:rPr>
                <w:rFonts w:ascii="宋体" w:hAnsi="宋体" w:eastAsia="宋体"/>
                <w:sz w:val="16"/>
              </w:rPr>
              <w:t>吉木萨尔县第四幼儿园全年工作总结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433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43295">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7772">
            <w:pPr>
              <w:jc w:val="center"/>
            </w:pPr>
            <w:r>
              <w:rPr>
                <w:rFonts w:ascii="宋体" w:hAnsi="宋体" w:eastAsia="宋体"/>
                <w:sz w:val="16"/>
              </w:rPr>
              <w:t>15</w:t>
            </w:r>
          </w:p>
        </w:tc>
      </w:tr>
      <w:tr w14:paraId="76E4D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50E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EC5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0AC28">
            <w:pPr>
              <w:jc w:val="center"/>
            </w:pPr>
            <w:r>
              <w:rPr>
                <w:rFonts w:ascii="宋体" w:hAnsi="宋体" w:eastAsia="宋体"/>
                <w:sz w:val="16"/>
              </w:rPr>
              <w:t>安全教育主题培训场次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B152D">
            <w:pPr>
              <w:jc w:val="center"/>
            </w:pPr>
            <w:r>
              <w:rPr>
                <w:rFonts w:ascii="宋体" w:hAnsi="宋体" w:eastAsia="宋体"/>
                <w:sz w:val="16"/>
              </w:rPr>
              <w:t>&gt;=200次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2B18">
            <w:pPr>
              <w:jc w:val="center"/>
            </w:pPr>
            <w:r>
              <w:rPr>
                <w:rFonts w:ascii="宋体" w:hAnsi="宋体" w:eastAsia="宋体"/>
                <w:sz w:val="16"/>
              </w:rPr>
              <w:t>吉木萨尔县第四幼儿园全年工作总结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E547">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47703">
            <w:pPr>
              <w:jc w:val="center"/>
            </w:pPr>
            <w:r>
              <w:rPr>
                <w:rFonts w:ascii="宋体" w:hAnsi="宋体" w:eastAsia="宋体"/>
                <w:sz w:val="16"/>
              </w:rPr>
              <w: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2113">
            <w:pPr>
              <w:jc w:val="center"/>
            </w:pPr>
            <w:r>
              <w:rPr>
                <w:rFonts w:ascii="宋体" w:hAnsi="宋体" w:eastAsia="宋体"/>
                <w:sz w:val="16"/>
              </w:rPr>
              <w:t>13</w:t>
            </w:r>
          </w:p>
        </w:tc>
      </w:tr>
      <w:tr w14:paraId="3EAD68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E87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2A8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7116">
            <w:pPr>
              <w:jc w:val="center"/>
            </w:pPr>
            <w:r>
              <w:rPr>
                <w:rFonts w:ascii="宋体" w:hAnsi="宋体" w:eastAsia="宋体"/>
                <w:sz w:val="16"/>
              </w:rPr>
              <w:t>开展特色活动场次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813C7">
            <w:pPr>
              <w:jc w:val="center"/>
            </w:pPr>
            <w:r>
              <w:rPr>
                <w:rFonts w:ascii="宋体" w:hAnsi="宋体" w:eastAsia="宋体"/>
                <w:sz w:val="16"/>
              </w:rPr>
              <w:t>&lt;=25次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B4A9">
            <w:pPr>
              <w:jc w:val="center"/>
            </w:pPr>
            <w:r>
              <w:rPr>
                <w:rFonts w:ascii="宋体" w:hAnsi="宋体" w:eastAsia="宋体"/>
                <w:sz w:val="16"/>
              </w:rPr>
              <w:t>吉木萨尔县第四幼儿园全年工作总结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C9B4D">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F889D">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DE27">
            <w:pPr>
              <w:jc w:val="center"/>
            </w:pPr>
            <w:r>
              <w:rPr>
                <w:rFonts w:ascii="宋体" w:hAnsi="宋体" w:eastAsia="宋体"/>
                <w:sz w:val="16"/>
              </w:rPr>
              <w:t>14</w:t>
            </w:r>
          </w:p>
        </w:tc>
      </w:tr>
      <w:tr w14:paraId="649844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F2B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D87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417ED">
            <w:pPr>
              <w:jc w:val="center"/>
            </w:pPr>
            <w:r>
              <w:rPr>
                <w:rFonts w:ascii="宋体" w:hAnsi="宋体" w:eastAsia="宋体"/>
                <w:sz w:val="16"/>
              </w:rPr>
              <w:t>幼儿教学任务完成率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9A5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08E6">
            <w:pPr>
              <w:jc w:val="center"/>
            </w:pPr>
            <w:r>
              <w:rPr>
                <w:rFonts w:ascii="宋体" w:hAnsi="宋体" w:eastAsia="宋体"/>
                <w:sz w:val="16"/>
              </w:rPr>
              <w:t>吉木萨尔县第四幼儿园全年工作总结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C89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0F9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BE48B">
            <w:pPr>
              <w:jc w:val="center"/>
            </w:pPr>
            <w:r>
              <w:rPr>
                <w:rFonts w:ascii="宋体" w:hAnsi="宋体" w:eastAsia="宋体"/>
                <w:sz w:val="16"/>
              </w:rPr>
              <w:t>18</w:t>
            </w:r>
          </w:p>
        </w:tc>
      </w:tr>
    </w:tbl>
    <w:p w14:paraId="153522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7C2DEFA7">
        <w:tblPrEx>
          <w:tblCellMar>
            <w:top w:w="0" w:type="dxa"/>
            <w:left w:w="108" w:type="dxa"/>
            <w:bottom w:w="0" w:type="dxa"/>
            <w:right w:w="108" w:type="dxa"/>
          </w:tblCellMar>
        </w:tblPrEx>
        <w:tc>
          <w:tcPr>
            <w:tcW w:w="8848" w:type="dxa"/>
            <w:gridSpan w:val="14"/>
            <w:vAlign w:val="center"/>
          </w:tcPr>
          <w:p w14:paraId="4BAACF90">
            <w:pPr>
              <w:jc w:val="center"/>
            </w:pPr>
            <w:r>
              <w:rPr>
                <w:rFonts w:ascii="宋体" w:hAnsi="宋体" w:eastAsia="宋体"/>
                <w:sz w:val="24"/>
              </w:rPr>
              <w:t>项目支出绩效自评表</w:t>
            </w:r>
          </w:p>
        </w:tc>
      </w:tr>
      <w:tr w14:paraId="40ED77BA">
        <w:tblPrEx>
          <w:tblCellMar>
            <w:top w:w="0" w:type="dxa"/>
            <w:left w:w="108" w:type="dxa"/>
            <w:bottom w:w="0" w:type="dxa"/>
            <w:right w:w="108" w:type="dxa"/>
          </w:tblCellMar>
        </w:tblPrEx>
        <w:tc>
          <w:tcPr>
            <w:tcW w:w="8848" w:type="dxa"/>
            <w:gridSpan w:val="14"/>
            <w:vAlign w:val="center"/>
          </w:tcPr>
          <w:p w14:paraId="33E3FE11">
            <w:pPr>
              <w:jc w:val="center"/>
            </w:pPr>
            <w:r>
              <w:rPr>
                <w:rFonts w:ascii="宋体" w:hAnsi="宋体" w:eastAsia="宋体"/>
                <w:sz w:val="24"/>
              </w:rPr>
              <w:t>(2024年度)</w:t>
            </w:r>
          </w:p>
        </w:tc>
      </w:tr>
      <w:tr w14:paraId="7AA80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1A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3B1760">
            <w:pPr>
              <w:jc w:val="center"/>
            </w:pPr>
            <w:r>
              <w:rPr>
                <w:rFonts w:ascii="宋体" w:hAnsi="宋体" w:eastAsia="宋体"/>
                <w:sz w:val="16"/>
              </w:rPr>
              <w:t>吉木萨尔县第四幼儿园伙食补助资金项目</w:t>
            </w:r>
          </w:p>
        </w:tc>
      </w:tr>
      <w:tr w14:paraId="045C9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98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4860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27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5AECE4">
            <w:pPr>
              <w:jc w:val="center"/>
            </w:pPr>
            <w:r>
              <w:rPr>
                <w:rFonts w:ascii="宋体" w:hAnsi="宋体" w:eastAsia="宋体"/>
                <w:sz w:val="16"/>
              </w:rPr>
              <w:t>吉木萨尔县第四幼儿园</w:t>
            </w:r>
          </w:p>
        </w:tc>
      </w:tr>
      <w:tr w14:paraId="78452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2E6B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12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0E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44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68C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C3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EB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D9E2">
            <w:pPr>
              <w:jc w:val="center"/>
            </w:pPr>
            <w:r>
              <w:rPr>
                <w:rFonts w:ascii="宋体" w:hAnsi="宋体" w:eastAsia="宋体"/>
                <w:sz w:val="16"/>
              </w:rPr>
              <w:t>得分</w:t>
            </w:r>
          </w:p>
        </w:tc>
      </w:tr>
      <w:tr w14:paraId="60653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0B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3D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65FF">
            <w:pPr>
              <w:jc w:val="center"/>
            </w:pPr>
            <w:r>
              <w:rPr>
                <w:rFonts w:ascii="宋体" w:hAnsi="宋体" w:eastAsia="宋体"/>
                <w:sz w:val="16"/>
              </w:rPr>
              <w:t>10.61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26A1">
            <w:pPr>
              <w:jc w:val="center"/>
            </w:pPr>
            <w:r>
              <w:rPr>
                <w:rFonts w:ascii="宋体" w:hAnsi="宋体" w:eastAsia="宋体"/>
                <w:sz w:val="16"/>
              </w:rPr>
              <w:t>50.85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9E9CB">
            <w:pPr>
              <w:jc w:val="center"/>
            </w:pPr>
            <w:r>
              <w:rPr>
                <w:rFonts w:ascii="宋体" w:hAnsi="宋体" w:eastAsia="宋体"/>
                <w:sz w:val="16"/>
              </w:rPr>
              <w:t>50.85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49F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D0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D063">
            <w:pPr>
              <w:jc w:val="center"/>
            </w:pPr>
            <w:r>
              <w:rPr>
                <w:rFonts w:ascii="宋体" w:hAnsi="宋体" w:eastAsia="宋体"/>
                <w:sz w:val="16"/>
              </w:rPr>
              <w:t>10.00</w:t>
            </w:r>
          </w:p>
        </w:tc>
      </w:tr>
      <w:tr w14:paraId="6166F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C67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EB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50FE">
            <w:pPr>
              <w:jc w:val="center"/>
            </w:pPr>
            <w:r>
              <w:rPr>
                <w:rFonts w:ascii="宋体" w:hAnsi="宋体" w:eastAsia="宋体"/>
                <w:sz w:val="16"/>
              </w:rPr>
              <w:t>10.61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250AD">
            <w:pPr>
              <w:jc w:val="center"/>
            </w:pPr>
            <w:r>
              <w:rPr>
                <w:rFonts w:ascii="宋体" w:hAnsi="宋体" w:eastAsia="宋体"/>
                <w:sz w:val="16"/>
              </w:rPr>
              <w:t>50.85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285B8">
            <w:pPr>
              <w:jc w:val="center"/>
            </w:pPr>
            <w:r>
              <w:rPr>
                <w:rFonts w:ascii="宋体" w:hAnsi="宋体" w:eastAsia="宋体"/>
                <w:sz w:val="16"/>
              </w:rPr>
              <w:t>50.85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EA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CD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69F7">
            <w:pPr>
              <w:jc w:val="center"/>
            </w:pPr>
            <w:r>
              <w:rPr>
                <w:rFonts w:ascii="宋体" w:hAnsi="宋体" w:eastAsia="宋体"/>
                <w:sz w:val="16"/>
              </w:rPr>
              <w:t>—</w:t>
            </w:r>
          </w:p>
        </w:tc>
      </w:tr>
      <w:tr w14:paraId="6E84A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72B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C47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34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9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AFA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68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A8A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79E4">
            <w:pPr>
              <w:jc w:val="center"/>
            </w:pPr>
            <w:r>
              <w:rPr>
                <w:rFonts w:ascii="宋体" w:hAnsi="宋体" w:eastAsia="宋体"/>
                <w:sz w:val="16"/>
              </w:rPr>
              <w:t>—</w:t>
            </w:r>
          </w:p>
        </w:tc>
      </w:tr>
      <w:tr w14:paraId="38E13C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57E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192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3F9D90">
            <w:pPr>
              <w:jc w:val="center"/>
            </w:pPr>
            <w:r>
              <w:rPr>
                <w:rFonts w:ascii="宋体" w:hAnsi="宋体" w:eastAsia="宋体"/>
                <w:sz w:val="16"/>
              </w:rPr>
              <w:t>实际完成情况</w:t>
            </w:r>
          </w:p>
        </w:tc>
      </w:tr>
      <w:tr w14:paraId="1EEBE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77C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A07C9">
            <w:pPr>
              <w:jc w:val="both"/>
            </w:pPr>
            <w:r>
              <w:rPr>
                <w:rFonts w:ascii="宋体" w:hAnsi="宋体" w:eastAsia="宋体"/>
                <w:sz w:val="16"/>
              </w:rPr>
              <w:t>2024年，伙食补助共拨付50.85万元，我校幼儿在园人数404人，伙食补助生均补助1450元，用于学前三年免费教育发展保障经费。保障适龄幼儿接受免费学前教育，争取使受益家长满意度不低于90%。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909595">
            <w:pPr>
              <w:jc w:val="both"/>
            </w:pPr>
            <w:r>
              <w:rPr>
                <w:rFonts w:hint="eastAsia" w:ascii="宋体" w:hAnsi="宋体"/>
                <w:sz w:val="16"/>
                <w:lang w:eastAsia="zh-CN"/>
              </w:rPr>
              <w:t>截至2024</w:t>
            </w:r>
            <w:r>
              <w:rPr>
                <w:rFonts w:ascii="宋体" w:hAnsi="宋体" w:eastAsia="宋体"/>
                <w:sz w:val="16"/>
              </w:rPr>
              <w:t>年12月31日，本项目实际支出50.85万元，预算执行率为100%，我校已完成【吉木萨尔县第四幼儿园伙食补助</w:t>
            </w:r>
            <w:r>
              <w:rPr>
                <w:rFonts w:hint="eastAsia" w:ascii="宋体" w:hAnsi="宋体"/>
                <w:sz w:val="16"/>
                <w:lang w:eastAsia="zh-CN"/>
              </w:rPr>
              <w:t>资金</w:t>
            </w:r>
            <w:r>
              <w:rPr>
                <w:rFonts w:ascii="宋体" w:hAnsi="宋体" w:eastAsia="宋体"/>
                <w:sz w:val="16"/>
              </w:rPr>
              <w:t>】项目，通过实施此项目使我校387名幼儿享受到伙食补助，补助覆盖率达到了100%，保障了我校学前三年教育发展正常运转，学生、家长满意度提高。</w:t>
            </w:r>
          </w:p>
        </w:tc>
      </w:tr>
      <w:tr w14:paraId="5E5DC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19F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C6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F6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91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D0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314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6EC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D9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FDB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FA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48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38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04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3390">
            <w:pPr>
              <w:jc w:val="center"/>
            </w:pPr>
            <w:r>
              <w:rPr>
                <w:rFonts w:ascii="宋体" w:hAnsi="宋体" w:eastAsia="宋体"/>
                <w:sz w:val="16"/>
              </w:rPr>
              <w:t>偏差原因分析及改进措施</w:t>
            </w:r>
          </w:p>
        </w:tc>
      </w:tr>
      <w:tr w14:paraId="67DB6A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AF4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03A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1D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ABBC">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275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EE71">
            <w:pPr>
              <w:jc w:val="center"/>
            </w:pPr>
            <w:r>
              <w:rPr>
                <w:rFonts w:ascii="宋体" w:hAnsi="宋体" w:eastAsia="宋体"/>
                <w:sz w:val="16"/>
              </w:rPr>
              <w:t>&gt;=404人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9D67">
            <w:pPr>
              <w:jc w:val="center"/>
            </w:pPr>
            <w:r>
              <w:rPr>
                <w:rFonts w:ascii="宋体" w:hAnsi="宋体" w:eastAsia="宋体"/>
                <w:sz w:val="16"/>
              </w:rPr>
              <w:t>=387人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9ABB">
            <w:pPr>
              <w:jc w:val="center"/>
            </w:pPr>
            <w:r>
              <w:rPr>
                <w:rFonts w:ascii="宋体" w:hAnsi="宋体" w:eastAsia="宋体"/>
                <w:sz w:val="16"/>
              </w:rPr>
              <w:t>95.79%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0A13">
            <w:pPr>
              <w:jc w:val="center"/>
            </w:pPr>
            <w:r>
              <w:rPr>
                <w:rFonts w:ascii="宋体" w:hAnsi="宋体" w:eastAsia="宋体"/>
                <w:sz w:val="16"/>
              </w:rPr>
              <w:t>15.21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9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D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13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7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4532">
            <w:pPr>
              <w:jc w:val="center"/>
            </w:pPr>
            <w:r>
              <w:rPr>
                <w:rFonts w:ascii="宋体" w:hAnsi="宋体" w:eastAsia="宋体"/>
                <w:sz w:val="16"/>
              </w:rPr>
              <w:t>2024年上半年幼儿人数为404人，下半年为370人，平均业绩是387人。</w:t>
            </w:r>
          </w:p>
        </w:tc>
      </w:tr>
      <w:tr w14:paraId="1A4B9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F6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FD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C0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4F1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F9D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0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5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6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F6F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C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F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A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4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A094">
            <w:pPr>
              <w:jc w:val="center"/>
            </w:pPr>
          </w:p>
        </w:tc>
      </w:tr>
      <w:tr w14:paraId="5A103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9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D85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FB2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D5D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03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E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C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2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E9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B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C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A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C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D9EC">
            <w:pPr>
              <w:jc w:val="center"/>
            </w:pPr>
          </w:p>
        </w:tc>
      </w:tr>
      <w:tr w14:paraId="01DDF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CE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25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E7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02A3">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7A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0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1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4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69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1C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D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9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9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DD39">
            <w:pPr>
              <w:jc w:val="center"/>
            </w:pPr>
          </w:p>
        </w:tc>
      </w:tr>
      <w:tr w14:paraId="562C4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CD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A6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9D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295B">
            <w:pPr>
              <w:jc w:val="center"/>
            </w:pPr>
            <w:r>
              <w:rPr>
                <w:rFonts w:ascii="宋体" w:hAnsi="宋体" w:eastAsia="宋体"/>
                <w:sz w:val="16"/>
              </w:rPr>
              <w:t>伙食补助生均标准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72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24F7">
            <w:pPr>
              <w:jc w:val="center"/>
            </w:pPr>
            <w:r>
              <w:rPr>
                <w:rFonts w:ascii="宋体" w:hAnsi="宋体" w:eastAsia="宋体"/>
                <w:sz w:val="16"/>
              </w:rPr>
              <w:t>=1450元/人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C16C">
            <w:pPr>
              <w:jc w:val="center"/>
            </w:pPr>
            <w:r>
              <w:rPr>
                <w:rFonts w:ascii="宋体" w:hAnsi="宋体" w:eastAsia="宋体"/>
                <w:sz w:val="16"/>
              </w:rPr>
              <w:t>=1450元/人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A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36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A3E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5B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E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2A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4CD6">
            <w:pPr>
              <w:jc w:val="center"/>
            </w:pPr>
          </w:p>
        </w:tc>
      </w:tr>
      <w:tr w14:paraId="4D02C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5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0E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6B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48E9">
            <w:pPr>
              <w:jc w:val="center"/>
            </w:pPr>
            <w:r>
              <w:rPr>
                <w:rFonts w:ascii="宋体" w:hAnsi="宋体" w:eastAsia="宋体"/>
                <w:sz w:val="16"/>
              </w:rPr>
              <w:t>保障适龄幼儿接受免费学前教育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E3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7DF3">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ED68">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D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28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11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2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2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E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5884">
            <w:pPr>
              <w:jc w:val="center"/>
            </w:pPr>
          </w:p>
        </w:tc>
      </w:tr>
      <w:tr w14:paraId="401CB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D2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77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DD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FC6D">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3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7F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41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7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7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C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E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70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E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2BC9">
            <w:pPr>
              <w:jc w:val="center"/>
            </w:pPr>
            <w:r>
              <w:rPr>
                <w:rFonts w:ascii="宋体" w:hAnsi="宋体" w:eastAsia="宋体"/>
                <w:sz w:val="16"/>
              </w:rPr>
              <w:t>保障了我校学前三年教育发展正常运转，学生家长满意度达到100%。</w:t>
            </w:r>
          </w:p>
        </w:tc>
      </w:tr>
      <w:tr w14:paraId="51BD1A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C16F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9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A23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379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5C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2AD6">
            <w:pPr>
              <w:jc w:val="center"/>
            </w:pPr>
            <w:r>
              <w:rPr>
                <w:rFonts w:ascii="宋体" w:hAnsi="宋体" w:eastAsia="宋体"/>
                <w:sz w:val="16"/>
              </w:rPr>
              <w:t>98.21分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F45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D59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201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95C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71DB2"/>
        </w:tc>
      </w:tr>
    </w:tbl>
    <w:p w14:paraId="12D7FE0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696"/>
        <w:gridCol w:w="632"/>
        <w:gridCol w:w="776"/>
        <w:gridCol w:w="632"/>
        <w:gridCol w:w="624"/>
        <w:gridCol w:w="624"/>
        <w:gridCol w:w="624"/>
        <w:gridCol w:w="627"/>
        <w:gridCol w:w="697"/>
      </w:tblGrid>
      <w:tr w14:paraId="14F88D64">
        <w:tblPrEx>
          <w:tblCellMar>
            <w:top w:w="0" w:type="dxa"/>
            <w:left w:w="108" w:type="dxa"/>
            <w:bottom w:w="0" w:type="dxa"/>
            <w:right w:w="108" w:type="dxa"/>
          </w:tblCellMar>
        </w:tblPrEx>
        <w:tc>
          <w:tcPr>
            <w:tcW w:w="8848" w:type="dxa"/>
            <w:gridSpan w:val="14"/>
            <w:vAlign w:val="center"/>
          </w:tcPr>
          <w:p w14:paraId="7B6F790A">
            <w:pPr>
              <w:jc w:val="center"/>
            </w:pPr>
            <w:r>
              <w:rPr>
                <w:rFonts w:ascii="宋体" w:hAnsi="宋体" w:eastAsia="宋体"/>
                <w:sz w:val="24"/>
              </w:rPr>
              <w:t>项目支出绩效自评表</w:t>
            </w:r>
          </w:p>
        </w:tc>
      </w:tr>
      <w:tr w14:paraId="7B2255EB">
        <w:tblPrEx>
          <w:tblCellMar>
            <w:top w:w="0" w:type="dxa"/>
            <w:left w:w="108" w:type="dxa"/>
            <w:bottom w:w="0" w:type="dxa"/>
            <w:right w:w="108" w:type="dxa"/>
          </w:tblCellMar>
        </w:tblPrEx>
        <w:tc>
          <w:tcPr>
            <w:tcW w:w="8848" w:type="dxa"/>
            <w:gridSpan w:val="14"/>
            <w:vAlign w:val="center"/>
          </w:tcPr>
          <w:p w14:paraId="694C573E">
            <w:pPr>
              <w:jc w:val="center"/>
            </w:pPr>
            <w:r>
              <w:rPr>
                <w:rFonts w:ascii="宋体" w:hAnsi="宋体" w:eastAsia="宋体"/>
                <w:sz w:val="24"/>
              </w:rPr>
              <w:t>(2024年度)</w:t>
            </w:r>
          </w:p>
        </w:tc>
      </w:tr>
      <w:tr w14:paraId="2F0D6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BB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E42957">
            <w:pPr>
              <w:jc w:val="center"/>
            </w:pPr>
            <w:r>
              <w:rPr>
                <w:rFonts w:ascii="宋体" w:hAnsi="宋体" w:eastAsia="宋体"/>
                <w:sz w:val="16"/>
              </w:rPr>
              <w:t>吉木萨尔县第四幼儿园教师体检补助项目</w:t>
            </w:r>
          </w:p>
        </w:tc>
      </w:tr>
      <w:tr w14:paraId="0EC52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5E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4AAF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B3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5E5D87">
            <w:pPr>
              <w:jc w:val="center"/>
            </w:pPr>
            <w:r>
              <w:rPr>
                <w:rFonts w:ascii="宋体" w:hAnsi="宋体" w:eastAsia="宋体"/>
                <w:sz w:val="16"/>
              </w:rPr>
              <w:t>吉木萨尔县第四幼儿园</w:t>
            </w:r>
          </w:p>
        </w:tc>
      </w:tr>
      <w:tr w14:paraId="1BAE6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78B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74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F5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7EF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7E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835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FB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339A">
            <w:pPr>
              <w:jc w:val="center"/>
            </w:pPr>
            <w:r>
              <w:rPr>
                <w:rFonts w:ascii="宋体" w:hAnsi="宋体" w:eastAsia="宋体"/>
                <w:sz w:val="16"/>
              </w:rPr>
              <w:t>得分</w:t>
            </w:r>
          </w:p>
        </w:tc>
      </w:tr>
      <w:tr w14:paraId="35D17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80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BF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6519A">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9EBA">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27C14">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3C1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655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BD4F">
            <w:pPr>
              <w:jc w:val="center"/>
            </w:pPr>
            <w:r>
              <w:rPr>
                <w:rFonts w:ascii="宋体" w:hAnsi="宋体" w:eastAsia="宋体"/>
                <w:sz w:val="16"/>
              </w:rPr>
              <w:t>10.00</w:t>
            </w:r>
          </w:p>
        </w:tc>
      </w:tr>
      <w:tr w14:paraId="73336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707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8D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3CD0">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8DFBA">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CD3E6">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782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95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059F">
            <w:pPr>
              <w:jc w:val="center"/>
            </w:pPr>
            <w:r>
              <w:rPr>
                <w:rFonts w:ascii="宋体" w:hAnsi="宋体" w:eastAsia="宋体"/>
                <w:sz w:val="16"/>
              </w:rPr>
              <w:t>—</w:t>
            </w:r>
          </w:p>
        </w:tc>
      </w:tr>
      <w:tr w14:paraId="1C52C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927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49E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EA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D0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BE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32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4DF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33A3">
            <w:pPr>
              <w:jc w:val="center"/>
            </w:pPr>
            <w:r>
              <w:rPr>
                <w:rFonts w:ascii="宋体" w:hAnsi="宋体" w:eastAsia="宋体"/>
                <w:sz w:val="16"/>
              </w:rPr>
              <w:t>—</w:t>
            </w:r>
          </w:p>
        </w:tc>
      </w:tr>
      <w:tr w14:paraId="37C14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42B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501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617CEC">
            <w:pPr>
              <w:jc w:val="center"/>
            </w:pPr>
            <w:r>
              <w:rPr>
                <w:rFonts w:ascii="宋体" w:hAnsi="宋体" w:eastAsia="宋体"/>
                <w:sz w:val="16"/>
              </w:rPr>
              <w:t>实际完成情况</w:t>
            </w:r>
          </w:p>
        </w:tc>
      </w:tr>
      <w:tr w14:paraId="0D07C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1D0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45095">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测算，对全州教职员工开展健康体检，有效改善全州教师身体健康状况。2024年“奖教奖学”资金拨付1万元，鼓励我校教师提高教育教学水平，提升我校综合能力。待项目实施完成，争取使教师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BE5B27">
            <w:pPr>
              <w:jc w:val="both"/>
            </w:pPr>
            <w:r>
              <w:rPr>
                <w:rFonts w:hint="eastAsia" w:ascii="宋体" w:hAnsi="宋体"/>
                <w:sz w:val="16"/>
                <w:lang w:eastAsia="zh-CN"/>
              </w:rPr>
              <w:t>截至</w:t>
            </w:r>
            <w:r>
              <w:rPr>
                <w:rFonts w:ascii="宋体" w:hAnsi="宋体" w:eastAsia="宋体"/>
                <w:sz w:val="16"/>
              </w:rPr>
              <w:t>2024年12月31日，本项目实际支出资金3.15万元，预算执行率为100%，实际已完成吉木萨尔县第四幼儿园教师体检补助和奖教奖学项目，通过实施教师体检项目使我校43名教师得到体检，实现教师体检全覆盖目标，在有效的体检检查下预防疾病，提升教师的健康水平，教师满意度提高。通过实施奖教奖学项目我校教师</w:t>
            </w:r>
            <w:r>
              <w:rPr>
                <w:rFonts w:hint="eastAsia" w:ascii="宋体" w:hAnsi="宋体"/>
                <w:sz w:val="16"/>
                <w:lang w:eastAsia="zh-CN"/>
              </w:rPr>
              <w:t>教研</w:t>
            </w:r>
            <w:r>
              <w:rPr>
                <w:rFonts w:ascii="宋体" w:hAnsi="宋体" w:eastAsia="宋体"/>
                <w:sz w:val="16"/>
              </w:rPr>
              <w:t>教学积极性得到了提升，提高了我校综合教学能力，教师满意度达到了100%。</w:t>
            </w:r>
          </w:p>
        </w:tc>
      </w:tr>
      <w:tr w14:paraId="5E0F75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D94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C6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A3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41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57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16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87D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32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67A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91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EA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5E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45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B42F">
            <w:pPr>
              <w:jc w:val="center"/>
            </w:pPr>
            <w:r>
              <w:rPr>
                <w:rFonts w:ascii="宋体" w:hAnsi="宋体" w:eastAsia="宋体"/>
                <w:sz w:val="16"/>
              </w:rPr>
              <w:t>偏差原因分析及改进措施</w:t>
            </w:r>
          </w:p>
        </w:tc>
      </w:tr>
      <w:tr w14:paraId="2C47D6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0D5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3A8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F6B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73A8">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E28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2A8D">
            <w:pPr>
              <w:jc w:val="center"/>
            </w:pPr>
            <w:r>
              <w:rPr>
                <w:rFonts w:ascii="宋体" w:hAnsi="宋体" w:eastAsia="宋体"/>
                <w:sz w:val="16"/>
              </w:rPr>
              <w:t>&lt;=43人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C44B">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24A2">
            <w:pPr>
              <w:jc w:val="center"/>
            </w:pPr>
            <w:r>
              <w:rPr>
                <w:rFonts w:ascii="宋体" w:hAnsi="宋体" w:eastAsia="宋体"/>
                <w:sz w:val="16"/>
              </w:rPr>
              <w:t>113.95%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A82E">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3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F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8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2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8055">
            <w:pPr>
              <w:jc w:val="center"/>
            </w:pPr>
            <w:r>
              <w:rPr>
                <w:rFonts w:ascii="宋体" w:hAnsi="宋体" w:eastAsia="宋体"/>
                <w:sz w:val="16"/>
              </w:rPr>
              <w:t>目标值以2024年教师体检费资金分配表填列，实际完成值为统计年报值，以统计年报为准。</w:t>
            </w:r>
          </w:p>
        </w:tc>
      </w:tr>
      <w:tr w14:paraId="123AC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7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9F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24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9C30">
            <w:pPr>
              <w:jc w:val="center"/>
            </w:pPr>
            <w:r>
              <w:rPr>
                <w:rFonts w:ascii="宋体" w:hAnsi="宋体" w:eastAsia="宋体"/>
                <w:sz w:val="16"/>
              </w:rPr>
              <w:t>教师体检补助次数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5CD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A5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91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0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BEB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1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B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B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F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6F20">
            <w:pPr>
              <w:jc w:val="center"/>
            </w:pPr>
          </w:p>
        </w:tc>
      </w:tr>
      <w:tr w14:paraId="11E9E15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DB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36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02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F160">
            <w:pPr>
              <w:jc w:val="center"/>
            </w:pPr>
            <w:r>
              <w:rPr>
                <w:rFonts w:ascii="宋体" w:hAnsi="宋体" w:eastAsia="宋体"/>
                <w:sz w:val="16"/>
              </w:rPr>
              <w:t>教职工体检补助覆盖率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6B3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7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E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E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6B2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3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A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3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4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CAFD">
            <w:pPr>
              <w:jc w:val="center"/>
            </w:pPr>
          </w:p>
        </w:tc>
      </w:tr>
      <w:tr w14:paraId="434A7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A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84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ED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F7D4">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59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5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C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0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6E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B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5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25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1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944F">
            <w:pPr>
              <w:jc w:val="center"/>
            </w:pPr>
          </w:p>
        </w:tc>
      </w:tr>
      <w:tr w14:paraId="684AF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F22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469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0ED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DBE5">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9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2402">
            <w:pPr>
              <w:jc w:val="center"/>
            </w:pPr>
            <w:r>
              <w:rPr>
                <w:rFonts w:ascii="宋体" w:hAnsi="宋体" w:eastAsia="宋体"/>
                <w:sz w:val="16"/>
              </w:rPr>
              <w:t>&lt;=2.15万元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867B">
            <w:pPr>
              <w:jc w:val="center"/>
            </w:pPr>
            <w:r>
              <w:rPr>
                <w:rFonts w:ascii="宋体" w:hAnsi="宋体" w:eastAsia="宋体"/>
                <w:sz w:val="16"/>
              </w:rPr>
              <w: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C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AD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6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9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7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85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C916">
            <w:pPr>
              <w:jc w:val="center"/>
            </w:pPr>
          </w:p>
        </w:tc>
      </w:tr>
      <w:tr w14:paraId="3D71C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71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E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66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761E">
            <w:pPr>
              <w:jc w:val="center"/>
            </w:pPr>
            <w:r>
              <w:rPr>
                <w:rFonts w:ascii="宋体" w:hAnsi="宋体" w:eastAsia="宋体"/>
                <w:sz w:val="16"/>
              </w:rPr>
              <w:t>奖教奖学资金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6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367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5AF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D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4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9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D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B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F91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272A">
            <w:pPr>
              <w:jc w:val="center"/>
            </w:pPr>
          </w:p>
        </w:tc>
      </w:tr>
      <w:tr w14:paraId="7CD9A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0B8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CD5D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A60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5120">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4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44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16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E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8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C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8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7F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E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0B96">
            <w:pPr>
              <w:jc w:val="center"/>
            </w:pPr>
          </w:p>
        </w:tc>
      </w:tr>
      <w:tr w14:paraId="762E3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40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D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C9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ACD7">
            <w:pPr>
              <w:jc w:val="center"/>
            </w:pPr>
            <w:r>
              <w:rPr>
                <w:rFonts w:ascii="宋体" w:hAnsi="宋体" w:eastAsia="宋体"/>
                <w:sz w:val="16"/>
              </w:rPr>
              <w:t>及时发现教师潜在病症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6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7E31">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75CC">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0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A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6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1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2C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6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EC19">
            <w:pPr>
              <w:jc w:val="center"/>
            </w:pPr>
          </w:p>
        </w:tc>
      </w:tr>
      <w:tr w14:paraId="2692D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83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7D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32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0A7C">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7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09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2B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4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5D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A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A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73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1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31C5">
            <w:pPr>
              <w:jc w:val="center"/>
            </w:pPr>
            <w:r>
              <w:rPr>
                <w:rFonts w:ascii="宋体" w:hAnsi="宋体" w:eastAsia="宋体"/>
                <w:sz w:val="16"/>
              </w:rPr>
              <w:t>通过实施教师体检项目使我校43名教师得到体检，使得受益教师满意度达到100%。</w:t>
            </w:r>
          </w:p>
        </w:tc>
      </w:tr>
      <w:tr w14:paraId="5DD173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4AF5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8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DAA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C7F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62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30F2">
            <w:pPr>
              <w:jc w:val="center"/>
            </w:pPr>
            <w:r>
              <w:rPr>
                <w:rFonts w:ascii="宋体" w:hAnsi="宋体" w:eastAsia="宋体"/>
                <w:sz w:val="16"/>
              </w:rPr>
              <w:t>98.47分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747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11B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CE1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DF1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30199"/>
        </w:tc>
      </w:tr>
    </w:tbl>
    <w:p w14:paraId="69A5AB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9B73B3D">
        <w:tblPrEx>
          <w:tblCellMar>
            <w:top w:w="0" w:type="dxa"/>
            <w:left w:w="108" w:type="dxa"/>
            <w:bottom w:w="0" w:type="dxa"/>
            <w:right w:w="108" w:type="dxa"/>
          </w:tblCellMar>
        </w:tblPrEx>
        <w:tc>
          <w:tcPr>
            <w:tcW w:w="8848" w:type="dxa"/>
            <w:gridSpan w:val="14"/>
            <w:vAlign w:val="center"/>
          </w:tcPr>
          <w:p w14:paraId="58CDBCEC">
            <w:pPr>
              <w:jc w:val="center"/>
            </w:pPr>
            <w:r>
              <w:rPr>
                <w:rFonts w:ascii="宋体" w:hAnsi="宋体" w:eastAsia="宋体"/>
                <w:sz w:val="24"/>
              </w:rPr>
              <w:t>项目支出绩效自评表</w:t>
            </w:r>
          </w:p>
        </w:tc>
      </w:tr>
      <w:tr w14:paraId="23EB1936">
        <w:tblPrEx>
          <w:tblCellMar>
            <w:top w:w="0" w:type="dxa"/>
            <w:left w:w="108" w:type="dxa"/>
            <w:bottom w:w="0" w:type="dxa"/>
            <w:right w:w="108" w:type="dxa"/>
          </w:tblCellMar>
        </w:tblPrEx>
        <w:tc>
          <w:tcPr>
            <w:tcW w:w="8848" w:type="dxa"/>
            <w:gridSpan w:val="14"/>
            <w:vAlign w:val="center"/>
          </w:tcPr>
          <w:p w14:paraId="2795C83B">
            <w:pPr>
              <w:jc w:val="center"/>
            </w:pPr>
            <w:r>
              <w:rPr>
                <w:rFonts w:ascii="宋体" w:hAnsi="宋体" w:eastAsia="宋体"/>
                <w:sz w:val="24"/>
              </w:rPr>
              <w:t>(2024年度)</w:t>
            </w:r>
          </w:p>
        </w:tc>
      </w:tr>
      <w:tr w14:paraId="5194E1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5F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D516ED">
            <w:pPr>
              <w:jc w:val="center"/>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w:t>
            </w:r>
            <w:r>
              <w:rPr>
                <w:rFonts w:hint="eastAsia" w:ascii="宋体" w:hAnsi="宋体"/>
                <w:sz w:val="16"/>
                <w:lang w:eastAsia="zh-CN"/>
              </w:rPr>
              <w:t>的</w:t>
            </w:r>
            <w:r>
              <w:rPr>
                <w:rFonts w:ascii="宋体" w:hAnsi="宋体" w:eastAsia="宋体"/>
                <w:sz w:val="16"/>
              </w:rPr>
              <w:t>通知（自聘教师工资补助）</w:t>
            </w:r>
          </w:p>
        </w:tc>
      </w:tr>
      <w:tr w14:paraId="6C30A6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2D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BF9F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83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3D64E">
            <w:pPr>
              <w:jc w:val="center"/>
            </w:pPr>
            <w:r>
              <w:rPr>
                <w:rFonts w:ascii="宋体" w:hAnsi="宋体" w:eastAsia="宋体"/>
                <w:sz w:val="16"/>
              </w:rPr>
              <w:t>吉木萨尔县第四幼儿园</w:t>
            </w:r>
          </w:p>
        </w:tc>
      </w:tr>
      <w:tr w14:paraId="62C322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251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1D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73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06F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6C4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5A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F0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427D">
            <w:pPr>
              <w:jc w:val="center"/>
            </w:pPr>
            <w:r>
              <w:rPr>
                <w:rFonts w:ascii="宋体" w:hAnsi="宋体" w:eastAsia="宋体"/>
                <w:sz w:val="16"/>
              </w:rPr>
              <w:t>得分</w:t>
            </w:r>
          </w:p>
        </w:tc>
      </w:tr>
      <w:tr w14:paraId="411A4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532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8B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025FB">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59213">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7513">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85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A79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FB72">
            <w:pPr>
              <w:jc w:val="center"/>
            </w:pPr>
            <w:r>
              <w:rPr>
                <w:rFonts w:ascii="宋体" w:hAnsi="宋体" w:eastAsia="宋体"/>
                <w:sz w:val="16"/>
              </w:rPr>
              <w:t>10.00</w:t>
            </w:r>
          </w:p>
        </w:tc>
      </w:tr>
      <w:tr w14:paraId="39005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039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88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CF5B">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ACF2">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5D111">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65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AE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5E22">
            <w:pPr>
              <w:jc w:val="center"/>
            </w:pPr>
            <w:r>
              <w:rPr>
                <w:rFonts w:ascii="宋体" w:hAnsi="宋体" w:eastAsia="宋体"/>
                <w:sz w:val="16"/>
              </w:rPr>
              <w:t>—</w:t>
            </w:r>
          </w:p>
        </w:tc>
      </w:tr>
      <w:tr w14:paraId="0EA74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69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62F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29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4A5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083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43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9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D4BE">
            <w:pPr>
              <w:jc w:val="center"/>
            </w:pPr>
            <w:r>
              <w:rPr>
                <w:rFonts w:ascii="宋体" w:hAnsi="宋体" w:eastAsia="宋体"/>
                <w:sz w:val="16"/>
              </w:rPr>
              <w:t>—</w:t>
            </w:r>
          </w:p>
        </w:tc>
      </w:tr>
      <w:tr w14:paraId="581A03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DE4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DAD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41A22F">
            <w:pPr>
              <w:jc w:val="center"/>
            </w:pPr>
            <w:r>
              <w:rPr>
                <w:rFonts w:ascii="宋体" w:hAnsi="宋体" w:eastAsia="宋体"/>
                <w:sz w:val="16"/>
              </w:rPr>
              <w:t>实际完成情况</w:t>
            </w:r>
          </w:p>
        </w:tc>
      </w:tr>
      <w:tr w14:paraId="2636E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3C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F585E">
            <w:pPr>
              <w:jc w:val="both"/>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关于提前下达2024年自治区教育项目经费预算的通知（自聘教师工资补助）拨付3.73万元，切实保障自聘教师工资待遇，确保工资及时足额发放到位，使学校教育教学工作</w:t>
            </w:r>
            <w:r>
              <w:rPr>
                <w:rFonts w:hint="eastAsia" w:ascii="宋体" w:hAnsi="宋体"/>
                <w:sz w:val="16"/>
                <w:lang w:eastAsia="zh-CN"/>
              </w:rPr>
              <w:t>正常</w:t>
            </w:r>
            <w:r>
              <w:rPr>
                <w:rFonts w:ascii="宋体" w:hAnsi="宋体" w:eastAsia="宋体"/>
                <w:sz w:val="16"/>
              </w:rPr>
              <w:t>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1D08C">
            <w:pPr>
              <w:jc w:val="both"/>
            </w:pPr>
            <w:r>
              <w:rPr>
                <w:rFonts w:hint="eastAsia" w:ascii="宋体" w:hAnsi="宋体"/>
                <w:sz w:val="16"/>
                <w:lang w:eastAsia="zh-CN"/>
              </w:rPr>
              <w:t>截至</w:t>
            </w:r>
            <w:r>
              <w:rPr>
                <w:rFonts w:ascii="宋体" w:hAnsi="宋体" w:eastAsia="宋体"/>
                <w:sz w:val="16"/>
              </w:rPr>
              <w:t>2024年12月31日，我校已完成【昌州财教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关于提前下达2024年自治区教育项目经费预算的通知（自聘教师工资补助）】项目，此项目支付3.73万元，预算执行率为100%，保障了我</w:t>
            </w:r>
            <w:r>
              <w:rPr>
                <w:rFonts w:hint="eastAsia" w:ascii="宋体" w:hAnsi="宋体"/>
                <w:sz w:val="16"/>
                <w:lang w:eastAsia="zh-CN"/>
              </w:rPr>
              <w:t>校</w:t>
            </w:r>
            <w:r>
              <w:rPr>
                <w:rFonts w:ascii="宋体" w:hAnsi="宋体" w:eastAsia="宋体"/>
                <w:sz w:val="16"/>
              </w:rPr>
              <w:t>自聘教师工资及时足额发放到位，保障学校正常的教育教学秩序，自聘教师满意。</w:t>
            </w:r>
          </w:p>
        </w:tc>
      </w:tr>
      <w:tr w14:paraId="3C6CFB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29B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3D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5D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05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FA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98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463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6E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CCC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38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B3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EA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34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2ADD">
            <w:pPr>
              <w:jc w:val="center"/>
            </w:pPr>
            <w:r>
              <w:rPr>
                <w:rFonts w:ascii="宋体" w:hAnsi="宋体" w:eastAsia="宋体"/>
                <w:sz w:val="16"/>
              </w:rPr>
              <w:t>偏差原因分析及改进措施</w:t>
            </w:r>
          </w:p>
        </w:tc>
      </w:tr>
      <w:tr w14:paraId="4547D5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8A3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67F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D6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4ABF">
            <w:pPr>
              <w:jc w:val="center"/>
            </w:pPr>
            <w:r>
              <w:rPr>
                <w:rFonts w:ascii="宋体" w:hAnsi="宋体" w:eastAsia="宋体"/>
                <w:sz w:val="16"/>
              </w:rPr>
              <w:t>发放教师人数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43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DBD3">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E17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9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46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A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30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E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2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9D90">
            <w:pPr>
              <w:jc w:val="center"/>
            </w:pPr>
          </w:p>
        </w:tc>
      </w:tr>
      <w:tr w14:paraId="14624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1E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E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3A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543C">
            <w:pPr>
              <w:jc w:val="center"/>
            </w:pPr>
            <w:r>
              <w:rPr>
                <w:rFonts w:ascii="宋体" w:hAnsi="宋体" w:eastAsia="宋体"/>
                <w:sz w:val="16"/>
              </w:rPr>
              <w:t>普通话水平合格率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398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C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3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C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30E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B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6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4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7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3210">
            <w:pPr>
              <w:jc w:val="center"/>
            </w:pPr>
          </w:p>
        </w:tc>
      </w:tr>
      <w:tr w14:paraId="68E43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80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2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25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776B">
            <w:pPr>
              <w:jc w:val="center"/>
            </w:pPr>
            <w:r>
              <w:rPr>
                <w:rFonts w:ascii="宋体" w:hAnsi="宋体" w:eastAsia="宋体"/>
                <w:sz w:val="16"/>
              </w:rPr>
              <w:t>自聘教师工资按时发放率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EED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A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9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B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41B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4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F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7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0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472A">
            <w:pPr>
              <w:jc w:val="center"/>
            </w:pPr>
          </w:p>
        </w:tc>
      </w:tr>
      <w:tr w14:paraId="6AF10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6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27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11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A5C3">
            <w:pPr>
              <w:jc w:val="center"/>
            </w:pPr>
            <w:r>
              <w:rPr>
                <w:rFonts w:ascii="宋体" w:hAnsi="宋体" w:eastAsia="宋体"/>
                <w:sz w:val="16"/>
              </w:rPr>
              <w:t>自聘教师补助标准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E3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4581">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AB94">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F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30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8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F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A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8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A852">
            <w:pPr>
              <w:jc w:val="center"/>
            </w:pPr>
          </w:p>
        </w:tc>
      </w:tr>
      <w:tr w14:paraId="19785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2A0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DFE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A15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AC18">
            <w:pPr>
              <w:jc w:val="center"/>
            </w:pPr>
            <w:r>
              <w:rPr>
                <w:rFonts w:ascii="宋体" w:hAnsi="宋体" w:eastAsia="宋体"/>
                <w:sz w:val="16"/>
              </w:rPr>
              <w:t>教师队伍稳定率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5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86DB">
            <w:pPr>
              <w:jc w:val="center"/>
            </w:pPr>
            <w:r>
              <w:rPr>
                <w:rFonts w:ascii="宋体" w:hAnsi="宋体" w:eastAsia="宋体"/>
                <w:sz w:val="16"/>
              </w:rPr>
              <w:t>逐渐改善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0D61">
            <w:pPr>
              <w:jc w:val="center"/>
            </w:pPr>
            <w:r>
              <w:rPr>
                <w:rFonts w:ascii="宋体" w:hAnsi="宋体" w:eastAsia="宋体"/>
                <w:sz w:val="16"/>
              </w:rPr>
              <w:t>逐渐改善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C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D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4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9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AA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3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4ED2">
            <w:pPr>
              <w:jc w:val="center"/>
            </w:pPr>
          </w:p>
        </w:tc>
      </w:tr>
      <w:tr w14:paraId="5B93C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DC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5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DE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B4BC">
            <w:pPr>
              <w:jc w:val="center"/>
            </w:pPr>
            <w:r>
              <w:rPr>
                <w:rFonts w:ascii="宋体" w:hAnsi="宋体" w:eastAsia="宋体"/>
                <w:sz w:val="16"/>
              </w:rPr>
              <w:t>保障所需师资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B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80A5">
            <w:pPr>
              <w:jc w:val="center"/>
            </w:pPr>
            <w:r>
              <w:rPr>
                <w:rFonts w:ascii="宋体" w:hAnsi="宋体" w:eastAsia="宋体"/>
                <w:sz w:val="16"/>
              </w:rPr>
              <w:t>基本保障教学需要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56C7">
            <w:pPr>
              <w:jc w:val="center"/>
            </w:pPr>
            <w:r>
              <w:rPr>
                <w:rFonts w:ascii="宋体" w:hAnsi="宋体" w:eastAsia="宋体"/>
                <w:sz w:val="16"/>
              </w:rPr>
              <w:t>基本保障教学需要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8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3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7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8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64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E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8501">
            <w:pPr>
              <w:jc w:val="center"/>
            </w:pPr>
          </w:p>
        </w:tc>
      </w:tr>
      <w:tr w14:paraId="215FE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DD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64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AD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98CE">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1C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07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91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8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65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4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2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E9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1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2CB5">
            <w:pPr>
              <w:jc w:val="center"/>
            </w:pPr>
            <w:r>
              <w:rPr>
                <w:rFonts w:ascii="宋体" w:hAnsi="宋体" w:eastAsia="宋体"/>
                <w:sz w:val="16"/>
              </w:rPr>
              <w:t>保障了我</w:t>
            </w:r>
            <w:r>
              <w:rPr>
                <w:rFonts w:hint="eastAsia" w:ascii="宋体" w:hAnsi="宋体"/>
                <w:sz w:val="16"/>
                <w:lang w:eastAsia="zh-CN"/>
              </w:rPr>
              <w:t>校</w:t>
            </w:r>
            <w:r>
              <w:rPr>
                <w:rFonts w:ascii="宋体" w:hAnsi="宋体" w:eastAsia="宋体"/>
                <w:sz w:val="16"/>
              </w:rPr>
              <w:t>自聘教师工资及时足额发放到位，保</w:t>
            </w:r>
            <w:r>
              <w:rPr>
                <w:rFonts w:hint="eastAsia" w:ascii="宋体" w:hAnsi="宋体"/>
                <w:sz w:val="16"/>
                <w:lang w:eastAsia="zh-CN"/>
              </w:rPr>
              <w:t>障了</w:t>
            </w:r>
            <w:r>
              <w:rPr>
                <w:rFonts w:ascii="宋体" w:hAnsi="宋体" w:eastAsia="宋体"/>
                <w:sz w:val="16"/>
              </w:rPr>
              <w:t>学校正常的教育教学秩序，自聘教师满</w:t>
            </w:r>
            <w:r>
              <w:rPr>
                <w:rFonts w:hint="eastAsia" w:ascii="宋体" w:hAnsi="宋体"/>
                <w:sz w:val="16"/>
                <w:lang w:eastAsia="zh-CN"/>
              </w:rPr>
              <w:t>意度</w:t>
            </w:r>
            <w:r>
              <w:rPr>
                <w:rFonts w:ascii="宋体" w:hAnsi="宋体" w:eastAsia="宋体"/>
                <w:sz w:val="16"/>
              </w:rPr>
              <w:t>达到100%。</w:t>
            </w:r>
          </w:p>
        </w:tc>
      </w:tr>
      <w:tr w14:paraId="07353C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EC4E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F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297A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E30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71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70E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6D2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C99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9FC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76E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67A8C"/>
        </w:tc>
      </w:tr>
    </w:tbl>
    <w:p w14:paraId="041866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65D07275">
        <w:tblPrEx>
          <w:tblCellMar>
            <w:top w:w="0" w:type="dxa"/>
            <w:left w:w="108" w:type="dxa"/>
            <w:bottom w:w="0" w:type="dxa"/>
            <w:right w:w="108" w:type="dxa"/>
          </w:tblCellMar>
        </w:tblPrEx>
        <w:tc>
          <w:tcPr>
            <w:tcW w:w="8848" w:type="dxa"/>
            <w:gridSpan w:val="14"/>
            <w:vAlign w:val="center"/>
          </w:tcPr>
          <w:p w14:paraId="20227F18">
            <w:pPr>
              <w:jc w:val="center"/>
            </w:pPr>
            <w:r>
              <w:rPr>
                <w:rFonts w:ascii="宋体" w:hAnsi="宋体" w:eastAsia="宋体"/>
                <w:sz w:val="24"/>
              </w:rPr>
              <w:t>项目支出绩效自评表</w:t>
            </w:r>
          </w:p>
        </w:tc>
      </w:tr>
      <w:tr w14:paraId="0B0D1F86">
        <w:tblPrEx>
          <w:tblCellMar>
            <w:top w:w="0" w:type="dxa"/>
            <w:left w:w="108" w:type="dxa"/>
            <w:bottom w:w="0" w:type="dxa"/>
            <w:right w:w="108" w:type="dxa"/>
          </w:tblCellMar>
        </w:tblPrEx>
        <w:tc>
          <w:tcPr>
            <w:tcW w:w="8848" w:type="dxa"/>
            <w:gridSpan w:val="14"/>
            <w:vAlign w:val="center"/>
          </w:tcPr>
          <w:p w14:paraId="39F760DC">
            <w:pPr>
              <w:jc w:val="center"/>
            </w:pPr>
            <w:r>
              <w:rPr>
                <w:rFonts w:ascii="宋体" w:hAnsi="宋体" w:eastAsia="宋体"/>
                <w:sz w:val="24"/>
              </w:rPr>
              <w:t>(2024年度)</w:t>
            </w:r>
          </w:p>
        </w:tc>
      </w:tr>
      <w:tr w14:paraId="70112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FD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1A4194">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关于提前下达2024年新疆西藏等地区教育特殊补助资金的通知（公用经费）</w:t>
            </w:r>
          </w:p>
        </w:tc>
      </w:tr>
      <w:tr w14:paraId="15E75A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02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5C38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17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F0449">
            <w:pPr>
              <w:jc w:val="center"/>
            </w:pPr>
            <w:r>
              <w:rPr>
                <w:rFonts w:ascii="宋体" w:hAnsi="宋体" w:eastAsia="宋体"/>
                <w:sz w:val="16"/>
              </w:rPr>
              <w:t>吉木萨尔县第四幼儿园</w:t>
            </w:r>
          </w:p>
        </w:tc>
      </w:tr>
      <w:tr w14:paraId="269404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0287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4E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8D1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E17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32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73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6D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F599">
            <w:pPr>
              <w:jc w:val="center"/>
            </w:pPr>
            <w:r>
              <w:rPr>
                <w:rFonts w:ascii="宋体" w:hAnsi="宋体" w:eastAsia="宋体"/>
                <w:sz w:val="16"/>
              </w:rPr>
              <w:t>得分</w:t>
            </w:r>
          </w:p>
        </w:tc>
      </w:tr>
      <w:tr w14:paraId="1AE6F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10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420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3619">
            <w:pPr>
              <w:jc w:val="center"/>
            </w:pPr>
            <w:r>
              <w:rPr>
                <w:rFonts w:ascii="宋体" w:hAnsi="宋体" w:eastAsia="宋体"/>
                <w:sz w:val="16"/>
              </w:rPr>
              <w:t>39.74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2C317">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D992">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B52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E2D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DA28">
            <w:pPr>
              <w:jc w:val="center"/>
            </w:pPr>
            <w:r>
              <w:rPr>
                <w:rFonts w:ascii="宋体" w:hAnsi="宋体" w:eastAsia="宋体"/>
                <w:sz w:val="16"/>
              </w:rPr>
              <w:t>10.00</w:t>
            </w:r>
          </w:p>
        </w:tc>
      </w:tr>
      <w:tr w14:paraId="0C6AD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9C2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F8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41BD">
            <w:pPr>
              <w:jc w:val="center"/>
            </w:pPr>
            <w:r>
              <w:rPr>
                <w:rFonts w:ascii="宋体" w:hAnsi="宋体" w:eastAsia="宋体"/>
                <w:sz w:val="16"/>
              </w:rPr>
              <w:t>39.74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806A">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2B77">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0E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DD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2854">
            <w:pPr>
              <w:jc w:val="center"/>
            </w:pPr>
            <w:r>
              <w:rPr>
                <w:rFonts w:ascii="宋体" w:hAnsi="宋体" w:eastAsia="宋体"/>
                <w:sz w:val="16"/>
              </w:rPr>
              <w:t>—</w:t>
            </w:r>
          </w:p>
        </w:tc>
      </w:tr>
      <w:tr w14:paraId="1880F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543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BEA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8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23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3E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2C6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F7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5602">
            <w:pPr>
              <w:jc w:val="center"/>
            </w:pPr>
            <w:r>
              <w:rPr>
                <w:rFonts w:ascii="宋体" w:hAnsi="宋体" w:eastAsia="宋体"/>
                <w:sz w:val="16"/>
              </w:rPr>
              <w:t>—</w:t>
            </w:r>
          </w:p>
        </w:tc>
      </w:tr>
      <w:tr w14:paraId="6A6D9E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63B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6D7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4F038">
            <w:pPr>
              <w:jc w:val="center"/>
            </w:pPr>
            <w:r>
              <w:rPr>
                <w:rFonts w:ascii="宋体" w:hAnsi="宋体" w:eastAsia="宋体"/>
                <w:sz w:val="16"/>
              </w:rPr>
              <w:t>实际完成情况</w:t>
            </w:r>
          </w:p>
        </w:tc>
      </w:tr>
      <w:tr w14:paraId="08019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5D3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213A6">
            <w:pPr>
              <w:jc w:val="both"/>
            </w:pPr>
            <w:r>
              <w:rPr>
                <w:rFonts w:ascii="宋体" w:hAnsi="宋体" w:eastAsia="宋体"/>
                <w:sz w:val="16"/>
              </w:rPr>
              <w:t>2024年吉木萨尔县第四幼儿园特殊教育补助资金拨付68.1万元，幼儿在园人数404人，公用经费生均补助1100元，主要用于支付水电费、维修费、设备购置、材料采购等，保障学前教育工作正常运转，提高学生及家长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0615F2">
            <w:pPr>
              <w:jc w:val="both"/>
            </w:pPr>
            <w:r>
              <w:rPr>
                <w:rFonts w:hint="eastAsia" w:ascii="宋体" w:hAnsi="宋体"/>
                <w:sz w:val="16"/>
                <w:lang w:eastAsia="zh-CN"/>
              </w:rPr>
              <w:t>截至2024</w:t>
            </w:r>
            <w:r>
              <w:rPr>
                <w:rFonts w:ascii="宋体" w:hAnsi="宋体" w:eastAsia="宋体"/>
                <w:sz w:val="16"/>
              </w:rPr>
              <w:t>年12月31日，本项目实际支出68.1万元，预算执行率为100%，我校已完成【昌州财教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公用经费）】项目，通过实施此项目使我校387名幼儿享受到公用经费补助，补助覆盖率达到了100%，保障了我校学前三年教育发展正常运转，学生、家长满意度提高。</w:t>
            </w:r>
          </w:p>
        </w:tc>
      </w:tr>
      <w:tr w14:paraId="040F6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6B8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58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43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9A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FD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EB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43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66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CE8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35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6C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2B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E9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CF2B">
            <w:pPr>
              <w:jc w:val="center"/>
            </w:pPr>
            <w:r>
              <w:rPr>
                <w:rFonts w:ascii="宋体" w:hAnsi="宋体" w:eastAsia="宋体"/>
                <w:sz w:val="16"/>
              </w:rPr>
              <w:t>偏差原因分析及改进措施</w:t>
            </w:r>
          </w:p>
        </w:tc>
      </w:tr>
      <w:tr w14:paraId="1C1D91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553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89B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2C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8C85">
            <w:pPr>
              <w:jc w:val="center"/>
            </w:pPr>
            <w:r>
              <w:rPr>
                <w:rFonts w:ascii="宋体" w:hAnsi="宋体" w:eastAsia="宋体"/>
                <w:sz w:val="16"/>
              </w:rPr>
              <w:t>保障学前三年适龄幼儿人数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A8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B98A">
            <w:pPr>
              <w:jc w:val="center"/>
            </w:pPr>
            <w:r>
              <w:rPr>
                <w:rFonts w:ascii="宋体" w:hAnsi="宋体" w:eastAsia="宋体"/>
                <w:sz w:val="16"/>
              </w:rPr>
              <w:t>=404人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5EA5">
            <w:pPr>
              <w:jc w:val="center"/>
            </w:pPr>
            <w:r>
              <w:rPr>
                <w:rFonts w:ascii="宋体" w:hAnsi="宋体" w:eastAsia="宋体"/>
                <w:sz w:val="16"/>
              </w:rPr>
              <w:t>=387人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6EBC">
            <w:pPr>
              <w:jc w:val="center"/>
            </w:pPr>
            <w:r>
              <w:rPr>
                <w:rFonts w:ascii="宋体" w:hAnsi="宋体" w:eastAsia="宋体"/>
                <w:sz w:val="16"/>
              </w:rPr>
              <w:t>95.05%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48EE">
            <w:pPr>
              <w:jc w:val="center"/>
            </w:pPr>
            <w:r>
              <w:rPr>
                <w:rFonts w:ascii="宋体" w:hAnsi="宋体" w:eastAsia="宋体"/>
                <w:sz w:val="16"/>
              </w:rPr>
              <w:t>13.14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2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1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F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3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5392">
            <w:pPr>
              <w:jc w:val="center"/>
            </w:pPr>
            <w:r>
              <w:rPr>
                <w:rFonts w:ascii="宋体" w:hAnsi="宋体" w:eastAsia="宋体"/>
                <w:sz w:val="16"/>
              </w:rPr>
              <w:t>2024年上半年幼儿人数为404人，下半年为370人，平均业绩值是387人。</w:t>
            </w:r>
          </w:p>
        </w:tc>
      </w:tr>
      <w:tr w14:paraId="198DC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C4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03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03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33B6">
            <w:pPr>
              <w:jc w:val="center"/>
            </w:pPr>
            <w:r>
              <w:rPr>
                <w:rFonts w:ascii="宋体" w:hAnsi="宋体" w:eastAsia="宋体"/>
                <w:sz w:val="16"/>
              </w:rPr>
              <w:t>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521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4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D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7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6C7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9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C8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7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D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628C">
            <w:pPr>
              <w:jc w:val="center"/>
            </w:pPr>
          </w:p>
        </w:tc>
      </w:tr>
      <w:tr w14:paraId="01B4D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7C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7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51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05DE">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9B9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3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2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4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3D6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9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0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5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22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84D1">
            <w:pPr>
              <w:jc w:val="center"/>
            </w:pPr>
          </w:p>
        </w:tc>
      </w:tr>
      <w:tr w14:paraId="5DE95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1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1D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76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26B5">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4E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FD9B">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BE91">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8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EA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9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7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6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1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8332">
            <w:pPr>
              <w:jc w:val="center"/>
            </w:pPr>
          </w:p>
        </w:tc>
      </w:tr>
      <w:tr w14:paraId="5CD17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6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B9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28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E2E2">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25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23AD">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CE53">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E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A3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5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6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8E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40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F973">
            <w:pPr>
              <w:jc w:val="center"/>
            </w:pPr>
          </w:p>
        </w:tc>
      </w:tr>
      <w:tr w14:paraId="58682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3F0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4064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500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92AA">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02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84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884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0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61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C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8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E2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5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C34E">
            <w:pPr>
              <w:jc w:val="center"/>
            </w:pPr>
            <w:r>
              <w:rPr>
                <w:rFonts w:ascii="宋体" w:hAnsi="宋体" w:eastAsia="宋体"/>
                <w:sz w:val="16"/>
              </w:rPr>
              <w:t>保障了我校学前三年教育发展正常运转，学生家长满意度达到100%。</w:t>
            </w:r>
          </w:p>
        </w:tc>
      </w:tr>
      <w:tr w14:paraId="4EC0D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73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C8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A3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EDC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5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07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1B0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5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07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3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1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FE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B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92BE">
            <w:pPr>
              <w:jc w:val="center"/>
            </w:pPr>
            <w:r>
              <w:rPr>
                <w:rFonts w:ascii="宋体" w:hAnsi="宋体" w:eastAsia="宋体"/>
                <w:sz w:val="16"/>
              </w:rPr>
              <w:t>保障了我校学前三年教育发展正常运转，学生家长满意度达到100%。</w:t>
            </w:r>
          </w:p>
        </w:tc>
      </w:tr>
      <w:tr w14:paraId="1E63B5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8311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4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D05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E93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90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58F4">
            <w:pPr>
              <w:jc w:val="center"/>
            </w:pPr>
            <w:r>
              <w:rPr>
                <w:rFonts w:ascii="宋体" w:hAnsi="宋体" w:eastAsia="宋体"/>
                <w:sz w:val="16"/>
              </w:rPr>
              <w:t>98.14分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CD4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85A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BE1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BD9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62A31"/>
        </w:tc>
      </w:tr>
    </w:tbl>
    <w:p w14:paraId="388C69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0EA299D">
        <w:tblPrEx>
          <w:tblCellMar>
            <w:top w:w="0" w:type="dxa"/>
            <w:left w:w="108" w:type="dxa"/>
            <w:bottom w:w="0" w:type="dxa"/>
            <w:right w:w="108" w:type="dxa"/>
          </w:tblCellMar>
        </w:tblPrEx>
        <w:tc>
          <w:tcPr>
            <w:tcW w:w="8848" w:type="dxa"/>
            <w:gridSpan w:val="14"/>
            <w:vAlign w:val="center"/>
          </w:tcPr>
          <w:p w14:paraId="5CD33280">
            <w:pPr>
              <w:jc w:val="center"/>
            </w:pPr>
            <w:r>
              <w:rPr>
                <w:rFonts w:ascii="宋体" w:hAnsi="宋体" w:eastAsia="宋体"/>
                <w:sz w:val="24"/>
              </w:rPr>
              <w:t>项目支出绩效自评表</w:t>
            </w:r>
          </w:p>
        </w:tc>
      </w:tr>
      <w:tr w14:paraId="7D5A9192">
        <w:tblPrEx>
          <w:tblCellMar>
            <w:top w:w="0" w:type="dxa"/>
            <w:left w:w="108" w:type="dxa"/>
            <w:bottom w:w="0" w:type="dxa"/>
            <w:right w:w="108" w:type="dxa"/>
          </w:tblCellMar>
        </w:tblPrEx>
        <w:tc>
          <w:tcPr>
            <w:tcW w:w="8848" w:type="dxa"/>
            <w:gridSpan w:val="14"/>
            <w:vAlign w:val="center"/>
          </w:tcPr>
          <w:p w14:paraId="5C173930">
            <w:pPr>
              <w:jc w:val="center"/>
            </w:pPr>
            <w:r>
              <w:rPr>
                <w:rFonts w:ascii="宋体" w:hAnsi="宋体" w:eastAsia="宋体"/>
                <w:sz w:val="24"/>
              </w:rPr>
              <w:t>(2024年度)</w:t>
            </w:r>
          </w:p>
        </w:tc>
      </w:tr>
      <w:tr w14:paraId="1F9A98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C4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87F668">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3BC2B0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E0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0B0F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02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65F5A">
            <w:pPr>
              <w:jc w:val="center"/>
            </w:pPr>
            <w:r>
              <w:rPr>
                <w:rFonts w:ascii="宋体" w:hAnsi="宋体" w:eastAsia="宋体"/>
                <w:sz w:val="16"/>
              </w:rPr>
              <w:t>吉木萨尔县第四幼儿园</w:t>
            </w:r>
          </w:p>
        </w:tc>
      </w:tr>
      <w:tr w14:paraId="7C8916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3A86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66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84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148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B5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7E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229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B026">
            <w:pPr>
              <w:jc w:val="center"/>
            </w:pPr>
            <w:r>
              <w:rPr>
                <w:rFonts w:ascii="宋体" w:hAnsi="宋体" w:eastAsia="宋体"/>
                <w:sz w:val="16"/>
              </w:rPr>
              <w:t>得分</w:t>
            </w:r>
          </w:p>
        </w:tc>
      </w:tr>
      <w:tr w14:paraId="0CBC0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01C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03C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BC096">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F02A0">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06C0">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19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AA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6FD5">
            <w:pPr>
              <w:jc w:val="center"/>
            </w:pPr>
            <w:r>
              <w:rPr>
                <w:rFonts w:ascii="宋体" w:hAnsi="宋体" w:eastAsia="宋体"/>
                <w:sz w:val="16"/>
              </w:rPr>
              <w:t>10.00</w:t>
            </w:r>
          </w:p>
        </w:tc>
      </w:tr>
      <w:tr w14:paraId="7FDBB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64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36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24029">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E7DC2">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489B">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06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6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57D9">
            <w:pPr>
              <w:jc w:val="center"/>
            </w:pPr>
            <w:r>
              <w:rPr>
                <w:rFonts w:ascii="宋体" w:hAnsi="宋体" w:eastAsia="宋体"/>
                <w:sz w:val="16"/>
              </w:rPr>
              <w:t>—</w:t>
            </w:r>
          </w:p>
        </w:tc>
      </w:tr>
      <w:tr w14:paraId="0D292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8D3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3D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206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BF5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96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52D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9B2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6D0B">
            <w:pPr>
              <w:jc w:val="center"/>
            </w:pPr>
            <w:r>
              <w:rPr>
                <w:rFonts w:ascii="宋体" w:hAnsi="宋体" w:eastAsia="宋体"/>
                <w:sz w:val="16"/>
              </w:rPr>
              <w:t>—</w:t>
            </w:r>
          </w:p>
        </w:tc>
      </w:tr>
      <w:tr w14:paraId="79AA75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A13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3404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BBDF4">
            <w:pPr>
              <w:jc w:val="center"/>
            </w:pPr>
            <w:r>
              <w:rPr>
                <w:rFonts w:ascii="宋体" w:hAnsi="宋体" w:eastAsia="宋体"/>
                <w:sz w:val="16"/>
              </w:rPr>
              <w:t>实际完成情况</w:t>
            </w:r>
          </w:p>
        </w:tc>
      </w:tr>
      <w:tr w14:paraId="302B7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F2E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EB671">
            <w:pPr>
              <w:jc w:val="both"/>
            </w:pPr>
            <w:r>
              <w:rPr>
                <w:rFonts w:ascii="宋体" w:hAnsi="宋体" w:eastAsia="宋体"/>
                <w:sz w:val="16"/>
              </w:rPr>
              <w:t>2024年县四幼园舍维修资金拨付11万元，主要用于教学顶楼防水维修，维修面积为1200平方米，资金支付率为100%，有效改善师生生活环境，提高师生满意度。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BFBB16">
            <w:pPr>
              <w:jc w:val="both"/>
            </w:pPr>
            <w:r>
              <w:rPr>
                <w:rFonts w:hint="eastAsia" w:ascii="宋体" w:hAnsi="宋体"/>
                <w:sz w:val="16"/>
                <w:lang w:eastAsia="zh-CN"/>
              </w:rPr>
              <w:t>截至2024</w:t>
            </w:r>
            <w:r>
              <w:rPr>
                <w:rFonts w:ascii="宋体" w:hAnsi="宋体" w:eastAsia="宋体"/>
                <w:sz w:val="16"/>
              </w:rPr>
              <w:t>年12月31日，本项目实际支出11万元，预算执行率为100%,我校已完成【昌州财教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项目，通过实施此项目完成园舍屋面防水维修1200平方米，园舍维修任务完成，园舍日常维修改造成本11万元，资金及时支付，有效改善师生生活环境，提高师生满意度。</w:t>
            </w:r>
          </w:p>
        </w:tc>
      </w:tr>
      <w:tr w14:paraId="2017EC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F35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52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D7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5D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FA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44B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F7A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4F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74B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35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FB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90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A1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CE37">
            <w:pPr>
              <w:jc w:val="center"/>
            </w:pPr>
            <w:r>
              <w:rPr>
                <w:rFonts w:ascii="宋体" w:hAnsi="宋体" w:eastAsia="宋体"/>
                <w:sz w:val="16"/>
              </w:rPr>
              <w:t>偏差原因分析及改进措施</w:t>
            </w:r>
          </w:p>
        </w:tc>
      </w:tr>
      <w:tr w14:paraId="060303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3B6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169F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55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7EC8">
            <w:pPr>
              <w:jc w:val="center"/>
            </w:pPr>
            <w:r>
              <w:rPr>
                <w:rFonts w:ascii="宋体" w:hAnsi="宋体" w:eastAsia="宋体"/>
                <w:sz w:val="16"/>
              </w:rPr>
              <w:t>维修校舍面积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1C8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A43E">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74A0">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7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CC6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6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D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1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7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5C5C">
            <w:pPr>
              <w:jc w:val="center"/>
            </w:pPr>
          </w:p>
        </w:tc>
      </w:tr>
      <w:tr w14:paraId="3F7F8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6C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0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0E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AFBF">
            <w:pPr>
              <w:jc w:val="center"/>
            </w:pPr>
            <w:r>
              <w:rPr>
                <w:rFonts w:ascii="宋体" w:hAnsi="宋体" w:eastAsia="宋体"/>
                <w:sz w:val="16"/>
              </w:rPr>
              <w:t>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3EE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1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B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B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7F9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C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4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4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43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3E7D">
            <w:pPr>
              <w:jc w:val="center"/>
            </w:pPr>
          </w:p>
        </w:tc>
      </w:tr>
      <w:tr w14:paraId="51A32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68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FD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D8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674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1B1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F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A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5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050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A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1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E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3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259C">
            <w:pPr>
              <w:jc w:val="center"/>
            </w:pPr>
          </w:p>
        </w:tc>
      </w:tr>
      <w:tr w14:paraId="702C1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8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4D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5A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6A93">
            <w:pPr>
              <w:jc w:val="center"/>
            </w:pPr>
            <w:r>
              <w:rPr>
                <w:rFonts w:ascii="宋体" w:hAnsi="宋体" w:eastAsia="宋体"/>
                <w:sz w:val="16"/>
              </w:rPr>
              <w:t>校舍维修成本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08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339F">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B94F">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A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90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3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F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E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6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866A">
            <w:pPr>
              <w:jc w:val="center"/>
            </w:pPr>
          </w:p>
        </w:tc>
      </w:tr>
      <w:tr w14:paraId="21E74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07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10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29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C384">
            <w:pPr>
              <w:jc w:val="center"/>
            </w:pPr>
            <w:r>
              <w:rPr>
                <w:rFonts w:ascii="宋体" w:hAnsi="宋体" w:eastAsia="宋体"/>
                <w:sz w:val="16"/>
              </w:rPr>
              <w:t>改善校园环境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C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EE9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AC5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5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3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E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C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7D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0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2388">
            <w:pPr>
              <w:jc w:val="center"/>
            </w:pPr>
          </w:p>
        </w:tc>
      </w:tr>
      <w:tr w14:paraId="21AAC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91C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F421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682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C20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78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70D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0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334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55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6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8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AD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F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10C8">
            <w:pPr>
              <w:jc w:val="center"/>
            </w:pPr>
            <w:r>
              <w:rPr>
                <w:rFonts w:ascii="宋体" w:hAnsi="宋体" w:eastAsia="宋体"/>
                <w:sz w:val="16"/>
              </w:rPr>
              <w:t>通过实施此项目完成园舍屋面防水维修1200平方米，园舍维修任务完成，有效改善师生生活环境，提高师生满意度。</w:t>
            </w:r>
          </w:p>
        </w:tc>
      </w:tr>
      <w:tr w14:paraId="7A9FE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1C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C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B6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634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02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68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F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234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C7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4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0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EE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7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4BE2">
            <w:pPr>
              <w:jc w:val="center"/>
            </w:pPr>
            <w:r>
              <w:rPr>
                <w:rFonts w:ascii="宋体" w:hAnsi="宋体" w:eastAsia="宋体"/>
                <w:sz w:val="16"/>
              </w:rPr>
              <w:t>通过实施此项目完成园舍屋面防水维修1200平方米，园舍维修任务完成，有效改善师生生活环境，提高师生满意度。</w:t>
            </w:r>
          </w:p>
        </w:tc>
      </w:tr>
      <w:tr w14:paraId="6B03D6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B344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F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2D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1C4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66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488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BF3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6BC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C75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FFB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D6DA3"/>
        </w:tc>
      </w:tr>
    </w:tbl>
    <w:p w14:paraId="0913DB7F">
      <w:r>
        <w:br w:type="page"/>
      </w:r>
    </w:p>
    <w:p w14:paraId="7B7E142A">
      <w:pPr>
        <w:spacing w:line="640" w:lineRule="exact"/>
        <w:ind w:firstLine="640"/>
        <w:jc w:val="both"/>
        <w:outlineLvl w:val="2"/>
      </w:pPr>
      <w:r>
        <w:rPr>
          <w:rFonts w:ascii="黑体" w:hAnsi="黑体" w:eastAsia="黑体"/>
          <w:sz w:val="32"/>
        </w:rPr>
        <w:t>十二、其他需说明的事项</w:t>
      </w:r>
    </w:p>
    <w:p w14:paraId="602F80E2">
      <w:pPr>
        <w:spacing w:line="580" w:lineRule="exact"/>
        <w:ind w:firstLine="640"/>
        <w:jc w:val="both"/>
      </w:pPr>
      <w:r>
        <w:rPr>
          <w:rFonts w:ascii="仿宋_GB2312" w:hAnsi="仿宋_GB2312" w:eastAsia="仿宋_GB2312"/>
          <w:b w:val="0"/>
          <w:sz w:val="32"/>
        </w:rPr>
        <w:t>本单位无其他需说明的事项。</w:t>
      </w:r>
    </w:p>
    <w:p w14:paraId="2B71F3FA">
      <w:r>
        <w:br w:type="page"/>
      </w:r>
    </w:p>
    <w:p w14:paraId="42FCD359">
      <w:pPr>
        <w:spacing w:line="240" w:lineRule="auto"/>
        <w:jc w:val="center"/>
        <w:outlineLvl w:val="1"/>
      </w:pPr>
      <w:r>
        <w:rPr>
          <w:rFonts w:ascii="黑体" w:hAnsi="黑体" w:eastAsia="黑体"/>
          <w:sz w:val="32"/>
        </w:rPr>
        <w:t>第三部分 专业名词解释</w:t>
      </w:r>
    </w:p>
    <w:p w14:paraId="741B5B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A5E1F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709B30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7DA8A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00AC2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B3C58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5ACC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4A3AE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A2CC3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919216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F3329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A46CA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BC59D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0FECE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8BC3B77">
      <w:r>
        <w:br w:type="page"/>
      </w:r>
    </w:p>
    <w:p w14:paraId="6AC9A8F4">
      <w:pPr>
        <w:spacing w:line="240" w:lineRule="auto"/>
        <w:jc w:val="center"/>
        <w:outlineLvl w:val="1"/>
      </w:pPr>
      <w:r>
        <w:rPr>
          <w:rFonts w:ascii="黑体" w:hAnsi="黑体" w:eastAsia="黑体"/>
          <w:sz w:val="32"/>
        </w:rPr>
        <w:t>第四部分 部门决算报表（见附表）</w:t>
      </w:r>
    </w:p>
    <w:p w14:paraId="65BBD975">
      <w:pPr>
        <w:spacing w:line="240" w:lineRule="auto"/>
        <w:ind w:firstLine="640"/>
        <w:jc w:val="both"/>
      </w:pPr>
      <w:r>
        <w:rPr>
          <w:rFonts w:ascii="仿宋_GB2312" w:hAnsi="仿宋_GB2312" w:eastAsia="仿宋_GB2312"/>
          <w:b w:val="0"/>
          <w:sz w:val="32"/>
        </w:rPr>
        <w:t>一、《收入支出决算总表》</w:t>
      </w:r>
    </w:p>
    <w:p w14:paraId="1BF24E6C">
      <w:pPr>
        <w:spacing w:line="240" w:lineRule="auto"/>
        <w:ind w:firstLine="640"/>
        <w:jc w:val="both"/>
      </w:pPr>
      <w:r>
        <w:rPr>
          <w:rFonts w:ascii="仿宋_GB2312" w:hAnsi="仿宋_GB2312" w:eastAsia="仿宋_GB2312"/>
          <w:b w:val="0"/>
          <w:sz w:val="32"/>
        </w:rPr>
        <w:t>二、《收入决算表》</w:t>
      </w:r>
    </w:p>
    <w:p w14:paraId="649C0C87">
      <w:pPr>
        <w:spacing w:line="240" w:lineRule="auto"/>
        <w:ind w:firstLine="640"/>
        <w:jc w:val="both"/>
      </w:pPr>
      <w:r>
        <w:rPr>
          <w:rFonts w:ascii="仿宋_GB2312" w:hAnsi="仿宋_GB2312" w:eastAsia="仿宋_GB2312"/>
          <w:b w:val="0"/>
          <w:sz w:val="32"/>
        </w:rPr>
        <w:t>三、《支出决算表》</w:t>
      </w:r>
    </w:p>
    <w:p w14:paraId="36E28478">
      <w:pPr>
        <w:spacing w:line="240" w:lineRule="auto"/>
        <w:ind w:firstLine="640"/>
        <w:jc w:val="both"/>
      </w:pPr>
      <w:r>
        <w:rPr>
          <w:rFonts w:ascii="仿宋_GB2312" w:hAnsi="仿宋_GB2312" w:eastAsia="仿宋_GB2312"/>
          <w:b w:val="0"/>
          <w:sz w:val="32"/>
        </w:rPr>
        <w:t>四、《财政拨款收入支出决算总表》</w:t>
      </w:r>
    </w:p>
    <w:p w14:paraId="3653EEA8">
      <w:pPr>
        <w:spacing w:line="240" w:lineRule="auto"/>
        <w:ind w:firstLine="640"/>
        <w:jc w:val="both"/>
      </w:pPr>
      <w:r>
        <w:rPr>
          <w:rFonts w:ascii="仿宋_GB2312" w:hAnsi="仿宋_GB2312" w:eastAsia="仿宋_GB2312"/>
          <w:b w:val="0"/>
          <w:sz w:val="32"/>
        </w:rPr>
        <w:t>五、《一般公共预算财政拨款支出决算表》</w:t>
      </w:r>
    </w:p>
    <w:p w14:paraId="126F8601">
      <w:pPr>
        <w:spacing w:line="240" w:lineRule="auto"/>
        <w:ind w:firstLine="640"/>
        <w:jc w:val="both"/>
      </w:pPr>
      <w:r>
        <w:rPr>
          <w:rFonts w:ascii="仿宋_GB2312" w:hAnsi="仿宋_GB2312" w:eastAsia="仿宋_GB2312"/>
          <w:b w:val="0"/>
          <w:sz w:val="32"/>
        </w:rPr>
        <w:t>六、《一般公共预算财政拨款基本支出决算表》</w:t>
      </w:r>
    </w:p>
    <w:p w14:paraId="453BDCB5">
      <w:pPr>
        <w:spacing w:line="240" w:lineRule="auto"/>
        <w:ind w:firstLine="640"/>
        <w:jc w:val="both"/>
      </w:pPr>
      <w:r>
        <w:rPr>
          <w:rFonts w:ascii="仿宋_GB2312" w:hAnsi="仿宋_GB2312" w:eastAsia="仿宋_GB2312"/>
          <w:b w:val="0"/>
          <w:sz w:val="32"/>
        </w:rPr>
        <w:t>七、《政府性基金预算财政拨款收入支出决算表》</w:t>
      </w:r>
    </w:p>
    <w:p w14:paraId="74044B4F">
      <w:pPr>
        <w:spacing w:line="240" w:lineRule="auto"/>
        <w:ind w:firstLine="640"/>
        <w:jc w:val="both"/>
      </w:pPr>
      <w:r>
        <w:rPr>
          <w:rFonts w:ascii="仿宋_GB2312" w:hAnsi="仿宋_GB2312" w:eastAsia="仿宋_GB2312"/>
          <w:b w:val="0"/>
          <w:sz w:val="32"/>
        </w:rPr>
        <w:t>八、《国有资本经营预算财政拨款收入支出决算表》</w:t>
      </w:r>
    </w:p>
    <w:p w14:paraId="66040296">
      <w:pPr>
        <w:spacing w:line="240" w:lineRule="auto"/>
        <w:ind w:firstLine="640"/>
        <w:jc w:val="both"/>
      </w:pPr>
      <w:r>
        <w:rPr>
          <w:rFonts w:ascii="仿宋_GB2312" w:hAnsi="仿宋_GB2312" w:eastAsia="仿宋_GB2312"/>
          <w:b w:val="0"/>
          <w:sz w:val="32"/>
        </w:rPr>
        <w:t>九、《财政拨款“三公”经费支出决算表》</w:t>
      </w:r>
    </w:p>
    <w:p w14:paraId="556BE4C1">
      <w:pPr>
        <w:spacing w:line="240" w:lineRule="auto"/>
        <w:ind w:firstLine="640"/>
        <w:jc w:val="both"/>
      </w:pPr>
    </w:p>
    <w:p w14:paraId="3A85434F">
      <w:pPr>
        <w:spacing w:line="240" w:lineRule="auto"/>
        <w:ind w:firstLine="640"/>
        <w:jc w:val="both"/>
      </w:pPr>
    </w:p>
    <w:p w14:paraId="53F91849">
      <w:pPr>
        <w:spacing w:line="240" w:lineRule="auto"/>
        <w:ind w:firstLine="640"/>
        <w:jc w:val="both"/>
      </w:pPr>
    </w:p>
    <w:p w14:paraId="3C1E87C5">
      <w:pPr>
        <w:spacing w:line="240" w:lineRule="auto"/>
        <w:ind w:firstLine="640"/>
        <w:jc w:val="both"/>
      </w:pPr>
    </w:p>
    <w:p w14:paraId="4D26F9C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7B61F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064346"/>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4671</Words>
  <Characters>5367</Characters>
  <Lines>0</Lines>
  <Paragraphs>0</Paragraphs>
  <TotalTime>5</TotalTime>
  <ScaleCrop>false</ScaleCrop>
  <LinksUpToDate>false</LinksUpToDate>
  <CharactersWithSpaces>5375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2025-10-14T02:04:13Z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