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吉木萨尔县第六幼儿园2024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CF3592B">
      <w:r>
        <w:br w:type="page"/>
      </w:r>
    </w:p>
    <w:p w14:paraId="64CE9B1F">
      <w:pPr>
        <w:spacing w:line="640" w:lineRule="exact"/>
        <w:jc w:val="center"/>
        <w:outlineLvl w:val="1"/>
      </w:pPr>
      <w:r>
        <w:rPr>
          <w:rFonts w:ascii="黑体" w:hAnsi="黑体" w:eastAsia="黑体"/>
          <w:sz w:val="32"/>
        </w:rPr>
        <w:t>第一部分 单位概况</w:t>
      </w:r>
    </w:p>
    <w:p w14:paraId="6216447C">
      <w:pPr>
        <w:spacing w:line="640" w:lineRule="exact"/>
        <w:ind w:firstLine="640"/>
        <w:jc w:val="both"/>
        <w:outlineLvl w:val="2"/>
      </w:pPr>
      <w:r>
        <w:rPr>
          <w:rFonts w:ascii="黑体" w:hAnsi="黑体" w:eastAsia="黑体"/>
          <w:sz w:val="32"/>
        </w:rPr>
        <w:t>一、主要职能</w:t>
      </w:r>
    </w:p>
    <w:p w14:paraId="17882194">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实施幼儿保育幼儿教育工作。</w:t>
      </w:r>
    </w:p>
    <w:p w14:paraId="0D6FE28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负责幼儿园教学业务指导和教研工作。</w:t>
      </w:r>
    </w:p>
    <w:p w14:paraId="02098DCD">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负责幼儿园领导班子的考核和推荐。</w:t>
      </w:r>
    </w:p>
    <w:p w14:paraId="57D8CE95">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负责幼儿园教师的管理和服务。</w:t>
      </w:r>
    </w:p>
    <w:p w14:paraId="29DA2DEB">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负责幼儿园各项经费的安排使用和管理。</w:t>
      </w:r>
    </w:p>
    <w:p w14:paraId="3AD61623">
      <w:pPr>
        <w:spacing w:line="640" w:lineRule="exact"/>
        <w:ind w:firstLine="640"/>
        <w:jc w:val="both"/>
        <w:outlineLvl w:val="2"/>
      </w:pPr>
      <w:r>
        <w:rPr>
          <w:rFonts w:ascii="黑体" w:hAnsi="黑体" w:eastAsia="黑体"/>
          <w:sz w:val="32"/>
        </w:rPr>
        <w:t>二、机构设置及人员情况</w:t>
      </w:r>
    </w:p>
    <w:p w14:paraId="245934B9">
      <w:pPr>
        <w:spacing w:line="580" w:lineRule="exact"/>
        <w:ind w:firstLine="640"/>
        <w:jc w:val="both"/>
      </w:pPr>
      <w:r>
        <w:rPr>
          <w:rFonts w:ascii="仿宋_GB2312" w:hAnsi="仿宋_GB2312" w:eastAsia="仿宋_GB2312"/>
          <w:sz w:val="32"/>
        </w:rPr>
        <w:t>吉木萨尔县第六幼儿园2024年度，实有人数8人，其中：在职人员8人，减少1人；离休人员0人，增加0人；退休人员0人,增加0人。</w:t>
      </w:r>
    </w:p>
    <w:p w14:paraId="1EDE075E">
      <w:pPr>
        <w:spacing w:line="580" w:lineRule="exact"/>
        <w:ind w:firstLine="640"/>
        <w:jc w:val="both"/>
      </w:pPr>
      <w:r>
        <w:rPr>
          <w:rFonts w:ascii="仿宋_GB2312" w:hAnsi="仿宋_GB2312" w:eastAsia="仿宋_GB2312"/>
          <w:sz w:val="32"/>
        </w:rPr>
        <w:t>吉木萨尔县第六幼儿园无下属预算单位，下设5个科室，分别是：教务处、工会、财务室、德育处、后勤处。</w:t>
      </w:r>
    </w:p>
    <w:p w14:paraId="39DFC28F">
      <w:r>
        <w:br w:type="page"/>
      </w:r>
    </w:p>
    <w:p w14:paraId="4DC421C1">
      <w:pPr>
        <w:spacing w:line="240" w:lineRule="auto"/>
        <w:jc w:val="center"/>
        <w:outlineLvl w:val="1"/>
      </w:pPr>
      <w:r>
        <w:rPr>
          <w:rFonts w:ascii="黑体" w:hAnsi="黑体" w:eastAsia="黑体"/>
          <w:sz w:val="32"/>
        </w:rPr>
        <w:t>第二部分 部门决算情况说明</w:t>
      </w:r>
    </w:p>
    <w:p w14:paraId="36669C48">
      <w:pPr>
        <w:spacing w:line="640" w:lineRule="exact"/>
        <w:ind w:firstLine="640"/>
        <w:jc w:val="both"/>
        <w:outlineLvl w:val="2"/>
      </w:pPr>
      <w:r>
        <w:rPr>
          <w:rFonts w:ascii="黑体" w:hAnsi="黑体" w:eastAsia="黑体"/>
          <w:sz w:val="32"/>
        </w:rPr>
        <w:t>一、收入支出决算总体情况说明</w:t>
      </w:r>
    </w:p>
    <w:p w14:paraId="3B293E65">
      <w:pPr>
        <w:spacing w:line="580" w:lineRule="exact"/>
        <w:ind w:firstLine="640"/>
        <w:jc w:val="both"/>
      </w:pPr>
      <w:r>
        <w:rPr>
          <w:rFonts w:ascii="仿宋_GB2312" w:hAnsi="仿宋_GB2312" w:eastAsia="仿宋_GB2312"/>
          <w:b/>
          <w:sz w:val="32"/>
        </w:rPr>
        <w:t>2024年度收入总计230.70万元，</w:t>
      </w:r>
      <w:r>
        <w:rPr>
          <w:rFonts w:ascii="仿宋_GB2312" w:hAnsi="仿宋_GB2312" w:eastAsia="仿宋_GB2312"/>
          <w:b w:val="0"/>
          <w:sz w:val="32"/>
        </w:rPr>
        <w:t>其中：本年收入合计216.47万元，使用非财政拨款结余（含专用结余）0.00万元，年初结转和结余14.23万元。</w:t>
      </w:r>
    </w:p>
    <w:p w14:paraId="3940D4D6">
      <w:pPr>
        <w:spacing w:line="580" w:lineRule="exact"/>
        <w:ind w:firstLine="640"/>
        <w:jc w:val="both"/>
      </w:pPr>
      <w:r>
        <w:rPr>
          <w:rFonts w:ascii="仿宋_GB2312" w:hAnsi="仿宋_GB2312" w:eastAsia="仿宋_GB2312"/>
          <w:b/>
          <w:sz w:val="32"/>
        </w:rPr>
        <w:t>2024年度支出总计230.70万元，</w:t>
      </w:r>
      <w:r>
        <w:rPr>
          <w:rFonts w:ascii="仿宋_GB2312" w:hAnsi="仿宋_GB2312" w:eastAsia="仿宋_GB2312"/>
          <w:b w:val="0"/>
          <w:sz w:val="32"/>
        </w:rPr>
        <w:t>其中：本年支出合计216.47万元，结余分配0.00万元，年末结转和结余14.23万元。</w:t>
      </w:r>
    </w:p>
    <w:p w14:paraId="2110D752">
      <w:pPr>
        <w:spacing w:line="580" w:lineRule="exact"/>
        <w:ind w:firstLine="640"/>
        <w:jc w:val="both"/>
      </w:pPr>
      <w:r>
        <w:rPr>
          <w:rFonts w:ascii="仿宋_GB2312" w:hAnsi="仿宋_GB2312" w:eastAsia="仿宋_GB2312"/>
          <w:b w:val="0"/>
          <w:sz w:val="32"/>
        </w:rPr>
        <w:t>收入支出总体与上年相比，增加2.10万元，增长0.92%，主要原因是：本年取暖费增加，导致经费较上年增加。本年增加福建省援疆资金用于购买材料。</w:t>
      </w:r>
    </w:p>
    <w:p w14:paraId="25A5F3D2">
      <w:pPr>
        <w:spacing w:line="640" w:lineRule="exact"/>
        <w:ind w:firstLine="640"/>
        <w:jc w:val="both"/>
        <w:outlineLvl w:val="2"/>
      </w:pPr>
      <w:r>
        <w:rPr>
          <w:rFonts w:ascii="黑体" w:hAnsi="黑体" w:eastAsia="黑体"/>
          <w:sz w:val="32"/>
        </w:rPr>
        <w:t>二、收入决算情况说明</w:t>
      </w:r>
    </w:p>
    <w:p w14:paraId="409C1F27">
      <w:pPr>
        <w:spacing w:line="580" w:lineRule="exact"/>
        <w:ind w:firstLine="640"/>
        <w:jc w:val="both"/>
      </w:pPr>
      <w:r>
        <w:rPr>
          <w:rFonts w:ascii="仿宋_GB2312" w:hAnsi="仿宋_GB2312" w:eastAsia="仿宋_GB2312"/>
          <w:b/>
          <w:sz w:val="32"/>
        </w:rPr>
        <w:t>本年收入216.47万元，</w:t>
      </w:r>
      <w:r>
        <w:rPr>
          <w:rFonts w:ascii="仿宋_GB2312" w:hAnsi="仿宋_GB2312" w:eastAsia="仿宋_GB2312"/>
          <w:b w:val="0"/>
          <w:sz w:val="32"/>
        </w:rPr>
        <w:t>其中：财政拨款收入215.48万元，占99.54%；上级补助收入0.00万元，占0.00%；事业收入0.00万元，占0.00%；经营收入0.00万元，占0.00%；附属单位上缴收入0.00万元，占0.00%；其他收入0.99万元，占0.46%。</w:t>
      </w:r>
    </w:p>
    <w:p w14:paraId="3F13DD24">
      <w:pPr>
        <w:spacing w:line="640" w:lineRule="exact"/>
        <w:ind w:firstLine="640"/>
        <w:jc w:val="both"/>
        <w:outlineLvl w:val="2"/>
      </w:pPr>
      <w:r>
        <w:rPr>
          <w:rFonts w:ascii="黑体" w:hAnsi="黑体" w:eastAsia="黑体"/>
          <w:sz w:val="32"/>
        </w:rPr>
        <w:t>三、支出决算情况说明</w:t>
      </w:r>
    </w:p>
    <w:p w14:paraId="6A46AD65">
      <w:pPr>
        <w:spacing w:line="580" w:lineRule="exact"/>
        <w:ind w:firstLine="640"/>
        <w:jc w:val="both"/>
      </w:pPr>
      <w:r>
        <w:rPr>
          <w:rFonts w:ascii="仿宋_GB2312" w:hAnsi="仿宋_GB2312" w:eastAsia="仿宋_GB2312"/>
          <w:b/>
          <w:sz w:val="32"/>
        </w:rPr>
        <w:t>本年支出216.47万元，</w:t>
      </w:r>
      <w:r>
        <w:rPr>
          <w:rFonts w:ascii="仿宋_GB2312" w:hAnsi="仿宋_GB2312" w:eastAsia="仿宋_GB2312"/>
          <w:b w:val="0"/>
          <w:sz w:val="32"/>
        </w:rPr>
        <w:t>其中：基本支出187.56万元，占86.64%；项目支出28.90万元，占13.35%；上缴上级支出0.00万元，占0.00%；经营支出0.00万元，占0.00%；对附属单位补助支出0.00万元，占0.00%。</w:t>
      </w:r>
    </w:p>
    <w:p w14:paraId="0F230C2D">
      <w:pPr>
        <w:spacing w:line="640" w:lineRule="exact"/>
        <w:ind w:firstLine="640"/>
        <w:jc w:val="both"/>
        <w:outlineLvl w:val="2"/>
      </w:pPr>
      <w:r>
        <w:rPr>
          <w:rFonts w:ascii="黑体" w:hAnsi="黑体" w:eastAsia="黑体"/>
          <w:sz w:val="32"/>
        </w:rPr>
        <w:t>四、财政拨款收入支出决算总体情况说明</w:t>
      </w:r>
    </w:p>
    <w:p w14:paraId="1952A5B8">
      <w:pPr>
        <w:spacing w:line="580" w:lineRule="exact"/>
        <w:ind w:firstLine="640"/>
        <w:jc w:val="both"/>
      </w:pPr>
      <w:r>
        <w:rPr>
          <w:rFonts w:ascii="仿宋_GB2312" w:hAnsi="仿宋_GB2312" w:eastAsia="仿宋_GB2312"/>
          <w:b/>
          <w:sz w:val="32"/>
        </w:rPr>
        <w:t>2024年度财政拨款收入总计215.48万元，</w:t>
      </w:r>
      <w:r>
        <w:rPr>
          <w:rFonts w:ascii="仿宋_GB2312" w:hAnsi="仿宋_GB2312" w:eastAsia="仿宋_GB2312"/>
          <w:b w:val="0"/>
          <w:sz w:val="32"/>
        </w:rPr>
        <w:t>其中：年初财政拨款结转和结余0.00万元，本年财政拨款收入215.48万元。</w:t>
      </w:r>
      <w:r>
        <w:rPr>
          <w:rFonts w:ascii="仿宋_GB2312" w:hAnsi="仿宋_GB2312" w:eastAsia="仿宋_GB2312"/>
          <w:b/>
          <w:sz w:val="32"/>
        </w:rPr>
        <w:t>财政拨款支出总计215.48万元，</w:t>
      </w:r>
      <w:r>
        <w:rPr>
          <w:rFonts w:ascii="仿宋_GB2312" w:hAnsi="仿宋_GB2312" w:eastAsia="仿宋_GB2312"/>
          <w:b w:val="0"/>
          <w:sz w:val="32"/>
        </w:rPr>
        <w:t>其中：年末财政拨款结转和结余0.00万元，本年财政拨款支出215.48万元。</w:t>
      </w:r>
    </w:p>
    <w:p w14:paraId="1272528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增加1.14万元，增长0.53%，主要原因是：本年取暖费增加，导致经费较上年增加。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年初预算数225.70万元，决算数215.48万元，预决算差异率-4.53%，主要原因是：本年在职人员减少，年中调减人员经费，导致预决算存在差异。</w:t>
      </w:r>
    </w:p>
    <w:p w14:paraId="50A718DD">
      <w:pPr>
        <w:spacing w:line="640" w:lineRule="exact"/>
        <w:ind w:firstLine="640"/>
        <w:jc w:val="both"/>
        <w:outlineLvl w:val="2"/>
      </w:pPr>
      <w:r>
        <w:rPr>
          <w:rFonts w:ascii="黑体" w:hAnsi="黑体" w:eastAsia="黑体"/>
          <w:sz w:val="32"/>
        </w:rPr>
        <w:t>五、一般公共预算财政拨款支出决算情况说明</w:t>
      </w:r>
    </w:p>
    <w:p w14:paraId="14EE176E">
      <w:pPr>
        <w:spacing w:line="640" w:lineRule="exact"/>
        <w:ind w:firstLine="640"/>
        <w:jc w:val="both"/>
        <w:outlineLvl w:val="3"/>
      </w:pPr>
      <w:r>
        <w:rPr>
          <w:rFonts w:ascii="楷体_GB2312" w:hAnsi="楷体_GB2312" w:eastAsia="楷体_GB2312"/>
          <w:b/>
          <w:sz w:val="32"/>
        </w:rPr>
        <w:t>（一）一般公共预算财政拨款支出决算总体情况</w:t>
      </w:r>
    </w:p>
    <w:p w14:paraId="3E7F03BC">
      <w:pPr>
        <w:spacing w:line="580" w:lineRule="exact"/>
        <w:ind w:firstLine="640"/>
        <w:jc w:val="both"/>
      </w:pPr>
      <w:r>
        <w:rPr>
          <w:rFonts w:ascii="仿宋_GB2312" w:hAnsi="仿宋_GB2312" w:eastAsia="仿宋_GB2312"/>
          <w:b/>
          <w:sz w:val="32"/>
        </w:rPr>
        <w:t>2024年度一般公共预算财政拨款支出215.48万元，</w:t>
      </w:r>
      <w:r>
        <w:rPr>
          <w:rFonts w:ascii="仿宋_GB2312" w:hAnsi="仿宋_GB2312" w:eastAsia="仿宋_GB2312"/>
          <w:b w:val="0"/>
          <w:sz w:val="32"/>
        </w:rPr>
        <w:t>占本年支出合计的99.54%。</w:t>
      </w:r>
      <w:r>
        <w:rPr>
          <w:rFonts w:ascii="仿宋_GB2312" w:hAnsi="仿宋_GB2312" w:eastAsia="仿宋_GB2312"/>
          <w:b/>
          <w:sz w:val="32"/>
        </w:rPr>
        <w:t>与上年相比，</w:t>
      </w:r>
      <w:r>
        <w:rPr>
          <w:rFonts w:ascii="仿宋_GB2312" w:hAnsi="仿宋_GB2312" w:eastAsia="仿宋_GB2312"/>
          <w:b w:val="0"/>
          <w:sz w:val="32"/>
        </w:rPr>
        <w:t>增加1.14万元，增长0.53%，主要原因是：本年取暖费增加，导致经费较上年增加。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年初预算数225.70万元，决算数215.48万元，预决算差异率-4.53%，主要原因是：本年在职人员减少，年中调减人员经费，导致预决算存在差异。</w:t>
      </w:r>
    </w:p>
    <w:p w14:paraId="422D1828">
      <w:pPr>
        <w:spacing w:line="640" w:lineRule="exact"/>
        <w:ind w:firstLine="640"/>
        <w:jc w:val="both"/>
        <w:outlineLvl w:val="3"/>
      </w:pPr>
      <w:r>
        <w:rPr>
          <w:rFonts w:ascii="楷体_GB2312" w:hAnsi="楷体_GB2312" w:eastAsia="楷体_GB2312"/>
          <w:b/>
          <w:sz w:val="32"/>
        </w:rPr>
        <w:t>（二）一般公共预算财政拨款支出决算结构情况</w:t>
      </w:r>
    </w:p>
    <w:p w14:paraId="3EE2224C">
      <w:pPr>
        <w:spacing w:line="580" w:lineRule="exact"/>
        <w:ind w:firstLine="640"/>
        <w:jc w:val="both"/>
      </w:pPr>
      <w:r>
        <w:rPr>
          <w:rFonts w:ascii="仿宋_GB2312" w:hAnsi="仿宋_GB2312" w:eastAsia="仿宋_GB2312"/>
          <w:b w:val="0"/>
          <w:sz w:val="32"/>
        </w:rPr>
        <w:t>1.教育支出(类)214.13万元,占99.37%。</w:t>
      </w:r>
    </w:p>
    <w:p w14:paraId="3710386E">
      <w:pPr>
        <w:spacing w:line="580" w:lineRule="exact"/>
        <w:ind w:firstLine="640"/>
        <w:jc w:val="both"/>
      </w:pPr>
      <w:r>
        <w:rPr>
          <w:rFonts w:ascii="仿宋_GB2312" w:hAnsi="仿宋_GB2312" w:eastAsia="仿宋_GB2312"/>
          <w:b w:val="0"/>
          <w:sz w:val="32"/>
        </w:rPr>
        <w:t>2.住房保障支出(类)1.36万元,占0.63%。</w:t>
      </w:r>
    </w:p>
    <w:p w14:paraId="6A6ECC90">
      <w:pPr>
        <w:spacing w:line="640" w:lineRule="exact"/>
        <w:ind w:firstLine="640"/>
        <w:jc w:val="both"/>
        <w:outlineLvl w:val="3"/>
      </w:pPr>
      <w:r>
        <w:rPr>
          <w:rFonts w:ascii="楷体_GB2312" w:hAnsi="楷体_GB2312" w:eastAsia="楷体_GB2312"/>
          <w:b/>
          <w:sz w:val="32"/>
        </w:rPr>
        <w:t>（三）一般公共预算财政拨款支出决算具体情况</w:t>
      </w:r>
    </w:p>
    <w:p w14:paraId="195B1788">
      <w:pPr>
        <w:spacing w:line="580" w:lineRule="exact"/>
        <w:ind w:firstLine="640"/>
        <w:jc w:val="both"/>
      </w:pPr>
      <w:r>
        <w:rPr>
          <w:rFonts w:ascii="仿宋_GB2312" w:hAnsi="仿宋_GB2312" w:eastAsia="仿宋_GB2312"/>
          <w:b w:val="0"/>
          <w:sz w:val="32"/>
        </w:rPr>
        <w:t>1.教育支出(类)普通教育(款)学前教育(项):支出决算数为209.96万元，比上年决算减少3.88万元，下降1.81%,主要原因是：本年减少2023年新疆西藏等地区教育特殊补助资金；本年功能科目调整，</w:t>
      </w:r>
      <w:r>
        <w:rPr>
          <w:rFonts w:hint="eastAsia" w:ascii="仿宋_GB2312" w:hAnsi="仿宋_GB2312" w:eastAsia="仿宋_GB2312"/>
          <w:b w:val="0"/>
          <w:sz w:val="32"/>
          <w:lang w:val="en-US" w:eastAsia="zh-CN"/>
        </w:rPr>
        <w:t>部分</w:t>
      </w:r>
      <w:bookmarkStart w:id="0" w:name="_GoBack"/>
      <w:bookmarkEnd w:id="0"/>
      <w:r>
        <w:rPr>
          <w:rFonts w:ascii="仿宋_GB2312" w:hAnsi="仿宋_GB2312" w:eastAsia="仿宋_GB2312"/>
          <w:b w:val="0"/>
          <w:sz w:val="32"/>
        </w:rPr>
        <w:t>住房公积金上年度在主科目列支，本年单独列支，导致经费较上年减少。</w:t>
      </w:r>
    </w:p>
    <w:p w14:paraId="0CE9D024">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2.教育支出(类)教育费附加安排的支出(款)其他教育费附加安排的支出(项):支出决算数为4.17万元，比上年决算增加3.67万元，增长734.00%,主要原因是：本年取暖费增加，导致经费较上年增加。</w:t>
      </w:r>
    </w:p>
    <w:p w14:paraId="6651AD20">
      <w:pPr>
        <w:spacing w:line="580" w:lineRule="exact"/>
        <w:ind w:firstLine="640"/>
        <w:jc w:val="both"/>
      </w:pPr>
      <w:r>
        <w:rPr>
          <w:rFonts w:ascii="仿宋_GB2312" w:hAnsi="仿宋_GB2312" w:eastAsia="仿宋_GB2312"/>
          <w:b w:val="0"/>
          <w:sz w:val="32"/>
        </w:rPr>
        <w:t>3.住房保障支出(类)住房改革支出(款)住房公积金(项):支出决算数为1.36万元，比上年决算增加1.36万元，增长100.00%,主要原因是：本年功能科目调整，</w:t>
      </w:r>
      <w:r>
        <w:rPr>
          <w:rFonts w:hint="eastAsia" w:ascii="仿宋_GB2312" w:hAnsi="仿宋_GB2312" w:eastAsia="仿宋_GB2312"/>
          <w:b w:val="0"/>
          <w:sz w:val="32"/>
          <w:lang w:val="en-US" w:eastAsia="zh-CN"/>
        </w:rPr>
        <w:t>部分</w:t>
      </w:r>
      <w:r>
        <w:rPr>
          <w:rFonts w:ascii="仿宋_GB2312" w:hAnsi="仿宋_GB2312" w:eastAsia="仿宋_GB2312"/>
          <w:b w:val="0"/>
          <w:sz w:val="32"/>
        </w:rPr>
        <w:t>住房公积金上年度在主科目列支，本年单独列支，导致经费较上年增加。</w:t>
      </w:r>
    </w:p>
    <w:p w14:paraId="2F13857D">
      <w:pPr>
        <w:spacing w:line="640" w:lineRule="exact"/>
        <w:ind w:firstLine="640"/>
        <w:jc w:val="both"/>
        <w:outlineLvl w:val="2"/>
      </w:pPr>
      <w:r>
        <w:rPr>
          <w:rFonts w:ascii="黑体" w:hAnsi="黑体" w:eastAsia="黑体"/>
          <w:sz w:val="32"/>
        </w:rPr>
        <w:t>六、一般公共预算财政拨款基本支出决算情况说明</w:t>
      </w:r>
    </w:p>
    <w:p w14:paraId="1F664368">
      <w:pPr>
        <w:spacing w:line="580" w:lineRule="exact"/>
        <w:ind w:firstLine="640"/>
        <w:jc w:val="both"/>
      </w:pPr>
      <w:r>
        <w:rPr>
          <w:rFonts w:ascii="仿宋_GB2312" w:hAnsi="仿宋_GB2312" w:eastAsia="仿宋_GB2312"/>
          <w:b w:val="0"/>
          <w:sz w:val="32"/>
        </w:rPr>
        <w:t>2024年度一般公共预算财政拨款基本支出186.58万元，其中：</w:t>
      </w:r>
      <w:r>
        <w:rPr>
          <w:rFonts w:ascii="仿宋_GB2312" w:hAnsi="仿宋_GB2312" w:eastAsia="仿宋_GB2312"/>
          <w:b/>
          <w:sz w:val="32"/>
        </w:rPr>
        <w:t>人员经费179.52万元，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w:t>
      </w:r>
    </w:p>
    <w:p w14:paraId="572181E1">
      <w:pPr>
        <w:spacing w:line="580" w:lineRule="exact"/>
        <w:ind w:firstLine="640"/>
        <w:jc w:val="both"/>
      </w:pPr>
      <w:r>
        <w:rPr>
          <w:rFonts w:ascii="仿宋_GB2312" w:hAnsi="仿宋_GB2312" w:eastAsia="仿宋_GB2312"/>
          <w:b/>
          <w:sz w:val="32"/>
        </w:rPr>
        <w:t>公用经费7.06万元，</w:t>
      </w:r>
      <w:r>
        <w:rPr>
          <w:rFonts w:ascii="仿宋_GB2312" w:hAnsi="仿宋_GB2312" w:eastAsia="仿宋_GB2312"/>
          <w:b w:val="0"/>
          <w:sz w:val="32"/>
        </w:rPr>
        <w:t>包括：取暖费、培训费、工会经费。</w:t>
      </w:r>
    </w:p>
    <w:p w14:paraId="4E49A29A">
      <w:pPr>
        <w:spacing w:line="640" w:lineRule="exact"/>
        <w:ind w:firstLine="640"/>
        <w:jc w:val="both"/>
        <w:outlineLvl w:val="2"/>
      </w:pPr>
      <w:r>
        <w:rPr>
          <w:rFonts w:ascii="黑体" w:hAnsi="黑体" w:eastAsia="黑体"/>
          <w:sz w:val="32"/>
        </w:rPr>
        <w:t>七、政府性基金预算财政拨款收入支出决算情况说明</w:t>
      </w:r>
    </w:p>
    <w:p w14:paraId="3A644F8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C3D1586">
      <w:pPr>
        <w:spacing w:line="640" w:lineRule="exact"/>
        <w:ind w:firstLine="640"/>
        <w:jc w:val="both"/>
        <w:outlineLvl w:val="2"/>
      </w:pPr>
      <w:r>
        <w:rPr>
          <w:rFonts w:ascii="黑体" w:hAnsi="黑体" w:eastAsia="黑体"/>
          <w:sz w:val="32"/>
        </w:rPr>
        <w:t>八、国有资本经营预算财政拨款收入支出决算情况说明</w:t>
      </w:r>
    </w:p>
    <w:p w14:paraId="6425483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E519235">
      <w:pPr>
        <w:spacing w:line="640" w:lineRule="exact"/>
        <w:ind w:firstLine="640"/>
        <w:jc w:val="both"/>
        <w:outlineLvl w:val="2"/>
      </w:pPr>
      <w:r>
        <w:rPr>
          <w:rFonts w:ascii="黑体" w:hAnsi="黑体" w:eastAsia="黑体"/>
          <w:sz w:val="32"/>
        </w:rPr>
        <w:t>九、财政拨款“三公”经费支出决算情况说明</w:t>
      </w:r>
    </w:p>
    <w:p w14:paraId="2AD72CA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A9161F8">
      <w:pPr>
        <w:spacing w:line="580" w:lineRule="exact"/>
        <w:ind w:firstLine="640"/>
        <w:jc w:val="both"/>
      </w:pPr>
      <w:r>
        <w:rPr>
          <w:rFonts w:ascii="仿宋_GB2312" w:hAnsi="仿宋_GB2312" w:eastAsia="仿宋_GB2312"/>
          <w:b/>
          <w:sz w:val="32"/>
        </w:rPr>
        <w:t>具体情况如下：</w:t>
      </w:r>
    </w:p>
    <w:p w14:paraId="20DADEC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8BDA6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01F1F0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37C294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3814F97">
      <w:pPr>
        <w:spacing w:line="640" w:lineRule="exact"/>
        <w:ind w:firstLine="640"/>
        <w:jc w:val="both"/>
        <w:outlineLvl w:val="2"/>
      </w:pPr>
      <w:r>
        <w:rPr>
          <w:rFonts w:ascii="黑体" w:hAnsi="黑体" w:eastAsia="黑体"/>
          <w:sz w:val="32"/>
        </w:rPr>
        <w:t>十、其他重要事项的情况说明</w:t>
      </w:r>
    </w:p>
    <w:p w14:paraId="32132B56">
      <w:pPr>
        <w:spacing w:line="640" w:lineRule="exact"/>
        <w:ind w:firstLine="640"/>
        <w:jc w:val="both"/>
        <w:outlineLvl w:val="3"/>
      </w:pPr>
      <w:r>
        <w:rPr>
          <w:rFonts w:ascii="楷体_GB2312" w:hAnsi="楷体_GB2312" w:eastAsia="楷体_GB2312"/>
          <w:b/>
          <w:sz w:val="32"/>
        </w:rPr>
        <w:t>（一）机关运行经费及公用经费支出情况</w:t>
      </w:r>
    </w:p>
    <w:p w14:paraId="4EEE1807">
      <w:pPr>
        <w:spacing w:line="580" w:lineRule="exact"/>
        <w:ind w:firstLine="640"/>
        <w:jc w:val="both"/>
      </w:pPr>
      <w:r>
        <w:rPr>
          <w:rFonts w:ascii="仿宋_GB2312" w:hAnsi="仿宋_GB2312" w:eastAsia="仿宋_GB2312"/>
          <w:b w:val="0"/>
          <w:sz w:val="32"/>
        </w:rPr>
        <w:t>2024年度吉木萨尔县第六幼儿园（事业单位）公用经费支出7.06万元，比上年增加4.33万元，增长158.61%，主要原因是：本年更新、维护补充办公用品，办公费、取暖费增加，导致公用经费较上年增加。</w:t>
      </w:r>
    </w:p>
    <w:p w14:paraId="64997F74">
      <w:pPr>
        <w:spacing w:line="640" w:lineRule="exact"/>
        <w:ind w:firstLine="640"/>
        <w:jc w:val="both"/>
        <w:outlineLvl w:val="3"/>
      </w:pPr>
      <w:r>
        <w:rPr>
          <w:rFonts w:ascii="楷体_GB2312" w:hAnsi="楷体_GB2312" w:eastAsia="楷体_GB2312"/>
          <w:b/>
          <w:sz w:val="32"/>
        </w:rPr>
        <w:t>（二）政府采购情况</w:t>
      </w:r>
    </w:p>
    <w:p w14:paraId="6768E2D5">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96111CB">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01BE30F">
      <w:pPr>
        <w:spacing w:line="640" w:lineRule="exact"/>
        <w:ind w:firstLine="640"/>
        <w:jc w:val="both"/>
        <w:outlineLvl w:val="3"/>
      </w:pPr>
      <w:r>
        <w:rPr>
          <w:rFonts w:ascii="楷体_GB2312" w:hAnsi="楷体_GB2312" w:eastAsia="楷体_GB2312"/>
          <w:b/>
          <w:sz w:val="32"/>
        </w:rPr>
        <w:t>（三）国有资产占用情况说明</w:t>
      </w:r>
    </w:p>
    <w:p w14:paraId="1852D5AA">
      <w:pPr>
        <w:spacing w:line="580" w:lineRule="exact"/>
        <w:ind w:firstLine="640"/>
        <w:jc w:val="both"/>
      </w:pPr>
      <w:r>
        <w:rPr>
          <w:rFonts w:ascii="仿宋_GB2312" w:hAnsi="仿宋_GB2312" w:eastAsia="仿宋_GB2312"/>
          <w:b w:val="0"/>
          <w:sz w:val="32"/>
        </w:rPr>
        <w:t>截至2024年12月31日，房屋2,422.97平方米，价值513.19万元。车辆0辆，价值0.00万元，其中：副部（省）级及以上领导用车0辆、主要负责人用车0辆、机要通信用车0辆、应急保障用车0辆、执法执勤用车0辆、特种专业技术用车0辆、离退休干部服务用车0辆、其他用车0辆，其他用车主要是：本单位无固定资产车辆。单价100万元（含）以上设备（不含车辆）0台（套）。</w:t>
      </w:r>
    </w:p>
    <w:p w14:paraId="63730FCF">
      <w:pPr>
        <w:spacing w:line="640" w:lineRule="exact"/>
        <w:ind w:firstLine="640"/>
        <w:jc w:val="both"/>
        <w:outlineLvl w:val="2"/>
      </w:pPr>
      <w:r>
        <w:rPr>
          <w:rFonts w:ascii="黑体" w:hAnsi="黑体" w:eastAsia="黑体"/>
          <w:sz w:val="32"/>
        </w:rPr>
        <w:t>十一、预算绩效的情况说明</w:t>
      </w:r>
    </w:p>
    <w:p w14:paraId="7F84867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230.70万元，实际执行总额216.47万元；预算绩效评价项目6个，全年预算数28.90万元，全年执行数28.90万元。预算绩效管理取得的成效：1.保障人员工资、社保、公积金等人员经费支出；2.普惠性幼儿园持续发展、巩固九年义务教育教学。通过以上工作的实施，学校各项办公经费得到保障，使学校正常运转，落实有关教育经费的法规政策，让国家优惠政策落实到每家每户，逐步提高受益群众的满意度。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w:t>
      </w:r>
    </w:p>
    <w:p w14:paraId="68E19FE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1D60F2">
        <w:tblPrEx>
          <w:tblCellMar>
            <w:top w:w="0" w:type="dxa"/>
            <w:left w:w="108" w:type="dxa"/>
            <w:bottom w:w="0" w:type="dxa"/>
            <w:right w:w="108" w:type="dxa"/>
          </w:tblCellMar>
        </w:tblPrEx>
        <w:tc>
          <w:tcPr>
            <w:tcW w:w="8847" w:type="dxa"/>
            <w:gridSpan w:val="9"/>
            <w:vAlign w:val="center"/>
          </w:tcPr>
          <w:p w14:paraId="3C2D347F">
            <w:pPr>
              <w:jc w:val="center"/>
            </w:pPr>
            <w:r>
              <w:rPr>
                <w:rFonts w:ascii="宋体" w:hAnsi="宋体" w:eastAsia="宋体"/>
                <w:sz w:val="24"/>
              </w:rPr>
              <w:t>单位整体支出绩效自评表</w:t>
            </w:r>
          </w:p>
        </w:tc>
      </w:tr>
      <w:tr w14:paraId="576E03A5">
        <w:tblPrEx>
          <w:tblCellMar>
            <w:top w:w="0" w:type="dxa"/>
            <w:left w:w="108" w:type="dxa"/>
            <w:bottom w:w="0" w:type="dxa"/>
            <w:right w:w="108" w:type="dxa"/>
          </w:tblCellMar>
        </w:tblPrEx>
        <w:tc>
          <w:tcPr>
            <w:tcW w:w="8847" w:type="dxa"/>
            <w:gridSpan w:val="9"/>
            <w:vAlign w:val="center"/>
          </w:tcPr>
          <w:p w14:paraId="6FED093D">
            <w:pPr>
              <w:jc w:val="center"/>
            </w:pPr>
            <w:r>
              <w:rPr>
                <w:rFonts w:ascii="宋体" w:hAnsi="宋体" w:eastAsia="宋体"/>
                <w:sz w:val="24"/>
              </w:rPr>
              <w:t>（2024年度）</w:t>
            </w:r>
          </w:p>
        </w:tc>
      </w:tr>
      <w:tr w14:paraId="05D186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A502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1E0729">
            <w:pPr>
              <w:jc w:val="center"/>
            </w:pPr>
            <w:r>
              <w:rPr>
                <w:rFonts w:ascii="宋体" w:hAnsi="宋体" w:eastAsia="宋体"/>
                <w:sz w:val="16"/>
              </w:rPr>
              <w:t>吉木萨尔县第六幼儿园</w:t>
            </w:r>
          </w:p>
        </w:tc>
      </w:tr>
      <w:tr w14:paraId="067BEE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34E6C">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9C57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4157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D7BD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5F3F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4AFA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4B40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77E3A">
            <w:pPr>
              <w:jc w:val="center"/>
            </w:pPr>
            <w:r>
              <w:rPr>
                <w:rFonts w:ascii="宋体" w:hAnsi="宋体" w:eastAsia="宋体"/>
                <w:sz w:val="16"/>
              </w:rPr>
              <w:t>得分</w:t>
            </w:r>
          </w:p>
        </w:tc>
      </w:tr>
      <w:tr w14:paraId="71D764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42B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12C0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D11E0">
            <w:pPr>
              <w:jc w:val="center"/>
            </w:pPr>
            <w:r>
              <w:rPr>
                <w:rFonts w:ascii="宋体" w:hAnsi="宋体" w:eastAsia="宋体"/>
                <w:sz w:val="16"/>
              </w:rPr>
              <w:t>33.91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70FDA">
            <w:pPr>
              <w:jc w:val="center"/>
            </w:pPr>
            <w:r>
              <w:rPr>
                <w:rFonts w:ascii="宋体" w:hAnsi="宋体" w:eastAsia="宋体"/>
                <w:sz w:val="16"/>
              </w:rPr>
              <w:t>14.01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ECE52">
            <w:pPr>
              <w:jc w:val="center"/>
            </w:pPr>
            <w:r>
              <w:rPr>
                <w:rFonts w:ascii="宋体" w:hAnsi="宋体" w:eastAsia="宋体"/>
                <w:sz w:val="16"/>
              </w:rPr>
              <w:t>14.01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7AE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B4C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F16CD">
            <w:pPr>
              <w:jc w:val="center"/>
            </w:pPr>
            <w:r>
              <w:rPr>
                <w:rFonts w:ascii="宋体" w:hAnsi="宋体" w:eastAsia="宋体"/>
                <w:sz w:val="16"/>
              </w:rPr>
              <w:t>-</w:t>
            </w:r>
          </w:p>
        </w:tc>
      </w:tr>
      <w:tr w14:paraId="31007D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806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49FD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37245">
            <w:pPr>
              <w:jc w:val="center"/>
            </w:pPr>
            <w:r>
              <w:rPr>
                <w:rFonts w:ascii="宋体" w:hAnsi="宋体" w:eastAsia="宋体"/>
                <w:sz w:val="16"/>
              </w:rPr>
              <w:t>191.78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422BF">
            <w:pPr>
              <w:jc w:val="center"/>
            </w:pPr>
            <w:r>
              <w:rPr>
                <w:rFonts w:ascii="宋体" w:hAnsi="宋体" w:eastAsia="宋体"/>
                <w:sz w:val="16"/>
              </w:rPr>
              <w:t>216.69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F006B">
            <w:pPr>
              <w:jc w:val="center"/>
            </w:pPr>
            <w:r>
              <w:rPr>
                <w:rFonts w:ascii="宋体" w:hAnsi="宋体" w:eastAsia="宋体"/>
                <w:sz w:val="16"/>
              </w:rPr>
              <w:t>202.46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38C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4AD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A62EF">
            <w:pPr>
              <w:jc w:val="center"/>
            </w:pPr>
            <w:r>
              <w:rPr>
                <w:rFonts w:ascii="宋体" w:hAnsi="宋体" w:eastAsia="宋体"/>
                <w:sz w:val="16"/>
              </w:rPr>
              <w:t>-</w:t>
            </w:r>
          </w:p>
        </w:tc>
      </w:tr>
      <w:tr w14:paraId="4CBCC8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FA9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670D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4E8FE">
            <w:pPr>
              <w:jc w:val="center"/>
            </w:pPr>
            <w:r>
              <w:rPr>
                <w:rFonts w:ascii="宋体" w:hAnsi="宋体" w:eastAsia="宋体"/>
                <w:sz w:val="16"/>
              </w:rPr>
              <w:t>1.48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62C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BB3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CC1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1F3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1E590">
            <w:pPr>
              <w:jc w:val="center"/>
            </w:pPr>
            <w:r>
              <w:rPr>
                <w:rFonts w:ascii="宋体" w:hAnsi="宋体" w:eastAsia="宋体"/>
                <w:sz w:val="16"/>
              </w:rPr>
              <w:t>-</w:t>
            </w:r>
          </w:p>
        </w:tc>
      </w:tr>
      <w:tr w14:paraId="2FEE0D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0F8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3BBD2">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FE39E">
            <w:pPr>
              <w:jc w:val="center"/>
            </w:pPr>
            <w:r>
              <w:rPr>
                <w:rFonts w:ascii="宋体" w:hAnsi="宋体" w:eastAsia="宋体"/>
                <w:sz w:val="16"/>
              </w:rPr>
              <w:t>227.17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EE2D9">
            <w:pPr>
              <w:jc w:val="center"/>
            </w:pPr>
            <w:r>
              <w:rPr>
                <w:rFonts w:ascii="宋体" w:hAnsi="宋体" w:eastAsia="宋体"/>
                <w:sz w:val="16"/>
              </w:rPr>
              <w:t>230.70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E4901">
            <w:pPr>
              <w:jc w:val="center"/>
            </w:pPr>
            <w:r>
              <w:rPr>
                <w:rFonts w:ascii="宋体" w:hAnsi="宋体" w:eastAsia="宋体"/>
                <w:sz w:val="16"/>
              </w:rPr>
              <w:t>216.47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668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926D4">
            <w:pPr>
              <w:jc w:val="center"/>
            </w:pPr>
            <w:r>
              <w:rPr>
                <w:rFonts w:ascii="宋体" w:hAnsi="宋体" w:eastAsia="宋体"/>
                <w:sz w:val="16"/>
              </w:rPr>
              <w:t>93.83%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DE35B">
            <w:pPr>
              <w:jc w:val="center"/>
            </w:pPr>
            <w:r>
              <w:rPr>
                <w:rFonts w:ascii="宋体" w:hAnsi="宋体" w:eastAsia="宋体"/>
                <w:sz w:val="16"/>
              </w:rPr>
              <w:t>9.38</w:t>
            </w:r>
          </w:p>
        </w:tc>
      </w:tr>
      <w:tr w14:paraId="3A0F7C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8B73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ABA2A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F05652">
            <w:pPr>
              <w:jc w:val="center"/>
            </w:pPr>
            <w:r>
              <w:rPr>
                <w:rFonts w:ascii="宋体" w:hAnsi="宋体" w:eastAsia="宋体"/>
                <w:sz w:val="16"/>
              </w:rPr>
              <w:t>实际完成情况</w:t>
            </w:r>
          </w:p>
        </w:tc>
      </w:tr>
      <w:tr w14:paraId="6152F0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272B8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3A0F93">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，落实有关教育经费的法规政策，普惠性幼儿园覆盖率达到100%，学前三年毛入园率达到90%，让国家优惠政策落实到每家每户，逐步提高乡镇师生的满意度。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AF0A98">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全年预算数为230.70万元，全年执行数为216.46万元，2024年</w:t>
            </w:r>
            <w:r>
              <w:rPr>
                <w:rFonts w:hint="eastAsia" w:ascii="宋体" w:hAnsi="宋体"/>
                <w:sz w:val="16"/>
                <w:lang w:eastAsia="zh-CN"/>
              </w:rPr>
              <w:t>本单位</w:t>
            </w:r>
            <w:r>
              <w:rPr>
                <w:rFonts w:ascii="宋体" w:hAnsi="宋体" w:eastAsia="宋体"/>
                <w:sz w:val="16"/>
              </w:rPr>
              <w:t>完成以下工作内容：1.保障人员工资、社保、公积金等人员经费支出；2.普惠性幼儿园持续发展、巩固九年义务教育教学。通过以上工作的实施，学校各项办公经费得到保障，使学校正常运转，落实有关教育经费的法规政策，让国家优惠政策落实到每家每户，逐步提高受益群众的满意度。</w:t>
            </w:r>
          </w:p>
        </w:tc>
      </w:tr>
      <w:tr w14:paraId="3B6628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BCBE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BFA9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99CE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50BD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19E8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0D5C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ABDFC">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0169A">
            <w:pPr>
              <w:jc w:val="center"/>
            </w:pPr>
            <w:r>
              <w:rPr>
                <w:rFonts w:ascii="宋体" w:hAnsi="宋体" w:eastAsia="宋体"/>
                <w:sz w:val="16"/>
              </w:rPr>
              <w:t>得分</w:t>
            </w:r>
          </w:p>
        </w:tc>
      </w:tr>
      <w:tr w14:paraId="094AC8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8A2CC">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91DB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9F2B5">
            <w:pPr>
              <w:jc w:val="center"/>
            </w:pPr>
            <w:r>
              <w:rPr>
                <w:rFonts w:ascii="宋体" w:hAnsi="宋体" w:eastAsia="宋体"/>
                <w:sz w:val="16"/>
              </w:rPr>
              <w:t>幼儿入园人数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33D09">
            <w:pPr>
              <w:jc w:val="center"/>
            </w:pPr>
            <w:r>
              <w:rPr>
                <w:rFonts w:ascii="宋体" w:hAnsi="宋体" w:eastAsia="宋体"/>
                <w:sz w:val="16"/>
              </w:rPr>
              <w:t>&lt;=93人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9B0D5">
            <w:pPr>
              <w:jc w:val="center"/>
            </w:pPr>
            <w:r>
              <w:rPr>
                <w:rFonts w:ascii="宋体" w:hAnsi="宋体" w:eastAsia="宋体"/>
                <w:sz w:val="16"/>
              </w:rPr>
              <w:t>2023年经费年报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83F9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EF9BD">
            <w:pPr>
              <w:jc w:val="center"/>
            </w:pPr>
            <w:r>
              <w:rPr>
                <w:rFonts w:ascii="宋体" w:hAnsi="宋体" w:eastAsia="宋体"/>
                <w:sz w:val="16"/>
              </w:rPr>
              <w:t>=61人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EAE47">
            <w:pPr>
              <w:jc w:val="center"/>
            </w:pPr>
            <w:r>
              <w:rPr>
                <w:rFonts w:ascii="宋体" w:hAnsi="宋体" w:eastAsia="宋体"/>
                <w:sz w:val="16"/>
              </w:rPr>
              <w:t>9.84</w:t>
            </w:r>
          </w:p>
        </w:tc>
      </w:tr>
      <w:tr w14:paraId="14B2AE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D8F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CB8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D4EDD">
            <w:pPr>
              <w:jc w:val="center"/>
            </w:pPr>
            <w:r>
              <w:rPr>
                <w:rFonts w:ascii="宋体" w:hAnsi="宋体" w:eastAsia="宋体"/>
                <w:sz w:val="16"/>
              </w:rPr>
              <w:t>教职工人数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0F2F3">
            <w:pPr>
              <w:jc w:val="center"/>
            </w:pPr>
            <w:r>
              <w:rPr>
                <w:rFonts w:ascii="宋体" w:hAnsi="宋体" w:eastAsia="宋体"/>
                <w:sz w:val="16"/>
              </w:rPr>
              <w:t>&lt;=17人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93AC0">
            <w:pPr>
              <w:jc w:val="center"/>
            </w:pPr>
            <w:r>
              <w:rPr>
                <w:rFonts w:ascii="宋体" w:hAnsi="宋体" w:eastAsia="宋体"/>
                <w:sz w:val="16"/>
              </w:rPr>
              <w:t>2023年经费年报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4E97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50B1D">
            <w:pPr>
              <w:jc w:val="center"/>
            </w:pPr>
            <w:r>
              <w:rPr>
                <w:rFonts w:ascii="宋体" w:hAnsi="宋体" w:eastAsia="宋体"/>
                <w:sz w:val="16"/>
              </w:rPr>
              <w: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C47A0">
            <w:pPr>
              <w:jc w:val="center"/>
            </w:pPr>
            <w:r>
              <w:rPr>
                <w:rFonts w:ascii="宋体" w:hAnsi="宋体" w:eastAsia="宋体"/>
                <w:sz w:val="16"/>
              </w:rPr>
              <w:t>14.12</w:t>
            </w:r>
          </w:p>
        </w:tc>
      </w:tr>
      <w:tr w14:paraId="02631C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8758B">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CD5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6F395">
            <w:pPr>
              <w:jc w:val="center"/>
            </w:pPr>
            <w:r>
              <w:rPr>
                <w:rFonts w:ascii="宋体" w:hAnsi="宋体" w:eastAsia="宋体"/>
                <w:sz w:val="16"/>
              </w:rPr>
              <w:t>安全隐患排查次数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7E732">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0DC9A">
            <w:pPr>
              <w:jc w:val="center"/>
            </w:pPr>
            <w:r>
              <w:rPr>
                <w:rFonts w:ascii="宋体" w:hAnsi="宋体" w:eastAsia="宋体"/>
                <w:sz w:val="16"/>
              </w:rPr>
              <w:t>2023年第六幼儿园工作总结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59A76">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BF7D6">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2697">
            <w:pPr>
              <w:jc w:val="center"/>
            </w:pPr>
            <w:r>
              <w:rPr>
                <w:rFonts w:ascii="宋体" w:hAnsi="宋体" w:eastAsia="宋体"/>
                <w:sz w:val="16"/>
              </w:rPr>
              <w:t>14</w:t>
            </w:r>
          </w:p>
        </w:tc>
      </w:tr>
      <w:tr w14:paraId="13D0FE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5B7A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6F8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88BA6">
            <w:pPr>
              <w:jc w:val="center"/>
            </w:pPr>
            <w:r>
              <w:rPr>
                <w:rFonts w:ascii="宋体" w:hAnsi="宋体" w:eastAsia="宋体"/>
                <w:sz w:val="16"/>
              </w:rPr>
              <w:t>开展主题活动次数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7B40D">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D0C1B">
            <w:pPr>
              <w:jc w:val="center"/>
            </w:pPr>
            <w:r>
              <w:rPr>
                <w:rFonts w:ascii="宋体" w:hAnsi="宋体" w:eastAsia="宋体"/>
                <w:sz w:val="16"/>
              </w:rPr>
              <w:t>2023年第六幼儿园工作总结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8B7E8">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A8D62">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B078D">
            <w:pPr>
              <w:jc w:val="center"/>
            </w:pPr>
            <w:r>
              <w:rPr>
                <w:rFonts w:ascii="宋体" w:hAnsi="宋体" w:eastAsia="宋体"/>
                <w:sz w:val="16"/>
              </w:rPr>
              <w:t>13</w:t>
            </w:r>
          </w:p>
        </w:tc>
      </w:tr>
      <w:tr w14:paraId="40BB2C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DCC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70FA4">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2C888">
            <w:pPr>
              <w:jc w:val="center"/>
            </w:pPr>
            <w:r>
              <w:rPr>
                <w:rFonts w:ascii="宋体" w:hAnsi="宋体" w:eastAsia="宋体"/>
                <w:sz w:val="16"/>
              </w:rPr>
              <w:t>幼儿体检合格率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395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A6B77">
            <w:pPr>
              <w:jc w:val="center"/>
            </w:pPr>
            <w:r>
              <w:rPr>
                <w:rFonts w:ascii="宋体" w:hAnsi="宋体" w:eastAsia="宋体"/>
                <w:sz w:val="16"/>
              </w:rPr>
              <w:t>2023年第六幼儿园工作总结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63428">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0FC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22E0C">
            <w:pPr>
              <w:jc w:val="center"/>
            </w:pPr>
            <w:r>
              <w:rPr>
                <w:rFonts w:ascii="宋体" w:hAnsi="宋体" w:eastAsia="宋体"/>
                <w:sz w:val="16"/>
              </w:rPr>
              <w:t>16</w:t>
            </w:r>
          </w:p>
        </w:tc>
      </w:tr>
      <w:tr w14:paraId="6E2174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1A3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887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4E89E">
            <w:pPr>
              <w:jc w:val="center"/>
            </w:pPr>
            <w:r>
              <w:rPr>
                <w:rFonts w:ascii="宋体" w:hAnsi="宋体" w:eastAsia="宋体"/>
                <w:sz w:val="16"/>
              </w:rPr>
              <w:t>幼儿教学任务完成率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00C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BCA72">
            <w:pPr>
              <w:jc w:val="center"/>
            </w:pPr>
            <w:r>
              <w:rPr>
                <w:rFonts w:ascii="宋体" w:hAnsi="宋体" w:eastAsia="宋体"/>
                <w:sz w:val="16"/>
              </w:rPr>
              <w:t>2023年第六幼儿园工作总结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B697E">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C55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E9874">
            <w:pPr>
              <w:jc w:val="center"/>
            </w:pPr>
            <w:r>
              <w:rPr>
                <w:rFonts w:ascii="宋体" w:hAnsi="宋体" w:eastAsia="宋体"/>
                <w:sz w:val="16"/>
              </w:rPr>
              <w:t>17</w:t>
            </w:r>
          </w:p>
        </w:tc>
      </w:tr>
    </w:tbl>
    <w:p w14:paraId="3C4272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4791756">
        <w:tblPrEx>
          <w:tblCellMar>
            <w:top w:w="0" w:type="dxa"/>
            <w:left w:w="108" w:type="dxa"/>
            <w:bottom w:w="0" w:type="dxa"/>
            <w:right w:w="108" w:type="dxa"/>
          </w:tblCellMar>
        </w:tblPrEx>
        <w:tc>
          <w:tcPr>
            <w:tcW w:w="8848" w:type="dxa"/>
            <w:gridSpan w:val="14"/>
            <w:vAlign w:val="center"/>
          </w:tcPr>
          <w:p w14:paraId="502BABCC">
            <w:pPr>
              <w:jc w:val="center"/>
            </w:pPr>
            <w:r>
              <w:rPr>
                <w:rFonts w:ascii="宋体" w:hAnsi="宋体" w:eastAsia="宋体"/>
                <w:sz w:val="24"/>
              </w:rPr>
              <w:t>项目支出绩效自评表</w:t>
            </w:r>
          </w:p>
        </w:tc>
      </w:tr>
      <w:tr w14:paraId="2B8678E5">
        <w:tblPrEx>
          <w:tblCellMar>
            <w:top w:w="0" w:type="dxa"/>
            <w:left w:w="108" w:type="dxa"/>
            <w:bottom w:w="0" w:type="dxa"/>
            <w:right w:w="108" w:type="dxa"/>
          </w:tblCellMar>
        </w:tblPrEx>
        <w:tc>
          <w:tcPr>
            <w:tcW w:w="8848" w:type="dxa"/>
            <w:gridSpan w:val="14"/>
            <w:vAlign w:val="center"/>
          </w:tcPr>
          <w:p w14:paraId="5BDF9A43">
            <w:pPr>
              <w:jc w:val="center"/>
            </w:pPr>
            <w:r>
              <w:rPr>
                <w:rFonts w:ascii="宋体" w:hAnsi="宋体" w:eastAsia="宋体"/>
                <w:sz w:val="24"/>
              </w:rPr>
              <w:t>(2024年度)</w:t>
            </w:r>
          </w:p>
        </w:tc>
      </w:tr>
      <w:tr w14:paraId="758B7D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1A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8B5383">
            <w:pPr>
              <w:jc w:val="center"/>
            </w:pPr>
            <w:r>
              <w:rPr>
                <w:rFonts w:ascii="宋体" w:hAnsi="宋体" w:eastAsia="宋体"/>
                <w:sz w:val="16"/>
              </w:rPr>
              <w:t>2024年昌吉州教育项目州本级配套资金的通知（教师体检补助）</w:t>
            </w:r>
          </w:p>
        </w:tc>
      </w:tr>
      <w:tr w14:paraId="27D208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74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D1268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E4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0A27A8">
            <w:pPr>
              <w:jc w:val="center"/>
            </w:pPr>
            <w:r>
              <w:rPr>
                <w:rFonts w:ascii="宋体" w:hAnsi="宋体" w:eastAsia="宋体"/>
                <w:sz w:val="16"/>
              </w:rPr>
              <w:t>吉木萨尔县第六幼儿园</w:t>
            </w:r>
          </w:p>
        </w:tc>
      </w:tr>
      <w:tr w14:paraId="1568B2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9ECF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093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E3A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7E9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36F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A47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C3A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111D">
            <w:pPr>
              <w:jc w:val="center"/>
            </w:pPr>
            <w:r>
              <w:rPr>
                <w:rFonts w:ascii="宋体" w:hAnsi="宋体" w:eastAsia="宋体"/>
                <w:sz w:val="16"/>
              </w:rPr>
              <w:t>得分</w:t>
            </w:r>
          </w:p>
        </w:tc>
      </w:tr>
      <w:tr w14:paraId="69B0B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31C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461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A5344">
            <w:pPr>
              <w:jc w:val="center"/>
            </w:pPr>
            <w:r>
              <w:rPr>
                <w:rFonts w:ascii="宋体" w:hAnsi="宋体" w:eastAsia="宋体"/>
                <w:sz w:val="16"/>
              </w:rPr>
              <w:t>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FBA3">
            <w:pPr>
              <w:jc w:val="center"/>
            </w:pPr>
            <w:r>
              <w:rPr>
                <w:rFonts w:ascii="宋体" w:hAnsi="宋体" w:eastAsia="宋体"/>
                <w:sz w:val="16"/>
              </w:rPr>
              <w:t>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459CF">
            <w:pPr>
              <w:jc w:val="center"/>
            </w:pPr>
            <w:r>
              <w:rPr>
                <w:rFonts w:ascii="宋体" w:hAnsi="宋体" w:eastAsia="宋体"/>
                <w:sz w:val="16"/>
              </w:rPr>
              <w:t>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05C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842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39FB">
            <w:pPr>
              <w:jc w:val="center"/>
            </w:pPr>
            <w:r>
              <w:rPr>
                <w:rFonts w:ascii="宋体" w:hAnsi="宋体" w:eastAsia="宋体"/>
                <w:sz w:val="16"/>
              </w:rPr>
              <w:t>10.00</w:t>
            </w:r>
          </w:p>
        </w:tc>
      </w:tr>
      <w:tr w14:paraId="1FFAF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441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AF3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BAF1A">
            <w:pPr>
              <w:jc w:val="center"/>
            </w:pPr>
            <w:r>
              <w:rPr>
                <w:rFonts w:ascii="宋体" w:hAnsi="宋体" w:eastAsia="宋体"/>
                <w:sz w:val="16"/>
              </w:rPr>
              <w:t>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AE95A">
            <w:pPr>
              <w:jc w:val="center"/>
            </w:pPr>
            <w:r>
              <w:rPr>
                <w:rFonts w:ascii="宋体" w:hAnsi="宋体" w:eastAsia="宋体"/>
                <w:sz w:val="16"/>
              </w:rPr>
              <w:t>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14D29">
            <w:pPr>
              <w:jc w:val="center"/>
            </w:pPr>
            <w:r>
              <w:rPr>
                <w:rFonts w:ascii="宋体" w:hAnsi="宋体" w:eastAsia="宋体"/>
                <w:sz w:val="16"/>
              </w:rPr>
              <w:t>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D01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39B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E908">
            <w:pPr>
              <w:jc w:val="center"/>
            </w:pPr>
            <w:r>
              <w:rPr>
                <w:rFonts w:ascii="宋体" w:hAnsi="宋体" w:eastAsia="宋体"/>
                <w:sz w:val="16"/>
              </w:rPr>
              <w:t>—</w:t>
            </w:r>
          </w:p>
        </w:tc>
      </w:tr>
      <w:tr w14:paraId="30937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51C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DF7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601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C42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2C7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CD5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BB6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AB7C">
            <w:pPr>
              <w:jc w:val="center"/>
            </w:pPr>
            <w:r>
              <w:rPr>
                <w:rFonts w:ascii="宋体" w:hAnsi="宋体" w:eastAsia="宋体"/>
                <w:sz w:val="16"/>
              </w:rPr>
              <w:t>—</w:t>
            </w:r>
          </w:p>
        </w:tc>
      </w:tr>
      <w:tr w14:paraId="3F8B64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D78B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DA7B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B2A00A">
            <w:pPr>
              <w:jc w:val="center"/>
            </w:pPr>
            <w:r>
              <w:rPr>
                <w:rFonts w:ascii="宋体" w:hAnsi="宋体" w:eastAsia="宋体"/>
                <w:sz w:val="16"/>
              </w:rPr>
              <w:t>实际完成情况</w:t>
            </w:r>
          </w:p>
        </w:tc>
      </w:tr>
      <w:tr w14:paraId="62567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215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4719E">
            <w:pPr>
              <w:jc w:val="both"/>
            </w:pPr>
            <w:r>
              <w:rPr>
                <w:rFonts w:ascii="宋体" w:hAnsi="宋体" w:eastAsia="宋体"/>
                <w:sz w:val="16"/>
              </w:rPr>
              <w:t>本项目主要实施内容为：根据州党委第七十七次会议“将全州女教师两癌筛查纳入体检项目”精神，自治州教职工健康体检经费自2024年起纳入州财政年度预算予以保障，按照500元/人的补助标准测算，共计拨付0.8万元，对我校教职员工开展健康体检，有效改善教师身体健康状况。待项目实施完成，争取使教师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2BA1F6">
            <w:pPr>
              <w:jc w:val="both"/>
            </w:pPr>
            <w:r>
              <w:rPr>
                <w:rFonts w:hint="eastAsia" w:ascii="宋体" w:hAnsi="宋体"/>
                <w:sz w:val="16"/>
                <w:lang w:eastAsia="zh-CN"/>
              </w:rPr>
              <w:t>截至2024</w:t>
            </w:r>
            <w:r>
              <w:rPr>
                <w:rFonts w:ascii="宋体" w:hAnsi="宋体" w:eastAsia="宋体"/>
                <w:sz w:val="16"/>
              </w:rPr>
              <w:t>年12月31日，本项目实际支出资金0.8万元，预算执行率为100%，通过实施本项目使我校16名教师得到体检，实现教师体检全覆盖目标，在有效的体检检查下预防疾病，提升教师的健康水平。</w:t>
            </w:r>
          </w:p>
        </w:tc>
      </w:tr>
      <w:tr w14:paraId="5EC46E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AA3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44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19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5A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77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EB4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3CE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4B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CBE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95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FD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51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BF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0029">
            <w:pPr>
              <w:jc w:val="center"/>
            </w:pPr>
            <w:r>
              <w:rPr>
                <w:rFonts w:ascii="宋体" w:hAnsi="宋体" w:eastAsia="宋体"/>
                <w:sz w:val="16"/>
              </w:rPr>
              <w:t>偏差原因分析及改进措施</w:t>
            </w:r>
          </w:p>
        </w:tc>
      </w:tr>
      <w:tr w14:paraId="6A24AF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E36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B83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CF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E9BB">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BD84">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DF63">
            <w:pPr>
              <w:jc w:val="center"/>
            </w:pPr>
            <w:r>
              <w:rPr>
                <w:rFonts w:ascii="宋体" w:hAnsi="宋体" w:eastAsia="宋体"/>
                <w:sz w:val="16"/>
              </w:rPr>
              <w:t>&lt;=16人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3085">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F7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861A">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D6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DE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93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6A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C801">
            <w:pPr>
              <w:jc w:val="center"/>
            </w:pPr>
          </w:p>
        </w:tc>
      </w:tr>
      <w:tr w14:paraId="38AE6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E7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07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96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6B26">
            <w:pPr>
              <w:jc w:val="center"/>
            </w:pPr>
            <w:r>
              <w:rPr>
                <w:rFonts w:ascii="宋体" w:hAnsi="宋体" w:eastAsia="宋体"/>
                <w:sz w:val="16"/>
              </w:rPr>
              <w:t>教职工体检覆盖率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3AA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A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C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9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E64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A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21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9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C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F5B5">
            <w:pPr>
              <w:jc w:val="center"/>
            </w:pPr>
          </w:p>
        </w:tc>
      </w:tr>
      <w:tr w14:paraId="6680A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DC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EAE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86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24D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66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6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E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E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AC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2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B2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A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81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04FE">
            <w:pPr>
              <w:jc w:val="center"/>
            </w:pPr>
          </w:p>
        </w:tc>
      </w:tr>
      <w:tr w14:paraId="3AF40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297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B3D8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761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4211">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BE1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9083">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7D7C">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4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9F6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6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2F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34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543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10B6">
            <w:pPr>
              <w:jc w:val="center"/>
            </w:pPr>
          </w:p>
        </w:tc>
      </w:tr>
      <w:tr w14:paraId="12D31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DD1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96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6F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DB94">
            <w:pPr>
              <w:jc w:val="center"/>
            </w:pPr>
            <w:r>
              <w:rPr>
                <w:rFonts w:ascii="宋体" w:hAnsi="宋体" w:eastAsia="宋体"/>
                <w:sz w:val="16"/>
              </w:rPr>
              <w:t>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69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D3BE">
            <w:pPr>
              <w:jc w:val="center"/>
            </w:pPr>
            <w:r>
              <w:rPr>
                <w:rFonts w:ascii="宋体" w:hAnsi="宋体" w:eastAsia="宋体"/>
                <w:sz w:val="16"/>
              </w:rPr>
              <w:t>&lt;=500人/元/年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600D">
            <w:pPr>
              <w:jc w:val="center"/>
            </w:pPr>
            <w:r>
              <w:rPr>
                <w:rFonts w:ascii="宋体" w:hAnsi="宋体" w:eastAsia="宋体"/>
                <w:sz w:val="16"/>
              </w:rPr>
              <w:t>=500人/元/年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2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1A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C2D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F4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02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0F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EFCA">
            <w:pPr>
              <w:jc w:val="center"/>
            </w:pPr>
          </w:p>
        </w:tc>
      </w:tr>
      <w:tr w14:paraId="423F5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42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14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1C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8E6B">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F1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E5C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0FC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3B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24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F48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8C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C7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5F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5387">
            <w:pPr>
              <w:jc w:val="center"/>
            </w:pPr>
          </w:p>
        </w:tc>
      </w:tr>
      <w:tr w14:paraId="49CAD8C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D7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04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E8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6BD6">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0C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CFC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9D3A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5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E5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3BC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1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83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58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C4D2">
            <w:pPr>
              <w:jc w:val="center"/>
            </w:pPr>
          </w:p>
        </w:tc>
      </w:tr>
      <w:tr w14:paraId="073E60A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70AF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A3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D125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B7EE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4BD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0CA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F55E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2173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F2BF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4328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6588E3"/>
        </w:tc>
      </w:tr>
    </w:tbl>
    <w:p w14:paraId="059244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32"/>
      </w:tblGrid>
      <w:tr w14:paraId="6AB25E02">
        <w:tblPrEx>
          <w:tblCellMar>
            <w:top w:w="0" w:type="dxa"/>
            <w:left w:w="108" w:type="dxa"/>
            <w:bottom w:w="0" w:type="dxa"/>
            <w:right w:w="108" w:type="dxa"/>
          </w:tblCellMar>
        </w:tblPrEx>
        <w:tc>
          <w:tcPr>
            <w:tcW w:w="8848" w:type="dxa"/>
            <w:gridSpan w:val="14"/>
            <w:vAlign w:val="center"/>
          </w:tcPr>
          <w:p w14:paraId="085622FC">
            <w:pPr>
              <w:jc w:val="center"/>
            </w:pPr>
            <w:r>
              <w:rPr>
                <w:rFonts w:ascii="宋体" w:hAnsi="宋体" w:eastAsia="宋体"/>
                <w:sz w:val="24"/>
              </w:rPr>
              <w:t>项目支出绩效自评表</w:t>
            </w:r>
          </w:p>
        </w:tc>
      </w:tr>
      <w:tr w14:paraId="48E0865B">
        <w:tblPrEx>
          <w:tblCellMar>
            <w:top w:w="0" w:type="dxa"/>
            <w:left w:w="108" w:type="dxa"/>
            <w:bottom w:w="0" w:type="dxa"/>
            <w:right w:w="108" w:type="dxa"/>
          </w:tblCellMar>
        </w:tblPrEx>
        <w:tc>
          <w:tcPr>
            <w:tcW w:w="8848" w:type="dxa"/>
            <w:gridSpan w:val="14"/>
            <w:vAlign w:val="center"/>
          </w:tcPr>
          <w:p w14:paraId="41A1FC21">
            <w:pPr>
              <w:jc w:val="center"/>
            </w:pPr>
            <w:r>
              <w:rPr>
                <w:rFonts w:ascii="宋体" w:hAnsi="宋体" w:eastAsia="宋体"/>
                <w:sz w:val="24"/>
              </w:rPr>
              <w:t>(2024年度)</w:t>
            </w:r>
          </w:p>
        </w:tc>
      </w:tr>
      <w:tr w14:paraId="2AC831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3D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39D28E">
            <w:pPr>
              <w:jc w:val="center"/>
            </w:pPr>
            <w:r>
              <w:rPr>
                <w:rFonts w:ascii="宋体" w:hAnsi="宋体" w:eastAsia="宋体"/>
                <w:sz w:val="16"/>
              </w:rPr>
              <w:t>六幼-2024年县级配套学前三年保障资金（伙食费）</w:t>
            </w:r>
          </w:p>
        </w:tc>
      </w:tr>
      <w:tr w14:paraId="5C38CB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88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9513B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F3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F21A6">
            <w:pPr>
              <w:jc w:val="center"/>
            </w:pPr>
            <w:r>
              <w:rPr>
                <w:rFonts w:ascii="宋体" w:hAnsi="宋体" w:eastAsia="宋体"/>
                <w:sz w:val="16"/>
              </w:rPr>
              <w:t>吉木萨尔县第六幼儿园</w:t>
            </w:r>
          </w:p>
        </w:tc>
      </w:tr>
      <w:tr w14:paraId="4E731A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A03D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FA3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1B3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112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B95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7A3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111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A891">
            <w:pPr>
              <w:jc w:val="center"/>
            </w:pPr>
            <w:r>
              <w:rPr>
                <w:rFonts w:ascii="宋体" w:hAnsi="宋体" w:eastAsia="宋体"/>
                <w:sz w:val="16"/>
              </w:rPr>
              <w:t>得分</w:t>
            </w:r>
          </w:p>
        </w:tc>
      </w:tr>
      <w:tr w14:paraId="64669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D5C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821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2BBF4">
            <w:pPr>
              <w:jc w:val="center"/>
            </w:pPr>
            <w:r>
              <w:rPr>
                <w:rFonts w:ascii="宋体" w:hAnsi="宋体" w:eastAsia="宋体"/>
                <w:sz w:val="16"/>
              </w:rPr>
              <w:t>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9F491">
            <w:pPr>
              <w:jc w:val="center"/>
            </w:pPr>
            <w:r>
              <w:rPr>
                <w:rFonts w:ascii="宋体" w:hAnsi="宋体" w:eastAsia="宋体"/>
                <w:sz w:val="16"/>
              </w:rPr>
              <w:t>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C0A43">
            <w:pPr>
              <w:jc w:val="center"/>
            </w:pPr>
            <w:r>
              <w:rPr>
                <w:rFonts w:ascii="宋体" w:hAnsi="宋体" w:eastAsia="宋体"/>
                <w:sz w:val="16"/>
              </w:rPr>
              <w:t>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F84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645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49E3">
            <w:pPr>
              <w:jc w:val="center"/>
            </w:pPr>
            <w:r>
              <w:rPr>
                <w:rFonts w:ascii="宋体" w:hAnsi="宋体" w:eastAsia="宋体"/>
                <w:sz w:val="16"/>
              </w:rPr>
              <w:t>10.00</w:t>
            </w:r>
          </w:p>
        </w:tc>
      </w:tr>
      <w:tr w14:paraId="3C4D6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41C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223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F3835">
            <w:pPr>
              <w:jc w:val="center"/>
            </w:pPr>
            <w:r>
              <w:rPr>
                <w:rFonts w:ascii="宋体" w:hAnsi="宋体" w:eastAsia="宋体"/>
                <w:sz w:val="16"/>
              </w:rPr>
              <w:t>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B129A">
            <w:pPr>
              <w:jc w:val="center"/>
            </w:pPr>
            <w:r>
              <w:rPr>
                <w:rFonts w:ascii="宋体" w:hAnsi="宋体" w:eastAsia="宋体"/>
                <w:sz w:val="16"/>
              </w:rPr>
              <w:t>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B336B">
            <w:pPr>
              <w:jc w:val="center"/>
            </w:pPr>
            <w:r>
              <w:rPr>
                <w:rFonts w:ascii="宋体" w:hAnsi="宋体" w:eastAsia="宋体"/>
                <w:sz w:val="16"/>
              </w:rPr>
              <w:t>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24B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175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8093">
            <w:pPr>
              <w:jc w:val="center"/>
            </w:pPr>
            <w:r>
              <w:rPr>
                <w:rFonts w:ascii="宋体" w:hAnsi="宋体" w:eastAsia="宋体"/>
                <w:sz w:val="16"/>
              </w:rPr>
              <w:t>—</w:t>
            </w:r>
          </w:p>
        </w:tc>
      </w:tr>
      <w:tr w14:paraId="07D5E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741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6C1B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42A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81C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6A0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74E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91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DCFC">
            <w:pPr>
              <w:jc w:val="center"/>
            </w:pPr>
            <w:r>
              <w:rPr>
                <w:rFonts w:ascii="宋体" w:hAnsi="宋体" w:eastAsia="宋体"/>
                <w:sz w:val="16"/>
              </w:rPr>
              <w:t>—</w:t>
            </w:r>
          </w:p>
        </w:tc>
      </w:tr>
      <w:tr w14:paraId="28F3D7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6814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A63C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A551EF">
            <w:pPr>
              <w:jc w:val="center"/>
            </w:pPr>
            <w:r>
              <w:rPr>
                <w:rFonts w:ascii="宋体" w:hAnsi="宋体" w:eastAsia="宋体"/>
                <w:sz w:val="16"/>
              </w:rPr>
              <w:t>实际完成情况</w:t>
            </w:r>
          </w:p>
        </w:tc>
      </w:tr>
      <w:tr w14:paraId="7B5E5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D71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2CB4F">
            <w:pPr>
              <w:jc w:val="both"/>
            </w:pPr>
            <w:r>
              <w:rPr>
                <w:rFonts w:ascii="宋体" w:hAnsi="宋体" w:eastAsia="宋体"/>
                <w:sz w:val="16"/>
              </w:rPr>
              <w:t>本项目主要实施内容为：2024年县级配套学前三年保障资金（伙食费）拨付7.36万元 ，我园在园幼儿人数93人，伙食补助人均补助1450元每年，公用经费人均补助110元每年，提高维护学校正常运转能力。待项目实施完成，争取使受益学生满意度不低于90%。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D6D865">
            <w:pPr>
              <w:jc w:val="both"/>
            </w:pPr>
            <w:r>
              <w:rPr>
                <w:rFonts w:hint="eastAsia" w:ascii="宋体" w:hAnsi="宋体"/>
                <w:sz w:val="16"/>
                <w:lang w:eastAsia="zh-CN"/>
              </w:rPr>
              <w:t>截至2024</w:t>
            </w:r>
            <w:r>
              <w:rPr>
                <w:rFonts w:ascii="宋体" w:hAnsi="宋体" w:eastAsia="宋体"/>
                <w:sz w:val="16"/>
              </w:rPr>
              <w:t>年12月31日，我校已完成2024年县级配套学前三年保障资金（伙食费）项目，本项目实际支出资金7.36万元，预算执行率为100%，通过实施此项目使我校61名幼儿享受到伙食补助，补助覆盖率达到了100%，保障了我校学前三年教育发展正常运转，学生满意度提高。</w:t>
            </w:r>
          </w:p>
        </w:tc>
      </w:tr>
      <w:tr w14:paraId="77F2CE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9AF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51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22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A5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5A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DCF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BCB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B7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F9C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9B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DA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03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9E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EFEF">
            <w:pPr>
              <w:jc w:val="center"/>
            </w:pPr>
            <w:r>
              <w:rPr>
                <w:rFonts w:ascii="宋体" w:hAnsi="宋体" w:eastAsia="宋体"/>
                <w:sz w:val="16"/>
              </w:rPr>
              <w:t>偏差原因分析及改进措施</w:t>
            </w:r>
          </w:p>
        </w:tc>
      </w:tr>
      <w:tr w14:paraId="62935B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B4B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986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C3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4EDB">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D2D3">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73E9">
            <w:pPr>
              <w:jc w:val="center"/>
            </w:pPr>
            <w:r>
              <w:rPr>
                <w:rFonts w:ascii="宋体" w:hAnsi="宋体" w:eastAsia="宋体"/>
                <w:sz w:val="16"/>
              </w:rPr>
              <w:t>&lt;=93人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C337">
            <w:pPr>
              <w:jc w:val="center"/>
            </w:pPr>
            <w:r>
              <w:rPr>
                <w:rFonts w:ascii="宋体" w:hAnsi="宋体" w:eastAsia="宋体"/>
                <w:sz w:val="16"/>
              </w:rPr>
              <w:t>=61人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AC24">
            <w:pPr>
              <w:jc w:val="center"/>
            </w:pPr>
            <w:r>
              <w:rPr>
                <w:rFonts w:ascii="宋体" w:hAnsi="宋体" w:eastAsia="宋体"/>
                <w:sz w:val="16"/>
              </w:rPr>
              <w:t>65.59%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7C3F">
            <w:pPr>
              <w:jc w:val="center"/>
            </w:pPr>
            <w:r>
              <w:rPr>
                <w:rFonts w:ascii="宋体" w:hAnsi="宋体" w:eastAsia="宋体"/>
                <w:sz w:val="16"/>
              </w:rPr>
              <w:t>2.93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12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6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17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B5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93E2">
            <w:pPr>
              <w:jc w:val="center"/>
            </w:pPr>
            <w:r>
              <w:rPr>
                <w:rFonts w:ascii="宋体" w:hAnsi="宋体" w:eastAsia="宋体"/>
                <w:sz w:val="16"/>
              </w:rPr>
              <w:t>2024年上半年幼儿人数为93人，下半年为61人，以2024年统计年报为准。</w:t>
            </w:r>
          </w:p>
        </w:tc>
      </w:tr>
      <w:tr w14:paraId="4ADA08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4C0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6D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5E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DC4C">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99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93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87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B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89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F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7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42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A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A1F3">
            <w:pPr>
              <w:jc w:val="center"/>
            </w:pPr>
          </w:p>
        </w:tc>
      </w:tr>
      <w:tr w14:paraId="6AFF5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67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08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BD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BB8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E74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26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3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8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262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E4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FD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6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5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6973">
            <w:pPr>
              <w:jc w:val="center"/>
            </w:pPr>
          </w:p>
        </w:tc>
      </w:tr>
      <w:tr w14:paraId="40CFB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E89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6A9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E91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F6FB">
            <w:pPr>
              <w:jc w:val="center"/>
            </w:pPr>
            <w:r>
              <w:rPr>
                <w:rFonts w:ascii="宋体" w:hAnsi="宋体" w:eastAsia="宋体"/>
                <w:sz w:val="16"/>
              </w:rPr>
              <w:t>生均伙食补助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8A2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6E7A">
            <w:pPr>
              <w:jc w:val="center"/>
            </w:pPr>
            <w:r>
              <w:rPr>
                <w:rFonts w:ascii="宋体" w:hAnsi="宋体" w:eastAsia="宋体"/>
                <w:sz w:val="16"/>
              </w:rPr>
              <w:t>&lt;=1450人/年/元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31D1">
            <w:pPr>
              <w:jc w:val="center"/>
            </w:pPr>
            <w:r>
              <w:rPr>
                <w:rFonts w:ascii="宋体" w:hAnsi="宋体" w:eastAsia="宋体"/>
                <w:sz w:val="16"/>
              </w:rPr>
              <w:t>=1450人/年/元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D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AB4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79C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29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F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83A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11F9">
            <w:pPr>
              <w:jc w:val="center"/>
            </w:pPr>
          </w:p>
        </w:tc>
      </w:tr>
      <w:tr w14:paraId="50DA6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2A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909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136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D153">
            <w:pPr>
              <w:jc w:val="center"/>
            </w:pPr>
            <w:r>
              <w:rPr>
                <w:rFonts w:ascii="宋体" w:hAnsi="宋体" w:eastAsia="宋体"/>
                <w:sz w:val="16"/>
              </w:rPr>
              <w:t>生均公用经费补助标准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24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ECD2">
            <w:pPr>
              <w:jc w:val="center"/>
            </w:pPr>
            <w:r>
              <w:rPr>
                <w:rFonts w:ascii="宋体" w:hAnsi="宋体" w:eastAsia="宋体"/>
                <w:sz w:val="16"/>
              </w:rPr>
              <w:t>&lt;=1100人/年/元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4C75">
            <w:pPr>
              <w:jc w:val="center"/>
            </w:pPr>
            <w:r>
              <w:rPr>
                <w:rFonts w:ascii="宋体" w:hAnsi="宋体" w:eastAsia="宋体"/>
                <w:sz w:val="16"/>
              </w:rPr>
              <w:t>=1100人/年/元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D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BD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C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E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B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671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0ADC">
            <w:pPr>
              <w:jc w:val="center"/>
            </w:pPr>
          </w:p>
        </w:tc>
      </w:tr>
      <w:tr w14:paraId="338F4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B62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77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6B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72E5">
            <w:pPr>
              <w:jc w:val="center"/>
            </w:pPr>
            <w:r>
              <w:rPr>
                <w:rFonts w:ascii="宋体" w:hAnsi="宋体" w:eastAsia="宋体"/>
                <w:sz w:val="16"/>
              </w:rPr>
              <w:t>维护学校正常运转能力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35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7E4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5181">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0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C1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84F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8D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6C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F5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E2C3">
            <w:pPr>
              <w:jc w:val="center"/>
            </w:pPr>
          </w:p>
        </w:tc>
      </w:tr>
      <w:tr w14:paraId="28FB4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1A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6F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74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3DA6">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9C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89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DDC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C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1F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95C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B7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AF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91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BB68">
            <w:pPr>
              <w:jc w:val="center"/>
            </w:pPr>
          </w:p>
        </w:tc>
      </w:tr>
      <w:tr w14:paraId="660D015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D03C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2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69F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5CED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C0F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C0B0">
            <w:pPr>
              <w:jc w:val="center"/>
            </w:pPr>
            <w:r>
              <w:rPr>
                <w:rFonts w:ascii="宋体" w:hAnsi="宋体" w:eastAsia="宋体"/>
                <w:sz w:val="16"/>
              </w:rPr>
              <w:t>81.93分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1F16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47CB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7A40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550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9CC3D2"/>
        </w:tc>
      </w:tr>
    </w:tbl>
    <w:p w14:paraId="613C042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66F1DEE8">
        <w:tblPrEx>
          <w:tblCellMar>
            <w:top w:w="0" w:type="dxa"/>
            <w:left w:w="108" w:type="dxa"/>
            <w:bottom w:w="0" w:type="dxa"/>
            <w:right w:w="108" w:type="dxa"/>
          </w:tblCellMar>
        </w:tblPrEx>
        <w:tc>
          <w:tcPr>
            <w:tcW w:w="8848" w:type="dxa"/>
            <w:gridSpan w:val="14"/>
            <w:vAlign w:val="center"/>
          </w:tcPr>
          <w:p w14:paraId="072D1969">
            <w:pPr>
              <w:jc w:val="center"/>
            </w:pPr>
            <w:r>
              <w:rPr>
                <w:rFonts w:ascii="宋体" w:hAnsi="宋体" w:eastAsia="宋体"/>
                <w:sz w:val="24"/>
              </w:rPr>
              <w:t>项目支出绩效自评表</w:t>
            </w:r>
          </w:p>
        </w:tc>
      </w:tr>
      <w:tr w14:paraId="13D6A84C">
        <w:tblPrEx>
          <w:tblCellMar>
            <w:top w:w="0" w:type="dxa"/>
            <w:left w:w="108" w:type="dxa"/>
            <w:bottom w:w="0" w:type="dxa"/>
            <w:right w:w="108" w:type="dxa"/>
          </w:tblCellMar>
        </w:tblPrEx>
        <w:tc>
          <w:tcPr>
            <w:tcW w:w="8848" w:type="dxa"/>
            <w:gridSpan w:val="14"/>
            <w:vAlign w:val="center"/>
          </w:tcPr>
          <w:p w14:paraId="6EF32279">
            <w:pPr>
              <w:jc w:val="center"/>
            </w:pPr>
            <w:r>
              <w:rPr>
                <w:rFonts w:ascii="宋体" w:hAnsi="宋体" w:eastAsia="宋体"/>
                <w:sz w:val="24"/>
              </w:rPr>
              <w:t>(2024年度)</w:t>
            </w:r>
          </w:p>
        </w:tc>
      </w:tr>
      <w:tr w14:paraId="3D8F3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2B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99FB21">
            <w:pPr>
              <w:jc w:val="center"/>
            </w:pPr>
            <w:r>
              <w:rPr>
                <w:rFonts w:ascii="宋体" w:hAnsi="宋体" w:eastAsia="宋体"/>
                <w:sz w:val="16"/>
              </w:rPr>
              <w:t>六幼</w:t>
            </w:r>
            <w:r>
              <w:rPr>
                <w:rFonts w:hint="eastAsia" w:ascii="宋体" w:hAnsi="宋体"/>
                <w:sz w:val="16"/>
                <w:lang w:eastAsia="zh-CN"/>
              </w:rPr>
              <w:t>－</w:t>
            </w:r>
            <w:r>
              <w:rPr>
                <w:rFonts w:ascii="宋体" w:hAnsi="宋体" w:eastAsia="宋体"/>
                <w:sz w:val="16"/>
              </w:rPr>
              <w:t>伙食补助</w:t>
            </w:r>
          </w:p>
        </w:tc>
      </w:tr>
      <w:tr w14:paraId="40E0C5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7A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6335A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64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84A9EF">
            <w:pPr>
              <w:jc w:val="center"/>
            </w:pPr>
            <w:r>
              <w:rPr>
                <w:rFonts w:ascii="宋体" w:hAnsi="宋体" w:eastAsia="宋体"/>
                <w:sz w:val="16"/>
              </w:rPr>
              <w:t>吉木萨尔县第六幼儿园</w:t>
            </w:r>
          </w:p>
        </w:tc>
      </w:tr>
      <w:tr w14:paraId="7284AA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199D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A66C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C50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4F8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926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B17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93A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1068">
            <w:pPr>
              <w:jc w:val="center"/>
            </w:pPr>
            <w:r>
              <w:rPr>
                <w:rFonts w:ascii="宋体" w:hAnsi="宋体" w:eastAsia="宋体"/>
                <w:sz w:val="16"/>
              </w:rPr>
              <w:t>得分</w:t>
            </w:r>
          </w:p>
        </w:tc>
      </w:tr>
      <w:tr w14:paraId="30858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A76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CB2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6FE81">
            <w:pPr>
              <w:jc w:val="center"/>
            </w:pPr>
            <w:r>
              <w:rPr>
                <w:rFonts w:ascii="宋体" w:hAnsi="宋体" w:eastAsia="宋体"/>
                <w:sz w:val="16"/>
              </w:rPr>
              <w:t>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F56A9">
            <w:pPr>
              <w:jc w:val="center"/>
            </w:pPr>
            <w:r>
              <w:rPr>
                <w:rFonts w:ascii="宋体" w:hAnsi="宋体" w:eastAsia="宋体"/>
                <w:sz w:val="16"/>
              </w:rPr>
              <w:t>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764A3">
            <w:pPr>
              <w:jc w:val="center"/>
            </w:pPr>
            <w:r>
              <w:rPr>
                <w:rFonts w:ascii="宋体" w:hAnsi="宋体" w:eastAsia="宋体"/>
                <w:sz w:val="16"/>
              </w:rPr>
              <w:t>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4CA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8CC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BF08">
            <w:pPr>
              <w:jc w:val="center"/>
            </w:pPr>
            <w:r>
              <w:rPr>
                <w:rFonts w:ascii="宋体" w:hAnsi="宋体" w:eastAsia="宋体"/>
                <w:sz w:val="16"/>
              </w:rPr>
              <w:t>10.00</w:t>
            </w:r>
          </w:p>
        </w:tc>
      </w:tr>
      <w:tr w14:paraId="29142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7D5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8C7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799E5">
            <w:pPr>
              <w:jc w:val="center"/>
            </w:pPr>
            <w:r>
              <w:rPr>
                <w:rFonts w:ascii="宋体" w:hAnsi="宋体" w:eastAsia="宋体"/>
                <w:sz w:val="16"/>
              </w:rPr>
              <w:t>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C7610">
            <w:pPr>
              <w:jc w:val="center"/>
            </w:pPr>
            <w:r>
              <w:rPr>
                <w:rFonts w:ascii="宋体" w:hAnsi="宋体" w:eastAsia="宋体"/>
                <w:sz w:val="16"/>
              </w:rPr>
              <w:t>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C7D7F">
            <w:pPr>
              <w:jc w:val="center"/>
            </w:pPr>
            <w:r>
              <w:rPr>
                <w:rFonts w:ascii="宋体" w:hAnsi="宋体" w:eastAsia="宋体"/>
                <w:sz w:val="16"/>
              </w:rPr>
              <w:t>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9C2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2A1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F71D">
            <w:pPr>
              <w:jc w:val="center"/>
            </w:pPr>
            <w:r>
              <w:rPr>
                <w:rFonts w:ascii="宋体" w:hAnsi="宋体" w:eastAsia="宋体"/>
                <w:sz w:val="16"/>
              </w:rPr>
              <w:t>—</w:t>
            </w:r>
          </w:p>
        </w:tc>
      </w:tr>
      <w:tr w14:paraId="23F80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DA8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C3F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7CE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68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8C5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683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B3A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1103">
            <w:pPr>
              <w:jc w:val="center"/>
            </w:pPr>
            <w:r>
              <w:rPr>
                <w:rFonts w:ascii="宋体" w:hAnsi="宋体" w:eastAsia="宋体"/>
                <w:sz w:val="16"/>
              </w:rPr>
              <w:t>—</w:t>
            </w:r>
          </w:p>
        </w:tc>
      </w:tr>
      <w:tr w14:paraId="0FAF1D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FB43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662A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ABB757">
            <w:pPr>
              <w:jc w:val="center"/>
            </w:pPr>
            <w:r>
              <w:rPr>
                <w:rFonts w:ascii="宋体" w:hAnsi="宋体" w:eastAsia="宋体"/>
                <w:sz w:val="16"/>
              </w:rPr>
              <w:t>实际完成情况</w:t>
            </w:r>
          </w:p>
        </w:tc>
      </w:tr>
      <w:tr w14:paraId="673C8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F21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892317">
            <w:pPr>
              <w:jc w:val="both"/>
            </w:pPr>
            <w:r>
              <w:rPr>
                <w:rFonts w:ascii="宋体" w:hAnsi="宋体" w:eastAsia="宋体"/>
                <w:sz w:val="16"/>
              </w:rPr>
              <w:t>2024年，六幼</w:t>
            </w:r>
            <w:r>
              <w:rPr>
                <w:rFonts w:hint="eastAsia" w:ascii="宋体" w:hAnsi="宋体"/>
                <w:sz w:val="16"/>
                <w:lang w:eastAsia="zh-CN"/>
              </w:rPr>
              <w:t>－</w:t>
            </w:r>
            <w:r>
              <w:rPr>
                <w:rFonts w:ascii="宋体" w:hAnsi="宋体" w:eastAsia="宋体"/>
                <w:sz w:val="16"/>
              </w:rPr>
              <w:t>昌州财教</w:t>
            </w:r>
            <w:r>
              <w:rPr>
                <w:rFonts w:hint="eastAsia" w:ascii="宋体" w:hAnsi="宋体"/>
                <w:sz w:val="16"/>
                <w:lang w:eastAsia="zh-CN"/>
              </w:rPr>
              <w:t>〔2023〕69号</w:t>
            </w:r>
            <w:r>
              <w:rPr>
                <w:rFonts w:ascii="宋体" w:hAnsi="宋体" w:eastAsia="宋体"/>
                <w:sz w:val="16"/>
              </w:rPr>
              <w:t>关于调整2023年度农村学前三年免费教育保障经费预算（伙食补助）拨付2.3万元，我校幼儿在园人数93人，伙食补助生均补助1450元，学前三年免费教育发展保障经费。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177299">
            <w:pPr>
              <w:jc w:val="both"/>
            </w:pPr>
            <w:r>
              <w:rPr>
                <w:rFonts w:hint="eastAsia" w:ascii="宋体" w:hAnsi="宋体"/>
                <w:sz w:val="16"/>
                <w:lang w:eastAsia="zh-CN"/>
              </w:rPr>
              <w:t>截至</w:t>
            </w:r>
            <w:r>
              <w:rPr>
                <w:rFonts w:ascii="宋体" w:hAnsi="宋体" w:eastAsia="宋体"/>
                <w:sz w:val="16"/>
              </w:rPr>
              <w:t>2024年12月31日，我校已完成昌州财教</w:t>
            </w:r>
            <w:r>
              <w:rPr>
                <w:rFonts w:hint="eastAsia" w:ascii="宋体" w:hAnsi="宋体"/>
                <w:sz w:val="16"/>
                <w:lang w:eastAsia="zh-CN"/>
              </w:rPr>
              <w:t>〔2023〕69号</w:t>
            </w:r>
            <w:r>
              <w:rPr>
                <w:rFonts w:ascii="宋体" w:hAnsi="宋体" w:eastAsia="宋体"/>
                <w:sz w:val="16"/>
              </w:rPr>
              <w:t>关于调整2023年度农村学前三年免费教育保障经费预算（伙食补助）项目，此项目支付2.3万元，使61名幼儿正常参与学校教育，保障学校正常的教育教学秩序，幼儿家长满意。</w:t>
            </w:r>
          </w:p>
        </w:tc>
      </w:tr>
      <w:tr w14:paraId="411979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DA3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1F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025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4C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24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F44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D7F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F2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89D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73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90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83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E9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3C7A">
            <w:pPr>
              <w:jc w:val="center"/>
            </w:pPr>
            <w:r>
              <w:rPr>
                <w:rFonts w:ascii="宋体" w:hAnsi="宋体" w:eastAsia="宋体"/>
                <w:sz w:val="16"/>
              </w:rPr>
              <w:t>偏差原因分析及改进措施</w:t>
            </w:r>
          </w:p>
        </w:tc>
      </w:tr>
      <w:tr w14:paraId="70C237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CD5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34A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30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FBA6">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882E">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07F9">
            <w:pPr>
              <w:jc w:val="center"/>
            </w:pPr>
            <w:r>
              <w:rPr>
                <w:rFonts w:ascii="宋体" w:hAnsi="宋体" w:eastAsia="宋体"/>
                <w:sz w:val="16"/>
              </w:rPr>
              <w:t>=93人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36CD">
            <w:pPr>
              <w:jc w:val="center"/>
            </w:pPr>
            <w:r>
              <w:rPr>
                <w:rFonts w:ascii="宋体" w:hAnsi="宋体" w:eastAsia="宋体"/>
                <w:sz w:val="16"/>
              </w:rPr>
              <w:t>=61人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1C9D">
            <w:pPr>
              <w:jc w:val="center"/>
            </w:pPr>
            <w:r>
              <w:rPr>
                <w:rFonts w:ascii="宋体" w:hAnsi="宋体" w:eastAsia="宋体"/>
                <w:sz w:val="16"/>
              </w:rPr>
              <w:t>65.59%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9F29">
            <w:pPr>
              <w:jc w:val="center"/>
            </w:pPr>
            <w:r>
              <w:rPr>
                <w:rFonts w:ascii="宋体" w:hAnsi="宋体" w:eastAsia="宋体"/>
                <w:sz w:val="16"/>
              </w:rPr>
              <w:t>2.24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84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53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84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DC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8BA4">
            <w:pPr>
              <w:jc w:val="center"/>
            </w:pPr>
            <w:r>
              <w:rPr>
                <w:rFonts w:ascii="宋体" w:hAnsi="宋体" w:eastAsia="宋体"/>
                <w:sz w:val="16"/>
              </w:rPr>
              <w:t>2024年上半年幼儿人数为93人，下半年为61人，以2024年统计年报为准。</w:t>
            </w:r>
          </w:p>
        </w:tc>
      </w:tr>
      <w:tr w14:paraId="44F53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77D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51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1D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0D6A">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6D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42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D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A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5B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3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5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0A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5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CC30">
            <w:pPr>
              <w:jc w:val="center"/>
            </w:pPr>
          </w:p>
        </w:tc>
      </w:tr>
      <w:tr w14:paraId="2E021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EC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742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833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152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F7D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0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1C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6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377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A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BC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0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B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EFB1">
            <w:pPr>
              <w:jc w:val="center"/>
            </w:pPr>
          </w:p>
        </w:tc>
      </w:tr>
      <w:tr w14:paraId="55334E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E8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4B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136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394D">
            <w:pPr>
              <w:jc w:val="center"/>
            </w:pPr>
            <w:r>
              <w:rPr>
                <w:rFonts w:ascii="宋体" w:hAnsi="宋体" w:eastAsia="宋体"/>
                <w:sz w:val="16"/>
              </w:rPr>
              <w:t>免费读本按时发放率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96D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9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A8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37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BC6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3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91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AA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A3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A9F4">
            <w:pPr>
              <w:jc w:val="center"/>
            </w:pPr>
          </w:p>
        </w:tc>
      </w:tr>
      <w:tr w14:paraId="66285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CD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3A7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DE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2034">
            <w:pPr>
              <w:jc w:val="center"/>
            </w:pPr>
            <w:r>
              <w:rPr>
                <w:rFonts w:ascii="宋体" w:hAnsi="宋体" w:eastAsia="宋体"/>
                <w:sz w:val="16"/>
              </w:rPr>
              <w:t>幼儿伙食补助标准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D2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60F9">
            <w:pPr>
              <w:jc w:val="center"/>
            </w:pPr>
            <w:r>
              <w:rPr>
                <w:rFonts w:ascii="宋体" w:hAnsi="宋体" w:eastAsia="宋体"/>
                <w:sz w:val="16"/>
              </w:rPr>
              <w:t>=1450元/生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C1FF">
            <w:pPr>
              <w:jc w:val="center"/>
            </w:pPr>
            <w:r>
              <w:rPr>
                <w:rFonts w:ascii="宋体" w:hAnsi="宋体" w:eastAsia="宋体"/>
                <w:sz w:val="16"/>
              </w:rPr>
              <w:t>=1450元/生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8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F1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D79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77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72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C0A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DDFC">
            <w:pPr>
              <w:jc w:val="center"/>
            </w:pPr>
          </w:p>
        </w:tc>
      </w:tr>
      <w:tr w14:paraId="41D94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35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29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72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0A33">
            <w:pPr>
              <w:jc w:val="center"/>
            </w:pPr>
            <w:r>
              <w:rPr>
                <w:rFonts w:ascii="宋体" w:hAnsi="宋体" w:eastAsia="宋体"/>
                <w:sz w:val="16"/>
              </w:rPr>
              <w:t>保障适龄幼儿接受免费学前三年教育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DD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2BCE">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777C">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BD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CD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C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3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8E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8C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0663">
            <w:pPr>
              <w:jc w:val="center"/>
            </w:pPr>
          </w:p>
        </w:tc>
      </w:tr>
      <w:tr w14:paraId="0CDE5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4D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FA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66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0AC3">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66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7D4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500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A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19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1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2F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F2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8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378F">
            <w:pPr>
              <w:jc w:val="center"/>
            </w:pPr>
          </w:p>
        </w:tc>
      </w:tr>
      <w:tr w14:paraId="4AAC96B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6D00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9B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9B61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7C1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C11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7A33">
            <w:pPr>
              <w:jc w:val="center"/>
            </w:pPr>
            <w:r>
              <w:rPr>
                <w:rFonts w:ascii="宋体" w:hAnsi="宋体" w:eastAsia="宋体"/>
                <w:sz w:val="16"/>
              </w:rPr>
              <w:t>86.24分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42A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034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9B1C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E80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103493"/>
        </w:tc>
      </w:tr>
    </w:tbl>
    <w:p w14:paraId="6CA0A4C9">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576"/>
        <w:gridCol w:w="593"/>
        <w:gridCol w:w="936"/>
        <w:gridCol w:w="936"/>
        <w:gridCol w:w="611"/>
        <w:gridCol w:w="696"/>
        <w:gridCol w:w="576"/>
        <w:gridCol w:w="576"/>
        <w:gridCol w:w="576"/>
        <w:gridCol w:w="593"/>
        <w:gridCol w:w="628"/>
      </w:tblGrid>
      <w:tr w14:paraId="072E1BE4">
        <w:tblPrEx>
          <w:tblCellMar>
            <w:top w:w="0" w:type="dxa"/>
            <w:left w:w="108" w:type="dxa"/>
            <w:bottom w:w="0" w:type="dxa"/>
            <w:right w:w="108" w:type="dxa"/>
          </w:tblCellMar>
        </w:tblPrEx>
        <w:tc>
          <w:tcPr>
            <w:tcW w:w="8848" w:type="dxa"/>
            <w:gridSpan w:val="14"/>
            <w:vAlign w:val="center"/>
          </w:tcPr>
          <w:p w14:paraId="517E5ADC">
            <w:pPr>
              <w:jc w:val="center"/>
            </w:pPr>
            <w:r>
              <w:rPr>
                <w:rFonts w:ascii="宋体" w:hAnsi="宋体" w:eastAsia="宋体"/>
                <w:sz w:val="24"/>
              </w:rPr>
              <w:t>项目支出绩效自评表</w:t>
            </w:r>
          </w:p>
        </w:tc>
      </w:tr>
      <w:tr w14:paraId="4A55648A">
        <w:tblPrEx>
          <w:tblCellMar>
            <w:top w:w="0" w:type="dxa"/>
            <w:left w:w="108" w:type="dxa"/>
            <w:bottom w:w="0" w:type="dxa"/>
            <w:right w:w="108" w:type="dxa"/>
          </w:tblCellMar>
        </w:tblPrEx>
        <w:tc>
          <w:tcPr>
            <w:tcW w:w="8848" w:type="dxa"/>
            <w:gridSpan w:val="14"/>
            <w:vAlign w:val="center"/>
          </w:tcPr>
          <w:p w14:paraId="58E37BC7">
            <w:pPr>
              <w:jc w:val="center"/>
            </w:pPr>
            <w:r>
              <w:rPr>
                <w:rFonts w:ascii="宋体" w:hAnsi="宋体" w:eastAsia="宋体"/>
                <w:sz w:val="24"/>
              </w:rPr>
              <w:t>(2024年度)</w:t>
            </w:r>
          </w:p>
        </w:tc>
      </w:tr>
      <w:tr w14:paraId="45FDCB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E6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DDD3DE">
            <w:pPr>
              <w:jc w:val="center"/>
            </w:pPr>
            <w:r>
              <w:rPr>
                <w:rFonts w:ascii="宋体" w:hAnsi="宋体" w:eastAsia="宋体"/>
                <w:sz w:val="16"/>
              </w:rPr>
              <w:t>六幼-教育系统追加2024年度公用采暖费差额</w:t>
            </w:r>
          </w:p>
        </w:tc>
      </w:tr>
      <w:tr w14:paraId="44BADB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DC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74AFB">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3F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36EA74">
            <w:pPr>
              <w:jc w:val="center"/>
            </w:pPr>
            <w:r>
              <w:rPr>
                <w:rFonts w:ascii="宋体" w:hAnsi="宋体" w:eastAsia="宋体"/>
                <w:sz w:val="16"/>
              </w:rPr>
              <w:t>吉木萨尔县第六幼儿园</w:t>
            </w:r>
          </w:p>
        </w:tc>
      </w:tr>
      <w:tr w14:paraId="34994F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4A10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A70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73F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022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296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1CE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7F9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7B23">
            <w:pPr>
              <w:jc w:val="center"/>
            </w:pPr>
            <w:r>
              <w:rPr>
                <w:rFonts w:ascii="宋体" w:hAnsi="宋体" w:eastAsia="宋体"/>
                <w:sz w:val="16"/>
              </w:rPr>
              <w:t>得分</w:t>
            </w:r>
          </w:p>
        </w:tc>
      </w:tr>
      <w:tr w14:paraId="666DC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21B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365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D7A25">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8E888">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EB6EE">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397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E38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F011">
            <w:pPr>
              <w:jc w:val="center"/>
            </w:pPr>
            <w:r>
              <w:rPr>
                <w:rFonts w:ascii="宋体" w:hAnsi="宋体" w:eastAsia="宋体"/>
                <w:sz w:val="16"/>
              </w:rPr>
              <w:t>10.00</w:t>
            </w:r>
          </w:p>
        </w:tc>
      </w:tr>
      <w:tr w14:paraId="2B451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57A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4F9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312F5">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A4DB4">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84BB0">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C7B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345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C7BF">
            <w:pPr>
              <w:jc w:val="center"/>
            </w:pPr>
            <w:r>
              <w:rPr>
                <w:rFonts w:ascii="宋体" w:hAnsi="宋体" w:eastAsia="宋体"/>
                <w:sz w:val="16"/>
              </w:rPr>
              <w:t>—</w:t>
            </w:r>
          </w:p>
        </w:tc>
      </w:tr>
      <w:tr w14:paraId="74E01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130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D77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99E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E53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B71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700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2BE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DF39">
            <w:pPr>
              <w:jc w:val="center"/>
            </w:pPr>
            <w:r>
              <w:rPr>
                <w:rFonts w:ascii="宋体" w:hAnsi="宋体" w:eastAsia="宋体"/>
                <w:sz w:val="16"/>
              </w:rPr>
              <w:t>—</w:t>
            </w:r>
          </w:p>
        </w:tc>
      </w:tr>
      <w:tr w14:paraId="74A14A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35C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350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CC8049">
            <w:pPr>
              <w:jc w:val="center"/>
            </w:pPr>
            <w:r>
              <w:rPr>
                <w:rFonts w:ascii="宋体" w:hAnsi="宋体" w:eastAsia="宋体"/>
                <w:sz w:val="16"/>
              </w:rPr>
              <w:t>实际完成情况</w:t>
            </w:r>
          </w:p>
        </w:tc>
      </w:tr>
      <w:tr w14:paraId="54D87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44F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2A6FA5">
            <w:pPr>
              <w:jc w:val="both"/>
            </w:pPr>
            <w:r>
              <w:rPr>
                <w:rFonts w:ascii="宋体" w:hAnsi="宋体" w:eastAsia="宋体"/>
                <w:sz w:val="16"/>
              </w:rPr>
              <w:t>本项目主要实施内容为：教育系统追加2024年度公用采暖费差额县财政拨付4.8万元，用于学校取暖必要支出，保障我园幼儿教育教学工作正常开展。通过本项目实施，幼儿在校人数93人；取暖面积59178.31平方米；取暖费覆盖率100%；取暖费保障天数不少于180天。待项目实施完成，争取使师生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CE500A">
            <w:pPr>
              <w:jc w:val="both"/>
            </w:pPr>
            <w:r>
              <w:rPr>
                <w:rFonts w:hint="eastAsia" w:ascii="宋体" w:hAnsi="宋体"/>
                <w:sz w:val="16"/>
                <w:lang w:eastAsia="zh-CN"/>
              </w:rPr>
              <w:t>截至</w:t>
            </w:r>
            <w:r>
              <w:rPr>
                <w:rFonts w:ascii="宋体" w:hAnsi="宋体" w:eastAsia="宋体"/>
                <w:sz w:val="16"/>
              </w:rPr>
              <w:t>2024年12月31日，项目实际支出4.8万元，预算执行率为100%。此项目的实施使我校取暖面积59178.31平方米取暖得到了保障，保障学校正常取暖，提高师生满</w:t>
            </w:r>
            <w:r>
              <w:rPr>
                <w:rFonts w:hint="eastAsia" w:ascii="宋体" w:hAnsi="宋体"/>
                <w:sz w:val="16"/>
                <w:lang w:eastAsia="zh-CN"/>
              </w:rPr>
              <w:t>意度</w:t>
            </w:r>
            <w:r>
              <w:rPr>
                <w:rFonts w:ascii="宋体" w:hAnsi="宋体" w:eastAsia="宋体"/>
                <w:sz w:val="16"/>
              </w:rPr>
              <w:t>。</w:t>
            </w:r>
          </w:p>
        </w:tc>
      </w:tr>
      <w:tr w14:paraId="715619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505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2D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44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40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E0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CA7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F38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469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0F7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82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6B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798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16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2D05">
            <w:pPr>
              <w:jc w:val="center"/>
            </w:pPr>
            <w:r>
              <w:rPr>
                <w:rFonts w:ascii="宋体" w:hAnsi="宋体" w:eastAsia="宋体"/>
                <w:sz w:val="16"/>
              </w:rPr>
              <w:t>偏差原因分析及改进措施</w:t>
            </w:r>
          </w:p>
        </w:tc>
      </w:tr>
      <w:tr w14:paraId="63F6E1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BBD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0C5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472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AF80">
            <w:pPr>
              <w:jc w:val="center"/>
            </w:pPr>
            <w:r>
              <w:rPr>
                <w:rFonts w:ascii="宋体" w:hAnsi="宋体" w:eastAsia="宋体"/>
                <w:sz w:val="16"/>
              </w:rPr>
              <w:t>幼儿在校人数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317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02CF">
            <w:pPr>
              <w:jc w:val="center"/>
            </w:pPr>
            <w:r>
              <w:rPr>
                <w:rFonts w:ascii="宋体" w:hAnsi="宋体" w:eastAsia="宋体"/>
                <w:sz w:val="16"/>
              </w:rPr>
              <w:t>=93人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1CD3">
            <w:pPr>
              <w:jc w:val="center"/>
            </w:pPr>
            <w:r>
              <w:rPr>
                <w:rFonts w:ascii="宋体" w:hAnsi="宋体" w:eastAsia="宋体"/>
                <w:sz w:val="16"/>
              </w:rPr>
              <w:t>=93人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68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AFB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F8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92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CF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87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7C5F">
            <w:pPr>
              <w:jc w:val="center"/>
            </w:pPr>
          </w:p>
        </w:tc>
      </w:tr>
      <w:tr w14:paraId="6D0B4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3A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20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B29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36BD">
            <w:pPr>
              <w:jc w:val="center"/>
            </w:pPr>
            <w:r>
              <w:rPr>
                <w:rFonts w:ascii="宋体" w:hAnsi="宋体" w:eastAsia="宋体"/>
                <w:sz w:val="16"/>
              </w:rPr>
              <w:t>取暖面积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1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7424">
            <w:pPr>
              <w:jc w:val="center"/>
            </w:pPr>
            <w:r>
              <w:rPr>
                <w:rFonts w:ascii="宋体" w:hAnsi="宋体" w:eastAsia="宋体"/>
                <w:sz w:val="16"/>
              </w:rPr>
              <w:t>=59178.31平方米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F249">
            <w:pPr>
              <w:jc w:val="center"/>
            </w:pPr>
            <w:r>
              <w:rPr>
                <w:rFonts w:ascii="宋体" w:hAnsi="宋体" w:eastAsia="宋体"/>
                <w:sz w:val="16"/>
              </w:rPr>
              <w:t>=59178.31平方米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5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F4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8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A3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C0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F1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C9B3">
            <w:pPr>
              <w:jc w:val="center"/>
            </w:pPr>
          </w:p>
        </w:tc>
      </w:tr>
      <w:tr w14:paraId="31946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55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16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67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071D">
            <w:pPr>
              <w:jc w:val="center"/>
            </w:pPr>
            <w:r>
              <w:rPr>
                <w:rFonts w:ascii="宋体" w:hAnsi="宋体" w:eastAsia="宋体"/>
                <w:sz w:val="16"/>
              </w:rPr>
              <w:t>取暖费覆盖率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521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C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8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9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2B3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8C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9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C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97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FDBF">
            <w:pPr>
              <w:jc w:val="center"/>
            </w:pPr>
          </w:p>
        </w:tc>
      </w:tr>
      <w:tr w14:paraId="620E6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32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13D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16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2EF2">
            <w:pPr>
              <w:jc w:val="center"/>
            </w:pPr>
            <w:r>
              <w:rPr>
                <w:rFonts w:ascii="宋体" w:hAnsi="宋体" w:eastAsia="宋体"/>
                <w:sz w:val="16"/>
              </w:rPr>
              <w:t>取暖费保障天数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24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9402">
            <w:pPr>
              <w:jc w:val="center"/>
            </w:pPr>
            <w:r>
              <w:rPr>
                <w:rFonts w:ascii="宋体" w:hAnsi="宋体" w:eastAsia="宋体"/>
                <w:sz w:val="16"/>
              </w:rPr>
              <w:t>&lt;=180天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EB2ED">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E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39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F5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76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E5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3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B554">
            <w:pPr>
              <w:jc w:val="center"/>
            </w:pPr>
          </w:p>
        </w:tc>
      </w:tr>
      <w:tr w14:paraId="74182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267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AC46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441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7233">
            <w:pPr>
              <w:jc w:val="center"/>
            </w:pPr>
            <w:r>
              <w:rPr>
                <w:rFonts w:ascii="宋体" w:hAnsi="宋体" w:eastAsia="宋体"/>
                <w:sz w:val="16"/>
              </w:rPr>
              <w:t>取暖费差额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0A5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871E">
            <w:pPr>
              <w:jc w:val="center"/>
            </w:pPr>
            <w:r>
              <w:rPr>
                <w:rFonts w:ascii="宋体" w:hAnsi="宋体" w:eastAsia="宋体"/>
                <w:sz w:val="16"/>
              </w:rPr>
              <w:t>=4.80万元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8771">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B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85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6E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68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B8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0B1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C41C">
            <w:pPr>
              <w:jc w:val="center"/>
            </w:pPr>
          </w:p>
        </w:tc>
      </w:tr>
      <w:tr w14:paraId="7F937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DA3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6D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4A1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1377">
            <w:pPr>
              <w:jc w:val="center"/>
            </w:pPr>
            <w:r>
              <w:rPr>
                <w:rFonts w:ascii="宋体" w:hAnsi="宋体" w:eastAsia="宋体"/>
                <w:sz w:val="16"/>
              </w:rPr>
              <w:t>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E5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CB0E">
            <w:pPr>
              <w:jc w:val="center"/>
            </w:pPr>
            <w:r>
              <w:rPr>
                <w:rFonts w:ascii="宋体" w:hAnsi="宋体" w:eastAsia="宋体"/>
                <w:sz w:val="16"/>
              </w:rPr>
              <w:t>=120元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8571">
            <w:pPr>
              <w:jc w:val="center"/>
            </w:pPr>
            <w:r>
              <w:rPr>
                <w:rFonts w:ascii="宋体" w:hAnsi="宋体" w:eastAsia="宋体"/>
                <w:sz w:val="16"/>
              </w:rPr>
              <w:t>=120元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1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7F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912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45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6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0B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9DC3">
            <w:pPr>
              <w:jc w:val="center"/>
            </w:pPr>
          </w:p>
        </w:tc>
      </w:tr>
      <w:tr w14:paraId="35BD3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65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94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0C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5197">
            <w:pPr>
              <w:jc w:val="center"/>
            </w:pPr>
            <w:r>
              <w:rPr>
                <w:rFonts w:ascii="宋体" w:hAnsi="宋体" w:eastAsia="宋体"/>
                <w:sz w:val="16"/>
              </w:rPr>
              <w:t>保障幼儿园工作正常开展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36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DE6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992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B2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EE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3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13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BD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D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7FB0">
            <w:pPr>
              <w:jc w:val="center"/>
            </w:pPr>
          </w:p>
        </w:tc>
      </w:tr>
      <w:tr w14:paraId="41696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44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BB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BE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859F">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1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9B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F0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2A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62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8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DB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23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F5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B949">
            <w:pPr>
              <w:jc w:val="center"/>
            </w:pPr>
          </w:p>
        </w:tc>
      </w:tr>
      <w:tr w14:paraId="6DE196B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8928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6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D74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4F04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99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989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84D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FEC4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9DA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03F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39227"/>
        </w:tc>
      </w:tr>
    </w:tbl>
    <w:p w14:paraId="6E7285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30FFABC">
        <w:tblPrEx>
          <w:tblCellMar>
            <w:top w:w="0" w:type="dxa"/>
            <w:left w:w="108" w:type="dxa"/>
            <w:bottom w:w="0" w:type="dxa"/>
            <w:right w:w="108" w:type="dxa"/>
          </w:tblCellMar>
        </w:tblPrEx>
        <w:tc>
          <w:tcPr>
            <w:tcW w:w="8848" w:type="dxa"/>
            <w:gridSpan w:val="14"/>
            <w:vAlign w:val="center"/>
          </w:tcPr>
          <w:p w14:paraId="5DF0077E">
            <w:pPr>
              <w:jc w:val="center"/>
            </w:pPr>
            <w:r>
              <w:rPr>
                <w:rFonts w:ascii="宋体" w:hAnsi="宋体" w:eastAsia="宋体"/>
                <w:sz w:val="24"/>
              </w:rPr>
              <w:t>项目支出绩效自评表</w:t>
            </w:r>
          </w:p>
        </w:tc>
      </w:tr>
      <w:tr w14:paraId="1BEFF37F">
        <w:tblPrEx>
          <w:tblCellMar>
            <w:top w:w="0" w:type="dxa"/>
            <w:left w:w="108" w:type="dxa"/>
            <w:bottom w:w="0" w:type="dxa"/>
            <w:right w:w="108" w:type="dxa"/>
          </w:tblCellMar>
        </w:tblPrEx>
        <w:tc>
          <w:tcPr>
            <w:tcW w:w="8848" w:type="dxa"/>
            <w:gridSpan w:val="14"/>
            <w:vAlign w:val="center"/>
          </w:tcPr>
          <w:p w14:paraId="231C7A24">
            <w:pPr>
              <w:jc w:val="center"/>
            </w:pPr>
            <w:r>
              <w:rPr>
                <w:rFonts w:ascii="宋体" w:hAnsi="宋体" w:eastAsia="宋体"/>
                <w:sz w:val="24"/>
              </w:rPr>
              <w:t>(2024年度)</w:t>
            </w:r>
          </w:p>
        </w:tc>
      </w:tr>
      <w:tr w14:paraId="4EAC6C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B0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15EE54">
            <w:pPr>
              <w:jc w:val="center"/>
            </w:pPr>
            <w:r>
              <w:rPr>
                <w:rFonts w:ascii="宋体" w:hAnsi="宋体" w:eastAsia="宋体"/>
                <w:sz w:val="16"/>
              </w:rPr>
              <w:t>县六幼</w:t>
            </w:r>
            <w:r>
              <w:rPr>
                <w:rFonts w:hint="eastAsia" w:ascii="宋体" w:hAnsi="宋体"/>
                <w:sz w:val="16"/>
                <w:lang w:eastAsia="zh-CN"/>
              </w:rPr>
              <w:t>－</w:t>
            </w: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关于提前下达2024年自治区教育项目经费预算的通知（自聘教师工资补助）</w:t>
            </w:r>
          </w:p>
        </w:tc>
      </w:tr>
      <w:tr w14:paraId="45E722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DF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91FD2B">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58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EBD0DE">
            <w:pPr>
              <w:jc w:val="center"/>
            </w:pPr>
            <w:r>
              <w:rPr>
                <w:rFonts w:ascii="宋体" w:hAnsi="宋体" w:eastAsia="宋体"/>
                <w:sz w:val="16"/>
              </w:rPr>
              <w:t>吉木萨尔县第六幼儿园</w:t>
            </w:r>
          </w:p>
        </w:tc>
      </w:tr>
      <w:tr w14:paraId="7B8EA7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1A38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20D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BBD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651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821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E3C7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D0C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5176">
            <w:pPr>
              <w:jc w:val="center"/>
            </w:pPr>
            <w:r>
              <w:rPr>
                <w:rFonts w:ascii="宋体" w:hAnsi="宋体" w:eastAsia="宋体"/>
                <w:sz w:val="16"/>
              </w:rPr>
              <w:t>得分</w:t>
            </w:r>
          </w:p>
        </w:tc>
      </w:tr>
      <w:tr w14:paraId="23C28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A08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0A8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28DF5">
            <w:pPr>
              <w:jc w:val="center"/>
            </w:pPr>
            <w:r>
              <w:rPr>
                <w:rFonts w:ascii="宋体" w:hAnsi="宋体" w:eastAsia="宋体"/>
                <w:sz w:val="16"/>
              </w:rPr>
              <w:t>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9853A">
            <w:pPr>
              <w:jc w:val="center"/>
            </w:pPr>
            <w:r>
              <w:rPr>
                <w:rFonts w:ascii="宋体" w:hAnsi="宋体" w:eastAsia="宋体"/>
                <w:sz w:val="16"/>
              </w:rPr>
              <w:t>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31EE3">
            <w:pPr>
              <w:jc w:val="center"/>
            </w:pPr>
            <w:r>
              <w:rPr>
                <w:rFonts w:ascii="宋体" w:hAnsi="宋体" w:eastAsia="宋体"/>
                <w:sz w:val="16"/>
              </w:rPr>
              <w:t>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567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272E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F2E1">
            <w:pPr>
              <w:jc w:val="center"/>
            </w:pPr>
            <w:r>
              <w:rPr>
                <w:rFonts w:ascii="宋体" w:hAnsi="宋体" w:eastAsia="宋体"/>
                <w:sz w:val="16"/>
              </w:rPr>
              <w:t>10.00</w:t>
            </w:r>
          </w:p>
        </w:tc>
      </w:tr>
      <w:tr w14:paraId="66688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DF9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1CE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6C69A">
            <w:pPr>
              <w:jc w:val="center"/>
            </w:pPr>
            <w:r>
              <w:rPr>
                <w:rFonts w:ascii="宋体" w:hAnsi="宋体" w:eastAsia="宋体"/>
                <w:sz w:val="16"/>
              </w:rPr>
              <w:t>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23C68">
            <w:pPr>
              <w:jc w:val="center"/>
            </w:pPr>
            <w:r>
              <w:rPr>
                <w:rFonts w:ascii="宋体" w:hAnsi="宋体" w:eastAsia="宋体"/>
                <w:sz w:val="16"/>
              </w:rPr>
              <w:t>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789F6">
            <w:pPr>
              <w:jc w:val="center"/>
            </w:pPr>
            <w:r>
              <w:rPr>
                <w:rFonts w:ascii="宋体" w:hAnsi="宋体" w:eastAsia="宋体"/>
                <w:sz w:val="16"/>
              </w:rPr>
              <w:t>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A3B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379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0DF1">
            <w:pPr>
              <w:jc w:val="center"/>
            </w:pPr>
            <w:r>
              <w:rPr>
                <w:rFonts w:ascii="宋体" w:hAnsi="宋体" w:eastAsia="宋体"/>
                <w:sz w:val="16"/>
              </w:rPr>
              <w:t>—</w:t>
            </w:r>
          </w:p>
        </w:tc>
      </w:tr>
      <w:tr w14:paraId="21D19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C24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B27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00C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433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0D8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E41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EC1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94CC">
            <w:pPr>
              <w:jc w:val="center"/>
            </w:pPr>
            <w:r>
              <w:rPr>
                <w:rFonts w:ascii="宋体" w:hAnsi="宋体" w:eastAsia="宋体"/>
                <w:sz w:val="16"/>
              </w:rPr>
              <w:t>—</w:t>
            </w:r>
          </w:p>
        </w:tc>
      </w:tr>
      <w:tr w14:paraId="063923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395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51BB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F57453">
            <w:pPr>
              <w:jc w:val="center"/>
            </w:pPr>
            <w:r>
              <w:rPr>
                <w:rFonts w:ascii="宋体" w:hAnsi="宋体" w:eastAsia="宋体"/>
                <w:sz w:val="16"/>
              </w:rPr>
              <w:t>实际完成情况</w:t>
            </w:r>
          </w:p>
        </w:tc>
      </w:tr>
      <w:tr w14:paraId="24310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786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9B04D">
            <w:pPr>
              <w:jc w:val="both"/>
            </w:pP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关于提前下达2024年自治区教育项目经费预算的通知（自聘教师工资补助）2.29万元，切实保障自聘教师工资待遇，确保工资及时足额发放到位，有效保障学校正常的教育教学秩序。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7BDBB1">
            <w:pPr>
              <w:jc w:val="both"/>
            </w:pPr>
            <w:r>
              <w:rPr>
                <w:rFonts w:hint="eastAsia" w:ascii="宋体" w:hAnsi="宋体"/>
                <w:sz w:val="16"/>
                <w:lang w:eastAsia="zh-CN"/>
              </w:rPr>
              <w:t>截至2024</w:t>
            </w:r>
            <w:r>
              <w:rPr>
                <w:rFonts w:ascii="宋体" w:hAnsi="宋体" w:eastAsia="宋体"/>
                <w:sz w:val="16"/>
              </w:rPr>
              <w:t>年12月31日，我校已完成昌吉州财教</w:t>
            </w:r>
            <w:r>
              <w:rPr>
                <w:rFonts w:hint="eastAsia" w:ascii="宋体" w:hAnsi="宋体"/>
                <w:sz w:val="16"/>
                <w:lang w:eastAsia="zh-CN"/>
              </w:rPr>
              <w:t>〔2023〕102号</w:t>
            </w:r>
            <w:r>
              <w:rPr>
                <w:rFonts w:ascii="宋体" w:hAnsi="宋体" w:eastAsia="宋体"/>
                <w:sz w:val="16"/>
              </w:rPr>
              <w:t>关于提前下达2024年自治区教育项目经费预算的通知（自聘教师工资补助）项目，此项目支付2.29万元，保障了我校8名自聘教师工资及时足额发放到位，保障学校正常的教育教学秩序，自聘教师满意。</w:t>
            </w:r>
          </w:p>
        </w:tc>
      </w:tr>
      <w:tr w14:paraId="5540D4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91B7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3A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D3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90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0C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980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FF8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BA8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A59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86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6C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4E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2F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5258">
            <w:pPr>
              <w:jc w:val="center"/>
            </w:pPr>
            <w:r>
              <w:rPr>
                <w:rFonts w:ascii="宋体" w:hAnsi="宋体" w:eastAsia="宋体"/>
                <w:sz w:val="16"/>
              </w:rPr>
              <w:t>偏差原因分析及改进措施</w:t>
            </w:r>
          </w:p>
        </w:tc>
      </w:tr>
      <w:tr w14:paraId="537216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F44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1FB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66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F3AB">
            <w:pPr>
              <w:jc w:val="center"/>
            </w:pPr>
            <w:r>
              <w:rPr>
                <w:rFonts w:ascii="宋体" w:hAnsi="宋体" w:eastAsia="宋体"/>
                <w:sz w:val="16"/>
              </w:rPr>
              <w:t>发放教师人数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860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8FF3">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1181">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25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D29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47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88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2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94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6F50">
            <w:pPr>
              <w:jc w:val="center"/>
            </w:pPr>
          </w:p>
        </w:tc>
      </w:tr>
      <w:tr w14:paraId="7A0CB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E0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D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5F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EE5F">
            <w:pPr>
              <w:jc w:val="center"/>
            </w:pPr>
            <w:r>
              <w:rPr>
                <w:rFonts w:ascii="宋体" w:hAnsi="宋体" w:eastAsia="宋体"/>
                <w:sz w:val="16"/>
              </w:rPr>
              <w:t>普通话水平合格率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8F4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BE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F6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4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FF4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7F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5F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F4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EE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F149">
            <w:pPr>
              <w:jc w:val="center"/>
            </w:pPr>
          </w:p>
        </w:tc>
      </w:tr>
      <w:tr w14:paraId="46167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95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21B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C5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65C6">
            <w:pPr>
              <w:jc w:val="center"/>
            </w:pPr>
            <w:r>
              <w:rPr>
                <w:rFonts w:ascii="宋体" w:hAnsi="宋体" w:eastAsia="宋体"/>
                <w:sz w:val="16"/>
              </w:rPr>
              <w:t>自聘教师工资按时发放率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0C2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5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F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79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8FE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B5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83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50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3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F08F">
            <w:pPr>
              <w:jc w:val="center"/>
            </w:pPr>
          </w:p>
        </w:tc>
      </w:tr>
      <w:tr w14:paraId="6E7BF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38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4F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89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06B8">
            <w:pPr>
              <w:jc w:val="center"/>
            </w:pPr>
            <w:r>
              <w:rPr>
                <w:rFonts w:ascii="宋体" w:hAnsi="宋体" w:eastAsia="宋体"/>
                <w:sz w:val="16"/>
              </w:rPr>
              <w:t>自聘教师补助标准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B8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A020">
            <w:pPr>
              <w:jc w:val="center"/>
            </w:pPr>
            <w:r>
              <w:rPr>
                <w:rFonts w:ascii="宋体" w:hAnsi="宋体" w:eastAsia="宋体"/>
                <w:sz w:val="16"/>
              </w:rPr>
              <w:t>=4080元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C3B7">
            <w:pPr>
              <w:jc w:val="center"/>
            </w:pPr>
            <w:r>
              <w:rPr>
                <w:rFonts w:ascii="宋体" w:hAnsi="宋体" w:eastAsia="宋体"/>
                <w:sz w:val="16"/>
              </w:rPr>
              <w:t>=4080元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9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A1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B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34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2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0E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5F54">
            <w:pPr>
              <w:jc w:val="center"/>
            </w:pPr>
          </w:p>
        </w:tc>
      </w:tr>
      <w:tr w14:paraId="62F57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C0D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F633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4E7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2073">
            <w:pPr>
              <w:jc w:val="center"/>
            </w:pPr>
            <w:r>
              <w:rPr>
                <w:rFonts w:ascii="宋体" w:hAnsi="宋体" w:eastAsia="宋体"/>
                <w:sz w:val="16"/>
              </w:rPr>
              <w:t>教师队伍稳定率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1E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E92E">
            <w:pPr>
              <w:jc w:val="center"/>
            </w:pPr>
            <w:r>
              <w:rPr>
                <w:rFonts w:ascii="宋体" w:hAnsi="宋体" w:eastAsia="宋体"/>
                <w:sz w:val="16"/>
              </w:rPr>
              <w:t>逐渐改善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B3F1">
            <w:pPr>
              <w:jc w:val="center"/>
            </w:pPr>
            <w:r>
              <w:rPr>
                <w:rFonts w:ascii="宋体" w:hAnsi="宋体" w:eastAsia="宋体"/>
                <w:sz w:val="16"/>
              </w:rPr>
              <w:t>逐渐改善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0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B7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B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7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95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1A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6AE1">
            <w:pPr>
              <w:jc w:val="center"/>
            </w:pPr>
          </w:p>
        </w:tc>
      </w:tr>
      <w:tr w14:paraId="3F5A3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E3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3B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9C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FD8E">
            <w:pPr>
              <w:jc w:val="center"/>
            </w:pPr>
            <w:r>
              <w:rPr>
                <w:rFonts w:ascii="宋体" w:hAnsi="宋体" w:eastAsia="宋体"/>
                <w:sz w:val="16"/>
              </w:rPr>
              <w:t>保障所需师资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5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9A19">
            <w:pPr>
              <w:jc w:val="center"/>
            </w:pPr>
            <w:r>
              <w:rPr>
                <w:rFonts w:ascii="宋体" w:hAnsi="宋体" w:eastAsia="宋体"/>
                <w:sz w:val="16"/>
              </w:rPr>
              <w:t>基本保障教学需要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FE3B">
            <w:pPr>
              <w:jc w:val="center"/>
            </w:pPr>
            <w:r>
              <w:rPr>
                <w:rFonts w:ascii="宋体" w:hAnsi="宋体" w:eastAsia="宋体"/>
                <w:sz w:val="16"/>
              </w:rPr>
              <w:t>基本保障教学需要</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E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CD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5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15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E1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40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CB89">
            <w:pPr>
              <w:jc w:val="center"/>
            </w:pPr>
          </w:p>
        </w:tc>
      </w:tr>
      <w:tr w14:paraId="094D1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41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17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B4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2432">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51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04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B5C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9E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82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8E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FA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63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0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E363">
            <w:pPr>
              <w:jc w:val="center"/>
            </w:pPr>
          </w:p>
        </w:tc>
      </w:tr>
      <w:tr w14:paraId="08DE60B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1142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C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491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530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935A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206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6C24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15C3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B27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EB4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F372AE"/>
        </w:tc>
      </w:tr>
    </w:tbl>
    <w:p w14:paraId="663FAEF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1CBE9130">
        <w:tblPrEx>
          <w:tblCellMar>
            <w:top w:w="0" w:type="dxa"/>
            <w:left w:w="108" w:type="dxa"/>
            <w:bottom w:w="0" w:type="dxa"/>
            <w:right w:w="108" w:type="dxa"/>
          </w:tblCellMar>
        </w:tblPrEx>
        <w:tc>
          <w:tcPr>
            <w:tcW w:w="8848" w:type="dxa"/>
            <w:gridSpan w:val="14"/>
            <w:vAlign w:val="center"/>
          </w:tcPr>
          <w:p w14:paraId="06392228">
            <w:pPr>
              <w:jc w:val="center"/>
            </w:pPr>
            <w:r>
              <w:rPr>
                <w:rFonts w:ascii="宋体" w:hAnsi="宋体" w:eastAsia="宋体"/>
                <w:sz w:val="24"/>
              </w:rPr>
              <w:t>项目支出绩效自评表</w:t>
            </w:r>
          </w:p>
        </w:tc>
      </w:tr>
      <w:tr w14:paraId="046D60DE">
        <w:tblPrEx>
          <w:tblCellMar>
            <w:top w:w="0" w:type="dxa"/>
            <w:left w:w="108" w:type="dxa"/>
            <w:bottom w:w="0" w:type="dxa"/>
            <w:right w:w="108" w:type="dxa"/>
          </w:tblCellMar>
        </w:tblPrEx>
        <w:tc>
          <w:tcPr>
            <w:tcW w:w="8848" w:type="dxa"/>
            <w:gridSpan w:val="14"/>
            <w:vAlign w:val="center"/>
          </w:tcPr>
          <w:p w14:paraId="02764C24">
            <w:pPr>
              <w:jc w:val="center"/>
            </w:pPr>
            <w:r>
              <w:rPr>
                <w:rFonts w:ascii="宋体" w:hAnsi="宋体" w:eastAsia="宋体"/>
                <w:sz w:val="24"/>
              </w:rPr>
              <w:t>(2024年度)</w:t>
            </w:r>
          </w:p>
        </w:tc>
      </w:tr>
      <w:tr w14:paraId="2F8D63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A8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B80C9E">
            <w:pPr>
              <w:jc w:val="center"/>
            </w:pPr>
            <w:r>
              <w:rPr>
                <w:rFonts w:ascii="宋体" w:hAnsi="宋体" w:eastAsia="宋体"/>
                <w:sz w:val="16"/>
              </w:rPr>
              <w:t>县六幼</w:t>
            </w:r>
            <w:r>
              <w:rPr>
                <w:rFonts w:hint="eastAsia" w:ascii="宋体" w:hAnsi="宋体"/>
                <w:sz w:val="16"/>
                <w:lang w:eastAsia="zh-CN"/>
              </w:rPr>
              <w:t>－</w:t>
            </w:r>
            <w:r>
              <w:rPr>
                <w:rFonts w:ascii="宋体" w:hAnsi="宋体" w:eastAsia="宋体"/>
                <w:sz w:val="16"/>
              </w:rPr>
              <w:t>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关于提前下达2024年新疆西藏等地区教育特殊补助资金的通知（公用经费）</w:t>
            </w:r>
          </w:p>
        </w:tc>
      </w:tr>
      <w:tr w14:paraId="5B6A2D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5A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33247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D6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4D92B2">
            <w:pPr>
              <w:jc w:val="center"/>
            </w:pPr>
            <w:r>
              <w:rPr>
                <w:rFonts w:ascii="宋体" w:hAnsi="宋体" w:eastAsia="宋体"/>
                <w:sz w:val="16"/>
              </w:rPr>
              <w:t>吉木萨尔县第六幼儿园</w:t>
            </w:r>
          </w:p>
        </w:tc>
      </w:tr>
      <w:tr w14:paraId="2423FD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624B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74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682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366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49F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299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A27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E92C">
            <w:pPr>
              <w:jc w:val="center"/>
            </w:pPr>
            <w:r>
              <w:rPr>
                <w:rFonts w:ascii="宋体" w:hAnsi="宋体" w:eastAsia="宋体"/>
                <w:sz w:val="16"/>
              </w:rPr>
              <w:t>得分</w:t>
            </w:r>
          </w:p>
        </w:tc>
      </w:tr>
      <w:tr w14:paraId="42C7A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0D4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240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18D86">
            <w:pPr>
              <w:jc w:val="center"/>
            </w:pPr>
            <w:r>
              <w:rPr>
                <w:rFonts w:ascii="宋体" w:hAnsi="宋体" w:eastAsia="宋体"/>
                <w:sz w:val="16"/>
              </w:rPr>
              <w:t>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1600D">
            <w:pPr>
              <w:jc w:val="center"/>
            </w:pPr>
            <w:r>
              <w:rPr>
                <w:rFonts w:ascii="宋体" w:hAnsi="宋体" w:eastAsia="宋体"/>
                <w:sz w:val="16"/>
              </w:rPr>
              <w:t>11.35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CB8A2">
            <w:pPr>
              <w:jc w:val="center"/>
            </w:pPr>
            <w:r>
              <w:rPr>
                <w:rFonts w:ascii="宋体" w:hAnsi="宋体" w:eastAsia="宋体"/>
                <w:sz w:val="16"/>
              </w:rPr>
              <w:t>11.35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AEC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619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E72F">
            <w:pPr>
              <w:jc w:val="center"/>
            </w:pPr>
            <w:r>
              <w:rPr>
                <w:rFonts w:ascii="宋体" w:hAnsi="宋体" w:eastAsia="宋体"/>
                <w:sz w:val="16"/>
              </w:rPr>
              <w:t>10.00</w:t>
            </w:r>
          </w:p>
        </w:tc>
      </w:tr>
      <w:tr w14:paraId="36FB7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F2A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563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CAFDB">
            <w:pPr>
              <w:jc w:val="center"/>
            </w:pPr>
            <w:r>
              <w:rPr>
                <w:rFonts w:ascii="宋体" w:hAnsi="宋体" w:eastAsia="宋体"/>
                <w:sz w:val="16"/>
              </w:rPr>
              <w:t>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57CC0">
            <w:pPr>
              <w:jc w:val="center"/>
            </w:pPr>
            <w:r>
              <w:rPr>
                <w:rFonts w:ascii="宋体" w:hAnsi="宋体" w:eastAsia="宋体"/>
                <w:sz w:val="16"/>
              </w:rPr>
              <w:t>11.35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4707">
            <w:pPr>
              <w:jc w:val="center"/>
            </w:pPr>
            <w:r>
              <w:rPr>
                <w:rFonts w:ascii="宋体" w:hAnsi="宋体" w:eastAsia="宋体"/>
                <w:sz w:val="16"/>
              </w:rPr>
              <w:t>11.35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1BC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962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4501">
            <w:pPr>
              <w:jc w:val="center"/>
            </w:pPr>
            <w:r>
              <w:rPr>
                <w:rFonts w:ascii="宋体" w:hAnsi="宋体" w:eastAsia="宋体"/>
                <w:sz w:val="16"/>
              </w:rPr>
              <w:t>—</w:t>
            </w:r>
          </w:p>
        </w:tc>
      </w:tr>
      <w:tr w14:paraId="2665C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94F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285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128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523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F9E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92C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3AD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40BD">
            <w:pPr>
              <w:jc w:val="center"/>
            </w:pPr>
            <w:r>
              <w:rPr>
                <w:rFonts w:ascii="宋体" w:hAnsi="宋体" w:eastAsia="宋体"/>
                <w:sz w:val="16"/>
              </w:rPr>
              <w:t>—</w:t>
            </w:r>
          </w:p>
        </w:tc>
      </w:tr>
      <w:tr w14:paraId="114F7E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49E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C727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92D729">
            <w:pPr>
              <w:jc w:val="center"/>
            </w:pPr>
            <w:r>
              <w:rPr>
                <w:rFonts w:ascii="宋体" w:hAnsi="宋体" w:eastAsia="宋体"/>
                <w:sz w:val="16"/>
              </w:rPr>
              <w:t>实际完成情况</w:t>
            </w:r>
          </w:p>
        </w:tc>
      </w:tr>
      <w:tr w14:paraId="06EF8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38D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E08209">
            <w:pPr>
              <w:jc w:val="both"/>
            </w:pPr>
            <w:r>
              <w:rPr>
                <w:rFonts w:ascii="宋体" w:hAnsi="宋体" w:eastAsia="宋体"/>
                <w:sz w:val="16"/>
              </w:rPr>
              <w:t>2024年吉木萨尔县第六幼儿园特殊教育补助资金拨付11.35万元，幼儿在园人数93人，公用经费生均补助1100元，主要用于支付水电费、维修费、设备购置、材料采购等，保障学前教育工作正常运转，提高学生及家长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7CC586">
            <w:pPr>
              <w:jc w:val="both"/>
            </w:pPr>
            <w:r>
              <w:rPr>
                <w:rFonts w:hint="eastAsia" w:ascii="宋体" w:hAnsi="宋体"/>
                <w:sz w:val="16"/>
                <w:lang w:eastAsia="zh-CN"/>
              </w:rPr>
              <w:t>截至2024</w:t>
            </w:r>
            <w:r>
              <w:rPr>
                <w:rFonts w:ascii="宋体" w:hAnsi="宋体" w:eastAsia="宋体"/>
                <w:sz w:val="16"/>
              </w:rPr>
              <w:t>年12月31日，此项目支付11.35万元，预算执行率为100%,使我校61名幼儿享受到公用经费补助，补助覆盖率</w:t>
            </w:r>
            <w:r>
              <w:rPr>
                <w:rFonts w:hint="eastAsia" w:ascii="宋体" w:hAnsi="宋体"/>
                <w:sz w:val="16"/>
                <w:lang w:eastAsia="zh-CN"/>
              </w:rPr>
              <w:t>达到</w:t>
            </w:r>
            <w:r>
              <w:rPr>
                <w:rFonts w:ascii="宋体" w:hAnsi="宋体" w:eastAsia="宋体"/>
                <w:sz w:val="16"/>
              </w:rPr>
              <w:t>100%，保障了我校学前三年教育发展正常运转，学生、家长满意度达到90%。</w:t>
            </w:r>
          </w:p>
        </w:tc>
      </w:tr>
      <w:tr w14:paraId="6610CB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57A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AE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FB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5F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AF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DD9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48E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F2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936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FE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43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1D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D9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023C">
            <w:pPr>
              <w:jc w:val="center"/>
            </w:pPr>
            <w:r>
              <w:rPr>
                <w:rFonts w:ascii="宋体" w:hAnsi="宋体" w:eastAsia="宋体"/>
                <w:sz w:val="16"/>
              </w:rPr>
              <w:t>偏差原因分析及改进措施</w:t>
            </w:r>
          </w:p>
        </w:tc>
      </w:tr>
      <w:tr w14:paraId="1D8B2B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AD2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E4CC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40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2A19">
            <w:pPr>
              <w:jc w:val="center"/>
            </w:pPr>
            <w:r>
              <w:rPr>
                <w:rFonts w:ascii="宋体" w:hAnsi="宋体" w:eastAsia="宋体"/>
                <w:sz w:val="16"/>
              </w:rPr>
              <w:t>保障农村学前三年适龄幼儿人数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3D2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A41A">
            <w:pPr>
              <w:jc w:val="center"/>
            </w:pPr>
            <w:r>
              <w:rPr>
                <w:rFonts w:ascii="宋体" w:hAnsi="宋体" w:eastAsia="宋体"/>
                <w:sz w:val="16"/>
              </w:rPr>
              <w:t>&lt;=93人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971B">
            <w:pPr>
              <w:jc w:val="center"/>
            </w:pPr>
            <w:r>
              <w:rPr>
                <w:rFonts w:ascii="宋体" w:hAnsi="宋体" w:eastAsia="宋体"/>
                <w:sz w:val="16"/>
              </w:rPr>
              <w:t>=61人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7D68">
            <w:pPr>
              <w:jc w:val="center"/>
            </w:pPr>
            <w:r>
              <w:rPr>
                <w:rFonts w:ascii="宋体" w:hAnsi="宋体" w:eastAsia="宋体"/>
                <w:sz w:val="16"/>
              </w:rPr>
              <w:t>65.59%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B873">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C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D1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F3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2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D393">
            <w:pPr>
              <w:jc w:val="center"/>
            </w:pPr>
            <w:r>
              <w:rPr>
                <w:rFonts w:ascii="宋体" w:hAnsi="宋体" w:eastAsia="宋体"/>
                <w:sz w:val="16"/>
              </w:rPr>
              <w:t>2024年上半年幼儿人数为93人，下半年为60人，以2024年统计年报为准。</w:t>
            </w:r>
          </w:p>
        </w:tc>
      </w:tr>
      <w:tr w14:paraId="3BDC0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68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911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44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8C53">
            <w:pPr>
              <w:jc w:val="center"/>
            </w:pPr>
            <w:r>
              <w:rPr>
                <w:rFonts w:ascii="宋体" w:hAnsi="宋体" w:eastAsia="宋体"/>
                <w:sz w:val="16"/>
              </w:rPr>
              <w:t>农村学前国语教育覆盖率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EC7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3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8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B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961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C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7D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FB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D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11FA6">
            <w:pPr>
              <w:jc w:val="center"/>
            </w:pPr>
          </w:p>
        </w:tc>
      </w:tr>
      <w:tr w14:paraId="6DAD4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45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6D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11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10A6">
            <w:pPr>
              <w:jc w:val="center"/>
            </w:pPr>
            <w:r>
              <w:rPr>
                <w:rFonts w:ascii="宋体" w:hAnsi="宋体" w:eastAsia="宋体"/>
                <w:sz w:val="16"/>
              </w:rPr>
              <w:t>课本按期发放率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94B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8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3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E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0C4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B6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F8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64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81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A190">
            <w:pPr>
              <w:jc w:val="center"/>
            </w:pPr>
          </w:p>
        </w:tc>
      </w:tr>
      <w:tr w14:paraId="6B09B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924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FE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7D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2893">
            <w:pPr>
              <w:jc w:val="center"/>
            </w:pPr>
            <w:r>
              <w:rPr>
                <w:rFonts w:ascii="宋体" w:hAnsi="宋体" w:eastAsia="宋体"/>
                <w:sz w:val="16"/>
              </w:rPr>
              <w:t>幼儿生均保障标准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46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759D">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D08B">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7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D8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3D5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0A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76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5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ABAA">
            <w:pPr>
              <w:jc w:val="center"/>
            </w:pPr>
          </w:p>
        </w:tc>
      </w:tr>
      <w:tr w14:paraId="215D9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8D6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8F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32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6753">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A7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154C">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E52D">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8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3D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C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2D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AC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1B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866B">
            <w:pPr>
              <w:jc w:val="center"/>
            </w:pPr>
          </w:p>
        </w:tc>
      </w:tr>
      <w:tr w14:paraId="6FD93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83A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14BF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8E8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1DEF">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85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82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C34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8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DC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9E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68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0A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F6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22DC">
            <w:pPr>
              <w:jc w:val="center"/>
            </w:pPr>
          </w:p>
        </w:tc>
      </w:tr>
      <w:tr w14:paraId="460C90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DF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00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834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CA9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3C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D2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15E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B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EB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64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BB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6B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9C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3EE2">
            <w:pPr>
              <w:jc w:val="center"/>
            </w:pPr>
          </w:p>
        </w:tc>
      </w:tr>
      <w:tr w14:paraId="13D3B1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49DD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4D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2CC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9FD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8C53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8CC1">
            <w:pPr>
              <w:jc w:val="center"/>
            </w:pPr>
            <w:r>
              <w:rPr>
                <w:rFonts w:ascii="宋体" w:hAnsi="宋体" w:eastAsia="宋体"/>
                <w:sz w:val="16"/>
              </w:rPr>
              <w:t>87.10分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98D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33C2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3CAA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C9BB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B75AF5"/>
        </w:tc>
      </w:tr>
    </w:tbl>
    <w:p w14:paraId="38DD0835">
      <w:r>
        <w:br w:type="page"/>
      </w:r>
    </w:p>
    <w:p w14:paraId="46D8FDA7">
      <w:pPr>
        <w:spacing w:line="640" w:lineRule="exact"/>
        <w:ind w:firstLine="640"/>
        <w:jc w:val="both"/>
        <w:outlineLvl w:val="2"/>
      </w:pPr>
      <w:r>
        <w:rPr>
          <w:rFonts w:ascii="黑体" w:hAnsi="黑体" w:eastAsia="黑体"/>
          <w:sz w:val="32"/>
        </w:rPr>
        <w:t>十二、其他需说明的事项</w:t>
      </w:r>
    </w:p>
    <w:p w14:paraId="67105C92">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6C69C767">
      <w:r>
        <w:br w:type="page"/>
      </w:r>
    </w:p>
    <w:p w14:paraId="035B2743">
      <w:pPr>
        <w:spacing w:line="240" w:lineRule="auto"/>
        <w:jc w:val="center"/>
        <w:outlineLvl w:val="1"/>
      </w:pPr>
      <w:r>
        <w:rPr>
          <w:rFonts w:ascii="黑体" w:hAnsi="黑体" w:eastAsia="黑体"/>
          <w:sz w:val="32"/>
        </w:rPr>
        <w:t>第三部分 专业名词解释</w:t>
      </w:r>
    </w:p>
    <w:p w14:paraId="410E984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87E1F1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DDF4BF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CC977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30D53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EBAACD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3CBE83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04E3C7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24D82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9C06ED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C8C85E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22586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F0F1E9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15649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E6D3602">
      <w:r>
        <w:br w:type="page"/>
      </w:r>
    </w:p>
    <w:p w14:paraId="3C3099D6">
      <w:pPr>
        <w:spacing w:line="240" w:lineRule="auto"/>
        <w:jc w:val="center"/>
        <w:outlineLvl w:val="1"/>
      </w:pPr>
      <w:r>
        <w:rPr>
          <w:rFonts w:ascii="黑体" w:hAnsi="黑体" w:eastAsia="黑体"/>
          <w:sz w:val="32"/>
        </w:rPr>
        <w:t>第四部分 部门决算报表（见附表）</w:t>
      </w:r>
    </w:p>
    <w:p w14:paraId="3388DC04">
      <w:pPr>
        <w:spacing w:line="240" w:lineRule="auto"/>
        <w:ind w:firstLine="640"/>
        <w:jc w:val="both"/>
      </w:pPr>
      <w:r>
        <w:rPr>
          <w:rFonts w:ascii="仿宋_GB2312" w:hAnsi="仿宋_GB2312" w:eastAsia="仿宋_GB2312"/>
          <w:b w:val="0"/>
          <w:sz w:val="32"/>
        </w:rPr>
        <w:t>一、《收入支出决算总表》</w:t>
      </w:r>
    </w:p>
    <w:p w14:paraId="44C7B2FA">
      <w:pPr>
        <w:spacing w:line="240" w:lineRule="auto"/>
        <w:ind w:firstLine="640"/>
        <w:jc w:val="both"/>
      </w:pPr>
      <w:r>
        <w:rPr>
          <w:rFonts w:ascii="仿宋_GB2312" w:hAnsi="仿宋_GB2312" w:eastAsia="仿宋_GB2312"/>
          <w:b w:val="0"/>
          <w:sz w:val="32"/>
        </w:rPr>
        <w:t>二、《收入决算表》</w:t>
      </w:r>
    </w:p>
    <w:p w14:paraId="0186B373">
      <w:pPr>
        <w:spacing w:line="240" w:lineRule="auto"/>
        <w:ind w:firstLine="640"/>
        <w:jc w:val="both"/>
      </w:pPr>
      <w:r>
        <w:rPr>
          <w:rFonts w:ascii="仿宋_GB2312" w:hAnsi="仿宋_GB2312" w:eastAsia="仿宋_GB2312"/>
          <w:b w:val="0"/>
          <w:sz w:val="32"/>
        </w:rPr>
        <w:t>三、《支出决算表》</w:t>
      </w:r>
    </w:p>
    <w:p w14:paraId="54E788FD">
      <w:pPr>
        <w:spacing w:line="240" w:lineRule="auto"/>
        <w:ind w:firstLine="640"/>
        <w:jc w:val="both"/>
      </w:pPr>
      <w:r>
        <w:rPr>
          <w:rFonts w:ascii="仿宋_GB2312" w:hAnsi="仿宋_GB2312" w:eastAsia="仿宋_GB2312"/>
          <w:b w:val="0"/>
          <w:sz w:val="32"/>
        </w:rPr>
        <w:t>四、《财政拨款收入支出决算总表》</w:t>
      </w:r>
    </w:p>
    <w:p w14:paraId="53E55901">
      <w:pPr>
        <w:spacing w:line="240" w:lineRule="auto"/>
        <w:ind w:firstLine="640"/>
        <w:jc w:val="both"/>
      </w:pPr>
      <w:r>
        <w:rPr>
          <w:rFonts w:ascii="仿宋_GB2312" w:hAnsi="仿宋_GB2312" w:eastAsia="仿宋_GB2312"/>
          <w:b w:val="0"/>
          <w:sz w:val="32"/>
        </w:rPr>
        <w:t>五、《一般公共预算财政拨款支出决算表》</w:t>
      </w:r>
    </w:p>
    <w:p w14:paraId="3F1722F1">
      <w:pPr>
        <w:spacing w:line="240" w:lineRule="auto"/>
        <w:ind w:firstLine="640"/>
        <w:jc w:val="both"/>
      </w:pPr>
      <w:r>
        <w:rPr>
          <w:rFonts w:ascii="仿宋_GB2312" w:hAnsi="仿宋_GB2312" w:eastAsia="仿宋_GB2312"/>
          <w:b w:val="0"/>
          <w:sz w:val="32"/>
        </w:rPr>
        <w:t>六、《一般公共预算财政拨款基本支出决算表》</w:t>
      </w:r>
    </w:p>
    <w:p w14:paraId="1847F28E">
      <w:pPr>
        <w:spacing w:line="240" w:lineRule="auto"/>
        <w:ind w:firstLine="640"/>
        <w:jc w:val="both"/>
      </w:pPr>
      <w:r>
        <w:rPr>
          <w:rFonts w:ascii="仿宋_GB2312" w:hAnsi="仿宋_GB2312" w:eastAsia="仿宋_GB2312"/>
          <w:b w:val="0"/>
          <w:sz w:val="32"/>
        </w:rPr>
        <w:t>七、《政府性基金预算财政拨款收入支出决算表》</w:t>
      </w:r>
    </w:p>
    <w:p w14:paraId="036140A8">
      <w:pPr>
        <w:spacing w:line="240" w:lineRule="auto"/>
        <w:ind w:firstLine="640"/>
        <w:jc w:val="both"/>
      </w:pPr>
      <w:r>
        <w:rPr>
          <w:rFonts w:ascii="仿宋_GB2312" w:hAnsi="仿宋_GB2312" w:eastAsia="仿宋_GB2312"/>
          <w:b w:val="0"/>
          <w:sz w:val="32"/>
        </w:rPr>
        <w:t>八、《国有资本经营预算财政拨款收入支出决算表》</w:t>
      </w:r>
    </w:p>
    <w:p w14:paraId="7C7BDA38">
      <w:pPr>
        <w:spacing w:line="240" w:lineRule="auto"/>
        <w:ind w:firstLine="640"/>
        <w:jc w:val="both"/>
      </w:pPr>
      <w:r>
        <w:rPr>
          <w:rFonts w:ascii="仿宋_GB2312" w:hAnsi="仿宋_GB2312" w:eastAsia="仿宋_GB2312"/>
          <w:b w:val="0"/>
          <w:sz w:val="32"/>
        </w:rPr>
        <w:t>九、《财政拨款“三公”经费支出决算表》</w:t>
      </w:r>
    </w:p>
    <w:p w14:paraId="4701772D">
      <w:pPr>
        <w:spacing w:line="240" w:lineRule="auto"/>
        <w:ind w:firstLine="640"/>
        <w:jc w:val="both"/>
      </w:pPr>
    </w:p>
    <w:p w14:paraId="5A717EC3">
      <w:pPr>
        <w:spacing w:line="240" w:lineRule="auto"/>
        <w:ind w:firstLine="640"/>
        <w:jc w:val="both"/>
      </w:pPr>
    </w:p>
    <w:p w14:paraId="46ACCFDD">
      <w:pPr>
        <w:spacing w:line="240" w:lineRule="auto"/>
        <w:ind w:firstLine="640"/>
        <w:jc w:val="both"/>
      </w:pPr>
    </w:p>
    <w:p w14:paraId="70A892EF">
      <w:pPr>
        <w:spacing w:line="240" w:lineRule="auto"/>
        <w:ind w:firstLine="640"/>
        <w:jc w:val="both"/>
      </w:pPr>
    </w:p>
    <w:p w14:paraId="48B7F73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38E4AE-CCAB-4F06-973C-A224765757B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5EEF31C-9D8B-4F10-ADE6-DFEDA6A95B81}"/>
  </w:font>
  <w:font w:name="仿宋_GB2312">
    <w:panose1 w:val="02010609030101010101"/>
    <w:charset w:val="86"/>
    <w:family w:val="modern"/>
    <w:pitch w:val="default"/>
    <w:sig w:usb0="00000001" w:usb1="080E0000" w:usb2="00000000" w:usb3="00000000" w:csb0="00040000" w:csb1="00000000"/>
    <w:embedRegular r:id="rId3" w:fontKey="{BB1C5E33-A10E-4272-A21D-FC422C21365B}"/>
  </w:font>
  <w:font w:name="楷体_GB2312">
    <w:panose1 w:val="02010609030101010101"/>
    <w:charset w:val="86"/>
    <w:family w:val="auto"/>
    <w:pitch w:val="default"/>
    <w:sig w:usb0="00000001" w:usb1="080E0000" w:usb2="00000000" w:usb3="00000000" w:csb0="00040000" w:csb1="00000000"/>
    <w:embedRegular r:id="rId4" w:fontKey="{7CF1002F-FA76-4BE6-A803-58F30D30AEE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C62A51"/>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5D3878"/>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4481</Words>
  <Characters>5199</Characters>
  <Lines>0</Lines>
  <Paragraphs>0</Paragraphs>
  <TotalTime>3</TotalTime>
  <ScaleCrop>false</ScaleCrop>
  <LinksUpToDate>false</LinksUpToDate>
  <CharactersWithSpaces>5207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2025-10-14T03:00:32Z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