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吉木萨尔县第五幼儿园2024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A10569">
      <w:r>
        <w:br w:type="page"/>
      </w:r>
    </w:p>
    <w:p w14:paraId="12042209">
      <w:pPr>
        <w:spacing w:line="640" w:lineRule="exact"/>
        <w:jc w:val="center"/>
        <w:outlineLvl w:val="1"/>
      </w:pPr>
      <w:r>
        <w:rPr>
          <w:rFonts w:ascii="黑体" w:hAnsi="黑体" w:eastAsia="黑体"/>
          <w:sz w:val="32"/>
        </w:rPr>
        <w:t>第一部分 单位概况</w:t>
      </w:r>
    </w:p>
    <w:p w14:paraId="3E1A10AF">
      <w:pPr>
        <w:spacing w:line="640" w:lineRule="exact"/>
        <w:ind w:firstLine="640"/>
        <w:jc w:val="both"/>
        <w:outlineLvl w:val="2"/>
      </w:pPr>
      <w:r>
        <w:rPr>
          <w:rFonts w:ascii="黑体" w:hAnsi="黑体" w:eastAsia="黑体"/>
          <w:sz w:val="32"/>
        </w:rPr>
        <w:t>一、主要职能</w:t>
      </w:r>
    </w:p>
    <w:p w14:paraId="4FCE8DD1">
      <w:pPr>
        <w:spacing w:line="580" w:lineRule="exact"/>
        <w:ind w:firstLine="640"/>
        <w:jc w:val="both"/>
      </w:pPr>
      <w:r>
        <w:rPr>
          <w:rFonts w:ascii="仿宋_GB2312" w:hAnsi="仿宋_GB2312" w:eastAsia="仿宋_GB2312"/>
          <w:sz w:val="32"/>
        </w:rPr>
        <w:t>1、实施幼儿保育幼儿教育工作。</w:t>
      </w:r>
    </w:p>
    <w:p w14:paraId="0BA7DF72">
      <w:pPr>
        <w:spacing w:line="580" w:lineRule="exact"/>
        <w:ind w:firstLine="640"/>
        <w:jc w:val="both"/>
      </w:pPr>
      <w:r>
        <w:rPr>
          <w:rFonts w:ascii="仿宋_GB2312" w:hAnsi="仿宋_GB2312" w:eastAsia="仿宋_GB2312"/>
          <w:sz w:val="32"/>
        </w:rPr>
        <w:t>2、负责幼儿园教学业务指导和教研工作。</w:t>
      </w:r>
    </w:p>
    <w:p w14:paraId="5CC06C15">
      <w:pPr>
        <w:spacing w:line="580" w:lineRule="exact"/>
        <w:ind w:firstLine="640"/>
        <w:jc w:val="both"/>
      </w:pPr>
      <w:r>
        <w:rPr>
          <w:rFonts w:ascii="仿宋_GB2312" w:hAnsi="仿宋_GB2312" w:eastAsia="仿宋_GB2312"/>
          <w:sz w:val="32"/>
        </w:rPr>
        <w:t>3、负责幼儿园领导班子的考核和推荐。</w:t>
      </w:r>
    </w:p>
    <w:p w14:paraId="4890D69E">
      <w:pPr>
        <w:spacing w:line="580" w:lineRule="exact"/>
        <w:ind w:firstLine="640"/>
        <w:jc w:val="both"/>
      </w:pPr>
      <w:r>
        <w:rPr>
          <w:rFonts w:ascii="仿宋_GB2312" w:hAnsi="仿宋_GB2312" w:eastAsia="仿宋_GB2312"/>
          <w:sz w:val="32"/>
        </w:rPr>
        <w:t>4、负责幼儿园教师的管理和服务。</w:t>
      </w:r>
    </w:p>
    <w:p w14:paraId="750C6B1C">
      <w:pPr>
        <w:spacing w:line="580" w:lineRule="exact"/>
        <w:ind w:firstLine="640"/>
        <w:jc w:val="both"/>
      </w:pPr>
      <w:r>
        <w:rPr>
          <w:rFonts w:ascii="仿宋_GB2312" w:hAnsi="仿宋_GB2312" w:eastAsia="仿宋_GB2312"/>
          <w:sz w:val="32"/>
        </w:rPr>
        <w:t>5、负责幼儿园各项经费的安排使用和管理。</w:t>
      </w:r>
    </w:p>
    <w:p w14:paraId="5F7C8633">
      <w:pPr>
        <w:spacing w:line="640" w:lineRule="exact"/>
        <w:ind w:firstLine="640"/>
        <w:jc w:val="both"/>
        <w:outlineLvl w:val="2"/>
      </w:pPr>
      <w:r>
        <w:rPr>
          <w:rFonts w:ascii="黑体" w:hAnsi="黑体" w:eastAsia="黑体"/>
          <w:sz w:val="32"/>
        </w:rPr>
        <w:t>二、机构设置及人员情况</w:t>
      </w:r>
    </w:p>
    <w:p w14:paraId="5D090A95">
      <w:pPr>
        <w:spacing w:line="580" w:lineRule="exact"/>
        <w:ind w:firstLine="640"/>
        <w:jc w:val="both"/>
      </w:pPr>
      <w:r>
        <w:rPr>
          <w:rFonts w:ascii="仿宋_GB2312" w:hAnsi="仿宋_GB2312" w:eastAsia="仿宋_GB2312"/>
          <w:sz w:val="32"/>
        </w:rPr>
        <w:t>吉木萨尔县第五幼儿园2024年度，实有人数19人，其中：在职人员19人，增加1人；离休人员0人，增加0人；退休人员0人,增加0人。</w:t>
      </w:r>
    </w:p>
    <w:p w14:paraId="5F629572">
      <w:pPr>
        <w:spacing w:line="580" w:lineRule="exact"/>
        <w:ind w:firstLine="640"/>
        <w:jc w:val="both"/>
      </w:pPr>
      <w:r>
        <w:rPr>
          <w:rFonts w:ascii="仿宋_GB2312" w:hAnsi="仿宋_GB2312" w:eastAsia="仿宋_GB2312"/>
          <w:sz w:val="32"/>
        </w:rPr>
        <w:t>吉木萨尔县第五幼儿园无下属预算单位，下设6个科室，分别是：教务处、思政处、财务室、综合治理办、后勤处、工会。</w:t>
      </w:r>
    </w:p>
    <w:p w14:paraId="2D6FB382">
      <w:r>
        <w:br w:type="page"/>
      </w:r>
    </w:p>
    <w:p w14:paraId="76FE4BA1">
      <w:pPr>
        <w:spacing w:line="240" w:lineRule="auto"/>
        <w:jc w:val="center"/>
        <w:outlineLvl w:val="1"/>
      </w:pPr>
      <w:r>
        <w:rPr>
          <w:rFonts w:ascii="黑体" w:hAnsi="黑体" w:eastAsia="黑体"/>
          <w:sz w:val="32"/>
        </w:rPr>
        <w:t>第二部分 部门决算情况说明</w:t>
      </w:r>
    </w:p>
    <w:p w14:paraId="3218C8ED">
      <w:pPr>
        <w:spacing w:line="640" w:lineRule="exact"/>
        <w:ind w:firstLine="640"/>
        <w:jc w:val="both"/>
        <w:outlineLvl w:val="2"/>
      </w:pPr>
      <w:r>
        <w:rPr>
          <w:rFonts w:ascii="黑体" w:hAnsi="黑体" w:eastAsia="黑体"/>
          <w:sz w:val="32"/>
        </w:rPr>
        <w:t>一、收入支出决算总体情况说明</w:t>
      </w:r>
    </w:p>
    <w:p w14:paraId="0419E06B">
      <w:pPr>
        <w:spacing w:line="580" w:lineRule="exact"/>
        <w:ind w:firstLine="640"/>
        <w:jc w:val="both"/>
      </w:pPr>
      <w:r>
        <w:rPr>
          <w:rFonts w:ascii="仿宋_GB2312" w:hAnsi="仿宋_GB2312" w:eastAsia="仿宋_GB2312"/>
          <w:b/>
          <w:sz w:val="32"/>
        </w:rPr>
        <w:t>2024年度收入总计502.14万元，</w:t>
      </w:r>
      <w:r>
        <w:rPr>
          <w:rFonts w:ascii="仿宋_GB2312" w:hAnsi="仿宋_GB2312" w:eastAsia="仿宋_GB2312"/>
          <w:b w:val="0"/>
          <w:sz w:val="32"/>
        </w:rPr>
        <w:t>其中：本年收入合计497.44万元，使用非财政拨款结余（含专用结余）0.00万元，年初结转和结余4.70万元。</w:t>
      </w:r>
    </w:p>
    <w:p w14:paraId="3FE6BF1C">
      <w:pPr>
        <w:spacing w:line="580" w:lineRule="exact"/>
        <w:ind w:firstLine="640"/>
        <w:jc w:val="both"/>
      </w:pPr>
      <w:r>
        <w:rPr>
          <w:rFonts w:ascii="仿宋_GB2312" w:hAnsi="仿宋_GB2312" w:eastAsia="仿宋_GB2312"/>
          <w:b/>
          <w:sz w:val="32"/>
        </w:rPr>
        <w:t>2024年度支出总计502.14万元，</w:t>
      </w:r>
      <w:r>
        <w:rPr>
          <w:rFonts w:ascii="仿宋_GB2312" w:hAnsi="仿宋_GB2312" w:eastAsia="仿宋_GB2312"/>
          <w:b w:val="0"/>
          <w:sz w:val="32"/>
        </w:rPr>
        <w:t>其中：本年支出合计497.43万元，结余分配0.00万元，年末结转和结余4.71万元。</w:t>
      </w:r>
    </w:p>
    <w:p w14:paraId="707E9651">
      <w:pPr>
        <w:spacing w:line="580" w:lineRule="exact"/>
        <w:ind w:firstLine="640"/>
        <w:jc w:val="both"/>
      </w:pPr>
      <w:r>
        <w:rPr>
          <w:rFonts w:ascii="仿宋_GB2312" w:hAnsi="仿宋_GB2312" w:eastAsia="仿宋_GB2312"/>
          <w:b w:val="0"/>
          <w:sz w:val="32"/>
        </w:rPr>
        <w:t>收入支出总体与上年相比，增加41.93万元，增长9.11%，主要原因是：本年在职人员工资调增，人员经费增加；本年新疆西藏等地区教育特殊补助资金较上年增加；本年增加教育系统2024年度公用采暖费。</w:t>
      </w:r>
    </w:p>
    <w:p w14:paraId="1F5CE5A6">
      <w:pPr>
        <w:spacing w:line="640" w:lineRule="exact"/>
        <w:ind w:firstLine="640"/>
        <w:jc w:val="both"/>
        <w:outlineLvl w:val="2"/>
      </w:pPr>
      <w:r>
        <w:rPr>
          <w:rFonts w:ascii="黑体" w:hAnsi="黑体" w:eastAsia="黑体"/>
          <w:sz w:val="32"/>
        </w:rPr>
        <w:t>二、收入决算情况说明</w:t>
      </w:r>
    </w:p>
    <w:p w14:paraId="0B21F5A0">
      <w:pPr>
        <w:spacing w:line="580" w:lineRule="exact"/>
        <w:ind w:firstLine="640"/>
        <w:jc w:val="both"/>
      </w:pPr>
      <w:r>
        <w:rPr>
          <w:rFonts w:ascii="仿宋_GB2312" w:hAnsi="仿宋_GB2312" w:eastAsia="仿宋_GB2312"/>
          <w:b/>
          <w:sz w:val="32"/>
        </w:rPr>
        <w:t>本年收入497.44万元，</w:t>
      </w:r>
      <w:r>
        <w:rPr>
          <w:rFonts w:ascii="仿宋_GB2312" w:hAnsi="仿宋_GB2312" w:eastAsia="仿宋_GB2312"/>
          <w:b w:val="0"/>
          <w:sz w:val="32"/>
        </w:rPr>
        <w:t>其中：财政拨款收入497.41万元，占99.99%；上级补助收入0.00万元，占0.00%；事业收入0.00万元，占0.00%；经营收入0.00万元，占0.00%；附属单位上缴收入0.00万元，占0.00%；其他收入0.03万元，占0.006%。</w:t>
      </w:r>
    </w:p>
    <w:p w14:paraId="69070F6D">
      <w:pPr>
        <w:spacing w:line="640" w:lineRule="exact"/>
        <w:ind w:firstLine="640"/>
        <w:jc w:val="both"/>
        <w:outlineLvl w:val="2"/>
      </w:pPr>
      <w:r>
        <w:rPr>
          <w:rFonts w:ascii="黑体" w:hAnsi="黑体" w:eastAsia="黑体"/>
          <w:sz w:val="32"/>
        </w:rPr>
        <w:t>三、支出决算情况说明</w:t>
      </w:r>
    </w:p>
    <w:p w14:paraId="3ED2D9C4">
      <w:pPr>
        <w:spacing w:line="580" w:lineRule="exact"/>
        <w:ind w:firstLine="640"/>
        <w:jc w:val="both"/>
      </w:pPr>
      <w:r>
        <w:rPr>
          <w:rFonts w:ascii="仿宋_GB2312" w:hAnsi="仿宋_GB2312" w:eastAsia="仿宋_GB2312"/>
          <w:b/>
          <w:sz w:val="32"/>
        </w:rPr>
        <w:t>本年支出497.43万元，</w:t>
      </w:r>
      <w:r>
        <w:rPr>
          <w:rFonts w:ascii="仿宋_GB2312" w:hAnsi="仿宋_GB2312" w:eastAsia="仿宋_GB2312"/>
          <w:b w:val="0"/>
          <w:sz w:val="32"/>
        </w:rPr>
        <w:t>其中：基本支出380.05万元，占76.40%；项目支出117.38万元，占23.60%；上缴上级支出0.00万元，占0.00%；经营支出0.00万元，占0.00%；对附属单位补助支出0.00万元，占0.00%。</w:t>
      </w:r>
    </w:p>
    <w:p w14:paraId="04719683">
      <w:pPr>
        <w:spacing w:line="640" w:lineRule="exact"/>
        <w:ind w:firstLine="640"/>
        <w:jc w:val="both"/>
        <w:outlineLvl w:val="2"/>
      </w:pPr>
      <w:r>
        <w:rPr>
          <w:rFonts w:ascii="黑体" w:hAnsi="黑体" w:eastAsia="黑体"/>
          <w:sz w:val="32"/>
        </w:rPr>
        <w:t>四、财政拨款收入支出决算总体情况说明</w:t>
      </w:r>
    </w:p>
    <w:p w14:paraId="6E628937">
      <w:pPr>
        <w:spacing w:line="580" w:lineRule="exact"/>
        <w:ind w:firstLine="640"/>
        <w:jc w:val="both"/>
      </w:pPr>
      <w:r>
        <w:rPr>
          <w:rFonts w:ascii="仿宋_GB2312" w:hAnsi="仿宋_GB2312" w:eastAsia="仿宋_GB2312"/>
          <w:b/>
          <w:sz w:val="32"/>
        </w:rPr>
        <w:t>2024年度财政拨款收入总计497.41万元，</w:t>
      </w:r>
      <w:r>
        <w:rPr>
          <w:rFonts w:ascii="仿宋_GB2312" w:hAnsi="仿宋_GB2312" w:eastAsia="仿宋_GB2312"/>
          <w:b w:val="0"/>
          <w:sz w:val="32"/>
        </w:rPr>
        <w:t>其中：年初财政拨款结转和结余0.00万元，本年财政拨款收入497.41万元。</w:t>
      </w:r>
      <w:r>
        <w:rPr>
          <w:rFonts w:ascii="仿宋_GB2312" w:hAnsi="仿宋_GB2312" w:eastAsia="仿宋_GB2312"/>
          <w:b/>
          <w:sz w:val="32"/>
        </w:rPr>
        <w:t>财政拨款支出总计497.41万元，</w:t>
      </w:r>
      <w:r>
        <w:rPr>
          <w:rFonts w:ascii="仿宋_GB2312" w:hAnsi="仿宋_GB2312" w:eastAsia="仿宋_GB2312"/>
          <w:b w:val="0"/>
          <w:sz w:val="32"/>
        </w:rPr>
        <w:t>其中：年末财政拨款结转和结余0.00万元，本年财政拨款支出497.41万元。</w:t>
      </w:r>
    </w:p>
    <w:p w14:paraId="7E44406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增加42.31万元，增长9.30%，主要原因是：本年在职人员工资调增，人员经费增加；本年新疆西藏等地区教育特殊补助资金较上年增加；本年增加教育系统2024年度公用采暖费。</w:t>
      </w:r>
      <w:r>
        <w:rPr>
          <w:rFonts w:ascii="仿宋_GB2312" w:hAnsi="仿宋_GB2312" w:eastAsia="仿宋_GB2312"/>
          <w:b/>
          <w:sz w:val="32"/>
        </w:rPr>
        <w:t>与年初预算相比，</w:t>
      </w:r>
      <w:r>
        <w:rPr>
          <w:rFonts w:ascii="仿宋_GB2312" w:hAnsi="仿宋_GB2312" w:eastAsia="仿宋_GB2312"/>
          <w:b w:val="0"/>
          <w:sz w:val="32"/>
        </w:rPr>
        <w:t>年初预算数443.02万元，决算数497.41万元，预决算差异率12.28%，主要原因是：年中追加五幼2024年县级配套学前三年保障资金（伙食费）、五幼2024年县级配套学前三年免费教育保障机制补助经费（公用经费）、五幼昌州财教</w:t>
      </w:r>
      <w:r>
        <w:rPr>
          <w:rFonts w:hint="eastAsia" w:ascii="仿宋_GB2312" w:hAnsi="仿宋_GB2312" w:eastAsia="仿宋_GB2312"/>
          <w:b w:val="0"/>
          <w:sz w:val="32"/>
          <w:lang w:eastAsia="zh-CN"/>
        </w:rPr>
        <w:t>〔2023〕96号</w:t>
      </w:r>
      <w:r>
        <w:rPr>
          <w:rFonts w:ascii="仿宋_GB2312" w:hAnsi="仿宋_GB2312" w:eastAsia="仿宋_GB2312"/>
          <w:b w:val="0"/>
          <w:sz w:val="32"/>
        </w:rPr>
        <w:t>关于提前下达2024年新疆西藏等地区教育特殊补助资金的通知（园舍维修资金）等，导致预决算存在差异。</w:t>
      </w:r>
    </w:p>
    <w:p w14:paraId="208AEA1B">
      <w:pPr>
        <w:spacing w:line="640" w:lineRule="exact"/>
        <w:ind w:firstLine="640"/>
        <w:jc w:val="both"/>
        <w:outlineLvl w:val="2"/>
      </w:pPr>
      <w:r>
        <w:rPr>
          <w:rFonts w:ascii="黑体" w:hAnsi="黑体" w:eastAsia="黑体"/>
          <w:sz w:val="32"/>
        </w:rPr>
        <w:t>五、一般公共预算财政拨款支出决算情况说明</w:t>
      </w:r>
    </w:p>
    <w:p w14:paraId="3E4ACA21">
      <w:pPr>
        <w:spacing w:line="640" w:lineRule="exact"/>
        <w:ind w:firstLine="640"/>
        <w:jc w:val="both"/>
        <w:outlineLvl w:val="3"/>
      </w:pPr>
      <w:r>
        <w:rPr>
          <w:rFonts w:ascii="楷体_GB2312" w:hAnsi="楷体_GB2312" w:eastAsia="楷体_GB2312"/>
          <w:b/>
          <w:sz w:val="32"/>
        </w:rPr>
        <w:t>（一）一般公共预算财政拨款支出决算总体情况</w:t>
      </w:r>
    </w:p>
    <w:p w14:paraId="199474E4">
      <w:pPr>
        <w:spacing w:line="580" w:lineRule="exact"/>
        <w:ind w:firstLine="640"/>
        <w:jc w:val="both"/>
      </w:pPr>
      <w:r>
        <w:rPr>
          <w:rFonts w:ascii="仿宋_GB2312" w:hAnsi="仿宋_GB2312" w:eastAsia="仿宋_GB2312"/>
          <w:b/>
          <w:sz w:val="32"/>
        </w:rPr>
        <w:t>2024年度一般公共预算财政拨款支出497.41万元，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增加42.31万元，增长9.30%，主要原因是：本年在职人员工资调增，人员经费增加；本年新疆西藏等地区教育特殊补助资金较上年增加；本年增加教育系统2024年度公用采暖费。</w:t>
      </w:r>
      <w:r>
        <w:rPr>
          <w:rFonts w:ascii="仿宋_GB2312" w:hAnsi="仿宋_GB2312" w:eastAsia="仿宋_GB2312"/>
          <w:b/>
          <w:sz w:val="32"/>
        </w:rPr>
        <w:t>与年初预算相比,</w:t>
      </w:r>
      <w:r>
        <w:rPr>
          <w:rFonts w:ascii="仿宋_GB2312" w:hAnsi="仿宋_GB2312" w:eastAsia="仿宋_GB2312"/>
          <w:b w:val="0"/>
          <w:sz w:val="32"/>
        </w:rPr>
        <w:t>年初预算数443.02万元，决算数497.41万元，预决算差异率12.28%，主要原因是：年中追加五幼2024年县级配套学前三年保障资金（伙食费）、五幼2024年县级配套学前三年免费教育保障机制补助经费（公用经费）、五幼昌州财教</w:t>
      </w:r>
      <w:r>
        <w:rPr>
          <w:rFonts w:hint="eastAsia" w:ascii="仿宋_GB2312" w:hAnsi="仿宋_GB2312" w:eastAsia="仿宋_GB2312"/>
          <w:b w:val="0"/>
          <w:sz w:val="32"/>
          <w:lang w:eastAsia="zh-CN"/>
        </w:rPr>
        <w:t>〔2023〕96号</w:t>
      </w:r>
      <w:r>
        <w:rPr>
          <w:rFonts w:ascii="仿宋_GB2312" w:hAnsi="仿宋_GB2312" w:eastAsia="仿宋_GB2312"/>
          <w:b w:val="0"/>
          <w:sz w:val="32"/>
        </w:rPr>
        <w:t>关于提前下达2024年新疆西藏等地区教育特殊补助资金的通知（园舍维修资金）等，导致预决算存在差异。</w:t>
      </w:r>
    </w:p>
    <w:p w14:paraId="1ECF8F5F">
      <w:pPr>
        <w:spacing w:line="640" w:lineRule="exact"/>
        <w:ind w:firstLine="640"/>
        <w:jc w:val="both"/>
        <w:outlineLvl w:val="3"/>
      </w:pPr>
      <w:r>
        <w:rPr>
          <w:rFonts w:ascii="楷体_GB2312" w:hAnsi="楷体_GB2312" w:eastAsia="楷体_GB2312"/>
          <w:b/>
          <w:sz w:val="32"/>
        </w:rPr>
        <w:t>（二）一般公共预算财政拨款支出决算结构情况</w:t>
      </w:r>
    </w:p>
    <w:p w14:paraId="07A08FD7">
      <w:pPr>
        <w:spacing w:line="580" w:lineRule="exact"/>
        <w:ind w:firstLine="640"/>
        <w:jc w:val="both"/>
      </w:pPr>
      <w:r>
        <w:rPr>
          <w:rFonts w:ascii="仿宋_GB2312" w:hAnsi="仿宋_GB2312" w:eastAsia="仿宋_GB2312"/>
          <w:b w:val="0"/>
          <w:sz w:val="32"/>
        </w:rPr>
        <w:t>1.教育支出(类)494.70万元,占99.46%。</w:t>
      </w:r>
    </w:p>
    <w:p w14:paraId="657822EF">
      <w:pPr>
        <w:spacing w:line="580" w:lineRule="exact"/>
        <w:ind w:firstLine="640"/>
        <w:jc w:val="both"/>
      </w:pPr>
      <w:r>
        <w:rPr>
          <w:rFonts w:ascii="仿宋_GB2312" w:hAnsi="仿宋_GB2312" w:eastAsia="仿宋_GB2312"/>
          <w:b w:val="0"/>
          <w:sz w:val="32"/>
        </w:rPr>
        <w:t>2.住房保障支出(类)2.71万元,占0.54%。</w:t>
      </w:r>
    </w:p>
    <w:p w14:paraId="00112A08">
      <w:pPr>
        <w:spacing w:line="640" w:lineRule="exact"/>
        <w:ind w:firstLine="640"/>
        <w:jc w:val="both"/>
        <w:outlineLvl w:val="3"/>
      </w:pPr>
      <w:r>
        <w:rPr>
          <w:rFonts w:ascii="楷体_GB2312" w:hAnsi="楷体_GB2312" w:eastAsia="楷体_GB2312"/>
          <w:b/>
          <w:sz w:val="32"/>
        </w:rPr>
        <w:t>（三）一般公共预算财政拨款支出决算具体情况</w:t>
      </w:r>
    </w:p>
    <w:p w14:paraId="6F663909">
      <w:pPr>
        <w:spacing w:line="580" w:lineRule="exact"/>
        <w:ind w:firstLine="640"/>
        <w:jc w:val="both"/>
      </w:pPr>
      <w:r>
        <w:rPr>
          <w:rFonts w:ascii="仿宋_GB2312" w:hAnsi="仿宋_GB2312" w:eastAsia="仿宋_GB2312"/>
          <w:b w:val="0"/>
          <w:sz w:val="32"/>
        </w:rPr>
        <w:t>1.教育支出(类)普通教育(款)学前教育(项):支出决算数为486.84万元，比上年决算增加31.74万元，增长6.97%,主要原因是：本年在职人员工资调增，人员经费增加。本年新疆西藏等地区教育特殊补助资金较上年增加。</w:t>
      </w:r>
    </w:p>
    <w:p w14:paraId="4680B05D">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2.教育支出(类)教育费附加安排的支出(款)其他教育费附加安排的支出(项):支出决算数为7.86万元，比上年决算增加7.86万元，增长100.00%,主要原因是：本年增加教育系统2024年度公用采暖费。</w:t>
      </w:r>
    </w:p>
    <w:p w14:paraId="5C380FBB">
      <w:pPr>
        <w:spacing w:line="580" w:lineRule="exact"/>
        <w:ind w:firstLine="640"/>
        <w:jc w:val="both"/>
      </w:pPr>
      <w:r>
        <w:rPr>
          <w:rFonts w:ascii="仿宋_GB2312" w:hAnsi="仿宋_GB2312" w:eastAsia="仿宋_GB2312"/>
          <w:b w:val="0"/>
          <w:sz w:val="32"/>
        </w:rPr>
        <w:t>3.住房保障支出(类)住房改革支出(款)住房公积金(项):支出决算数为2.71万元，比上年决算增加2.71万元，增长100.00%,主要原因是：本年在职人员工资基数调增，公积金缴费基数上涨，相应支出增加。</w:t>
      </w:r>
    </w:p>
    <w:p w14:paraId="7E8304B3">
      <w:pPr>
        <w:spacing w:line="640" w:lineRule="exact"/>
        <w:ind w:firstLine="640"/>
        <w:jc w:val="both"/>
        <w:outlineLvl w:val="2"/>
      </w:pPr>
      <w:r>
        <w:rPr>
          <w:rFonts w:ascii="黑体" w:hAnsi="黑体" w:eastAsia="黑体"/>
          <w:sz w:val="32"/>
        </w:rPr>
        <w:t>六、一般公共预算财政拨款基本支出决算情况说明</w:t>
      </w:r>
    </w:p>
    <w:p w14:paraId="7BA0120F">
      <w:pPr>
        <w:spacing w:line="580" w:lineRule="exact"/>
        <w:ind w:firstLine="640"/>
        <w:jc w:val="both"/>
      </w:pPr>
      <w:r>
        <w:rPr>
          <w:rFonts w:ascii="仿宋_GB2312" w:hAnsi="仿宋_GB2312" w:eastAsia="仿宋_GB2312"/>
          <w:b w:val="0"/>
          <w:sz w:val="32"/>
        </w:rPr>
        <w:t>2024年度一般公共预算财政拨款基本支出380.03万元，其中：</w:t>
      </w:r>
      <w:r>
        <w:rPr>
          <w:rFonts w:ascii="仿宋_GB2312" w:hAnsi="仿宋_GB2312" w:eastAsia="仿宋_GB2312"/>
          <w:b/>
          <w:sz w:val="32"/>
        </w:rPr>
        <w:t>人员经费369.76万元，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21BD323A">
      <w:pPr>
        <w:spacing w:line="580" w:lineRule="exact"/>
        <w:ind w:firstLine="640"/>
        <w:jc w:val="both"/>
      </w:pPr>
      <w:r>
        <w:rPr>
          <w:rFonts w:ascii="仿宋_GB2312" w:hAnsi="仿宋_GB2312" w:eastAsia="仿宋_GB2312"/>
          <w:b/>
          <w:sz w:val="32"/>
        </w:rPr>
        <w:t>公用经费10.27万元，</w:t>
      </w:r>
      <w:r>
        <w:rPr>
          <w:rFonts w:ascii="仿宋_GB2312" w:hAnsi="仿宋_GB2312" w:eastAsia="仿宋_GB2312"/>
          <w:b w:val="0"/>
          <w:sz w:val="32"/>
        </w:rPr>
        <w:t>包括：取暖费、培训费、工会经费。</w:t>
      </w:r>
    </w:p>
    <w:p w14:paraId="3D1C97D9">
      <w:pPr>
        <w:spacing w:line="640" w:lineRule="exact"/>
        <w:ind w:firstLine="640"/>
        <w:jc w:val="both"/>
        <w:outlineLvl w:val="2"/>
      </w:pPr>
      <w:r>
        <w:rPr>
          <w:rFonts w:ascii="黑体" w:hAnsi="黑体" w:eastAsia="黑体"/>
          <w:sz w:val="32"/>
        </w:rPr>
        <w:t>七、政府性基金预算财政拨款收入支出决算情况说明</w:t>
      </w:r>
    </w:p>
    <w:p w14:paraId="5263784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1BDF328">
      <w:pPr>
        <w:spacing w:line="640" w:lineRule="exact"/>
        <w:ind w:firstLine="640"/>
        <w:jc w:val="both"/>
        <w:outlineLvl w:val="2"/>
      </w:pPr>
      <w:r>
        <w:rPr>
          <w:rFonts w:ascii="黑体" w:hAnsi="黑体" w:eastAsia="黑体"/>
          <w:sz w:val="32"/>
        </w:rPr>
        <w:t>八、国有资本经营预算财政拨款收入支出决算情况说明</w:t>
      </w:r>
    </w:p>
    <w:p w14:paraId="40A692C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35521F8">
      <w:pPr>
        <w:spacing w:line="640" w:lineRule="exact"/>
        <w:ind w:firstLine="640"/>
        <w:jc w:val="both"/>
        <w:outlineLvl w:val="2"/>
      </w:pPr>
      <w:r>
        <w:rPr>
          <w:rFonts w:ascii="黑体" w:hAnsi="黑体" w:eastAsia="黑体"/>
          <w:sz w:val="32"/>
        </w:rPr>
        <w:t>九、财政拨款“三公”经费支出决算情况说明</w:t>
      </w:r>
    </w:p>
    <w:p w14:paraId="50F9592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73C08F0">
      <w:pPr>
        <w:spacing w:line="580" w:lineRule="exact"/>
        <w:ind w:firstLine="640"/>
        <w:jc w:val="both"/>
      </w:pPr>
      <w:r>
        <w:rPr>
          <w:rFonts w:ascii="仿宋_GB2312" w:hAnsi="仿宋_GB2312" w:eastAsia="仿宋_GB2312"/>
          <w:b/>
          <w:sz w:val="32"/>
        </w:rPr>
        <w:t>具体情况如下：</w:t>
      </w:r>
    </w:p>
    <w:p w14:paraId="3CB49FF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CB1AF5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车辆0辆，与公务用车保有量差异原因是：本单位无固定资产车辆。</w:t>
      </w:r>
    </w:p>
    <w:p w14:paraId="69C0786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F9FBF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E17148E">
      <w:pPr>
        <w:spacing w:line="640" w:lineRule="exact"/>
        <w:ind w:firstLine="640"/>
        <w:jc w:val="both"/>
        <w:outlineLvl w:val="2"/>
      </w:pPr>
      <w:r>
        <w:rPr>
          <w:rFonts w:ascii="黑体" w:hAnsi="黑体" w:eastAsia="黑体"/>
          <w:sz w:val="32"/>
        </w:rPr>
        <w:t>十、其他重要事项的情况说明</w:t>
      </w:r>
    </w:p>
    <w:p w14:paraId="277F467B">
      <w:pPr>
        <w:spacing w:line="640" w:lineRule="exact"/>
        <w:ind w:firstLine="640"/>
        <w:jc w:val="both"/>
        <w:outlineLvl w:val="3"/>
      </w:pPr>
      <w:r>
        <w:rPr>
          <w:rFonts w:ascii="楷体_GB2312" w:hAnsi="楷体_GB2312" w:eastAsia="楷体_GB2312"/>
          <w:b/>
          <w:sz w:val="32"/>
        </w:rPr>
        <w:t>（一）机关运行经费及公用经费支出情况</w:t>
      </w:r>
    </w:p>
    <w:p w14:paraId="452E5673">
      <w:pPr>
        <w:spacing w:line="580" w:lineRule="exact"/>
        <w:ind w:firstLine="640"/>
        <w:jc w:val="both"/>
      </w:pPr>
      <w:r>
        <w:rPr>
          <w:rFonts w:ascii="仿宋_GB2312" w:hAnsi="仿宋_GB2312" w:eastAsia="仿宋_GB2312"/>
          <w:b w:val="0"/>
          <w:sz w:val="32"/>
        </w:rPr>
        <w:t>2024年度吉木萨尔县第五幼儿园（事业单位）公用经费支出10.27万元，比上年增加4.73万元，增长85.38%，主要原因是：本年更新、维护补充办公用品，导致公用经费较上年增加。</w:t>
      </w:r>
    </w:p>
    <w:p w14:paraId="587AC2B9">
      <w:pPr>
        <w:spacing w:line="640" w:lineRule="exact"/>
        <w:ind w:firstLine="640"/>
        <w:jc w:val="both"/>
        <w:outlineLvl w:val="3"/>
      </w:pPr>
      <w:r>
        <w:rPr>
          <w:rFonts w:ascii="楷体_GB2312" w:hAnsi="楷体_GB2312" w:eastAsia="楷体_GB2312"/>
          <w:b/>
          <w:sz w:val="32"/>
        </w:rPr>
        <w:t>（二）政府采购情况</w:t>
      </w:r>
    </w:p>
    <w:p w14:paraId="095F8CD8">
      <w:pPr>
        <w:spacing w:line="580" w:lineRule="exact"/>
        <w:ind w:firstLine="640"/>
        <w:jc w:val="both"/>
      </w:pPr>
      <w:r>
        <w:rPr>
          <w:rFonts w:ascii="仿宋_GB2312" w:hAnsi="仿宋_GB2312" w:eastAsia="仿宋_GB2312"/>
          <w:b w:val="0"/>
          <w:sz w:val="32"/>
        </w:rPr>
        <w:t>2024年度政府采购支出总额0.09万元，其中：政府采购货物支出0.09万元、政府采购工程支出0.00万元、政府采购服务支出0.00万元。</w:t>
      </w:r>
    </w:p>
    <w:p w14:paraId="7BE97BDE">
      <w:pPr>
        <w:spacing w:line="580" w:lineRule="exact"/>
        <w:ind w:firstLine="640"/>
        <w:jc w:val="both"/>
      </w:pPr>
      <w:r>
        <w:rPr>
          <w:rFonts w:ascii="仿宋_GB2312" w:hAnsi="仿宋_GB2312" w:eastAsia="仿宋_GB2312"/>
          <w:b w:val="0"/>
          <w:sz w:val="32"/>
        </w:rPr>
        <w:t>授予中小企业合同金额0.09万元，占政府采购支出总额的100.00%，其中：授予小微企业合同金额0.09万元，占政府采购支出总额的100.00%。</w:t>
      </w:r>
    </w:p>
    <w:p w14:paraId="52DF2559">
      <w:pPr>
        <w:spacing w:line="640" w:lineRule="exact"/>
        <w:ind w:firstLine="640"/>
        <w:jc w:val="both"/>
        <w:outlineLvl w:val="3"/>
      </w:pPr>
      <w:r>
        <w:rPr>
          <w:rFonts w:ascii="楷体_GB2312" w:hAnsi="楷体_GB2312" w:eastAsia="楷体_GB2312"/>
          <w:b/>
          <w:sz w:val="32"/>
        </w:rPr>
        <w:t>（三）国有资产占用情况说明</w:t>
      </w:r>
    </w:p>
    <w:p w14:paraId="1DE4AD38">
      <w:pPr>
        <w:spacing w:line="580" w:lineRule="exact"/>
        <w:ind w:firstLine="640"/>
        <w:jc w:val="both"/>
      </w:pPr>
      <w:r>
        <w:rPr>
          <w:rFonts w:ascii="仿宋_GB2312" w:hAnsi="仿宋_GB2312" w:eastAsia="仿宋_GB2312"/>
          <w:b w:val="0"/>
          <w:sz w:val="32"/>
        </w:rPr>
        <w:t>截至2024年12月31日，房屋5,010.24平方米，价值867.34万元。车辆0辆，价值0.00万元，其中：副部（省）级及以上领导用车0辆、主要负责人用车0辆、机要通信用车0辆、应急保障用车0辆、执法执勤用车0辆、特种专业技术用车0辆、离退休干部服务用车0辆、其他用车0辆，其他用车主要是：本单</w:t>
      </w:r>
      <w:r>
        <w:rPr>
          <w:rFonts w:ascii="仿宋_GB2312" w:hAnsi="仿宋_GB2312" w:eastAsia="仿宋_GB2312"/>
          <w:b w:val="0"/>
          <w:w w:val="97"/>
          <w:sz w:val="32"/>
        </w:rPr>
        <w:t>位无其他用车。单价100万元（含）以上设备（不含车辆）0台（套）。</w:t>
      </w:r>
    </w:p>
    <w:p w14:paraId="32FE3153">
      <w:pPr>
        <w:spacing w:line="640" w:lineRule="exact"/>
        <w:ind w:firstLine="640"/>
        <w:jc w:val="both"/>
        <w:outlineLvl w:val="2"/>
      </w:pPr>
      <w:r>
        <w:rPr>
          <w:rFonts w:ascii="黑体" w:hAnsi="黑体" w:eastAsia="黑体"/>
          <w:sz w:val="32"/>
        </w:rPr>
        <w:t>十一、预算绩效的情况说明</w:t>
      </w:r>
    </w:p>
    <w:p w14:paraId="5BA190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502.14万元，实际执行总额497.43万元；预算绩效评价项目5个，全年预算数117.38万元，全年执行数117.38万元。预算绩效管理取得的成效：保障人员工资、社保、公积金等人员经费支出；普惠性幼儿园持续发展、巩固九年义务教育教学。通过以上工作的实施，学校各项办公经费得到保障，使学校正常运转，落实有关教育经费的法规政策，让国家优惠政策落实到每家每户，逐步提高受益群众的满意度。发现的问题及原因：1.党建融入业务工作缺乏创新。党建工作缺乏创新、品牌特色不突出、不完善、活动</w:t>
      </w:r>
      <w:r>
        <w:rPr>
          <w:rFonts w:hint="eastAsia" w:ascii="仿宋_GB2312" w:hAnsi="仿宋_GB2312" w:eastAsia="仿宋_GB2312"/>
          <w:b w:val="0"/>
          <w:sz w:val="32"/>
          <w:lang w:eastAsia="zh-CN"/>
        </w:rPr>
        <w:t>缺乏</w:t>
      </w:r>
      <w:r>
        <w:rPr>
          <w:rFonts w:ascii="仿宋_GB2312" w:hAnsi="仿宋_GB2312" w:eastAsia="仿宋_GB2312"/>
          <w:b w:val="0"/>
          <w:sz w:val="32"/>
        </w:rPr>
        <w:t>吸引力，整体党建引领示范氛围不够浓厚，党建特色活动偏少，吸引力和凝聚力不够，党建工作未能与教育教学充分结合。2.工作标准不高。对园务工作的目标内容和方式方法的探讨研究不够。工作计划安排</w:t>
      </w:r>
      <w:r>
        <w:rPr>
          <w:rFonts w:hint="eastAsia" w:ascii="仿宋_GB2312" w:hAnsi="仿宋_GB2312" w:eastAsia="仿宋_GB2312"/>
          <w:b w:val="0"/>
          <w:sz w:val="32"/>
          <w:lang w:eastAsia="zh-CN"/>
        </w:rPr>
        <w:t>得</w:t>
      </w:r>
      <w:r>
        <w:rPr>
          <w:rFonts w:ascii="仿宋_GB2312" w:hAnsi="仿宋_GB2312" w:eastAsia="仿宋_GB2312"/>
          <w:b w:val="0"/>
          <w:sz w:val="32"/>
        </w:rPr>
        <w:t>多，督促落实不紧凑，活动总结和反思能力较弱。3.考核细则、规章制度不完善、文化特色突出不明显。基础工作仍不够扎实，部分工作制度落实还不够严格、制度不完善、考核细则不完善，幼儿园章程体系不完整，园本特色不突出，开展传统型活动多，创新活动载体少。4.教科研能力弱，教育教学成绩不突出，工作室发挥引领作用不明显。教育科研能力较弱，凝练总结能力不强。工作室活动开展发挥引领作用不明显，推进游戏教学步伐缓慢。5.联盟园帮扶形式单一、实地指导次数少。与联盟园拉手活动少，实地指导多是看一看、说一说就结束了，对后续整改落实跟踪问效不到位。课程实践指导少，联盟教研次数少。6.“青蓝工程”落实不力，榜样示范引领作用不强。青年教师的传帮带过程中缺少引领，教师专业优势发挥不明显，个人价值体现不够影响工作热情。下一步改进措施：1.丰富创新活动载体。加强党建工作与业务工作间的融会贯通</w:t>
      </w:r>
      <w:r>
        <w:rPr>
          <w:rFonts w:hint="eastAsia" w:ascii="仿宋_GB2312" w:hAnsi="仿宋_GB2312" w:eastAsia="仿宋_GB2312"/>
          <w:b w:val="0"/>
          <w:sz w:val="32"/>
          <w:lang w:eastAsia="zh-CN"/>
        </w:rPr>
        <w:t>，以</w:t>
      </w:r>
      <w:r>
        <w:rPr>
          <w:rFonts w:ascii="仿宋_GB2312" w:hAnsi="仿宋_GB2312" w:eastAsia="仿宋_GB2312"/>
          <w:b w:val="0"/>
          <w:sz w:val="32"/>
        </w:rPr>
        <w:t>党建为引领</w:t>
      </w:r>
      <w:r>
        <w:rPr>
          <w:rFonts w:hint="eastAsia" w:ascii="仿宋_GB2312" w:hAnsi="仿宋_GB2312" w:eastAsia="仿宋_GB2312"/>
          <w:b w:val="0"/>
          <w:sz w:val="32"/>
          <w:lang w:eastAsia="zh-CN"/>
        </w:rPr>
        <w:t>，以</w:t>
      </w:r>
      <w:r>
        <w:rPr>
          <w:rFonts w:ascii="仿宋_GB2312" w:hAnsi="仿宋_GB2312" w:eastAsia="仿宋_GB2312"/>
          <w:b w:val="0"/>
          <w:sz w:val="32"/>
        </w:rPr>
        <w:t>业务为基础开展丰富多彩的活动。</w:t>
      </w:r>
      <w:r>
        <w:rPr>
          <w:rFonts w:hint="eastAsia" w:ascii="仿宋_GB2312" w:hAnsi="仿宋_GB2312" w:eastAsia="仿宋_GB2312"/>
          <w:b w:val="0"/>
          <w:sz w:val="32"/>
          <w:lang w:eastAsia="zh-CN"/>
        </w:rPr>
        <w:t>坚持党要管党、全面从严治党</w:t>
      </w:r>
      <w:r>
        <w:rPr>
          <w:rFonts w:ascii="仿宋_GB2312" w:hAnsi="仿宋_GB2312" w:eastAsia="仿宋_GB2312"/>
          <w:b w:val="0"/>
          <w:sz w:val="32"/>
        </w:rPr>
        <w:t>，着力以党建统领教育教学、安全生产等重点业务，形成党建工作与业务工作相互渗透、互相促进的局面，推动党组织领导的校长负责制，规范化建好班子线上线下教研活动相融合，持续梳理创建党建品牌扎实开展创建活动，依托生活、教育活动深化幼儿对中国文化认识，推动基层党建与业务工作深度融合。2.强化工作任务落实。狠抓教育教学，制定考核方案，对教师进行周总结、月考核，提升教师专业能力；秉承“环境育人”的理念，持续打造“五彩”党建品牌阵地。3.完善制度，为幼儿园建设提供有力保证。每年要对现有规章制度及其执行情况进行全面的检查，消除局限性，增强适应性和可操作性,使规章制度更加完整、统一，根据新出现的情况及时制定相应的规章制度。如厉行节约、制止铺张浪费的有关规定，民主评议以及党风廉政责任追究办法等相关制度等。4.践行初心使命，转变教师思想观念。遵循幼儿教育的基本规律，让教育回归生活，把快乐送给孩子。坚持“一日生活皆教育”为办园理念，将通过未来三年的努力，迎接国家级学前教育普及普惠验收，并努力争创州级示范园。5.充分发挥示范引领、以点带面发展。开展设岗定责、承诺践诺、结对帮带等活动，建立起联系群众、服务师生长效工作机制，开展形式多样的</w:t>
      </w:r>
      <w:bookmarkStart w:id="0" w:name="_GoBack"/>
      <w:r>
        <w:rPr>
          <w:rFonts w:ascii="仿宋_GB2312" w:hAnsi="仿宋_GB2312" w:eastAsia="仿宋_GB2312"/>
          <w:b w:val="0"/>
          <w:w w:val="97"/>
          <w:sz w:val="32"/>
        </w:rPr>
        <w:t>“青蓝工程”。具体附整体支出绩效自评表，项目支出绩效自评表。</w:t>
      </w:r>
      <w:bookmarkEnd w:id="0"/>
    </w:p>
    <w:p w14:paraId="5596FC5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90F870">
        <w:tblPrEx>
          <w:tblCellMar>
            <w:top w:w="0" w:type="dxa"/>
            <w:left w:w="108" w:type="dxa"/>
            <w:bottom w:w="0" w:type="dxa"/>
            <w:right w:w="108" w:type="dxa"/>
          </w:tblCellMar>
        </w:tblPrEx>
        <w:tc>
          <w:tcPr>
            <w:tcW w:w="8847" w:type="dxa"/>
            <w:gridSpan w:val="9"/>
            <w:vAlign w:val="center"/>
          </w:tcPr>
          <w:p w14:paraId="08080516">
            <w:pPr>
              <w:jc w:val="center"/>
            </w:pPr>
            <w:r>
              <w:rPr>
                <w:rFonts w:ascii="宋体" w:hAnsi="宋体" w:eastAsia="宋体"/>
                <w:sz w:val="24"/>
              </w:rPr>
              <w:t>单位整体支出绩效自评表</w:t>
            </w:r>
          </w:p>
        </w:tc>
      </w:tr>
      <w:tr w14:paraId="470D6485">
        <w:tblPrEx>
          <w:tblCellMar>
            <w:top w:w="0" w:type="dxa"/>
            <w:left w:w="108" w:type="dxa"/>
            <w:bottom w:w="0" w:type="dxa"/>
            <w:right w:w="108" w:type="dxa"/>
          </w:tblCellMar>
        </w:tblPrEx>
        <w:tc>
          <w:tcPr>
            <w:tcW w:w="8847" w:type="dxa"/>
            <w:gridSpan w:val="9"/>
            <w:vAlign w:val="center"/>
          </w:tcPr>
          <w:p w14:paraId="7688FC31">
            <w:pPr>
              <w:jc w:val="center"/>
            </w:pPr>
            <w:r>
              <w:rPr>
                <w:rFonts w:ascii="宋体" w:hAnsi="宋体" w:eastAsia="宋体"/>
                <w:sz w:val="24"/>
              </w:rPr>
              <w:t>（2024年度）</w:t>
            </w:r>
          </w:p>
        </w:tc>
      </w:tr>
      <w:tr w14:paraId="21FBA6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06A6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1FF7E4">
            <w:pPr>
              <w:jc w:val="center"/>
            </w:pPr>
            <w:r>
              <w:rPr>
                <w:rFonts w:ascii="宋体" w:hAnsi="宋体" w:eastAsia="宋体"/>
                <w:sz w:val="16"/>
              </w:rPr>
              <w:t>吉木萨尔县第五幼儿园</w:t>
            </w:r>
          </w:p>
        </w:tc>
      </w:tr>
      <w:tr w14:paraId="5C6875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B92B9">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B4D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F47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40A5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E0C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0FD8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65F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0DD8">
            <w:pPr>
              <w:jc w:val="center"/>
            </w:pPr>
            <w:r>
              <w:rPr>
                <w:rFonts w:ascii="宋体" w:hAnsi="宋体" w:eastAsia="宋体"/>
                <w:sz w:val="16"/>
              </w:rPr>
              <w:t>得分</w:t>
            </w:r>
          </w:p>
        </w:tc>
      </w:tr>
      <w:tr w14:paraId="37505B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A61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01A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2F80F">
            <w:pPr>
              <w:jc w:val="center"/>
            </w:pPr>
            <w:r>
              <w:rPr>
                <w:rFonts w:ascii="宋体" w:hAnsi="宋体" w:eastAsia="宋体"/>
                <w:sz w:val="16"/>
              </w:rPr>
              <w:t>65.85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F3847">
            <w:pPr>
              <w:jc w:val="center"/>
            </w:pPr>
            <w:r>
              <w:rPr>
                <w:rFonts w:ascii="宋体" w:hAnsi="宋体" w:eastAsia="宋体"/>
                <w:sz w:val="16"/>
              </w:rPr>
              <w:t>75.39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64D24">
            <w:pPr>
              <w:jc w:val="center"/>
            </w:pPr>
            <w:r>
              <w:rPr>
                <w:rFonts w:ascii="宋体" w:hAnsi="宋体" w:eastAsia="宋体"/>
                <w:sz w:val="16"/>
              </w:rPr>
              <w:t>75.39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C15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D2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B6B3C">
            <w:pPr>
              <w:jc w:val="center"/>
            </w:pPr>
            <w:r>
              <w:rPr>
                <w:rFonts w:ascii="宋体" w:hAnsi="宋体" w:eastAsia="宋体"/>
                <w:sz w:val="16"/>
              </w:rPr>
              <w:t>-</w:t>
            </w:r>
          </w:p>
        </w:tc>
      </w:tr>
      <w:tr w14:paraId="6DCBE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9A3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661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EDD9">
            <w:pPr>
              <w:jc w:val="center"/>
            </w:pPr>
            <w:r>
              <w:rPr>
                <w:rFonts w:ascii="宋体" w:hAnsi="宋体" w:eastAsia="宋体"/>
                <w:sz w:val="16"/>
              </w:rPr>
              <w:t>377.16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1421">
            <w:pPr>
              <w:jc w:val="center"/>
            </w:pPr>
            <w:r>
              <w:rPr>
                <w:rFonts w:ascii="宋体" w:hAnsi="宋体" w:eastAsia="宋体"/>
                <w:sz w:val="16"/>
              </w:rPr>
              <w:t>426.75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D89B4">
            <w:pPr>
              <w:jc w:val="center"/>
            </w:pPr>
            <w:r>
              <w:rPr>
                <w:rFonts w:ascii="宋体" w:hAnsi="宋体" w:eastAsia="宋体"/>
                <w:sz w:val="16"/>
              </w:rPr>
              <w:t>422.04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04C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476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1498C">
            <w:pPr>
              <w:jc w:val="center"/>
            </w:pPr>
            <w:r>
              <w:rPr>
                <w:rFonts w:ascii="宋体" w:hAnsi="宋体" w:eastAsia="宋体"/>
                <w:sz w:val="16"/>
              </w:rPr>
              <w:t>-</w:t>
            </w:r>
          </w:p>
        </w:tc>
      </w:tr>
      <w:tr w14:paraId="7DD501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E70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7CB9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39A8D">
            <w:pPr>
              <w:jc w:val="center"/>
            </w:pPr>
            <w:r>
              <w:rPr>
                <w:rFonts w:ascii="宋体" w:hAnsi="宋体" w:eastAsia="宋体"/>
                <w:sz w:val="16"/>
              </w:rPr>
              <w:t>17.26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7DB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66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D3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794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48C15">
            <w:pPr>
              <w:jc w:val="center"/>
            </w:pPr>
            <w:r>
              <w:rPr>
                <w:rFonts w:ascii="宋体" w:hAnsi="宋体" w:eastAsia="宋体"/>
                <w:sz w:val="16"/>
              </w:rPr>
              <w:t>-</w:t>
            </w:r>
          </w:p>
        </w:tc>
      </w:tr>
      <w:tr w14:paraId="285C73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322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AE20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7FADA">
            <w:pPr>
              <w:jc w:val="center"/>
            </w:pPr>
            <w:r>
              <w:rPr>
                <w:rFonts w:ascii="宋体" w:hAnsi="宋体" w:eastAsia="宋体"/>
                <w:sz w:val="16"/>
              </w:rPr>
              <w:t>460.27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A2598">
            <w:pPr>
              <w:jc w:val="center"/>
            </w:pPr>
            <w:r>
              <w:rPr>
                <w:rFonts w:ascii="宋体" w:hAnsi="宋体" w:eastAsia="宋体"/>
                <w:sz w:val="16"/>
              </w:rPr>
              <w:t>502.14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57D4">
            <w:pPr>
              <w:jc w:val="center"/>
            </w:pPr>
            <w:r>
              <w:rPr>
                <w:rFonts w:ascii="宋体" w:hAnsi="宋体" w:eastAsia="宋体"/>
                <w:sz w:val="16"/>
              </w:rPr>
              <w:t>497.43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814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A5C75">
            <w:pPr>
              <w:jc w:val="center"/>
            </w:pPr>
            <w:r>
              <w:rPr>
                <w:rFonts w:ascii="宋体" w:hAnsi="宋体" w:eastAsia="宋体"/>
                <w:sz w:val="16"/>
              </w:rPr>
              <w:t>99.06%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5474">
            <w:pPr>
              <w:jc w:val="center"/>
            </w:pPr>
            <w:r>
              <w:rPr>
                <w:rFonts w:ascii="宋体" w:hAnsi="宋体" w:eastAsia="宋体"/>
                <w:sz w:val="16"/>
              </w:rPr>
              <w:t>9.9</w:t>
            </w:r>
          </w:p>
        </w:tc>
      </w:tr>
      <w:tr w14:paraId="594C3E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EBB6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09384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790EA">
            <w:pPr>
              <w:jc w:val="center"/>
            </w:pPr>
            <w:r>
              <w:rPr>
                <w:rFonts w:ascii="宋体" w:hAnsi="宋体" w:eastAsia="宋体"/>
                <w:sz w:val="16"/>
              </w:rPr>
              <w:t>实际完成情况</w:t>
            </w:r>
          </w:p>
        </w:tc>
      </w:tr>
      <w:tr w14:paraId="5EC230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719C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362CED">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，落实有关教育经费的法规政策，普惠性幼儿园覆盖率达到100%，学前三年毛入园率达到90%，让国家优惠政策落实到每家每户，逐步提高乡镇师生的满意度。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5046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全年预算数为502.14万元，全年执行数为497.43万元，2024年</w:t>
            </w:r>
            <w:r>
              <w:rPr>
                <w:rFonts w:hint="eastAsia" w:ascii="宋体" w:hAnsi="宋体"/>
                <w:sz w:val="16"/>
                <w:lang w:eastAsia="zh-CN"/>
              </w:rPr>
              <w:t>本单位</w:t>
            </w:r>
            <w:r>
              <w:rPr>
                <w:rFonts w:ascii="宋体" w:hAnsi="宋体" w:eastAsia="宋体"/>
                <w:sz w:val="16"/>
              </w:rPr>
              <w:t>完成以下工作内容：1.保障人员工资、社保、公积金等人员经费支出；2.普惠性幼儿园持续发展、巩固九年义务教育教学。通过以上工作的实施，学校各项办公经费得到保障，使学校正常运转，落实有关教育经费的法规政策，让国家优惠政策落实到每家每户，逐步提高受益群众的满意度。</w:t>
            </w:r>
          </w:p>
        </w:tc>
      </w:tr>
      <w:tr w14:paraId="262670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395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DCBE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7650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B1B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ACEA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FF5A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E961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127A7">
            <w:pPr>
              <w:jc w:val="center"/>
            </w:pPr>
            <w:r>
              <w:rPr>
                <w:rFonts w:ascii="宋体" w:hAnsi="宋体" w:eastAsia="宋体"/>
                <w:sz w:val="16"/>
              </w:rPr>
              <w:t>得分</w:t>
            </w:r>
          </w:p>
        </w:tc>
      </w:tr>
      <w:tr w14:paraId="3E5BFA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3AB87">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A959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3FA07">
            <w:pPr>
              <w:jc w:val="center"/>
            </w:pPr>
            <w:r>
              <w:rPr>
                <w:rFonts w:ascii="宋体" w:hAnsi="宋体" w:eastAsia="宋体"/>
                <w:sz w:val="16"/>
              </w:rPr>
              <w:t>幼儿入园人数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0CD26">
            <w:pPr>
              <w:jc w:val="center"/>
            </w:pPr>
            <w:r>
              <w:rPr>
                <w:rFonts w:ascii="宋体" w:hAnsi="宋体" w:eastAsia="宋体"/>
                <w:sz w:val="16"/>
              </w:rPr>
              <w:t>&lt;=319人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00DF">
            <w:pPr>
              <w:jc w:val="center"/>
            </w:pPr>
            <w:r>
              <w:rPr>
                <w:rFonts w:ascii="宋体" w:hAnsi="宋体" w:eastAsia="宋体"/>
                <w:sz w:val="16"/>
              </w:rPr>
              <w:t>吉木萨尔县第五幼儿园经费年报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0A7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8C9E">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43D9D">
            <w:pPr>
              <w:jc w:val="center"/>
            </w:pPr>
            <w:r>
              <w:rPr>
                <w:rFonts w:ascii="宋体" w:hAnsi="宋体" w:eastAsia="宋体"/>
                <w:sz w:val="16"/>
              </w:rPr>
              <w:t>14.11</w:t>
            </w:r>
          </w:p>
        </w:tc>
      </w:tr>
      <w:tr w14:paraId="72A651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6DA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557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F016E">
            <w:pPr>
              <w:jc w:val="center"/>
            </w:pPr>
            <w:r>
              <w:rPr>
                <w:rFonts w:ascii="宋体" w:hAnsi="宋体" w:eastAsia="宋体"/>
                <w:sz w:val="16"/>
              </w:rPr>
              <w:t>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7942D">
            <w:pPr>
              <w:jc w:val="center"/>
            </w:pPr>
            <w:r>
              <w:rPr>
                <w:rFonts w:ascii="宋体" w:hAnsi="宋体" w:eastAsia="宋体"/>
                <w:sz w:val="16"/>
              </w:rPr>
              <w:t>&lt;=33人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F09A">
            <w:pPr>
              <w:jc w:val="center"/>
            </w:pPr>
            <w:r>
              <w:rPr>
                <w:rFonts w:ascii="宋体" w:hAnsi="宋体" w:eastAsia="宋体"/>
                <w:sz w:val="16"/>
              </w:rPr>
              <w:t>吉木萨尔县第五幼儿园经费年报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A15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05DDC">
            <w:pPr>
              <w:jc w:val="center"/>
            </w:pPr>
            <w:r>
              <w:rPr>
                <w:rFonts w:ascii="宋体" w:hAnsi="宋体" w:eastAsia="宋体"/>
                <w:sz w:val="16"/>
              </w:rPr>
              <w:t>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D101">
            <w:pPr>
              <w:jc w:val="center"/>
            </w:pPr>
            <w:r>
              <w:rPr>
                <w:rFonts w:ascii="宋体" w:hAnsi="宋体" w:eastAsia="宋体"/>
                <w:sz w:val="16"/>
              </w:rPr>
              <w:t>14.55</w:t>
            </w:r>
          </w:p>
        </w:tc>
      </w:tr>
      <w:tr w14:paraId="59DF76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61F2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E49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3BF24">
            <w:pPr>
              <w:jc w:val="center"/>
            </w:pPr>
            <w:r>
              <w:rPr>
                <w:rFonts w:ascii="宋体" w:hAnsi="宋体" w:eastAsia="宋体"/>
                <w:sz w:val="16"/>
              </w:rPr>
              <w:t>组织教职工培训次数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7482A">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8314">
            <w:pPr>
              <w:jc w:val="center"/>
            </w:pPr>
            <w:r>
              <w:rPr>
                <w:rFonts w:ascii="宋体" w:hAnsi="宋体" w:eastAsia="宋体"/>
                <w:sz w:val="16"/>
              </w:rPr>
              <w:t>吉木萨尔县第五幼儿园工作总结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3D54">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75E0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0DBD">
            <w:pPr>
              <w:jc w:val="center"/>
            </w:pPr>
            <w:r>
              <w:rPr>
                <w:rFonts w:ascii="宋体" w:hAnsi="宋体" w:eastAsia="宋体"/>
                <w:sz w:val="16"/>
              </w:rPr>
              <w:t>13</w:t>
            </w:r>
          </w:p>
        </w:tc>
      </w:tr>
      <w:tr w14:paraId="16A799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71C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DDC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91E1">
            <w:pPr>
              <w:jc w:val="center"/>
            </w:pPr>
            <w:r>
              <w:rPr>
                <w:rFonts w:ascii="宋体" w:hAnsi="宋体" w:eastAsia="宋体"/>
                <w:sz w:val="16"/>
              </w:rPr>
              <w:t>开展主题活动次数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9E7C">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A062">
            <w:pPr>
              <w:jc w:val="center"/>
            </w:pPr>
            <w:r>
              <w:rPr>
                <w:rFonts w:ascii="宋体" w:hAnsi="宋体" w:eastAsia="宋体"/>
                <w:sz w:val="16"/>
              </w:rPr>
              <w:t>吉木萨尔县第五幼儿园工作总结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057D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ECA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5A50C">
            <w:pPr>
              <w:jc w:val="center"/>
            </w:pPr>
            <w:r>
              <w:rPr>
                <w:rFonts w:ascii="宋体" w:hAnsi="宋体" w:eastAsia="宋体"/>
                <w:sz w:val="16"/>
              </w:rPr>
              <w:t>15</w:t>
            </w:r>
          </w:p>
        </w:tc>
      </w:tr>
      <w:tr w14:paraId="05706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479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8B1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A5C4F">
            <w:pPr>
              <w:jc w:val="center"/>
            </w:pPr>
            <w:r>
              <w:rPr>
                <w:rFonts w:ascii="宋体" w:hAnsi="宋体" w:eastAsia="宋体"/>
                <w:sz w:val="16"/>
              </w:rPr>
              <w:t>安全隐患排查次数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7D2A7">
            <w:pPr>
              <w:jc w:val="center"/>
            </w:pPr>
            <w:r>
              <w:rPr>
                <w:rFonts w:ascii="宋体" w:hAnsi="宋体" w:eastAsia="宋体"/>
                <w:sz w:val="16"/>
              </w:rPr>
              <w:t>&gt;=30次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BE49">
            <w:pPr>
              <w:jc w:val="center"/>
            </w:pPr>
            <w:r>
              <w:rPr>
                <w:rFonts w:ascii="宋体" w:hAnsi="宋体" w:eastAsia="宋体"/>
                <w:sz w:val="16"/>
              </w:rPr>
              <w:t>吉木萨尔县第五幼儿园工作总结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4B31">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545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6B206">
            <w:pPr>
              <w:jc w:val="center"/>
            </w:pPr>
            <w:r>
              <w:rPr>
                <w:rFonts w:ascii="宋体" w:hAnsi="宋体" w:eastAsia="宋体"/>
                <w:sz w:val="16"/>
              </w:rPr>
              <w:t>14</w:t>
            </w:r>
          </w:p>
        </w:tc>
      </w:tr>
      <w:tr w14:paraId="1C4212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8FB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296A3">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1EE1">
            <w:pPr>
              <w:jc w:val="center"/>
            </w:pPr>
            <w:r>
              <w:rPr>
                <w:rFonts w:ascii="宋体" w:hAnsi="宋体" w:eastAsia="宋体"/>
                <w:sz w:val="16"/>
              </w:rPr>
              <w:t>幼儿教学任务完成率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59C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F143A">
            <w:pPr>
              <w:jc w:val="center"/>
            </w:pPr>
            <w:r>
              <w:rPr>
                <w:rFonts w:ascii="宋体" w:hAnsi="宋体" w:eastAsia="宋体"/>
                <w:sz w:val="16"/>
              </w:rPr>
              <w:t>吉木萨尔县第五幼儿园工作总结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65A0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DCB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6DC4">
            <w:pPr>
              <w:jc w:val="center"/>
            </w:pPr>
            <w:r>
              <w:rPr>
                <w:rFonts w:ascii="宋体" w:hAnsi="宋体" w:eastAsia="宋体"/>
                <w:sz w:val="16"/>
              </w:rPr>
              <w:t>18</w:t>
            </w:r>
          </w:p>
        </w:tc>
      </w:tr>
    </w:tbl>
    <w:p w14:paraId="1BC76E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415D188">
        <w:tblPrEx>
          <w:tblCellMar>
            <w:top w:w="0" w:type="dxa"/>
            <w:left w:w="108" w:type="dxa"/>
            <w:bottom w:w="0" w:type="dxa"/>
            <w:right w:w="108" w:type="dxa"/>
          </w:tblCellMar>
        </w:tblPrEx>
        <w:tc>
          <w:tcPr>
            <w:tcW w:w="8848" w:type="dxa"/>
            <w:gridSpan w:val="14"/>
            <w:vAlign w:val="center"/>
          </w:tcPr>
          <w:p w14:paraId="428EC995">
            <w:pPr>
              <w:jc w:val="center"/>
            </w:pPr>
            <w:r>
              <w:rPr>
                <w:rFonts w:ascii="宋体" w:hAnsi="宋体" w:eastAsia="宋体"/>
                <w:sz w:val="24"/>
              </w:rPr>
              <w:t>项目支出绩效自评表</w:t>
            </w:r>
          </w:p>
        </w:tc>
      </w:tr>
      <w:tr w14:paraId="40404C96">
        <w:tblPrEx>
          <w:tblCellMar>
            <w:top w:w="0" w:type="dxa"/>
            <w:left w:w="108" w:type="dxa"/>
            <w:bottom w:w="0" w:type="dxa"/>
            <w:right w:w="108" w:type="dxa"/>
          </w:tblCellMar>
        </w:tblPrEx>
        <w:tc>
          <w:tcPr>
            <w:tcW w:w="8848" w:type="dxa"/>
            <w:gridSpan w:val="14"/>
            <w:vAlign w:val="center"/>
          </w:tcPr>
          <w:p w14:paraId="722E8888">
            <w:pPr>
              <w:jc w:val="center"/>
            </w:pPr>
            <w:r>
              <w:rPr>
                <w:rFonts w:ascii="宋体" w:hAnsi="宋体" w:eastAsia="宋体"/>
                <w:sz w:val="24"/>
              </w:rPr>
              <w:t>(2024年度)</w:t>
            </w:r>
          </w:p>
        </w:tc>
      </w:tr>
      <w:tr w14:paraId="36C8F8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ED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8C1C13">
            <w:pPr>
              <w:jc w:val="center"/>
            </w:pPr>
            <w:r>
              <w:rPr>
                <w:rFonts w:ascii="宋体" w:hAnsi="宋体" w:eastAsia="宋体"/>
                <w:sz w:val="16"/>
              </w:rPr>
              <w:t>五幼 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（自聘教师工资补助）</w:t>
            </w:r>
          </w:p>
        </w:tc>
      </w:tr>
      <w:tr w14:paraId="6E3F4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63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2B7F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B7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A34CB">
            <w:pPr>
              <w:jc w:val="center"/>
            </w:pPr>
            <w:r>
              <w:rPr>
                <w:rFonts w:ascii="宋体" w:hAnsi="宋体" w:eastAsia="宋体"/>
                <w:sz w:val="16"/>
              </w:rPr>
              <w:t>吉木萨尔县第五幼儿园</w:t>
            </w:r>
          </w:p>
        </w:tc>
      </w:tr>
      <w:tr w14:paraId="49DCF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A77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84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C1B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B1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4F5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E0D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CEB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3372">
            <w:pPr>
              <w:jc w:val="center"/>
            </w:pPr>
            <w:r>
              <w:rPr>
                <w:rFonts w:ascii="宋体" w:hAnsi="宋体" w:eastAsia="宋体"/>
                <w:sz w:val="16"/>
              </w:rPr>
              <w:t>得分</w:t>
            </w:r>
          </w:p>
        </w:tc>
      </w:tr>
      <w:tr w14:paraId="6B683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EE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90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AFA6C">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F23D">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C9392">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5C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62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D5D4">
            <w:pPr>
              <w:jc w:val="center"/>
            </w:pPr>
            <w:r>
              <w:rPr>
                <w:rFonts w:ascii="宋体" w:hAnsi="宋体" w:eastAsia="宋体"/>
                <w:sz w:val="16"/>
              </w:rPr>
              <w:t>10.00</w:t>
            </w:r>
          </w:p>
        </w:tc>
      </w:tr>
      <w:tr w14:paraId="669C2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5D4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C2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1880">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9BCB">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85BF">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50D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2F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6EAE">
            <w:pPr>
              <w:jc w:val="center"/>
            </w:pPr>
            <w:r>
              <w:rPr>
                <w:rFonts w:ascii="宋体" w:hAnsi="宋体" w:eastAsia="宋体"/>
                <w:sz w:val="16"/>
              </w:rPr>
              <w:t>—</w:t>
            </w:r>
          </w:p>
        </w:tc>
      </w:tr>
      <w:tr w14:paraId="4444E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7F4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7F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8F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CBB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A3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2CB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3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F513">
            <w:pPr>
              <w:jc w:val="center"/>
            </w:pPr>
            <w:r>
              <w:rPr>
                <w:rFonts w:ascii="宋体" w:hAnsi="宋体" w:eastAsia="宋体"/>
                <w:sz w:val="16"/>
              </w:rPr>
              <w:t>—</w:t>
            </w:r>
          </w:p>
        </w:tc>
      </w:tr>
      <w:tr w14:paraId="094AB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710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1BD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317A5">
            <w:pPr>
              <w:jc w:val="center"/>
            </w:pPr>
            <w:r>
              <w:rPr>
                <w:rFonts w:ascii="宋体" w:hAnsi="宋体" w:eastAsia="宋体"/>
                <w:sz w:val="16"/>
              </w:rPr>
              <w:t>实际完成情况</w:t>
            </w:r>
          </w:p>
        </w:tc>
      </w:tr>
      <w:tr w14:paraId="36EE2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1F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08B87">
            <w:pPr>
              <w:jc w:val="both"/>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关于提前下达2024年自治区教育项目经费预算的通知（自聘教师工资补助）拨付4.3万元，切实保障自聘教师工资待遇，确保工资及时足额发放到位，使学校教育教学工作</w:t>
            </w:r>
            <w:r>
              <w:rPr>
                <w:rFonts w:hint="eastAsia" w:ascii="宋体" w:hAnsi="宋体"/>
                <w:sz w:val="16"/>
                <w:lang w:eastAsia="zh-CN"/>
              </w:rPr>
              <w:t>正常</w:t>
            </w:r>
            <w:r>
              <w:rPr>
                <w:rFonts w:ascii="宋体" w:hAnsi="宋体" w:eastAsia="宋体"/>
                <w:sz w:val="16"/>
              </w:rPr>
              <w:t>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8390F">
            <w:pPr>
              <w:jc w:val="both"/>
            </w:pPr>
            <w:r>
              <w:rPr>
                <w:rFonts w:hint="eastAsia" w:ascii="宋体" w:hAnsi="宋体"/>
                <w:sz w:val="16"/>
                <w:lang w:eastAsia="zh-CN"/>
              </w:rPr>
              <w:t>截至2024</w:t>
            </w:r>
            <w:r>
              <w:rPr>
                <w:rFonts w:ascii="宋体" w:hAnsi="宋体" w:eastAsia="宋体"/>
                <w:sz w:val="16"/>
              </w:rPr>
              <w:t>年12月31日，本项目实际支付4.3万元，预算执行率为100%，我校已完成【昌州财教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（自聘教师工资补助）】项目，保障了我校自聘教师工资及时足额发放到位，保</w:t>
            </w:r>
            <w:r>
              <w:rPr>
                <w:rFonts w:hint="eastAsia" w:ascii="宋体" w:hAnsi="宋体"/>
                <w:sz w:val="16"/>
                <w:lang w:eastAsia="zh-CN"/>
              </w:rPr>
              <w:t>障了</w:t>
            </w:r>
            <w:r>
              <w:rPr>
                <w:rFonts w:ascii="宋体" w:hAnsi="宋体" w:eastAsia="宋体"/>
                <w:sz w:val="16"/>
              </w:rPr>
              <w:t>学校正常的教育教学秩序</w:t>
            </w:r>
            <w:r>
              <w:rPr>
                <w:rFonts w:hint="eastAsia" w:ascii="宋体" w:hAnsi="宋体"/>
                <w:sz w:val="16"/>
                <w:lang w:eastAsia="zh-CN"/>
              </w:rPr>
              <w:t>，让</w:t>
            </w:r>
            <w:r>
              <w:rPr>
                <w:rFonts w:ascii="宋体" w:hAnsi="宋体" w:eastAsia="宋体"/>
                <w:sz w:val="16"/>
              </w:rPr>
              <w:t>自聘教师满意。</w:t>
            </w:r>
          </w:p>
        </w:tc>
      </w:tr>
      <w:tr w14:paraId="33AEA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47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5C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C3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D8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99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4D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65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7E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B25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32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85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39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27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A29D">
            <w:pPr>
              <w:jc w:val="center"/>
            </w:pPr>
            <w:r>
              <w:rPr>
                <w:rFonts w:ascii="宋体" w:hAnsi="宋体" w:eastAsia="宋体"/>
                <w:sz w:val="16"/>
              </w:rPr>
              <w:t>偏差原因分析及改进措施</w:t>
            </w:r>
          </w:p>
        </w:tc>
      </w:tr>
      <w:tr w14:paraId="3970CC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BA3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9828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F2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35A8">
            <w:pPr>
              <w:jc w:val="center"/>
            </w:pPr>
            <w:r>
              <w:rPr>
                <w:rFonts w:ascii="宋体" w:hAnsi="宋体" w:eastAsia="宋体"/>
                <w:sz w:val="16"/>
              </w:rPr>
              <w:t>发放教师人数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673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5F33">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82A1">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7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47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1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64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0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AE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30F8">
            <w:pPr>
              <w:jc w:val="center"/>
            </w:pPr>
          </w:p>
        </w:tc>
      </w:tr>
      <w:tr w14:paraId="42641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32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4C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43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02CA">
            <w:pPr>
              <w:jc w:val="center"/>
            </w:pPr>
            <w:r>
              <w:rPr>
                <w:rFonts w:ascii="宋体" w:hAnsi="宋体" w:eastAsia="宋体"/>
                <w:sz w:val="16"/>
              </w:rPr>
              <w:t>普通话水平合格率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52B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6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B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5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7F1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5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9E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8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9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03C0">
            <w:pPr>
              <w:jc w:val="center"/>
            </w:pPr>
          </w:p>
        </w:tc>
      </w:tr>
      <w:tr w14:paraId="64CDE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CF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CA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F5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7576">
            <w:pPr>
              <w:jc w:val="center"/>
            </w:pPr>
            <w:r>
              <w:rPr>
                <w:rFonts w:ascii="宋体" w:hAnsi="宋体" w:eastAsia="宋体"/>
                <w:sz w:val="16"/>
              </w:rPr>
              <w:t>自聘教师工资按时发放率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4B4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5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8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2A6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8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9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5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7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FC0B">
            <w:pPr>
              <w:jc w:val="center"/>
            </w:pPr>
          </w:p>
        </w:tc>
      </w:tr>
      <w:tr w14:paraId="22BAD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E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2F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D0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F36B">
            <w:pPr>
              <w:jc w:val="center"/>
            </w:pPr>
            <w:r>
              <w:rPr>
                <w:rFonts w:ascii="宋体" w:hAnsi="宋体" w:eastAsia="宋体"/>
                <w:sz w:val="16"/>
              </w:rPr>
              <w:t>自聘教师补助标准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D3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E471">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6A08">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1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68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F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4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4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5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0359">
            <w:pPr>
              <w:jc w:val="center"/>
            </w:pPr>
          </w:p>
        </w:tc>
      </w:tr>
      <w:tr w14:paraId="0632C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C3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856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146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78C6">
            <w:pPr>
              <w:jc w:val="center"/>
            </w:pPr>
            <w:r>
              <w:rPr>
                <w:rFonts w:ascii="宋体" w:hAnsi="宋体" w:eastAsia="宋体"/>
                <w:sz w:val="16"/>
              </w:rPr>
              <w:t>教师队伍稳定率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C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DA1B">
            <w:pPr>
              <w:jc w:val="center"/>
            </w:pPr>
            <w:r>
              <w:rPr>
                <w:rFonts w:ascii="宋体" w:hAnsi="宋体" w:eastAsia="宋体"/>
                <w:sz w:val="16"/>
              </w:rPr>
              <w:t>逐渐改善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6C78">
            <w:pPr>
              <w:jc w:val="center"/>
            </w:pPr>
            <w:r>
              <w:rPr>
                <w:rFonts w:ascii="宋体" w:hAnsi="宋体" w:eastAsia="宋体"/>
                <w:sz w:val="16"/>
              </w:rPr>
              <w:t>逐渐改善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9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3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4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5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66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A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560C">
            <w:pPr>
              <w:jc w:val="center"/>
            </w:pPr>
          </w:p>
        </w:tc>
      </w:tr>
      <w:tr w14:paraId="4C96B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9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F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E4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152D">
            <w:pPr>
              <w:jc w:val="center"/>
            </w:pPr>
            <w:r>
              <w:rPr>
                <w:rFonts w:ascii="宋体" w:hAnsi="宋体" w:eastAsia="宋体"/>
                <w:sz w:val="16"/>
              </w:rPr>
              <w:t>保障所需师资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A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0B62">
            <w:pPr>
              <w:jc w:val="center"/>
            </w:pPr>
            <w:r>
              <w:rPr>
                <w:rFonts w:ascii="宋体" w:hAnsi="宋体" w:eastAsia="宋体"/>
                <w:sz w:val="16"/>
              </w:rPr>
              <w:t>基本保障教学需要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4C85">
            <w:pPr>
              <w:jc w:val="center"/>
            </w:pPr>
            <w:r>
              <w:rPr>
                <w:rFonts w:ascii="宋体" w:hAnsi="宋体" w:eastAsia="宋体"/>
                <w:sz w:val="16"/>
              </w:rPr>
              <w:t>基本保障教学需要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C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8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F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22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A4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0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DE70">
            <w:pPr>
              <w:jc w:val="center"/>
            </w:pPr>
          </w:p>
        </w:tc>
      </w:tr>
      <w:tr w14:paraId="76E21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52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1A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F5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E842">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24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EC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F1E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7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E4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A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F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26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0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A684">
            <w:pPr>
              <w:jc w:val="center"/>
            </w:pPr>
          </w:p>
        </w:tc>
      </w:tr>
      <w:tr w14:paraId="608DDB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A162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E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415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884D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D4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193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62B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F11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ACD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88D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054F6"/>
        </w:tc>
      </w:tr>
    </w:tbl>
    <w:p w14:paraId="1C61BD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4C043F8A">
        <w:tblPrEx>
          <w:tblCellMar>
            <w:top w:w="0" w:type="dxa"/>
            <w:left w:w="108" w:type="dxa"/>
            <w:bottom w:w="0" w:type="dxa"/>
            <w:right w:w="108" w:type="dxa"/>
          </w:tblCellMar>
        </w:tblPrEx>
        <w:tc>
          <w:tcPr>
            <w:tcW w:w="8848" w:type="dxa"/>
            <w:gridSpan w:val="14"/>
            <w:vAlign w:val="center"/>
          </w:tcPr>
          <w:p w14:paraId="61943671">
            <w:pPr>
              <w:jc w:val="center"/>
            </w:pPr>
            <w:r>
              <w:rPr>
                <w:rFonts w:ascii="宋体" w:hAnsi="宋体" w:eastAsia="宋体"/>
                <w:sz w:val="24"/>
              </w:rPr>
              <w:t>项目支出绩效自评表</w:t>
            </w:r>
          </w:p>
        </w:tc>
      </w:tr>
      <w:tr w14:paraId="6328E748">
        <w:tblPrEx>
          <w:tblCellMar>
            <w:top w:w="0" w:type="dxa"/>
            <w:left w:w="108" w:type="dxa"/>
            <w:bottom w:w="0" w:type="dxa"/>
            <w:right w:w="108" w:type="dxa"/>
          </w:tblCellMar>
        </w:tblPrEx>
        <w:tc>
          <w:tcPr>
            <w:tcW w:w="8848" w:type="dxa"/>
            <w:gridSpan w:val="14"/>
            <w:vAlign w:val="center"/>
          </w:tcPr>
          <w:p w14:paraId="58EA5D59">
            <w:pPr>
              <w:jc w:val="center"/>
            </w:pPr>
            <w:r>
              <w:rPr>
                <w:rFonts w:ascii="宋体" w:hAnsi="宋体" w:eastAsia="宋体"/>
                <w:sz w:val="24"/>
              </w:rPr>
              <w:t>(2024年度)</w:t>
            </w:r>
          </w:p>
        </w:tc>
      </w:tr>
      <w:tr w14:paraId="419550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E7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BECFA1">
            <w:pPr>
              <w:jc w:val="center"/>
            </w:pPr>
            <w:r>
              <w:rPr>
                <w:rFonts w:ascii="宋体" w:hAnsi="宋体" w:eastAsia="宋体"/>
                <w:sz w:val="16"/>
              </w:rPr>
              <w:t>五幼 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关于提前下达2024年新疆西藏等地区教育特殊补助资金的通知（学前三年幼儿保障经费（公用经费））</w:t>
            </w:r>
          </w:p>
        </w:tc>
      </w:tr>
      <w:tr w14:paraId="22DC49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FD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8414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A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2C1A6">
            <w:pPr>
              <w:jc w:val="center"/>
            </w:pPr>
            <w:r>
              <w:rPr>
                <w:rFonts w:ascii="宋体" w:hAnsi="宋体" w:eastAsia="宋体"/>
                <w:sz w:val="16"/>
              </w:rPr>
              <w:t>吉木萨尔县第五幼儿园</w:t>
            </w:r>
          </w:p>
        </w:tc>
      </w:tr>
      <w:tr w14:paraId="5E68B3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C0F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8A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B2F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E9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8C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206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32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2F08">
            <w:pPr>
              <w:jc w:val="center"/>
            </w:pPr>
            <w:r>
              <w:rPr>
                <w:rFonts w:ascii="宋体" w:hAnsi="宋体" w:eastAsia="宋体"/>
                <w:sz w:val="16"/>
              </w:rPr>
              <w:t>得分</w:t>
            </w:r>
          </w:p>
        </w:tc>
      </w:tr>
      <w:tr w14:paraId="01534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176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2F4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D23BB">
            <w:pPr>
              <w:jc w:val="center"/>
            </w:pPr>
            <w:r>
              <w:rPr>
                <w:rFonts w:ascii="宋体" w:hAnsi="宋体" w:eastAsia="宋体"/>
                <w:sz w:val="16"/>
              </w:rPr>
              <w:t>29.55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AC845">
            <w:pPr>
              <w:jc w:val="center"/>
            </w:pPr>
            <w:r>
              <w:rPr>
                <w:rFonts w:ascii="宋体" w:hAnsi="宋体" w:eastAsia="宋体"/>
                <w:sz w:val="16"/>
              </w:rPr>
              <w:t>43.02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12C75">
            <w:pPr>
              <w:jc w:val="center"/>
            </w:pPr>
            <w:r>
              <w:rPr>
                <w:rFonts w:ascii="宋体" w:hAnsi="宋体" w:eastAsia="宋体"/>
                <w:sz w:val="16"/>
              </w:rPr>
              <w:t>43.02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D71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9C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E641">
            <w:pPr>
              <w:jc w:val="center"/>
            </w:pPr>
            <w:r>
              <w:rPr>
                <w:rFonts w:ascii="宋体" w:hAnsi="宋体" w:eastAsia="宋体"/>
                <w:sz w:val="16"/>
              </w:rPr>
              <w:t>10.00</w:t>
            </w:r>
          </w:p>
        </w:tc>
      </w:tr>
      <w:tr w14:paraId="63C25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0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EE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A3BC">
            <w:pPr>
              <w:jc w:val="center"/>
            </w:pPr>
            <w:r>
              <w:rPr>
                <w:rFonts w:ascii="宋体" w:hAnsi="宋体" w:eastAsia="宋体"/>
                <w:sz w:val="16"/>
              </w:rPr>
              <w:t>29.55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2FE4">
            <w:pPr>
              <w:jc w:val="center"/>
            </w:pPr>
            <w:r>
              <w:rPr>
                <w:rFonts w:ascii="宋体" w:hAnsi="宋体" w:eastAsia="宋体"/>
                <w:sz w:val="16"/>
              </w:rPr>
              <w:t>43.02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90B7E">
            <w:pPr>
              <w:jc w:val="center"/>
            </w:pPr>
            <w:r>
              <w:rPr>
                <w:rFonts w:ascii="宋体" w:hAnsi="宋体" w:eastAsia="宋体"/>
                <w:sz w:val="16"/>
              </w:rPr>
              <w:t>43.02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A6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58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2EB2">
            <w:pPr>
              <w:jc w:val="center"/>
            </w:pPr>
            <w:r>
              <w:rPr>
                <w:rFonts w:ascii="宋体" w:hAnsi="宋体" w:eastAsia="宋体"/>
                <w:sz w:val="16"/>
              </w:rPr>
              <w:t>—</w:t>
            </w:r>
          </w:p>
        </w:tc>
      </w:tr>
      <w:tr w14:paraId="3CBD4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F45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701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74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98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AB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E1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4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8646">
            <w:pPr>
              <w:jc w:val="center"/>
            </w:pPr>
            <w:r>
              <w:rPr>
                <w:rFonts w:ascii="宋体" w:hAnsi="宋体" w:eastAsia="宋体"/>
                <w:sz w:val="16"/>
              </w:rPr>
              <w:t>—</w:t>
            </w:r>
          </w:p>
        </w:tc>
      </w:tr>
      <w:tr w14:paraId="0992FE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3C5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6D9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32C29">
            <w:pPr>
              <w:jc w:val="center"/>
            </w:pPr>
            <w:r>
              <w:rPr>
                <w:rFonts w:ascii="宋体" w:hAnsi="宋体" w:eastAsia="宋体"/>
                <w:sz w:val="16"/>
              </w:rPr>
              <w:t>实际完成情况</w:t>
            </w:r>
          </w:p>
        </w:tc>
      </w:tr>
      <w:tr w14:paraId="0B9EB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84C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5E438">
            <w:pPr>
              <w:jc w:val="both"/>
            </w:pPr>
            <w:r>
              <w:rPr>
                <w:rFonts w:ascii="宋体" w:hAnsi="宋体" w:eastAsia="宋体"/>
                <w:sz w:val="16"/>
              </w:rPr>
              <w:t>2024年吉木萨尔县第五幼儿园特殊教育补助资金拨付43.02万元，幼儿在园人数319人，公用经费生均补助1100元，主要用于支付水电费、维修费、设备购置、材料采购等，保障学前教育工作正常运转，提高学生及家长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81284">
            <w:pPr>
              <w:jc w:val="both"/>
            </w:pPr>
            <w:r>
              <w:rPr>
                <w:rFonts w:hint="eastAsia" w:ascii="宋体" w:hAnsi="宋体"/>
                <w:sz w:val="16"/>
                <w:lang w:eastAsia="zh-CN"/>
              </w:rPr>
              <w:t>截至2024</w:t>
            </w:r>
            <w:r>
              <w:rPr>
                <w:rFonts w:ascii="宋体" w:hAnsi="宋体" w:eastAsia="宋体"/>
                <w:sz w:val="16"/>
              </w:rPr>
              <w:t>年12月31日，本项目实际支付43.02万元，预算执行率为100%，我校已完成【昌州财教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学前三年幼儿保障经费（公用经费）】项目，通过实施此项目使我校300名幼儿享受到公用经费补助，补助覆盖率达到了100%，保障了我校学前三年教育发展正常运转，学生、家长满意度提高。</w:t>
            </w:r>
          </w:p>
        </w:tc>
      </w:tr>
      <w:tr w14:paraId="5AAA89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EB1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D5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D4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3C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69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7B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F36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AC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44A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49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3D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9E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6C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6F02">
            <w:pPr>
              <w:jc w:val="center"/>
            </w:pPr>
            <w:r>
              <w:rPr>
                <w:rFonts w:ascii="宋体" w:hAnsi="宋体" w:eastAsia="宋体"/>
                <w:sz w:val="16"/>
              </w:rPr>
              <w:t>偏差原因分析及改进措施</w:t>
            </w:r>
          </w:p>
        </w:tc>
      </w:tr>
      <w:tr w14:paraId="7C2AF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2E2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A35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A7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984E">
            <w:pPr>
              <w:jc w:val="center"/>
            </w:pPr>
            <w:r>
              <w:rPr>
                <w:rFonts w:ascii="宋体" w:hAnsi="宋体" w:eastAsia="宋体"/>
                <w:sz w:val="16"/>
              </w:rPr>
              <w:t>保障学前三年适龄幼儿人数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04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21E6">
            <w:pPr>
              <w:jc w:val="center"/>
            </w:pPr>
            <w:r>
              <w:rPr>
                <w:rFonts w:ascii="宋体" w:hAnsi="宋体" w:eastAsia="宋体"/>
                <w:sz w:val="16"/>
              </w:rPr>
              <w: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F483">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7B86">
            <w:pPr>
              <w:jc w:val="center"/>
            </w:pPr>
            <w:r>
              <w:rPr>
                <w:rFonts w:ascii="宋体" w:hAnsi="宋体" w:eastAsia="宋体"/>
                <w:sz w:val="16"/>
              </w:rPr>
              <w:t>94.04%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58FC">
            <w:pPr>
              <w:jc w:val="center"/>
            </w:pPr>
            <w:r>
              <w:rPr>
                <w:rFonts w:ascii="宋体" w:hAnsi="宋体" w:eastAsia="宋体"/>
                <w:sz w:val="16"/>
              </w:rPr>
              <w:t>12.77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E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1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9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B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8C24">
            <w:pPr>
              <w:jc w:val="center"/>
            </w:pPr>
            <w:r>
              <w:rPr>
                <w:rFonts w:ascii="宋体" w:hAnsi="宋体" w:eastAsia="宋体"/>
                <w:sz w:val="16"/>
              </w:rPr>
              <w:t>2024年上半年幼儿人数为319人，下半年为300人，以2024年统计年报为准。</w:t>
            </w:r>
          </w:p>
        </w:tc>
      </w:tr>
      <w:tr w14:paraId="3AA4D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A9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FA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45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CC04">
            <w:pPr>
              <w:jc w:val="center"/>
            </w:pPr>
            <w:r>
              <w:rPr>
                <w:rFonts w:ascii="宋体" w:hAnsi="宋体" w:eastAsia="宋体"/>
                <w:sz w:val="16"/>
              </w:rPr>
              <w:t>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373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6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F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9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50A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B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0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F8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B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9FAA">
            <w:pPr>
              <w:jc w:val="center"/>
            </w:pPr>
          </w:p>
        </w:tc>
      </w:tr>
      <w:tr w14:paraId="19B54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66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87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A1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EA9D">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BF0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C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1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C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E7E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0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F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7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A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692A">
            <w:pPr>
              <w:jc w:val="center"/>
            </w:pPr>
          </w:p>
        </w:tc>
      </w:tr>
      <w:tr w14:paraId="2B104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C2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6B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14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492B">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CE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B45A">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660A">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5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66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7D8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8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A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A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4916">
            <w:pPr>
              <w:jc w:val="center"/>
            </w:pPr>
          </w:p>
        </w:tc>
      </w:tr>
      <w:tr w14:paraId="751E2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2A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8A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2C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7DAB">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52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0454">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6E08">
            <w:pPr>
              <w:jc w:val="center"/>
            </w:pPr>
            <w:r>
              <w:rPr>
                <w:rFonts w:ascii="宋体" w:hAnsi="宋体" w:eastAsia="宋体"/>
                <w:sz w:val="16"/>
              </w:rPr>
              <w:tab/>
            </w: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8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90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6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A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21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6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2586">
            <w:pPr>
              <w:jc w:val="center"/>
            </w:pPr>
          </w:p>
        </w:tc>
      </w:tr>
      <w:tr w14:paraId="65107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EC5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1998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D32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42B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56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0A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5C2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4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A8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9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D4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4A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1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AFAD">
            <w:pPr>
              <w:jc w:val="center"/>
            </w:pPr>
          </w:p>
        </w:tc>
      </w:tr>
      <w:tr w14:paraId="190E6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AD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65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BB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901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6B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F7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30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2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72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D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A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6E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F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25D1">
            <w:pPr>
              <w:jc w:val="center"/>
            </w:pPr>
          </w:p>
        </w:tc>
      </w:tr>
      <w:tr w14:paraId="08601F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DD1D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E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8AC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DB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51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BB3E">
            <w:pPr>
              <w:jc w:val="center"/>
            </w:pPr>
            <w:r>
              <w:rPr>
                <w:rFonts w:ascii="宋体" w:hAnsi="宋体" w:eastAsia="宋体"/>
                <w:sz w:val="16"/>
              </w:rPr>
              <w:t>97.77分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67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76B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5A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B11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44F4D"/>
        </w:tc>
      </w:tr>
    </w:tbl>
    <w:p w14:paraId="0ABE54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60CEA9D">
        <w:tblPrEx>
          <w:tblCellMar>
            <w:top w:w="0" w:type="dxa"/>
            <w:left w:w="108" w:type="dxa"/>
            <w:bottom w:w="0" w:type="dxa"/>
            <w:right w:w="108" w:type="dxa"/>
          </w:tblCellMar>
        </w:tblPrEx>
        <w:tc>
          <w:tcPr>
            <w:tcW w:w="8848" w:type="dxa"/>
            <w:gridSpan w:val="14"/>
            <w:vAlign w:val="center"/>
          </w:tcPr>
          <w:p w14:paraId="3576E69F">
            <w:pPr>
              <w:jc w:val="center"/>
            </w:pPr>
            <w:r>
              <w:rPr>
                <w:rFonts w:ascii="宋体" w:hAnsi="宋体" w:eastAsia="宋体"/>
                <w:sz w:val="24"/>
              </w:rPr>
              <w:t>项目支出绩效自评表</w:t>
            </w:r>
          </w:p>
        </w:tc>
      </w:tr>
      <w:tr w14:paraId="48D39C91">
        <w:tblPrEx>
          <w:tblCellMar>
            <w:top w:w="0" w:type="dxa"/>
            <w:left w:w="108" w:type="dxa"/>
            <w:bottom w:w="0" w:type="dxa"/>
            <w:right w:w="108" w:type="dxa"/>
          </w:tblCellMar>
        </w:tblPrEx>
        <w:tc>
          <w:tcPr>
            <w:tcW w:w="8848" w:type="dxa"/>
            <w:gridSpan w:val="14"/>
            <w:vAlign w:val="center"/>
          </w:tcPr>
          <w:p w14:paraId="2C54044D">
            <w:pPr>
              <w:jc w:val="center"/>
            </w:pPr>
            <w:r>
              <w:rPr>
                <w:rFonts w:ascii="宋体" w:hAnsi="宋体" w:eastAsia="宋体"/>
                <w:sz w:val="24"/>
              </w:rPr>
              <w:t>(2024年度)</w:t>
            </w:r>
          </w:p>
        </w:tc>
      </w:tr>
      <w:tr w14:paraId="333D9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BB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B1A73B">
            <w:pPr>
              <w:jc w:val="center"/>
            </w:pPr>
            <w:r>
              <w:rPr>
                <w:rFonts w:ascii="宋体" w:hAnsi="宋体" w:eastAsia="宋体"/>
                <w:sz w:val="16"/>
              </w:rPr>
              <w:t>五幼昌州财教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65230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6B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848D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FF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0CE02">
            <w:pPr>
              <w:jc w:val="center"/>
            </w:pPr>
            <w:r>
              <w:rPr>
                <w:rFonts w:ascii="宋体" w:hAnsi="宋体" w:eastAsia="宋体"/>
                <w:sz w:val="16"/>
              </w:rPr>
              <w:t>吉木萨尔县第五幼儿园</w:t>
            </w:r>
          </w:p>
        </w:tc>
      </w:tr>
      <w:tr w14:paraId="58F28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89CC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5C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ED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5F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94F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2EE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FA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8A66">
            <w:pPr>
              <w:jc w:val="center"/>
            </w:pPr>
            <w:r>
              <w:rPr>
                <w:rFonts w:ascii="宋体" w:hAnsi="宋体" w:eastAsia="宋体"/>
                <w:sz w:val="16"/>
              </w:rPr>
              <w:t>得分</w:t>
            </w:r>
          </w:p>
        </w:tc>
      </w:tr>
      <w:tr w14:paraId="6207F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FC6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BF3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910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0695">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94335">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12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303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0967">
            <w:pPr>
              <w:jc w:val="center"/>
            </w:pPr>
            <w:r>
              <w:rPr>
                <w:rFonts w:ascii="宋体" w:hAnsi="宋体" w:eastAsia="宋体"/>
                <w:sz w:val="16"/>
              </w:rPr>
              <w:t>10.00</w:t>
            </w:r>
          </w:p>
        </w:tc>
      </w:tr>
      <w:tr w14:paraId="61468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587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60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40F78">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9F40">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CF5F">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1F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42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D8FF">
            <w:pPr>
              <w:jc w:val="center"/>
            </w:pPr>
            <w:r>
              <w:rPr>
                <w:rFonts w:ascii="宋体" w:hAnsi="宋体" w:eastAsia="宋体"/>
                <w:sz w:val="16"/>
              </w:rPr>
              <w:t>—</w:t>
            </w:r>
          </w:p>
        </w:tc>
      </w:tr>
      <w:tr w14:paraId="59195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B6B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2DE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A0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060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02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36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4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D14C">
            <w:pPr>
              <w:jc w:val="center"/>
            </w:pPr>
            <w:r>
              <w:rPr>
                <w:rFonts w:ascii="宋体" w:hAnsi="宋体" w:eastAsia="宋体"/>
                <w:sz w:val="16"/>
              </w:rPr>
              <w:t>—</w:t>
            </w:r>
          </w:p>
        </w:tc>
      </w:tr>
      <w:tr w14:paraId="4995D0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614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86A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D46C47">
            <w:pPr>
              <w:jc w:val="center"/>
            </w:pPr>
            <w:r>
              <w:rPr>
                <w:rFonts w:ascii="宋体" w:hAnsi="宋体" w:eastAsia="宋体"/>
                <w:sz w:val="16"/>
              </w:rPr>
              <w:t>实际完成情况</w:t>
            </w:r>
          </w:p>
        </w:tc>
      </w:tr>
      <w:tr w14:paraId="555DC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B4A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29506">
            <w:pPr>
              <w:jc w:val="both"/>
            </w:pPr>
            <w:r>
              <w:rPr>
                <w:rFonts w:ascii="宋体" w:hAnsi="宋体" w:eastAsia="宋体"/>
                <w:sz w:val="16"/>
              </w:rPr>
              <w:t>2024年县五幼园舍维修资金拨付32万元，主要用于教学楼外墙</w:t>
            </w:r>
            <w:r>
              <w:rPr>
                <w:rFonts w:hint="eastAsia" w:ascii="宋体" w:hAnsi="宋体"/>
                <w:sz w:val="16"/>
                <w:lang w:eastAsia="zh-CN"/>
              </w:rPr>
              <w:t>外立面</w:t>
            </w:r>
            <w:r>
              <w:rPr>
                <w:rFonts w:ascii="宋体" w:hAnsi="宋体" w:eastAsia="宋体"/>
                <w:sz w:val="16"/>
              </w:rPr>
              <w:t>粉刷，粉刷面积为4880平方米，资金支付率为100%，有效改善师生生活环境，提高师生满意度。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10AA74">
            <w:pPr>
              <w:jc w:val="both"/>
            </w:pPr>
            <w:r>
              <w:rPr>
                <w:rFonts w:hint="eastAsia" w:ascii="宋体" w:hAnsi="宋体"/>
                <w:sz w:val="16"/>
                <w:lang w:eastAsia="zh-CN"/>
              </w:rPr>
              <w:t>截至2024</w:t>
            </w:r>
            <w:r>
              <w:rPr>
                <w:rFonts w:ascii="宋体" w:hAnsi="宋体" w:eastAsia="宋体"/>
                <w:sz w:val="16"/>
              </w:rPr>
              <w:t>年12月31日，本项目实际支付32万元，预算执行率为100%，我校已完成【昌州财教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项目，通过实施此项目完成园舍外墙粉刷维修4880平方米，园舍维修任务完成，园舍日常维修改造成本32万元，资金及时支付，有效改善师生生活环境，提高师生满意度。</w:t>
            </w:r>
          </w:p>
        </w:tc>
      </w:tr>
      <w:tr w14:paraId="72F47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6A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AD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C9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B0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C0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4A0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94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D0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E90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1E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12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FF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93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7384">
            <w:pPr>
              <w:jc w:val="center"/>
            </w:pPr>
            <w:r>
              <w:rPr>
                <w:rFonts w:ascii="宋体" w:hAnsi="宋体" w:eastAsia="宋体"/>
                <w:sz w:val="16"/>
              </w:rPr>
              <w:t>偏差原因分析及改进措施</w:t>
            </w:r>
          </w:p>
        </w:tc>
      </w:tr>
      <w:tr w14:paraId="58CA61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1AA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3C38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98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9CEE">
            <w:pPr>
              <w:jc w:val="center"/>
            </w:pPr>
            <w:r>
              <w:rPr>
                <w:rFonts w:ascii="宋体" w:hAnsi="宋体" w:eastAsia="宋体"/>
                <w:sz w:val="16"/>
              </w:rPr>
              <w:t>维修校舍面积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1E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030F">
            <w:pPr>
              <w:jc w:val="center"/>
            </w:pPr>
            <w:r>
              <w:rPr>
                <w:rFonts w:ascii="宋体" w:hAnsi="宋体" w:eastAsia="宋体"/>
                <w:sz w:val="16"/>
              </w:rPr>
              <w:t>=4880平方米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9B4B">
            <w:pPr>
              <w:jc w:val="center"/>
            </w:pPr>
            <w:r>
              <w:rPr>
                <w:rFonts w:ascii="宋体" w:hAnsi="宋体" w:eastAsia="宋体"/>
                <w:sz w:val="16"/>
              </w:rPr>
              <w:t>=4880平方米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5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7E3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9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3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E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F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A1C9">
            <w:pPr>
              <w:jc w:val="center"/>
            </w:pPr>
          </w:p>
        </w:tc>
      </w:tr>
      <w:tr w14:paraId="1F739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D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5C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E5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76B5">
            <w:pPr>
              <w:jc w:val="center"/>
            </w:pPr>
            <w:r>
              <w:rPr>
                <w:rFonts w:ascii="宋体" w:hAnsi="宋体" w:eastAsia="宋体"/>
                <w:sz w:val="16"/>
              </w:rPr>
              <w:t>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0B8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0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2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0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28E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8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3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D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E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2271">
            <w:pPr>
              <w:jc w:val="center"/>
            </w:pPr>
          </w:p>
        </w:tc>
      </w:tr>
      <w:tr w14:paraId="6C9D0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1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71C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B5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0E5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406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C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6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2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0CF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A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A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B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9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CC67">
            <w:pPr>
              <w:jc w:val="center"/>
            </w:pPr>
          </w:p>
        </w:tc>
      </w:tr>
      <w:tr w14:paraId="175C3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F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8A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51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1233">
            <w:pPr>
              <w:jc w:val="center"/>
            </w:pPr>
            <w:r>
              <w:rPr>
                <w:rFonts w:ascii="宋体" w:hAnsi="宋体" w:eastAsia="宋体"/>
                <w:sz w:val="16"/>
              </w:rPr>
              <w:t>校舍维修成本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69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C868">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9561">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E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E9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F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4A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D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A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BD5B">
            <w:pPr>
              <w:jc w:val="center"/>
            </w:pPr>
          </w:p>
        </w:tc>
      </w:tr>
      <w:tr w14:paraId="491EE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03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FA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26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96BC">
            <w:pPr>
              <w:jc w:val="center"/>
            </w:pPr>
            <w:r>
              <w:rPr>
                <w:rFonts w:ascii="宋体" w:hAnsi="宋体" w:eastAsia="宋体"/>
                <w:sz w:val="16"/>
              </w:rPr>
              <w:t>改善校园环境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8B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A9B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A95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1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A5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2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4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21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1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A85F">
            <w:pPr>
              <w:jc w:val="center"/>
            </w:pPr>
          </w:p>
        </w:tc>
      </w:tr>
      <w:tr w14:paraId="36D8F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68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7678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789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D3D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04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FF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2A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8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AE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0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4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97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8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721A">
            <w:pPr>
              <w:jc w:val="center"/>
            </w:pPr>
          </w:p>
        </w:tc>
      </w:tr>
      <w:tr w14:paraId="5AC87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42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CD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6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610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98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1D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F45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F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E7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4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5D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8C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6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F6A2">
            <w:pPr>
              <w:jc w:val="center"/>
            </w:pPr>
          </w:p>
        </w:tc>
      </w:tr>
      <w:tr w14:paraId="5BA8F6C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60A5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0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2F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193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479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CC3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0F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87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28A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38D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ED94C"/>
        </w:tc>
      </w:tr>
    </w:tbl>
    <w:p w14:paraId="304E32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FF9A5C8">
        <w:tblPrEx>
          <w:tblCellMar>
            <w:top w:w="0" w:type="dxa"/>
            <w:left w:w="108" w:type="dxa"/>
            <w:bottom w:w="0" w:type="dxa"/>
            <w:right w:w="108" w:type="dxa"/>
          </w:tblCellMar>
        </w:tblPrEx>
        <w:tc>
          <w:tcPr>
            <w:tcW w:w="8848" w:type="dxa"/>
            <w:gridSpan w:val="14"/>
            <w:vAlign w:val="center"/>
          </w:tcPr>
          <w:p w14:paraId="0889E60E">
            <w:pPr>
              <w:jc w:val="center"/>
            </w:pPr>
            <w:r>
              <w:rPr>
                <w:rFonts w:ascii="宋体" w:hAnsi="宋体" w:eastAsia="宋体"/>
                <w:sz w:val="24"/>
              </w:rPr>
              <w:t>项目支出绩效自评表</w:t>
            </w:r>
          </w:p>
        </w:tc>
      </w:tr>
      <w:tr w14:paraId="27BD1F1C">
        <w:tblPrEx>
          <w:tblCellMar>
            <w:top w:w="0" w:type="dxa"/>
            <w:left w:w="108" w:type="dxa"/>
            <w:bottom w:w="0" w:type="dxa"/>
            <w:right w:w="108" w:type="dxa"/>
          </w:tblCellMar>
        </w:tblPrEx>
        <w:tc>
          <w:tcPr>
            <w:tcW w:w="8848" w:type="dxa"/>
            <w:gridSpan w:val="14"/>
            <w:vAlign w:val="center"/>
          </w:tcPr>
          <w:p w14:paraId="23705D4D">
            <w:pPr>
              <w:jc w:val="center"/>
            </w:pPr>
            <w:r>
              <w:rPr>
                <w:rFonts w:ascii="宋体" w:hAnsi="宋体" w:eastAsia="宋体"/>
                <w:sz w:val="24"/>
              </w:rPr>
              <w:t>(2024年度)</w:t>
            </w:r>
          </w:p>
        </w:tc>
      </w:tr>
      <w:tr w14:paraId="145863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19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DCA230">
            <w:pPr>
              <w:jc w:val="center"/>
            </w:pPr>
            <w:r>
              <w:rPr>
                <w:rFonts w:ascii="宋体" w:hAnsi="宋体" w:eastAsia="宋体"/>
                <w:sz w:val="16"/>
              </w:rPr>
              <w:t>吉木萨尔县第五幼儿园教师体检补助项目</w:t>
            </w:r>
          </w:p>
        </w:tc>
      </w:tr>
      <w:tr w14:paraId="74213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08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3E24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56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A883D4">
            <w:pPr>
              <w:jc w:val="center"/>
            </w:pPr>
            <w:r>
              <w:rPr>
                <w:rFonts w:ascii="宋体" w:hAnsi="宋体" w:eastAsia="宋体"/>
                <w:sz w:val="16"/>
              </w:rPr>
              <w:t>吉木萨尔县第五幼儿园</w:t>
            </w:r>
          </w:p>
        </w:tc>
      </w:tr>
      <w:tr w14:paraId="62170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B65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BE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51A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93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FD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791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09F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DE06">
            <w:pPr>
              <w:jc w:val="center"/>
            </w:pPr>
            <w:r>
              <w:rPr>
                <w:rFonts w:ascii="宋体" w:hAnsi="宋体" w:eastAsia="宋体"/>
                <w:sz w:val="16"/>
              </w:rPr>
              <w:t>得分</w:t>
            </w:r>
          </w:p>
        </w:tc>
      </w:tr>
      <w:tr w14:paraId="19652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91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27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7102">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C58B">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44CE">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8B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DB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FAF1">
            <w:pPr>
              <w:jc w:val="center"/>
            </w:pPr>
            <w:r>
              <w:rPr>
                <w:rFonts w:ascii="宋体" w:hAnsi="宋体" w:eastAsia="宋体"/>
                <w:sz w:val="16"/>
              </w:rPr>
              <w:t>10.00</w:t>
            </w:r>
          </w:p>
        </w:tc>
      </w:tr>
      <w:tr w14:paraId="258AE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9F1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A6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52B3">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68025">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53DE">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26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5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1A0C">
            <w:pPr>
              <w:jc w:val="center"/>
            </w:pPr>
            <w:r>
              <w:rPr>
                <w:rFonts w:ascii="宋体" w:hAnsi="宋体" w:eastAsia="宋体"/>
                <w:sz w:val="16"/>
              </w:rPr>
              <w:t>—</w:t>
            </w:r>
          </w:p>
        </w:tc>
      </w:tr>
      <w:tr w14:paraId="00026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EE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56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01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4D9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C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D0B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E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5265">
            <w:pPr>
              <w:jc w:val="center"/>
            </w:pPr>
            <w:r>
              <w:rPr>
                <w:rFonts w:ascii="宋体" w:hAnsi="宋体" w:eastAsia="宋体"/>
                <w:sz w:val="16"/>
              </w:rPr>
              <w:t>—</w:t>
            </w:r>
          </w:p>
        </w:tc>
      </w:tr>
      <w:tr w14:paraId="32FD2D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9A5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05D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256F14">
            <w:pPr>
              <w:jc w:val="center"/>
            </w:pPr>
            <w:r>
              <w:rPr>
                <w:rFonts w:ascii="宋体" w:hAnsi="宋体" w:eastAsia="宋体"/>
                <w:sz w:val="16"/>
              </w:rPr>
              <w:t>实际完成情况</w:t>
            </w:r>
          </w:p>
        </w:tc>
      </w:tr>
      <w:tr w14:paraId="3F914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8F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BCC98">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测算，共计拨付1.65万元，对我校教职员工开展健康体检，有效改善教师身体健康状况，定期体检能及时发现教师潜在病症，预防传染病在园传播，为幼儿打造健康、安全的成长环境，待项目实施完成，争取使教师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B35A5">
            <w:pPr>
              <w:jc w:val="both"/>
            </w:pPr>
            <w:r>
              <w:rPr>
                <w:rFonts w:hint="eastAsia" w:ascii="宋体" w:hAnsi="宋体"/>
                <w:sz w:val="16"/>
                <w:lang w:eastAsia="zh-CN"/>
              </w:rPr>
              <w:t>截至</w:t>
            </w:r>
            <w:r>
              <w:rPr>
                <w:rFonts w:ascii="宋体" w:hAnsi="宋体" w:eastAsia="宋体"/>
                <w:sz w:val="16"/>
              </w:rPr>
              <w:t>2024年12月31日，本项目实际支出资金1.65万元，预算执行率为100%，通过实施【吉木萨尔县第五幼儿园教师体检补助】项目使我校32名教师得到体检，实现教师体检全覆盖目标，在有效的体检检查下预防疾病，提升教师的健康水平。</w:t>
            </w:r>
          </w:p>
        </w:tc>
      </w:tr>
      <w:tr w14:paraId="68ED5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9EB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6C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89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F3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9A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7DD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A9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4D4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FB3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3F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38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6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A4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E2AE">
            <w:pPr>
              <w:jc w:val="center"/>
            </w:pPr>
            <w:r>
              <w:rPr>
                <w:rFonts w:ascii="宋体" w:hAnsi="宋体" w:eastAsia="宋体"/>
                <w:sz w:val="16"/>
              </w:rPr>
              <w:t>偏差原因分析及改进措施</w:t>
            </w:r>
          </w:p>
        </w:tc>
      </w:tr>
      <w:tr w14:paraId="55D6A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4DC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0B1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FB9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062B">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F25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53FF">
            <w:pPr>
              <w:jc w:val="center"/>
            </w:pPr>
            <w:r>
              <w:rPr>
                <w:rFonts w:ascii="宋体" w:hAnsi="宋体" w:eastAsia="宋体"/>
                <w:sz w:val="16"/>
              </w:rPr>
              <w:t>&lt;=33人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BB9D">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C839">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2BF2">
            <w:pPr>
              <w:jc w:val="center"/>
            </w:pPr>
            <w:r>
              <w:rPr>
                <w:rFonts w:ascii="宋体" w:hAnsi="宋体" w:eastAsia="宋体"/>
                <w:sz w:val="16"/>
              </w:rPr>
              <w:t>10.18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F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7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E5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ABF2">
            <w:pPr>
              <w:jc w:val="center"/>
            </w:pPr>
            <w:r>
              <w:rPr>
                <w:rFonts w:ascii="宋体" w:hAnsi="宋体" w:eastAsia="宋体"/>
                <w:sz w:val="16"/>
              </w:rPr>
              <w:t>本年度决算报表中32人，年初33人，体检费教育局统一分配用于体检。</w:t>
            </w:r>
          </w:p>
        </w:tc>
      </w:tr>
      <w:tr w14:paraId="5BC49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0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3D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47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C25E">
            <w:pPr>
              <w:jc w:val="center"/>
            </w:pPr>
            <w:r>
              <w:rPr>
                <w:rFonts w:ascii="宋体" w:hAnsi="宋体" w:eastAsia="宋体"/>
                <w:sz w:val="16"/>
              </w:rPr>
              <w:t>体检次数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5C0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FE8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A37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5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481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172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C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8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B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54F1">
            <w:pPr>
              <w:jc w:val="center"/>
            </w:pPr>
          </w:p>
        </w:tc>
      </w:tr>
      <w:tr w14:paraId="5892B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C9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EC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8F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0F92">
            <w:pPr>
              <w:jc w:val="center"/>
            </w:pPr>
            <w:r>
              <w:rPr>
                <w:rFonts w:ascii="宋体" w:hAnsi="宋体" w:eastAsia="宋体"/>
                <w:sz w:val="16"/>
              </w:rPr>
              <w:t>教师体检补助覆盖率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530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A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E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1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F7A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5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8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B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0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3774">
            <w:pPr>
              <w:jc w:val="center"/>
            </w:pPr>
          </w:p>
        </w:tc>
      </w:tr>
      <w:tr w14:paraId="18525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E7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3F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48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B1BC">
            <w:pPr>
              <w:jc w:val="center"/>
            </w:pPr>
            <w:r>
              <w:rPr>
                <w:rFonts w:ascii="宋体" w:hAnsi="宋体" w:eastAsia="宋体"/>
                <w:sz w:val="16"/>
              </w:rPr>
              <w:t>教师体检补助支付及时率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0B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3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B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A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DB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F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6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2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A750">
            <w:pPr>
              <w:jc w:val="center"/>
            </w:pPr>
          </w:p>
        </w:tc>
      </w:tr>
      <w:tr w14:paraId="1D574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BA0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E70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AF4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6435">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26A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A03B">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4FF3">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5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B0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2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2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5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E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476A">
            <w:pPr>
              <w:jc w:val="center"/>
            </w:pPr>
          </w:p>
        </w:tc>
      </w:tr>
      <w:tr w14:paraId="7A01D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05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C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A4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E758">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D8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D79D">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884A">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D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03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D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7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8E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20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C15B">
            <w:pPr>
              <w:jc w:val="center"/>
            </w:pPr>
          </w:p>
        </w:tc>
      </w:tr>
      <w:tr w14:paraId="7B157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BD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200B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5BC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4CCF">
            <w:pPr>
              <w:jc w:val="center"/>
            </w:pPr>
            <w:r>
              <w:rPr>
                <w:rFonts w:ascii="宋体" w:hAnsi="宋体" w:eastAsia="宋体"/>
                <w:sz w:val="16"/>
              </w:rPr>
              <w:t>定期体检能及时发现教师潜在病症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6C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69C0">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1BC2">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3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B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3AD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6A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EE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E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5708">
            <w:pPr>
              <w:jc w:val="center"/>
            </w:pPr>
          </w:p>
        </w:tc>
      </w:tr>
      <w:tr w14:paraId="2845E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0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01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8E8D">
            <w:pPr>
              <w:jc w:val="center"/>
            </w:pPr>
            <w:r>
              <w:rPr>
                <w:rFonts w:ascii="宋体" w:hAnsi="宋体" w:eastAsia="宋体"/>
                <w:sz w:val="16"/>
              </w:rPr>
              <w:t>预防传染病在园传播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8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C901">
            <w:pPr>
              <w:jc w:val="center"/>
            </w:pPr>
            <w:r>
              <w:rPr>
                <w:rFonts w:ascii="宋体" w:hAnsi="宋体" w:eastAsia="宋体"/>
                <w:sz w:val="16"/>
              </w:rPr>
              <w:t>有效预防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3593">
            <w:pPr>
              <w:jc w:val="center"/>
            </w:pPr>
            <w:r>
              <w:rPr>
                <w:rFonts w:ascii="宋体" w:hAnsi="宋体" w:eastAsia="宋体"/>
                <w:sz w:val="16"/>
              </w:rPr>
              <w:t>有效预防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3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C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BA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E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1E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B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31CD">
            <w:pPr>
              <w:jc w:val="center"/>
            </w:pPr>
          </w:p>
        </w:tc>
      </w:tr>
      <w:tr w14:paraId="7E90F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AB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6C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C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0762">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85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DB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2A9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7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4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9D2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5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25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3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C041">
            <w:pPr>
              <w:jc w:val="center"/>
            </w:pPr>
            <w:r>
              <w:rPr>
                <w:rFonts w:ascii="宋体" w:hAnsi="宋体" w:eastAsia="宋体"/>
                <w:sz w:val="16"/>
              </w:rPr>
              <w:t>项目使我校33名教师得到体检，实现教师体检全覆盖目标，满意度达到100%</w:t>
            </w:r>
          </w:p>
        </w:tc>
      </w:tr>
      <w:tr w14:paraId="20BA6B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1796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8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79F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547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60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B880">
            <w:pPr>
              <w:jc w:val="center"/>
            </w:pPr>
            <w:r>
              <w:rPr>
                <w:rFonts w:ascii="宋体" w:hAnsi="宋体" w:eastAsia="宋体"/>
                <w:sz w:val="16"/>
              </w:rPr>
              <w:t>99.18分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2C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634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CE4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A19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94F00"/>
        </w:tc>
      </w:tr>
    </w:tbl>
    <w:p w14:paraId="66EACB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DFE62E6">
        <w:tc>
          <w:tcPr>
            <w:tcW w:w="8848" w:type="dxa"/>
            <w:gridSpan w:val="14"/>
            <w:vAlign w:val="center"/>
          </w:tcPr>
          <w:p w14:paraId="4856DCFB">
            <w:pPr>
              <w:jc w:val="center"/>
            </w:pPr>
            <w:r>
              <w:rPr>
                <w:rFonts w:ascii="宋体" w:hAnsi="宋体" w:eastAsia="宋体"/>
                <w:sz w:val="24"/>
              </w:rPr>
              <w:t>项目支出绩效自评表</w:t>
            </w:r>
          </w:p>
        </w:tc>
      </w:tr>
      <w:tr w14:paraId="72C16AEA">
        <w:tblPrEx>
          <w:tblCellMar>
            <w:top w:w="0" w:type="dxa"/>
            <w:left w:w="108" w:type="dxa"/>
            <w:bottom w:w="0" w:type="dxa"/>
            <w:right w:w="108" w:type="dxa"/>
          </w:tblCellMar>
        </w:tblPrEx>
        <w:tc>
          <w:tcPr>
            <w:tcW w:w="8848" w:type="dxa"/>
            <w:gridSpan w:val="14"/>
            <w:vAlign w:val="center"/>
          </w:tcPr>
          <w:p w14:paraId="4FC58E61">
            <w:pPr>
              <w:jc w:val="center"/>
            </w:pPr>
            <w:r>
              <w:rPr>
                <w:rFonts w:ascii="宋体" w:hAnsi="宋体" w:eastAsia="宋体"/>
                <w:sz w:val="24"/>
              </w:rPr>
              <w:t>(2024年度)</w:t>
            </w:r>
          </w:p>
        </w:tc>
      </w:tr>
      <w:tr w14:paraId="581AA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EA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59E0EE">
            <w:pPr>
              <w:jc w:val="center"/>
            </w:pPr>
            <w:r>
              <w:rPr>
                <w:rFonts w:ascii="宋体" w:hAnsi="宋体" w:eastAsia="宋体"/>
                <w:sz w:val="16"/>
              </w:rPr>
              <w:t>昌州财教</w:t>
            </w:r>
            <w:r>
              <w:rPr>
                <w:rFonts w:hint="eastAsia" w:ascii="宋体" w:hAnsi="宋体"/>
                <w:sz w:val="16"/>
                <w:lang w:eastAsia="zh-CN"/>
              </w:rPr>
              <w:t>〔2023〕69号</w:t>
            </w:r>
            <w:r>
              <w:rPr>
                <w:rFonts w:ascii="宋体" w:hAnsi="宋体" w:eastAsia="宋体"/>
                <w:sz w:val="16"/>
              </w:rPr>
              <w:t>关于调整2023年度农村学前三年免费教育保障经费预算的通知（伙食补助）</w:t>
            </w:r>
          </w:p>
        </w:tc>
      </w:tr>
      <w:tr w14:paraId="485468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6F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3EB1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FA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8B388">
            <w:pPr>
              <w:jc w:val="center"/>
            </w:pPr>
            <w:r>
              <w:rPr>
                <w:rFonts w:ascii="宋体" w:hAnsi="宋体" w:eastAsia="宋体"/>
                <w:sz w:val="16"/>
              </w:rPr>
              <w:t>吉木萨尔县第五幼儿园</w:t>
            </w:r>
          </w:p>
        </w:tc>
      </w:tr>
      <w:tr w14:paraId="436A3C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EA2C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55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942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C3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4C2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843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158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8D8F">
            <w:pPr>
              <w:jc w:val="center"/>
            </w:pPr>
            <w:r>
              <w:rPr>
                <w:rFonts w:ascii="宋体" w:hAnsi="宋体" w:eastAsia="宋体"/>
                <w:sz w:val="16"/>
              </w:rPr>
              <w:t>得分</w:t>
            </w:r>
          </w:p>
        </w:tc>
      </w:tr>
      <w:tr w14:paraId="10CA7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DEF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EE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90AC">
            <w:pPr>
              <w:jc w:val="center"/>
            </w:pPr>
            <w:r>
              <w:rPr>
                <w:rFonts w:ascii="宋体" w:hAnsi="宋体" w:eastAsia="宋体"/>
                <w:sz w:val="16"/>
              </w:rPr>
              <w:t>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55EA2">
            <w:pPr>
              <w:jc w:val="center"/>
            </w:pPr>
            <w:r>
              <w:rPr>
                <w:rFonts w:ascii="宋体" w:hAnsi="宋体" w:eastAsia="宋体"/>
                <w:sz w:val="16"/>
              </w:rPr>
              <w:t>36.41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355B">
            <w:pPr>
              <w:jc w:val="center"/>
            </w:pPr>
            <w:r>
              <w:rPr>
                <w:rFonts w:ascii="宋体" w:hAnsi="宋体" w:eastAsia="宋体"/>
                <w:sz w:val="16"/>
              </w:rPr>
              <w:t>36.41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12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D9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2B33">
            <w:pPr>
              <w:jc w:val="center"/>
            </w:pPr>
            <w:r>
              <w:rPr>
                <w:rFonts w:ascii="宋体" w:hAnsi="宋体" w:eastAsia="宋体"/>
                <w:sz w:val="16"/>
              </w:rPr>
              <w:t>10.00</w:t>
            </w:r>
          </w:p>
        </w:tc>
      </w:tr>
      <w:tr w14:paraId="3C50E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65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9B5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15A69">
            <w:pPr>
              <w:jc w:val="center"/>
            </w:pPr>
            <w:r>
              <w:rPr>
                <w:rFonts w:ascii="宋体" w:hAnsi="宋体" w:eastAsia="宋体"/>
                <w:sz w:val="16"/>
              </w:rPr>
              <w:t>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441B">
            <w:pPr>
              <w:jc w:val="center"/>
            </w:pPr>
            <w:r>
              <w:rPr>
                <w:rFonts w:ascii="宋体" w:hAnsi="宋体" w:eastAsia="宋体"/>
                <w:sz w:val="16"/>
              </w:rPr>
              <w:t>36.41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310A">
            <w:pPr>
              <w:jc w:val="center"/>
            </w:pPr>
            <w:r>
              <w:rPr>
                <w:rFonts w:ascii="宋体" w:hAnsi="宋体" w:eastAsia="宋体"/>
                <w:sz w:val="16"/>
              </w:rPr>
              <w:t>36.41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AFB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8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1979">
            <w:pPr>
              <w:jc w:val="center"/>
            </w:pPr>
            <w:r>
              <w:rPr>
                <w:rFonts w:ascii="宋体" w:hAnsi="宋体" w:eastAsia="宋体"/>
                <w:sz w:val="16"/>
              </w:rPr>
              <w:t>—</w:t>
            </w:r>
          </w:p>
        </w:tc>
      </w:tr>
      <w:tr w14:paraId="756BA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1D4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8CD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A97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B7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10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2E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7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3D11">
            <w:pPr>
              <w:jc w:val="center"/>
            </w:pPr>
            <w:r>
              <w:rPr>
                <w:rFonts w:ascii="宋体" w:hAnsi="宋体" w:eastAsia="宋体"/>
                <w:sz w:val="16"/>
              </w:rPr>
              <w:t>—</w:t>
            </w:r>
          </w:p>
        </w:tc>
      </w:tr>
      <w:tr w14:paraId="690959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5BA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E9E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EB6F1">
            <w:pPr>
              <w:jc w:val="center"/>
            </w:pPr>
            <w:r>
              <w:rPr>
                <w:rFonts w:ascii="宋体" w:hAnsi="宋体" w:eastAsia="宋体"/>
                <w:sz w:val="16"/>
              </w:rPr>
              <w:t>实际完成情况</w:t>
            </w:r>
          </w:p>
        </w:tc>
      </w:tr>
      <w:tr w14:paraId="17051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80A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B6EF7">
            <w:pPr>
              <w:jc w:val="both"/>
            </w:pPr>
            <w:r>
              <w:rPr>
                <w:rFonts w:ascii="宋体" w:hAnsi="宋体" w:eastAsia="宋体"/>
                <w:sz w:val="16"/>
              </w:rPr>
              <w:t>2024年，拨付农村学前三年免费教育保障经费</w:t>
            </w:r>
            <w:r>
              <w:rPr>
                <w:rFonts w:hint="eastAsia" w:ascii="宋体" w:hAnsi="宋体"/>
                <w:sz w:val="16"/>
                <w:lang w:eastAsia="zh-CN"/>
              </w:rPr>
              <w:t>预计</w:t>
            </w:r>
            <w:r>
              <w:rPr>
                <w:rFonts w:ascii="宋体" w:hAnsi="宋体" w:eastAsia="宋体"/>
                <w:sz w:val="16"/>
              </w:rPr>
              <w:t>36.41万元，保障我校幼儿在园人数319人，伙食补助生均补助1450元，学前三年免费教育发展保障经费。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560B4C">
            <w:pPr>
              <w:jc w:val="both"/>
            </w:pPr>
            <w:r>
              <w:rPr>
                <w:rFonts w:hint="eastAsia" w:ascii="宋体" w:hAnsi="宋体"/>
                <w:sz w:val="16"/>
                <w:lang w:eastAsia="zh-CN"/>
              </w:rPr>
              <w:t>截至2024</w:t>
            </w:r>
            <w:r>
              <w:rPr>
                <w:rFonts w:ascii="宋体" w:hAnsi="宋体" w:eastAsia="宋体"/>
                <w:sz w:val="16"/>
              </w:rPr>
              <w:t>年12月31日，本项目实际支出36.41万元，预算执行率为100%，我校已完成【昌州财教</w:t>
            </w:r>
            <w:r>
              <w:rPr>
                <w:rFonts w:hint="eastAsia" w:ascii="宋体" w:hAnsi="宋体"/>
                <w:sz w:val="16"/>
                <w:lang w:eastAsia="zh-CN"/>
              </w:rPr>
              <w:t>〔2023〕69号</w:t>
            </w:r>
            <w:r>
              <w:rPr>
                <w:rFonts w:ascii="宋体" w:hAnsi="宋体" w:eastAsia="宋体"/>
                <w:sz w:val="16"/>
              </w:rPr>
              <w:t>关于调整2023年度农村学前三年免费教育保障经费预算的通知（伙食补助）】项目，通过实施此项目使我校319名幼儿享受到伙食补助，补助覆盖率达到了100%，保障了我校学前三年教育发展正常运转，学生、家长满意度提高。</w:t>
            </w:r>
          </w:p>
        </w:tc>
      </w:tr>
      <w:tr w14:paraId="6B0959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DB9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27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DD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AB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24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04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17A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8F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89D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5A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FF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B6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7B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25D8">
            <w:pPr>
              <w:jc w:val="center"/>
            </w:pPr>
            <w:r>
              <w:rPr>
                <w:rFonts w:ascii="宋体" w:hAnsi="宋体" w:eastAsia="宋体"/>
                <w:sz w:val="16"/>
              </w:rPr>
              <w:t>偏差原因分析及改进措施</w:t>
            </w:r>
          </w:p>
        </w:tc>
      </w:tr>
      <w:tr w14:paraId="0563A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2E3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54C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09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846F">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DF7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9506">
            <w:pPr>
              <w:jc w:val="center"/>
            </w:pPr>
            <w:r>
              <w:rPr>
                <w:rFonts w:ascii="宋体" w:hAnsi="宋体" w:eastAsia="宋体"/>
                <w:sz w:val="16"/>
              </w:rPr>
              <w: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5B4A">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685D">
            <w:pPr>
              <w:jc w:val="center"/>
            </w:pPr>
            <w:r>
              <w:rPr>
                <w:rFonts w:ascii="宋体" w:hAnsi="宋体" w:eastAsia="宋体"/>
                <w:sz w:val="16"/>
              </w:rPr>
              <w:t>94.04%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51E4">
            <w:pPr>
              <w:jc w:val="center"/>
            </w:pPr>
            <w:r>
              <w:rPr>
                <w:rFonts w:ascii="宋体" w:hAnsi="宋体" w:eastAsia="宋体"/>
                <w:sz w:val="16"/>
              </w:rPr>
              <w:t>11.06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0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2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3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C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08E5">
            <w:pPr>
              <w:jc w:val="center"/>
            </w:pPr>
            <w:r>
              <w:rPr>
                <w:rFonts w:ascii="宋体" w:hAnsi="宋体" w:eastAsia="宋体"/>
                <w:sz w:val="16"/>
              </w:rPr>
              <w:t>2024年上半年幼儿人数为319人，下半年为300人，以2024年统计年报为准。</w:t>
            </w:r>
          </w:p>
        </w:tc>
      </w:tr>
      <w:tr w14:paraId="3DA6C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4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1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BE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4A78">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F21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F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F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2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D78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0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0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9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8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3DAA">
            <w:pPr>
              <w:jc w:val="center"/>
            </w:pPr>
          </w:p>
        </w:tc>
      </w:tr>
      <w:tr w14:paraId="0E71F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CC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8AD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030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BE5F">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7F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D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C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2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2F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6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D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2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6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9DC4">
            <w:pPr>
              <w:jc w:val="center"/>
            </w:pPr>
          </w:p>
        </w:tc>
      </w:tr>
      <w:tr w14:paraId="578F0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96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21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9F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ECF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87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1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9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1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0F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1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2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9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F70B">
            <w:pPr>
              <w:jc w:val="center"/>
            </w:pPr>
          </w:p>
        </w:tc>
      </w:tr>
      <w:tr w14:paraId="30146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1D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34D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43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D8D4">
            <w:pPr>
              <w:jc w:val="center"/>
            </w:pPr>
            <w:r>
              <w:rPr>
                <w:rFonts w:ascii="宋体" w:hAnsi="宋体" w:eastAsia="宋体"/>
                <w:sz w:val="16"/>
              </w:rPr>
              <w:t>伙食补助生均补助标准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02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BB54">
            <w:pPr>
              <w:jc w:val="center"/>
            </w:pPr>
            <w:r>
              <w:rPr>
                <w:rFonts w:ascii="宋体" w:hAnsi="宋体" w:eastAsia="宋体"/>
                <w:sz w:val="16"/>
              </w:rPr>
              <w:t>=1450元/人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CF0F">
            <w:pPr>
              <w:jc w:val="center"/>
            </w:pPr>
            <w:r>
              <w:rPr>
                <w:rFonts w:ascii="宋体" w:hAnsi="宋体" w:eastAsia="宋体"/>
                <w:sz w:val="16"/>
              </w:rPr>
              <w:t>=1450元/人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D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D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69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E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E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926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A3E6">
            <w:pPr>
              <w:jc w:val="center"/>
            </w:pPr>
          </w:p>
        </w:tc>
      </w:tr>
      <w:tr w14:paraId="6E41E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0D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27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FD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3DCA">
            <w:pPr>
              <w:jc w:val="center"/>
            </w:pPr>
            <w:r>
              <w:rPr>
                <w:rFonts w:ascii="宋体" w:hAnsi="宋体" w:eastAsia="宋体"/>
                <w:sz w:val="16"/>
              </w:rPr>
              <w:t>保障适龄幼儿接受免费学前三年教育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FC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9DB5">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3663">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B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81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C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B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EF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01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94C6">
            <w:pPr>
              <w:jc w:val="center"/>
            </w:pPr>
          </w:p>
        </w:tc>
      </w:tr>
      <w:tr w14:paraId="768F5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8C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EE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7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266D">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8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F3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11F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E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1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C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94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AA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2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EF10">
            <w:pPr>
              <w:jc w:val="center"/>
            </w:pPr>
          </w:p>
        </w:tc>
      </w:tr>
      <w:tr w14:paraId="0244E4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62F6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9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F84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3C9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18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4FF3">
            <w:pPr>
              <w:jc w:val="center"/>
            </w:pPr>
            <w:r>
              <w:rPr>
                <w:rFonts w:ascii="宋体" w:hAnsi="宋体" w:eastAsia="宋体"/>
                <w:sz w:val="16"/>
              </w:rPr>
              <w:t>98.06分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617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9EA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E69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218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B843F"/>
        </w:tc>
      </w:tr>
    </w:tbl>
    <w:p w14:paraId="209A8F0C">
      <w:r>
        <w:br w:type="page"/>
      </w:r>
    </w:p>
    <w:p w14:paraId="772C362A">
      <w:pPr>
        <w:spacing w:line="640" w:lineRule="exact"/>
        <w:ind w:firstLine="640"/>
        <w:jc w:val="both"/>
        <w:outlineLvl w:val="2"/>
      </w:pPr>
      <w:r>
        <w:rPr>
          <w:rFonts w:ascii="黑体" w:hAnsi="黑体" w:eastAsia="黑体"/>
          <w:sz w:val="32"/>
        </w:rPr>
        <w:t>十二、其他需说明的事项</w:t>
      </w:r>
    </w:p>
    <w:p w14:paraId="1C1149FD">
      <w:pPr>
        <w:spacing w:line="580" w:lineRule="exact"/>
        <w:ind w:firstLine="640"/>
        <w:jc w:val="both"/>
      </w:pPr>
      <w:r>
        <w:rPr>
          <w:rFonts w:ascii="仿宋_GB2312" w:hAnsi="仿宋_GB2312" w:eastAsia="仿宋_GB2312"/>
          <w:b w:val="0"/>
          <w:sz w:val="32"/>
        </w:rPr>
        <w:t>本单位无其他需说明的事项。</w:t>
      </w:r>
    </w:p>
    <w:p w14:paraId="13B8B71E">
      <w:r>
        <w:br w:type="page"/>
      </w:r>
    </w:p>
    <w:p w14:paraId="1B09476D">
      <w:pPr>
        <w:spacing w:line="240" w:lineRule="auto"/>
        <w:jc w:val="center"/>
        <w:outlineLvl w:val="1"/>
      </w:pPr>
      <w:r>
        <w:rPr>
          <w:rFonts w:ascii="黑体" w:hAnsi="黑体" w:eastAsia="黑体"/>
          <w:sz w:val="32"/>
        </w:rPr>
        <w:t>第三部分 专业名词解释</w:t>
      </w:r>
    </w:p>
    <w:p w14:paraId="5A6A55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9D7E7F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25949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20C57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1081E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C188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99D5E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2614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EF18E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EB391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12BCD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142BC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37E32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A29A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8943B54">
      <w:r>
        <w:br w:type="page"/>
      </w:r>
    </w:p>
    <w:p w14:paraId="78A57E95">
      <w:pPr>
        <w:spacing w:line="240" w:lineRule="auto"/>
        <w:jc w:val="center"/>
        <w:outlineLvl w:val="1"/>
      </w:pPr>
      <w:r>
        <w:rPr>
          <w:rFonts w:ascii="黑体" w:hAnsi="黑体" w:eastAsia="黑体"/>
          <w:sz w:val="32"/>
        </w:rPr>
        <w:t>第四部分 部门决算报表（见附表）</w:t>
      </w:r>
    </w:p>
    <w:p w14:paraId="48D8AB3D">
      <w:pPr>
        <w:spacing w:line="240" w:lineRule="auto"/>
        <w:ind w:firstLine="640"/>
        <w:jc w:val="both"/>
      </w:pPr>
      <w:r>
        <w:rPr>
          <w:rFonts w:ascii="仿宋_GB2312" w:hAnsi="仿宋_GB2312" w:eastAsia="仿宋_GB2312"/>
          <w:b w:val="0"/>
          <w:sz w:val="32"/>
        </w:rPr>
        <w:t>一、《收入支出决算总表》</w:t>
      </w:r>
    </w:p>
    <w:p w14:paraId="411B1CB2">
      <w:pPr>
        <w:spacing w:line="240" w:lineRule="auto"/>
        <w:ind w:firstLine="640"/>
        <w:jc w:val="both"/>
      </w:pPr>
      <w:r>
        <w:rPr>
          <w:rFonts w:ascii="仿宋_GB2312" w:hAnsi="仿宋_GB2312" w:eastAsia="仿宋_GB2312"/>
          <w:b w:val="0"/>
          <w:sz w:val="32"/>
        </w:rPr>
        <w:t>二、《收入决算表》</w:t>
      </w:r>
    </w:p>
    <w:p w14:paraId="44B884DB">
      <w:pPr>
        <w:spacing w:line="240" w:lineRule="auto"/>
        <w:ind w:firstLine="640"/>
        <w:jc w:val="both"/>
      </w:pPr>
      <w:r>
        <w:rPr>
          <w:rFonts w:ascii="仿宋_GB2312" w:hAnsi="仿宋_GB2312" w:eastAsia="仿宋_GB2312"/>
          <w:b w:val="0"/>
          <w:sz w:val="32"/>
        </w:rPr>
        <w:t>三、《支出决算表》</w:t>
      </w:r>
    </w:p>
    <w:p w14:paraId="1C8582F5">
      <w:pPr>
        <w:spacing w:line="240" w:lineRule="auto"/>
        <w:ind w:firstLine="640"/>
        <w:jc w:val="both"/>
      </w:pPr>
      <w:r>
        <w:rPr>
          <w:rFonts w:ascii="仿宋_GB2312" w:hAnsi="仿宋_GB2312" w:eastAsia="仿宋_GB2312"/>
          <w:b w:val="0"/>
          <w:sz w:val="32"/>
        </w:rPr>
        <w:t>四、《财政拨款收入支出决算总表》</w:t>
      </w:r>
    </w:p>
    <w:p w14:paraId="103D56EB">
      <w:pPr>
        <w:spacing w:line="240" w:lineRule="auto"/>
        <w:ind w:firstLine="640"/>
        <w:jc w:val="both"/>
      </w:pPr>
      <w:r>
        <w:rPr>
          <w:rFonts w:ascii="仿宋_GB2312" w:hAnsi="仿宋_GB2312" w:eastAsia="仿宋_GB2312"/>
          <w:b w:val="0"/>
          <w:sz w:val="32"/>
        </w:rPr>
        <w:t>五、《一般公共预算财政拨款支出决算表》</w:t>
      </w:r>
    </w:p>
    <w:p w14:paraId="18CF71F3">
      <w:pPr>
        <w:spacing w:line="240" w:lineRule="auto"/>
        <w:ind w:firstLine="640"/>
        <w:jc w:val="both"/>
      </w:pPr>
      <w:r>
        <w:rPr>
          <w:rFonts w:ascii="仿宋_GB2312" w:hAnsi="仿宋_GB2312" w:eastAsia="仿宋_GB2312"/>
          <w:b w:val="0"/>
          <w:sz w:val="32"/>
        </w:rPr>
        <w:t>六、《一般公共预算财政拨款基本支出决算表》</w:t>
      </w:r>
    </w:p>
    <w:p w14:paraId="225FD9A0">
      <w:pPr>
        <w:spacing w:line="240" w:lineRule="auto"/>
        <w:ind w:firstLine="640"/>
        <w:jc w:val="both"/>
      </w:pPr>
      <w:r>
        <w:rPr>
          <w:rFonts w:ascii="仿宋_GB2312" w:hAnsi="仿宋_GB2312" w:eastAsia="仿宋_GB2312"/>
          <w:b w:val="0"/>
          <w:sz w:val="32"/>
        </w:rPr>
        <w:t>七、《政府性基金预算财政拨款收入支出决算表》</w:t>
      </w:r>
    </w:p>
    <w:p w14:paraId="315E6509">
      <w:pPr>
        <w:spacing w:line="240" w:lineRule="auto"/>
        <w:ind w:firstLine="640"/>
        <w:jc w:val="both"/>
      </w:pPr>
      <w:r>
        <w:rPr>
          <w:rFonts w:ascii="仿宋_GB2312" w:hAnsi="仿宋_GB2312" w:eastAsia="仿宋_GB2312"/>
          <w:b w:val="0"/>
          <w:sz w:val="32"/>
        </w:rPr>
        <w:t>八、《国有资本经营预算财政拨款收入支出决算表》</w:t>
      </w:r>
    </w:p>
    <w:p w14:paraId="2F023F44">
      <w:pPr>
        <w:spacing w:line="240" w:lineRule="auto"/>
        <w:ind w:firstLine="640"/>
        <w:jc w:val="both"/>
      </w:pPr>
      <w:r>
        <w:rPr>
          <w:rFonts w:ascii="仿宋_GB2312" w:hAnsi="仿宋_GB2312" w:eastAsia="仿宋_GB2312"/>
          <w:b w:val="0"/>
          <w:sz w:val="32"/>
        </w:rPr>
        <w:t>九、《财政拨款“三公”经费支出决算表》</w:t>
      </w:r>
    </w:p>
    <w:p w14:paraId="69DF8982">
      <w:pPr>
        <w:spacing w:line="240" w:lineRule="auto"/>
        <w:ind w:firstLine="640"/>
        <w:jc w:val="both"/>
      </w:pPr>
    </w:p>
    <w:p w14:paraId="02F27099">
      <w:pPr>
        <w:spacing w:line="240" w:lineRule="auto"/>
        <w:ind w:firstLine="640"/>
        <w:jc w:val="both"/>
      </w:pPr>
    </w:p>
    <w:p w14:paraId="001BEAD4">
      <w:pPr>
        <w:spacing w:line="240" w:lineRule="auto"/>
        <w:ind w:firstLine="640"/>
        <w:jc w:val="both"/>
      </w:pPr>
    </w:p>
    <w:p w14:paraId="11847764">
      <w:pPr>
        <w:spacing w:line="240" w:lineRule="auto"/>
        <w:ind w:firstLine="640"/>
        <w:jc w:val="both"/>
      </w:pPr>
    </w:p>
    <w:p w14:paraId="3B181CB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276832-2839-4282-AA55-E6FAFF8CBD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9D61647-F6BE-4D7C-ACD6-C2EC64A087CF}"/>
  </w:font>
  <w:font w:name="仿宋_GB2312">
    <w:altName w:val="仿宋"/>
    <w:panose1 w:val="02010609030101010101"/>
    <w:charset w:val="86"/>
    <w:family w:val="modern"/>
    <w:pitch w:val="default"/>
    <w:sig w:usb0="00000000" w:usb1="00000000" w:usb2="00000000" w:usb3="00000000" w:csb0="00040000" w:csb1="00000000"/>
    <w:embedRegular r:id="rId3" w:fontKey="{26159D14-4AEA-48C8-8FCA-A5D831B41CF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C4DDB8AF-F842-47ED-9F12-49952280CF1E}"/>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C3060E"/>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7E58A9"/>
    <w:rsid w:val="5FA17648"/>
    <w:rsid w:val="5FD320BD"/>
    <w:rsid w:val="60DE4D57"/>
    <w:rsid w:val="613409CB"/>
    <w:rsid w:val="61A46A97"/>
    <w:rsid w:val="62CB411D"/>
    <w:rsid w:val="62DD7D21"/>
    <w:rsid w:val="65D97752"/>
    <w:rsid w:val="66190AAF"/>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4952</Words>
  <Characters>5565</Characters>
  <Lines>0</Lines>
  <Paragraphs>0</Paragraphs>
  <TotalTime>5</TotalTime>
  <ScaleCrop>false</ScaleCrop>
  <LinksUpToDate>false</LinksUpToDate>
  <CharactersWithSpaces>5573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