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吉木萨尔县第二幼儿园2024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806B50">
      <w:r>
        <w:br w:type="page"/>
      </w:r>
    </w:p>
    <w:p w14:paraId="301247E4">
      <w:pPr>
        <w:spacing w:line="640" w:lineRule="exact"/>
        <w:jc w:val="center"/>
        <w:outlineLvl w:val="1"/>
      </w:pPr>
      <w:r>
        <w:rPr>
          <w:rFonts w:ascii="黑体" w:hAnsi="黑体" w:eastAsia="黑体"/>
          <w:sz w:val="32"/>
        </w:rPr>
        <w:t>第一部分 单位概况</w:t>
      </w:r>
    </w:p>
    <w:p w14:paraId="1AF699A6">
      <w:pPr>
        <w:spacing w:line="640" w:lineRule="exact"/>
        <w:ind w:firstLine="640"/>
        <w:jc w:val="both"/>
        <w:outlineLvl w:val="2"/>
      </w:pPr>
      <w:r>
        <w:rPr>
          <w:rFonts w:ascii="黑体" w:hAnsi="黑体" w:eastAsia="黑体"/>
          <w:sz w:val="32"/>
        </w:rPr>
        <w:t>一、主要职能</w:t>
      </w:r>
    </w:p>
    <w:p w14:paraId="5496DE8C">
      <w:pPr>
        <w:spacing w:line="580" w:lineRule="exact"/>
        <w:ind w:firstLine="640"/>
        <w:jc w:val="both"/>
      </w:pPr>
      <w:r>
        <w:rPr>
          <w:rFonts w:ascii="仿宋_GB2312" w:hAnsi="仿宋_GB2312" w:eastAsia="仿宋_GB2312"/>
          <w:sz w:val="32"/>
        </w:rPr>
        <w:t>为学龄前儿童提供保育和教育服务，幼儿保育幼儿教育。实施幼儿学前教育、促进基础教育发展。学前教育的职能首先是把人类历史上积累的知识、经验、技能、思维方式、精神文明、优良素质、民族传统等，有计划、有组织、有目的地传播给下一代，培养为社会服务的人。</w:t>
      </w:r>
    </w:p>
    <w:p w14:paraId="74A5E9F0">
      <w:pPr>
        <w:spacing w:line="640" w:lineRule="exact"/>
        <w:ind w:firstLine="640"/>
        <w:jc w:val="both"/>
        <w:outlineLvl w:val="2"/>
      </w:pPr>
      <w:r>
        <w:rPr>
          <w:rFonts w:ascii="黑体" w:hAnsi="黑体" w:eastAsia="黑体"/>
          <w:sz w:val="32"/>
        </w:rPr>
        <w:t>二、机构设置及人员情况</w:t>
      </w:r>
    </w:p>
    <w:p w14:paraId="14F431AE">
      <w:pPr>
        <w:spacing w:line="580" w:lineRule="exact"/>
        <w:ind w:firstLine="640"/>
        <w:jc w:val="both"/>
      </w:pPr>
      <w:r>
        <w:rPr>
          <w:rFonts w:ascii="仿宋_GB2312" w:hAnsi="仿宋_GB2312" w:eastAsia="仿宋_GB2312"/>
          <w:sz w:val="32"/>
        </w:rPr>
        <w:t>吉木萨尔县第二幼儿园2024年度，实有人数53人，其中：在职人员39人，减少1人；离休人员0人，增加0人；退休人员14人,增加1人。</w:t>
      </w:r>
    </w:p>
    <w:p w14:paraId="6F329234">
      <w:pPr>
        <w:spacing w:line="580" w:lineRule="exact"/>
        <w:ind w:firstLine="640"/>
        <w:jc w:val="both"/>
      </w:pPr>
      <w:r>
        <w:rPr>
          <w:rFonts w:ascii="仿宋_GB2312" w:hAnsi="仿宋_GB2312" w:eastAsia="仿宋_GB2312"/>
          <w:sz w:val="32"/>
        </w:rPr>
        <w:t>吉木萨尔县第二幼儿园无下属预算单位，下设7个科室，分别是：党建室、德育室、教务室、行政办、财务室、保健室、安全办。</w:t>
      </w:r>
    </w:p>
    <w:p w14:paraId="327FF89C">
      <w:r>
        <w:br w:type="page"/>
      </w:r>
    </w:p>
    <w:p w14:paraId="4FD7E5FA">
      <w:pPr>
        <w:spacing w:line="240" w:lineRule="auto"/>
        <w:jc w:val="center"/>
        <w:outlineLvl w:val="1"/>
      </w:pPr>
      <w:r>
        <w:rPr>
          <w:rFonts w:ascii="黑体" w:hAnsi="黑体" w:eastAsia="黑体"/>
          <w:sz w:val="32"/>
        </w:rPr>
        <w:t>第二部分 部门决算情况说明</w:t>
      </w:r>
    </w:p>
    <w:p w14:paraId="591418A3">
      <w:pPr>
        <w:spacing w:line="640" w:lineRule="exact"/>
        <w:ind w:firstLine="640"/>
        <w:jc w:val="both"/>
        <w:outlineLvl w:val="2"/>
      </w:pPr>
      <w:r>
        <w:rPr>
          <w:rFonts w:ascii="黑体" w:hAnsi="黑体" w:eastAsia="黑体"/>
          <w:sz w:val="32"/>
        </w:rPr>
        <w:t>一、收入支出决算总体情况说明</w:t>
      </w:r>
    </w:p>
    <w:p w14:paraId="764914E4">
      <w:pPr>
        <w:spacing w:line="580" w:lineRule="exact"/>
        <w:ind w:firstLine="640"/>
        <w:jc w:val="both"/>
      </w:pPr>
      <w:r>
        <w:rPr>
          <w:rFonts w:ascii="仿宋_GB2312" w:hAnsi="仿宋_GB2312" w:eastAsia="仿宋_GB2312"/>
          <w:b/>
          <w:sz w:val="32"/>
        </w:rPr>
        <w:t>2024年度收入总计1,341.02万元，</w:t>
      </w:r>
      <w:r>
        <w:rPr>
          <w:rFonts w:ascii="仿宋_GB2312" w:hAnsi="仿宋_GB2312" w:eastAsia="仿宋_GB2312"/>
          <w:b w:val="0"/>
          <w:sz w:val="32"/>
        </w:rPr>
        <w:t>其中：本年收入合计1,310.71万元，使用非财政拨款结余（含专用结余）0.00万元，年初结转和结余30.31万元。</w:t>
      </w:r>
    </w:p>
    <w:p w14:paraId="12B72A8D">
      <w:pPr>
        <w:spacing w:line="580" w:lineRule="exact"/>
        <w:ind w:firstLine="640"/>
        <w:jc w:val="both"/>
      </w:pPr>
      <w:r>
        <w:rPr>
          <w:rFonts w:ascii="仿宋_GB2312" w:hAnsi="仿宋_GB2312" w:eastAsia="仿宋_GB2312"/>
          <w:b/>
          <w:sz w:val="32"/>
        </w:rPr>
        <w:t>2024年度支出总计1,341.02万元，</w:t>
      </w:r>
      <w:r>
        <w:rPr>
          <w:rFonts w:ascii="仿宋_GB2312" w:hAnsi="仿宋_GB2312" w:eastAsia="仿宋_GB2312"/>
          <w:b w:val="0"/>
          <w:sz w:val="32"/>
        </w:rPr>
        <w:t>其中：本年支出合计1,307.79万元，结余分配0.00万元，年末结转和结余33.24万元。</w:t>
      </w:r>
    </w:p>
    <w:p w14:paraId="496ED1F4">
      <w:pPr>
        <w:spacing w:line="580" w:lineRule="exact"/>
        <w:ind w:firstLine="640"/>
        <w:jc w:val="both"/>
      </w:pPr>
      <w:r>
        <w:rPr>
          <w:rFonts w:ascii="仿宋_GB2312" w:hAnsi="仿宋_GB2312" w:eastAsia="仿宋_GB2312"/>
          <w:b w:val="0"/>
          <w:sz w:val="32"/>
        </w:rPr>
        <w:t>收入支出总体与上年相比，增加90.47万元，增长7.23%，主要原因是：一是本年在职人员工资调增，社保、公积金基数调增，人员经费增加。二是本年县级配套学前三年保障资金（伙食费）项目资金较上年增加。</w:t>
      </w:r>
    </w:p>
    <w:p w14:paraId="16BB031A">
      <w:pPr>
        <w:spacing w:line="640" w:lineRule="exact"/>
        <w:ind w:firstLine="640"/>
        <w:jc w:val="both"/>
        <w:outlineLvl w:val="2"/>
      </w:pPr>
      <w:r>
        <w:rPr>
          <w:rFonts w:ascii="黑体" w:hAnsi="黑体" w:eastAsia="黑体"/>
          <w:sz w:val="32"/>
        </w:rPr>
        <w:t>二、收入决算情况说明</w:t>
      </w:r>
    </w:p>
    <w:p w14:paraId="13286570">
      <w:pPr>
        <w:spacing w:line="580" w:lineRule="exact"/>
        <w:ind w:firstLine="640"/>
        <w:jc w:val="both"/>
      </w:pPr>
      <w:r>
        <w:rPr>
          <w:rFonts w:ascii="仿宋_GB2312" w:hAnsi="仿宋_GB2312" w:eastAsia="仿宋_GB2312"/>
          <w:b/>
          <w:sz w:val="32"/>
        </w:rPr>
        <w:t>本年收入1,310.71万元，</w:t>
      </w:r>
      <w:r>
        <w:rPr>
          <w:rFonts w:ascii="仿宋_GB2312" w:hAnsi="仿宋_GB2312" w:eastAsia="仿宋_GB2312"/>
          <w:b w:val="0"/>
          <w:sz w:val="32"/>
        </w:rPr>
        <w:t>其中：财政拨款收入1,248.79万元，占95.28%；上级补助收入0.00万元，占0.00%；事业收入0.00万元，占0.00%；经营收入0.00万元，占0.00%；附属单位上缴收入0.00万元，占0.00%；其他收入61.92万元，占4.72%。</w:t>
      </w:r>
    </w:p>
    <w:p w14:paraId="1BB91DAF">
      <w:pPr>
        <w:spacing w:line="640" w:lineRule="exact"/>
        <w:ind w:firstLine="640"/>
        <w:jc w:val="both"/>
        <w:outlineLvl w:val="2"/>
      </w:pPr>
      <w:r>
        <w:rPr>
          <w:rFonts w:ascii="黑体" w:hAnsi="黑体" w:eastAsia="黑体"/>
          <w:sz w:val="32"/>
        </w:rPr>
        <w:t>三、支出决算情况说明</w:t>
      </w:r>
    </w:p>
    <w:p w14:paraId="6E6239D7">
      <w:pPr>
        <w:spacing w:line="580" w:lineRule="exact"/>
        <w:ind w:firstLine="640"/>
        <w:jc w:val="both"/>
      </w:pPr>
      <w:r>
        <w:rPr>
          <w:rFonts w:ascii="仿宋_GB2312" w:hAnsi="仿宋_GB2312" w:eastAsia="仿宋_GB2312"/>
          <w:b/>
          <w:sz w:val="32"/>
        </w:rPr>
        <w:t>本年支出1,307.79万元，</w:t>
      </w:r>
      <w:r>
        <w:rPr>
          <w:rFonts w:ascii="仿宋_GB2312" w:hAnsi="仿宋_GB2312" w:eastAsia="仿宋_GB2312"/>
          <w:b w:val="0"/>
          <w:sz w:val="32"/>
        </w:rPr>
        <w:t>其中：基本支出1,071.03万元，占81.90%；项目支出236.76万元，占18.10%；上缴上级支出0.00万元，占0.00%；经营支出0.00万元，占0.00%；对附属单位补助支出0.00万元，占0.00%。</w:t>
      </w:r>
    </w:p>
    <w:p w14:paraId="074AC608">
      <w:pPr>
        <w:spacing w:line="640" w:lineRule="exact"/>
        <w:ind w:firstLine="640"/>
        <w:jc w:val="both"/>
        <w:outlineLvl w:val="2"/>
      </w:pPr>
      <w:r>
        <w:rPr>
          <w:rFonts w:ascii="黑体" w:hAnsi="黑体" w:eastAsia="黑体"/>
          <w:sz w:val="32"/>
        </w:rPr>
        <w:t>四、财政拨款收入支出决算总体情况说明</w:t>
      </w:r>
    </w:p>
    <w:p w14:paraId="3EC9FE2C">
      <w:pPr>
        <w:spacing w:line="580" w:lineRule="exact"/>
        <w:ind w:firstLine="640"/>
        <w:jc w:val="both"/>
      </w:pPr>
      <w:r>
        <w:rPr>
          <w:rFonts w:ascii="仿宋_GB2312" w:hAnsi="仿宋_GB2312" w:eastAsia="仿宋_GB2312"/>
          <w:b/>
          <w:sz w:val="32"/>
        </w:rPr>
        <w:t>2024年度财政拨款收入总计1,277.55万元，</w:t>
      </w:r>
      <w:r>
        <w:rPr>
          <w:rFonts w:ascii="仿宋_GB2312" w:hAnsi="仿宋_GB2312" w:eastAsia="仿宋_GB2312"/>
          <w:b w:val="0"/>
          <w:sz w:val="32"/>
        </w:rPr>
        <w:t>其中：年初财政拨款结转和结余28.76万元，本年财政拨款收入1,248.79万元。</w:t>
      </w:r>
      <w:r>
        <w:rPr>
          <w:rFonts w:ascii="仿宋_GB2312" w:hAnsi="仿宋_GB2312" w:eastAsia="仿宋_GB2312"/>
          <w:b/>
          <w:sz w:val="32"/>
        </w:rPr>
        <w:t>财政拨款支出总计1,277.55万元，</w:t>
      </w:r>
      <w:r>
        <w:rPr>
          <w:rFonts w:ascii="仿宋_GB2312" w:hAnsi="仿宋_GB2312" w:eastAsia="仿宋_GB2312"/>
          <w:b w:val="0"/>
          <w:sz w:val="32"/>
        </w:rPr>
        <w:t>其中：年末财政拨款结转和结余28.76万元，本年财政拨款支出1,248.79万元。</w:t>
      </w:r>
    </w:p>
    <w:p w14:paraId="4885D12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55.18万元，增长4.51%，主要原因是：一是本年在职人员工资调增，社保、公积金基数调增，人员经费增加；二是县级配套学前三年保障资金（伙食费）、学前保障县级配套资金（公用经费取暖费）较上年增加。</w:t>
      </w:r>
      <w:r>
        <w:rPr>
          <w:rFonts w:ascii="仿宋_GB2312" w:hAnsi="仿宋_GB2312" w:eastAsia="仿宋_GB2312"/>
          <w:b/>
          <w:sz w:val="32"/>
        </w:rPr>
        <w:t>与年初预算相比，</w:t>
      </w:r>
      <w:r>
        <w:rPr>
          <w:rFonts w:ascii="仿宋_GB2312" w:hAnsi="仿宋_GB2312" w:eastAsia="仿宋_GB2312"/>
          <w:b w:val="0"/>
          <w:sz w:val="32"/>
        </w:rPr>
        <w:t>年初预算数1,113.64万元，决算数1,277.55万元，预决算差异率14.72%，主要原因是：年中追加2024年县级配套学前三年保障资金（伙食费）项目，导致预决算存在差异。</w:t>
      </w:r>
    </w:p>
    <w:p w14:paraId="6F4F1732">
      <w:pPr>
        <w:spacing w:line="640" w:lineRule="exact"/>
        <w:ind w:firstLine="640"/>
        <w:jc w:val="both"/>
        <w:outlineLvl w:val="2"/>
      </w:pPr>
      <w:r>
        <w:rPr>
          <w:rFonts w:ascii="黑体" w:hAnsi="黑体" w:eastAsia="黑体"/>
          <w:sz w:val="32"/>
        </w:rPr>
        <w:t>五、一般公共预算财政拨款支出决算情况说明</w:t>
      </w:r>
    </w:p>
    <w:p w14:paraId="5B7245DF">
      <w:pPr>
        <w:spacing w:line="640" w:lineRule="exact"/>
        <w:ind w:firstLine="640"/>
        <w:jc w:val="both"/>
        <w:outlineLvl w:val="3"/>
      </w:pPr>
      <w:r>
        <w:rPr>
          <w:rFonts w:ascii="楷体_GB2312" w:hAnsi="楷体_GB2312" w:eastAsia="楷体_GB2312"/>
          <w:b/>
          <w:sz w:val="32"/>
        </w:rPr>
        <w:t>（一）一般公共预算财政拨款支出决算总体情况</w:t>
      </w:r>
    </w:p>
    <w:p w14:paraId="4CFEA91E">
      <w:pPr>
        <w:spacing w:line="580" w:lineRule="exact"/>
        <w:ind w:firstLine="640"/>
        <w:jc w:val="both"/>
      </w:pPr>
      <w:r>
        <w:rPr>
          <w:rFonts w:ascii="仿宋_GB2312" w:hAnsi="仿宋_GB2312" w:eastAsia="仿宋_GB2312"/>
          <w:b/>
          <w:sz w:val="32"/>
        </w:rPr>
        <w:t>2024年度一般公共预算财政拨款支出1,248.79万元，</w:t>
      </w:r>
      <w:r>
        <w:rPr>
          <w:rFonts w:ascii="仿宋_GB2312" w:hAnsi="仿宋_GB2312" w:eastAsia="仿宋_GB2312"/>
          <w:b w:val="0"/>
          <w:sz w:val="32"/>
        </w:rPr>
        <w:t>占本年支出合计的95.49%。</w:t>
      </w:r>
      <w:r>
        <w:rPr>
          <w:rFonts w:ascii="仿宋_GB2312" w:hAnsi="仿宋_GB2312" w:eastAsia="仿宋_GB2312"/>
          <w:b/>
          <w:sz w:val="32"/>
        </w:rPr>
        <w:t>与上年相比，</w:t>
      </w:r>
      <w:r>
        <w:rPr>
          <w:rFonts w:ascii="仿宋_GB2312" w:hAnsi="仿宋_GB2312" w:eastAsia="仿宋_GB2312"/>
          <w:b w:val="0"/>
          <w:sz w:val="32"/>
        </w:rPr>
        <w:t>增加55.19万元，增长4.62%，主要原因是：一是本年在职人员工资调增，社保、公积金基数调增，人员经费增加。二是县级配套学前三年保障资金（伙食费）、学前保障县级配套资金（公用经费取暖费）较上年增加。</w:t>
      </w:r>
      <w:r>
        <w:rPr>
          <w:rFonts w:ascii="仿宋_GB2312" w:hAnsi="仿宋_GB2312" w:eastAsia="仿宋_GB2312"/>
          <w:b/>
          <w:sz w:val="32"/>
        </w:rPr>
        <w:t>与年初预算相比,</w:t>
      </w:r>
      <w:r>
        <w:rPr>
          <w:rFonts w:ascii="仿宋_GB2312" w:hAnsi="仿宋_GB2312" w:eastAsia="仿宋_GB2312"/>
          <w:b w:val="0"/>
          <w:sz w:val="32"/>
        </w:rPr>
        <w:t>年初预算数1,113.64万元，决算数1,248.79万元，预决算差异率12.14%，主要原因是：年中追加2024年县级配套学前三年保障资金（伙食费）项目，导致预决算存在差异。</w:t>
      </w:r>
    </w:p>
    <w:p w14:paraId="362C3826">
      <w:pPr>
        <w:spacing w:line="640" w:lineRule="exact"/>
        <w:ind w:firstLine="640"/>
        <w:jc w:val="both"/>
        <w:outlineLvl w:val="3"/>
      </w:pPr>
      <w:r>
        <w:rPr>
          <w:rFonts w:ascii="楷体_GB2312" w:hAnsi="楷体_GB2312" w:eastAsia="楷体_GB2312"/>
          <w:b/>
          <w:sz w:val="32"/>
        </w:rPr>
        <w:t>（二）一般公共预算财政拨款支出决算结构情况</w:t>
      </w:r>
    </w:p>
    <w:p w14:paraId="178071E9">
      <w:pPr>
        <w:spacing w:line="580" w:lineRule="exact"/>
        <w:ind w:firstLine="640"/>
        <w:jc w:val="both"/>
      </w:pPr>
      <w:r>
        <w:rPr>
          <w:rFonts w:ascii="仿宋_GB2312" w:hAnsi="仿宋_GB2312" w:eastAsia="仿宋_GB2312"/>
          <w:b w:val="0"/>
          <w:sz w:val="32"/>
        </w:rPr>
        <w:t>1.教育支出(类)1,248.79万元,占100.00%。</w:t>
      </w:r>
    </w:p>
    <w:p w14:paraId="00847DED">
      <w:pPr>
        <w:spacing w:line="640" w:lineRule="exact"/>
        <w:ind w:firstLine="640"/>
        <w:jc w:val="both"/>
        <w:outlineLvl w:val="3"/>
      </w:pPr>
      <w:r>
        <w:rPr>
          <w:rFonts w:ascii="楷体_GB2312" w:hAnsi="楷体_GB2312" w:eastAsia="楷体_GB2312"/>
          <w:b/>
          <w:sz w:val="32"/>
        </w:rPr>
        <w:t>（三）一般公共预算财政拨款支出决算具体情况</w:t>
      </w:r>
    </w:p>
    <w:p w14:paraId="41994526">
      <w:pPr>
        <w:spacing w:line="580" w:lineRule="exact"/>
        <w:ind w:firstLine="640"/>
        <w:jc w:val="both"/>
      </w:pPr>
      <w:r>
        <w:rPr>
          <w:rFonts w:ascii="仿宋_GB2312" w:hAnsi="仿宋_GB2312" w:eastAsia="仿宋_GB2312"/>
          <w:b w:val="0"/>
          <w:sz w:val="32"/>
        </w:rPr>
        <w:t>1.教育支出(类)普通教育(款)学前教育(项):支出决算数为1,233.83万元，比上年决算增加41.43万元，增长3.47%,主要原因是：一是本年在职人员工资调增，社保、公积金基数调增，人员经费增加。二是县级配套学前三年保障资金（伙食费）较上年增加。</w:t>
      </w:r>
    </w:p>
    <w:p w14:paraId="42EDBC97">
      <w:pPr>
        <w:spacing w:line="580" w:lineRule="exact"/>
        <w:ind w:firstLine="640"/>
        <w:jc w:val="both"/>
      </w:pPr>
      <w:r>
        <w:rPr>
          <w:rFonts w:ascii="仿宋_GB2312" w:hAnsi="仿宋_GB2312" w:eastAsia="仿宋_GB2312"/>
          <w:b w:val="0"/>
          <w:sz w:val="32"/>
        </w:rPr>
        <w:t>2.教育支出(类)普通教育(款)其他普通教育支出(项):支出决算数为14.95万元，比上年决算增加14.95万元，增长100.00%,主要原因是：本年学前保障县级配套资金（公用经费取暖费）较上年增加；本年科目调整，县二幼石场沟分园喇嘛昭分园关于申请拨付2023年各学校（幼儿园）取暖费经费，上年度在其他教育费附加安排的支出科目列支，本年度在其他普通教育支出科目列支，导致经费较上年增加。</w:t>
      </w:r>
    </w:p>
    <w:p w14:paraId="4DC41790">
      <w:pPr>
        <w:spacing w:line="580" w:lineRule="exact"/>
        <w:ind w:firstLine="640"/>
        <w:jc w:val="both"/>
      </w:pPr>
      <w:r>
        <w:rPr>
          <w:rFonts w:ascii="仿宋_GB2312" w:hAnsi="仿宋_GB2312" w:eastAsia="仿宋_GB2312"/>
          <w:b w:val="0"/>
          <w:sz w:val="32"/>
        </w:rPr>
        <w:t>3.教育支出(类)教育费附加安排的支出(款)其他教育费附加安排的支出(项):支出决算数为0.00万元，比上年决算减少1.20万元，下降100.00%,主要原因是：本年科目调整，县二幼石场沟分园喇嘛昭分园关于申请拨付2023年各学校（幼儿园）取暖费经费，上年度在其他教育费附加安排的支出科目列支，本年度在其他普通教育支出科目列支，导致经费较上年减少。</w:t>
      </w:r>
    </w:p>
    <w:p w14:paraId="7D90D8CD">
      <w:pPr>
        <w:spacing w:line="640" w:lineRule="exact"/>
        <w:ind w:firstLine="640"/>
        <w:jc w:val="both"/>
        <w:outlineLvl w:val="2"/>
      </w:pPr>
      <w:r>
        <w:rPr>
          <w:rFonts w:ascii="黑体" w:hAnsi="黑体" w:eastAsia="黑体"/>
          <w:sz w:val="32"/>
        </w:rPr>
        <w:t>六、一般公共预算财政拨款基本支出决算情况说明</w:t>
      </w:r>
    </w:p>
    <w:p w14:paraId="738E5927">
      <w:pPr>
        <w:spacing w:line="580" w:lineRule="exact"/>
        <w:ind w:firstLine="640"/>
        <w:jc w:val="both"/>
      </w:pPr>
      <w:r>
        <w:rPr>
          <w:rFonts w:ascii="仿宋_GB2312" w:hAnsi="仿宋_GB2312" w:eastAsia="仿宋_GB2312"/>
          <w:b w:val="0"/>
          <w:sz w:val="32"/>
        </w:rPr>
        <w:t>2024年度一般公共预算财政拨款基本支出1,012.03万元，其中：</w:t>
      </w:r>
      <w:r>
        <w:rPr>
          <w:rFonts w:ascii="仿宋_GB2312" w:hAnsi="仿宋_GB2312" w:eastAsia="仿宋_GB2312"/>
          <w:b/>
          <w:sz w:val="32"/>
        </w:rPr>
        <w:t>人员经费980.33万元，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w:t>
      </w:r>
    </w:p>
    <w:p w14:paraId="3C035FE4">
      <w:pPr>
        <w:spacing w:line="580" w:lineRule="exact"/>
        <w:ind w:firstLine="640"/>
        <w:jc w:val="both"/>
      </w:pPr>
      <w:r>
        <w:rPr>
          <w:rFonts w:ascii="仿宋_GB2312" w:hAnsi="仿宋_GB2312" w:eastAsia="仿宋_GB2312"/>
          <w:b/>
          <w:sz w:val="32"/>
        </w:rPr>
        <w:t>公用经费31.70万元，</w:t>
      </w:r>
      <w:r>
        <w:rPr>
          <w:rFonts w:ascii="仿宋_GB2312" w:hAnsi="仿宋_GB2312" w:eastAsia="仿宋_GB2312"/>
          <w:b w:val="0"/>
          <w:sz w:val="32"/>
        </w:rPr>
        <w:t>包括：取暖费、培训费、工会经费。</w:t>
      </w:r>
    </w:p>
    <w:p w14:paraId="26DECD4B">
      <w:pPr>
        <w:spacing w:line="640" w:lineRule="exact"/>
        <w:ind w:firstLine="640"/>
        <w:jc w:val="both"/>
        <w:outlineLvl w:val="2"/>
      </w:pPr>
      <w:r>
        <w:rPr>
          <w:rFonts w:ascii="黑体" w:hAnsi="黑体" w:eastAsia="黑体"/>
          <w:sz w:val="32"/>
        </w:rPr>
        <w:t>七、政府性基金预算财政拨款收入支出决算情况说明</w:t>
      </w:r>
    </w:p>
    <w:p w14:paraId="714F248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CC6595">
      <w:pPr>
        <w:spacing w:line="640" w:lineRule="exact"/>
        <w:ind w:firstLine="640"/>
        <w:jc w:val="both"/>
        <w:outlineLvl w:val="2"/>
      </w:pPr>
      <w:r>
        <w:rPr>
          <w:rFonts w:ascii="黑体" w:hAnsi="黑体" w:eastAsia="黑体"/>
          <w:sz w:val="32"/>
        </w:rPr>
        <w:t>八、国有资本经营预算财政拨款收入支出决算情况说明</w:t>
      </w:r>
    </w:p>
    <w:p w14:paraId="6D3C355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B1441D">
      <w:pPr>
        <w:spacing w:line="640" w:lineRule="exact"/>
        <w:ind w:firstLine="640"/>
        <w:jc w:val="both"/>
        <w:outlineLvl w:val="2"/>
      </w:pPr>
      <w:r>
        <w:rPr>
          <w:rFonts w:ascii="黑体" w:hAnsi="黑体" w:eastAsia="黑体"/>
          <w:sz w:val="32"/>
        </w:rPr>
        <w:t>九、财政拨款“三公”经费支出决算情况说明</w:t>
      </w:r>
    </w:p>
    <w:p w14:paraId="256F6CE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4A33224">
      <w:pPr>
        <w:spacing w:line="580" w:lineRule="exact"/>
        <w:ind w:firstLine="640"/>
        <w:jc w:val="both"/>
      </w:pPr>
      <w:r>
        <w:rPr>
          <w:rFonts w:ascii="仿宋_GB2312" w:hAnsi="仿宋_GB2312" w:eastAsia="仿宋_GB2312"/>
          <w:b/>
          <w:sz w:val="32"/>
        </w:rPr>
        <w:t>具体情况如下：</w:t>
      </w:r>
    </w:p>
    <w:p w14:paraId="671CE71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A3E7D0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5008DC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C3C66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4121562">
      <w:pPr>
        <w:spacing w:line="640" w:lineRule="exact"/>
        <w:ind w:firstLine="640"/>
        <w:jc w:val="both"/>
        <w:outlineLvl w:val="2"/>
      </w:pPr>
      <w:r>
        <w:rPr>
          <w:rFonts w:ascii="黑体" w:hAnsi="黑体" w:eastAsia="黑体"/>
          <w:sz w:val="32"/>
        </w:rPr>
        <w:t>十、其他重要事项的情况说明</w:t>
      </w:r>
    </w:p>
    <w:p w14:paraId="3743B971">
      <w:pPr>
        <w:spacing w:line="640" w:lineRule="exact"/>
        <w:ind w:firstLine="640"/>
        <w:jc w:val="both"/>
        <w:outlineLvl w:val="3"/>
      </w:pPr>
      <w:r>
        <w:rPr>
          <w:rFonts w:ascii="楷体_GB2312" w:hAnsi="楷体_GB2312" w:eastAsia="楷体_GB2312"/>
          <w:b/>
          <w:sz w:val="32"/>
        </w:rPr>
        <w:t>（一）机关运行经费及公用经费支出情况</w:t>
      </w:r>
    </w:p>
    <w:p w14:paraId="2DE3392C">
      <w:pPr>
        <w:spacing w:line="580" w:lineRule="exact"/>
        <w:ind w:firstLine="640"/>
        <w:jc w:val="both"/>
      </w:pPr>
      <w:r>
        <w:rPr>
          <w:rFonts w:ascii="仿宋_GB2312" w:hAnsi="仿宋_GB2312" w:eastAsia="仿宋_GB2312"/>
          <w:b w:val="0"/>
          <w:sz w:val="32"/>
        </w:rPr>
        <w:t>2024年度吉木萨尔县第二幼儿园（事业单位）公用经费支出31.70万元，比上年增加16.38万元，增长106.92%，主要原因是：本年取暖费增加，导致公用经费增加。</w:t>
      </w:r>
    </w:p>
    <w:p w14:paraId="6A7CD762">
      <w:pPr>
        <w:spacing w:line="640" w:lineRule="exact"/>
        <w:ind w:firstLine="640"/>
        <w:jc w:val="both"/>
        <w:outlineLvl w:val="3"/>
      </w:pPr>
      <w:r>
        <w:rPr>
          <w:rFonts w:ascii="楷体_GB2312" w:hAnsi="楷体_GB2312" w:eastAsia="楷体_GB2312"/>
          <w:b/>
          <w:sz w:val="32"/>
        </w:rPr>
        <w:t>（二）政府采购情况</w:t>
      </w:r>
    </w:p>
    <w:p w14:paraId="548BE3B0">
      <w:pPr>
        <w:spacing w:line="580" w:lineRule="exact"/>
        <w:ind w:firstLine="640"/>
        <w:jc w:val="both"/>
      </w:pPr>
      <w:r>
        <w:rPr>
          <w:rFonts w:ascii="仿宋_GB2312" w:hAnsi="仿宋_GB2312" w:eastAsia="仿宋_GB2312"/>
          <w:b w:val="0"/>
          <w:sz w:val="32"/>
        </w:rPr>
        <w:t>2024年度政府采购支出总额0.41万元，其中：政府采购货物支出0.41万元、政府采购工程支出0.00万元、政府采购服务支出0.00万元。</w:t>
      </w:r>
    </w:p>
    <w:p w14:paraId="6C972FB6">
      <w:pPr>
        <w:spacing w:line="580" w:lineRule="exact"/>
        <w:ind w:firstLine="640"/>
        <w:jc w:val="both"/>
      </w:pPr>
      <w:r>
        <w:rPr>
          <w:rFonts w:ascii="仿宋_GB2312" w:hAnsi="仿宋_GB2312" w:eastAsia="仿宋_GB2312"/>
          <w:b w:val="0"/>
          <w:sz w:val="32"/>
        </w:rPr>
        <w:t>授予中小企业合同金额0.41万元，占政府采购支出总额的100.00%，其中：授予小微企业合同金额0.41万元，占政府采购支出总额的100.00%。</w:t>
      </w:r>
    </w:p>
    <w:p w14:paraId="752BF025">
      <w:pPr>
        <w:spacing w:line="640" w:lineRule="exact"/>
        <w:ind w:firstLine="640"/>
        <w:jc w:val="both"/>
        <w:outlineLvl w:val="3"/>
      </w:pPr>
      <w:r>
        <w:rPr>
          <w:rFonts w:ascii="楷体_GB2312" w:hAnsi="楷体_GB2312" w:eastAsia="楷体_GB2312"/>
          <w:b/>
          <w:sz w:val="32"/>
        </w:rPr>
        <w:t>（三）国有资产占用情况说明</w:t>
      </w:r>
    </w:p>
    <w:p w14:paraId="3D97941B">
      <w:pPr>
        <w:spacing w:line="580" w:lineRule="exact"/>
        <w:ind w:firstLine="640"/>
        <w:jc w:val="both"/>
      </w:pPr>
      <w:r>
        <w:rPr>
          <w:rFonts w:ascii="仿宋_GB2312" w:hAnsi="仿宋_GB2312" w:eastAsia="仿宋_GB2312"/>
          <w:b w:val="0"/>
          <w:sz w:val="32"/>
        </w:rPr>
        <w:t>截至2024年12月31日，房屋12,325.71平方米，价值1,657.08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B8E4EB6">
      <w:pPr>
        <w:spacing w:line="640" w:lineRule="exact"/>
        <w:ind w:firstLine="640"/>
        <w:jc w:val="both"/>
        <w:outlineLvl w:val="2"/>
      </w:pPr>
      <w:r>
        <w:rPr>
          <w:rFonts w:ascii="黑体" w:hAnsi="黑体" w:eastAsia="黑体"/>
          <w:sz w:val="32"/>
        </w:rPr>
        <w:t>十一、预算绩效的情况说明</w:t>
      </w:r>
    </w:p>
    <w:p w14:paraId="39FC1DE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1,404.49万元，实际执行总额1,307.79万元；预算绩效评价项目7个，全年预算数236.75万元，全年执行数236.75万元。预算绩效管理取得的成效：在继续加强教师专业技能提升的基础上，促进教师专业能力的全方位提升。继续探索学习自主游戏的精髓，将自主游戏真正融入幼儿一日活动中。发现的问题及原因：绩效指标的明确性、可衡量性、相关性还需进一步提升。预算精细化管理还需完善，预算编制管理水平仍有进一步提升的空间。下一步改进措施：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下一年度预算绩效管理工作常态化、规范化。具体附整体支出绩效自评表，项目支出绩效自评表。</w:t>
      </w:r>
    </w:p>
    <w:p w14:paraId="1CF4FF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14070C">
        <w:tblPrEx>
          <w:tblCellMar>
            <w:top w:w="0" w:type="dxa"/>
            <w:left w:w="108" w:type="dxa"/>
            <w:bottom w:w="0" w:type="dxa"/>
            <w:right w:w="108" w:type="dxa"/>
          </w:tblCellMar>
        </w:tblPrEx>
        <w:tc>
          <w:tcPr>
            <w:tcW w:w="8847" w:type="dxa"/>
            <w:gridSpan w:val="9"/>
            <w:vAlign w:val="center"/>
          </w:tcPr>
          <w:p w14:paraId="5E4EA4C5">
            <w:pPr>
              <w:jc w:val="center"/>
            </w:pPr>
            <w:r>
              <w:rPr>
                <w:rFonts w:ascii="宋体" w:hAnsi="宋体" w:eastAsia="宋体"/>
                <w:sz w:val="24"/>
              </w:rPr>
              <w:t>单位整体支出绩效自评表</w:t>
            </w:r>
          </w:p>
        </w:tc>
      </w:tr>
      <w:tr w14:paraId="08A1BA0B">
        <w:tblPrEx>
          <w:tblCellMar>
            <w:top w:w="0" w:type="dxa"/>
            <w:left w:w="108" w:type="dxa"/>
            <w:bottom w:w="0" w:type="dxa"/>
            <w:right w:w="108" w:type="dxa"/>
          </w:tblCellMar>
        </w:tblPrEx>
        <w:tc>
          <w:tcPr>
            <w:tcW w:w="8847" w:type="dxa"/>
            <w:gridSpan w:val="9"/>
            <w:vAlign w:val="center"/>
          </w:tcPr>
          <w:p w14:paraId="6D5E3FB9">
            <w:pPr>
              <w:jc w:val="center"/>
            </w:pPr>
            <w:r>
              <w:rPr>
                <w:rFonts w:ascii="宋体" w:hAnsi="宋体" w:eastAsia="宋体"/>
                <w:sz w:val="24"/>
              </w:rPr>
              <w:t>（2024年度）</w:t>
            </w:r>
          </w:p>
        </w:tc>
      </w:tr>
      <w:tr w14:paraId="14D4F4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BE5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5C648D">
            <w:pPr>
              <w:jc w:val="center"/>
            </w:pPr>
            <w:r>
              <w:rPr>
                <w:rFonts w:ascii="宋体" w:hAnsi="宋体" w:eastAsia="宋体"/>
                <w:sz w:val="16"/>
              </w:rPr>
              <w:t>吉木萨尔县第二幼儿园</w:t>
            </w:r>
          </w:p>
        </w:tc>
      </w:tr>
      <w:tr w14:paraId="36C0F6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F7D6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D929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6360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6EC5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7D2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CC89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28E1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9DDB4">
            <w:pPr>
              <w:jc w:val="center"/>
            </w:pPr>
            <w:r>
              <w:rPr>
                <w:rFonts w:ascii="宋体" w:hAnsi="宋体" w:eastAsia="宋体"/>
                <w:sz w:val="16"/>
              </w:rPr>
              <w:t>得分</w:t>
            </w:r>
          </w:p>
        </w:tc>
      </w:tr>
      <w:tr w14:paraId="09990D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5A1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210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F5CB6">
            <w:pPr>
              <w:jc w:val="center"/>
            </w:pPr>
            <w:r>
              <w:rPr>
                <w:rFonts w:ascii="宋体" w:hAnsi="宋体" w:eastAsia="宋体"/>
                <w:sz w:val="16"/>
              </w:rPr>
              <w:t>94.90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8B897">
            <w:pPr>
              <w:jc w:val="center"/>
            </w:pPr>
            <w:r>
              <w:rPr>
                <w:rFonts w:ascii="宋体" w:hAnsi="宋体" w:eastAsia="宋体"/>
                <w:sz w:val="16"/>
              </w:rPr>
              <w:t>147.93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BA888">
            <w:pPr>
              <w:jc w:val="center"/>
            </w:pPr>
            <w:r>
              <w:rPr>
                <w:rFonts w:ascii="宋体" w:hAnsi="宋体" w:eastAsia="宋体"/>
                <w:sz w:val="16"/>
              </w:rPr>
              <w:t>147.93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C7A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64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2EAFF">
            <w:pPr>
              <w:jc w:val="center"/>
            </w:pPr>
            <w:r>
              <w:rPr>
                <w:rFonts w:ascii="宋体" w:hAnsi="宋体" w:eastAsia="宋体"/>
                <w:sz w:val="16"/>
              </w:rPr>
              <w:t>-</w:t>
            </w:r>
          </w:p>
        </w:tc>
      </w:tr>
      <w:tr w14:paraId="7525C5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C11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1D20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0A744">
            <w:pPr>
              <w:jc w:val="center"/>
            </w:pPr>
            <w:r>
              <w:rPr>
                <w:rFonts w:ascii="宋体" w:hAnsi="宋体" w:eastAsia="宋体"/>
                <w:sz w:val="16"/>
              </w:rPr>
              <w:t>1,018.74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C33B">
            <w:pPr>
              <w:jc w:val="center"/>
            </w:pPr>
            <w:r>
              <w:rPr>
                <w:rFonts w:ascii="宋体" w:hAnsi="宋体" w:eastAsia="宋体"/>
                <w:sz w:val="16"/>
              </w:rPr>
              <w:t>1,256.56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FC8E">
            <w:pPr>
              <w:jc w:val="center"/>
            </w:pPr>
            <w:r>
              <w:rPr>
                <w:rFonts w:ascii="宋体" w:hAnsi="宋体" w:eastAsia="宋体"/>
                <w:sz w:val="16"/>
              </w:rPr>
              <w:t>1,159.86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84B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979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42648">
            <w:pPr>
              <w:jc w:val="center"/>
            </w:pPr>
            <w:r>
              <w:rPr>
                <w:rFonts w:ascii="宋体" w:hAnsi="宋体" w:eastAsia="宋体"/>
                <w:sz w:val="16"/>
              </w:rPr>
              <w:t>-</w:t>
            </w:r>
          </w:p>
        </w:tc>
      </w:tr>
      <w:tr w14:paraId="6688E8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4A5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E21A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407A8">
            <w:pPr>
              <w:jc w:val="center"/>
            </w:pPr>
            <w:r>
              <w:rPr>
                <w:rFonts w:ascii="宋体" w:hAnsi="宋体" w:eastAsia="宋体"/>
                <w:sz w:val="16"/>
              </w:rPr>
              <w:t>26.33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AB1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5CF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450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D64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2C443">
            <w:pPr>
              <w:jc w:val="center"/>
            </w:pPr>
            <w:r>
              <w:rPr>
                <w:rFonts w:ascii="宋体" w:hAnsi="宋体" w:eastAsia="宋体"/>
                <w:sz w:val="16"/>
              </w:rPr>
              <w:t>-</w:t>
            </w:r>
          </w:p>
        </w:tc>
      </w:tr>
      <w:tr w14:paraId="037464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A80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26F0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383FD">
            <w:pPr>
              <w:jc w:val="center"/>
            </w:pPr>
            <w:r>
              <w:rPr>
                <w:rFonts w:ascii="宋体" w:hAnsi="宋体" w:eastAsia="宋体"/>
                <w:sz w:val="16"/>
              </w:rPr>
              <w:t>1,139.97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C6BDD">
            <w:pPr>
              <w:jc w:val="center"/>
            </w:pPr>
            <w:r>
              <w:rPr>
                <w:rFonts w:ascii="宋体" w:hAnsi="宋体" w:eastAsia="宋体"/>
                <w:sz w:val="16"/>
              </w:rPr>
              <w:t>1,404.49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8DA50">
            <w:pPr>
              <w:jc w:val="center"/>
            </w:pPr>
            <w:r>
              <w:rPr>
                <w:rFonts w:ascii="宋体" w:hAnsi="宋体" w:eastAsia="宋体"/>
                <w:sz w:val="16"/>
              </w:rPr>
              <w:t>1,307.79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7C0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F14AC">
            <w:pPr>
              <w:jc w:val="center"/>
            </w:pPr>
            <w:r>
              <w:rPr>
                <w:rFonts w:ascii="宋体" w:hAnsi="宋体" w:eastAsia="宋体"/>
                <w:sz w:val="16"/>
              </w:rPr>
              <w:t>93.11%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BBD4C">
            <w:pPr>
              <w:jc w:val="center"/>
            </w:pPr>
            <w:r>
              <w:rPr>
                <w:rFonts w:ascii="宋体" w:hAnsi="宋体" w:eastAsia="宋体"/>
                <w:sz w:val="16"/>
              </w:rPr>
              <w:t>9.31</w:t>
            </w:r>
          </w:p>
        </w:tc>
      </w:tr>
      <w:tr w14:paraId="013CC5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15FA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44BF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A6ACAD">
            <w:pPr>
              <w:jc w:val="center"/>
            </w:pPr>
            <w:r>
              <w:rPr>
                <w:rFonts w:ascii="宋体" w:hAnsi="宋体" w:eastAsia="宋体"/>
                <w:sz w:val="16"/>
              </w:rPr>
              <w:t>实际完成情况</w:t>
            </w:r>
          </w:p>
        </w:tc>
      </w:tr>
      <w:tr w14:paraId="0DA7D6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5EF4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3864FE">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，落实有关教育经费的法规政策，教师普通话水平达标率逐渐上升，专业教师普通话达标率达到100%，让国家优惠政策落实到每家每户，逐步提高乡镇师生的满意度。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7CD817">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，落实有关教育经费的法规政策，教师普通话水平达标率逐渐上升，专业教师普通话达标率达到100%，让国家优惠政策落实到每家每户，逐步提高乡镇师生的满意度。</w:t>
            </w:r>
          </w:p>
        </w:tc>
      </w:tr>
      <w:tr w14:paraId="3678C7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1DA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FE99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748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5B1E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A9CB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0A8A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4755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2A919">
            <w:pPr>
              <w:jc w:val="center"/>
            </w:pPr>
            <w:r>
              <w:rPr>
                <w:rFonts w:ascii="宋体" w:hAnsi="宋体" w:eastAsia="宋体"/>
                <w:sz w:val="16"/>
              </w:rPr>
              <w:t>得分</w:t>
            </w:r>
          </w:p>
        </w:tc>
      </w:tr>
      <w:tr w14:paraId="119280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F75D3">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6CFB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5C064">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9133">
            <w:pPr>
              <w:jc w:val="center"/>
            </w:pPr>
            <w:r>
              <w:rPr>
                <w:rFonts w:ascii="宋体" w:hAnsi="宋体" w:eastAsia="宋体"/>
                <w:sz w:val="16"/>
              </w:rPr>
              <w:t>&lt;=80人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7FAF7">
            <w:pPr>
              <w:jc w:val="center"/>
            </w:pPr>
            <w:r>
              <w:rPr>
                <w:rFonts w:ascii="宋体" w:hAnsi="宋体" w:eastAsia="宋体"/>
                <w:sz w:val="16"/>
              </w:rPr>
              <w:t>吉木萨尔县第二幼儿园2023年经费年报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6E5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4EAB8">
            <w:pPr>
              <w:jc w:val="center"/>
            </w:pPr>
            <w:r>
              <w:rPr>
                <w:rFonts w:ascii="宋体" w:hAnsi="宋体" w:eastAsia="宋体"/>
                <w:sz w:val="16"/>
              </w:rPr>
              <w:t>=78人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A86F8">
            <w:pPr>
              <w:jc w:val="center"/>
            </w:pPr>
            <w:r>
              <w:rPr>
                <w:rFonts w:ascii="宋体" w:hAnsi="宋体" w:eastAsia="宋体"/>
                <w:sz w:val="16"/>
              </w:rPr>
              <w:t>9.75</w:t>
            </w:r>
          </w:p>
        </w:tc>
      </w:tr>
      <w:tr w14:paraId="28E8DF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0C8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0B3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A8D6">
            <w:pPr>
              <w:jc w:val="center"/>
            </w:pPr>
            <w:r>
              <w:rPr>
                <w:rFonts w:ascii="宋体" w:hAnsi="宋体" w:eastAsia="宋体"/>
                <w:sz w:val="16"/>
              </w:rPr>
              <w:t>在园幼儿人数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7311">
            <w:pPr>
              <w:jc w:val="center"/>
            </w:pPr>
            <w:r>
              <w:rPr>
                <w:rFonts w:ascii="宋体" w:hAnsi="宋体" w:eastAsia="宋体"/>
                <w:sz w:val="16"/>
              </w:rPr>
              <w:t>&lt;=589人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F983">
            <w:pPr>
              <w:jc w:val="center"/>
            </w:pPr>
            <w:r>
              <w:rPr>
                <w:rFonts w:ascii="宋体" w:hAnsi="宋体" w:eastAsia="宋体"/>
                <w:sz w:val="16"/>
              </w:rPr>
              <w:t>吉木萨尔县第二幼儿园2023年经费年报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30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AFD5">
            <w:pPr>
              <w:jc w:val="center"/>
            </w:pPr>
            <w:r>
              <w:rPr>
                <w:rFonts w:ascii="宋体" w:hAnsi="宋体" w:eastAsia="宋体"/>
                <w:sz w:val="16"/>
              </w:rPr>
              <w:t>=689人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ACC59">
            <w:pPr>
              <w:jc w:val="center"/>
            </w:pPr>
            <w:r>
              <w:rPr>
                <w:rFonts w:ascii="宋体" w:hAnsi="宋体" w:eastAsia="宋体"/>
                <w:sz w:val="16"/>
              </w:rPr>
              <w:t>10</w:t>
            </w:r>
          </w:p>
        </w:tc>
      </w:tr>
      <w:tr w14:paraId="708F34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6CD6">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49C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4F5F">
            <w:pPr>
              <w:jc w:val="center"/>
            </w:pPr>
            <w:r>
              <w:rPr>
                <w:rFonts w:ascii="宋体" w:hAnsi="宋体" w:eastAsia="宋体"/>
                <w:sz w:val="16"/>
              </w:rPr>
              <w:t>专业教师普通话达标率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8E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9D90C">
            <w:pPr>
              <w:jc w:val="center"/>
            </w:pPr>
            <w:r>
              <w:rPr>
                <w:rFonts w:ascii="宋体" w:hAnsi="宋体" w:eastAsia="宋体"/>
                <w:sz w:val="16"/>
              </w:rPr>
              <w:t>吉木萨尔县第二幼儿园2023年工作总结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38D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E89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27BB9">
            <w:pPr>
              <w:jc w:val="center"/>
            </w:pPr>
            <w:r>
              <w:rPr>
                <w:rFonts w:ascii="宋体" w:hAnsi="宋体" w:eastAsia="宋体"/>
                <w:sz w:val="16"/>
              </w:rPr>
              <w:t>20</w:t>
            </w:r>
          </w:p>
        </w:tc>
      </w:tr>
      <w:tr w14:paraId="4EBFCC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D67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E77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760C">
            <w:pPr>
              <w:jc w:val="center"/>
            </w:pPr>
            <w:r>
              <w:rPr>
                <w:rFonts w:ascii="宋体" w:hAnsi="宋体" w:eastAsia="宋体"/>
                <w:sz w:val="16"/>
              </w:rPr>
              <w:t>召开家长会次数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2374">
            <w:pPr>
              <w:jc w:val="center"/>
            </w:pPr>
            <w:r>
              <w:rPr>
                <w:rFonts w:ascii="宋体" w:hAnsi="宋体" w:eastAsia="宋体"/>
                <w:sz w:val="16"/>
              </w:rPr>
              <w:t>&lt;=2次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0171D">
            <w:pPr>
              <w:jc w:val="center"/>
            </w:pPr>
            <w:r>
              <w:rPr>
                <w:rFonts w:ascii="宋体" w:hAnsi="宋体" w:eastAsia="宋体"/>
                <w:sz w:val="16"/>
              </w:rPr>
              <w:t>吉木萨尔县第二幼儿园2023年工作总结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4E8A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C63C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D8CC4">
            <w:pPr>
              <w:jc w:val="center"/>
            </w:pPr>
            <w:r>
              <w:rPr>
                <w:rFonts w:ascii="宋体" w:hAnsi="宋体" w:eastAsia="宋体"/>
                <w:sz w:val="16"/>
              </w:rPr>
              <w:t>15</w:t>
            </w:r>
          </w:p>
        </w:tc>
      </w:tr>
      <w:tr w14:paraId="03F6B3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DAE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95F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C1B7F">
            <w:pPr>
              <w:jc w:val="center"/>
            </w:pPr>
            <w:r>
              <w:rPr>
                <w:rFonts w:ascii="宋体" w:hAnsi="宋体" w:eastAsia="宋体"/>
                <w:sz w:val="16"/>
              </w:rPr>
              <w:t>幼儿地震演练次数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DF56">
            <w:pPr>
              <w:jc w:val="center"/>
            </w:pPr>
            <w:r>
              <w:rPr>
                <w:rFonts w:ascii="宋体" w:hAnsi="宋体" w:eastAsia="宋体"/>
                <w:sz w:val="16"/>
              </w:rPr>
              <w:t>&lt;=12次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76E63">
            <w:pPr>
              <w:jc w:val="center"/>
            </w:pPr>
            <w:r>
              <w:rPr>
                <w:rFonts w:ascii="宋体" w:hAnsi="宋体" w:eastAsia="宋体"/>
                <w:sz w:val="16"/>
              </w:rPr>
              <w:t>吉木萨尔县第二幼儿园2023年工作总结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6540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B13C4">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8A1B5">
            <w:pPr>
              <w:jc w:val="center"/>
            </w:pPr>
            <w:r>
              <w:rPr>
                <w:rFonts w:ascii="宋体" w:hAnsi="宋体" w:eastAsia="宋体"/>
                <w:sz w:val="16"/>
              </w:rPr>
              <w:t>15</w:t>
            </w:r>
          </w:p>
        </w:tc>
      </w:tr>
      <w:tr w14:paraId="798FAF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037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0783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5BC2">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70D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424F">
            <w:pPr>
              <w:jc w:val="center"/>
            </w:pPr>
            <w:r>
              <w:rPr>
                <w:rFonts w:ascii="宋体" w:hAnsi="宋体" w:eastAsia="宋体"/>
                <w:sz w:val="16"/>
              </w:rPr>
              <w:t>吉木萨尔县第二幼儿园2023年工作总结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08F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13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7605F">
            <w:pPr>
              <w:jc w:val="center"/>
            </w:pPr>
            <w:r>
              <w:rPr>
                <w:rFonts w:ascii="宋体" w:hAnsi="宋体" w:eastAsia="宋体"/>
                <w:sz w:val="16"/>
              </w:rPr>
              <w:t>20</w:t>
            </w:r>
          </w:p>
        </w:tc>
      </w:tr>
    </w:tbl>
    <w:p w14:paraId="53D97F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67FA02DD">
        <w:tblPrEx>
          <w:tblCellMar>
            <w:top w:w="0" w:type="dxa"/>
            <w:left w:w="108" w:type="dxa"/>
            <w:bottom w:w="0" w:type="dxa"/>
            <w:right w:w="108" w:type="dxa"/>
          </w:tblCellMar>
        </w:tblPrEx>
        <w:tc>
          <w:tcPr>
            <w:tcW w:w="8848" w:type="dxa"/>
            <w:gridSpan w:val="14"/>
            <w:vAlign w:val="center"/>
          </w:tcPr>
          <w:p w14:paraId="17DD9AB0">
            <w:pPr>
              <w:jc w:val="center"/>
            </w:pPr>
            <w:r>
              <w:rPr>
                <w:rFonts w:ascii="宋体" w:hAnsi="宋体" w:eastAsia="宋体"/>
                <w:sz w:val="24"/>
              </w:rPr>
              <w:t>项目支出绩效自评表</w:t>
            </w:r>
          </w:p>
        </w:tc>
      </w:tr>
      <w:tr w14:paraId="672C8868">
        <w:tblPrEx>
          <w:tblCellMar>
            <w:top w:w="0" w:type="dxa"/>
            <w:left w:w="108" w:type="dxa"/>
            <w:bottom w:w="0" w:type="dxa"/>
            <w:right w:w="108" w:type="dxa"/>
          </w:tblCellMar>
        </w:tblPrEx>
        <w:tc>
          <w:tcPr>
            <w:tcW w:w="8848" w:type="dxa"/>
            <w:gridSpan w:val="14"/>
            <w:vAlign w:val="center"/>
          </w:tcPr>
          <w:p w14:paraId="56E3A084">
            <w:pPr>
              <w:jc w:val="center"/>
            </w:pPr>
            <w:r>
              <w:rPr>
                <w:rFonts w:ascii="宋体" w:hAnsi="宋体" w:eastAsia="宋体"/>
                <w:sz w:val="24"/>
              </w:rPr>
              <w:t>(2024年度)</w:t>
            </w:r>
          </w:p>
        </w:tc>
      </w:tr>
      <w:tr w14:paraId="022550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10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46B761">
            <w:pPr>
              <w:jc w:val="center"/>
            </w:pPr>
            <w:r>
              <w:rPr>
                <w:rFonts w:ascii="宋体" w:hAnsi="宋体" w:eastAsia="宋体"/>
                <w:sz w:val="16"/>
              </w:rPr>
              <w:t>2024年新疆西藏等地区教育特殊补助资金的通知（公用经费）</w:t>
            </w:r>
          </w:p>
        </w:tc>
      </w:tr>
      <w:tr w14:paraId="07BF5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C2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33BC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30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A58180">
            <w:pPr>
              <w:jc w:val="center"/>
            </w:pPr>
            <w:r>
              <w:rPr>
                <w:rFonts w:ascii="宋体" w:hAnsi="宋体" w:eastAsia="宋体"/>
                <w:sz w:val="16"/>
              </w:rPr>
              <w:t>吉木萨尔县第二幼儿园</w:t>
            </w:r>
          </w:p>
        </w:tc>
      </w:tr>
      <w:tr w14:paraId="6E37A9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25F5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B73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214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A5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2F2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94B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5D1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A588">
            <w:pPr>
              <w:jc w:val="center"/>
            </w:pPr>
            <w:r>
              <w:rPr>
                <w:rFonts w:ascii="宋体" w:hAnsi="宋体" w:eastAsia="宋体"/>
                <w:sz w:val="16"/>
              </w:rPr>
              <w:t>得分</w:t>
            </w:r>
          </w:p>
        </w:tc>
      </w:tr>
      <w:tr w14:paraId="39487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66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A7B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B3142">
            <w:pPr>
              <w:jc w:val="center"/>
            </w:pPr>
            <w:r>
              <w:rPr>
                <w:rFonts w:ascii="宋体" w:hAnsi="宋体" w:eastAsia="宋体"/>
                <w:sz w:val="16"/>
              </w:rPr>
              <w:t>63.83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9D7B">
            <w:pPr>
              <w:jc w:val="center"/>
            </w:pPr>
            <w:r>
              <w:rPr>
                <w:rFonts w:ascii="宋体" w:hAnsi="宋体" w:eastAsia="宋体"/>
                <w:sz w:val="16"/>
              </w:rPr>
              <w:t>84.06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53476">
            <w:pPr>
              <w:jc w:val="center"/>
            </w:pPr>
            <w:r>
              <w:rPr>
                <w:rFonts w:ascii="宋体" w:hAnsi="宋体" w:eastAsia="宋体"/>
                <w:sz w:val="16"/>
              </w:rPr>
              <w:t>84.06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9C6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F53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3899">
            <w:pPr>
              <w:jc w:val="center"/>
            </w:pPr>
            <w:r>
              <w:rPr>
                <w:rFonts w:ascii="宋体" w:hAnsi="宋体" w:eastAsia="宋体"/>
                <w:sz w:val="16"/>
              </w:rPr>
              <w:t>10.00</w:t>
            </w:r>
          </w:p>
        </w:tc>
      </w:tr>
      <w:tr w14:paraId="6A2AF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54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D62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7407D">
            <w:pPr>
              <w:jc w:val="center"/>
            </w:pPr>
            <w:r>
              <w:rPr>
                <w:rFonts w:ascii="宋体" w:hAnsi="宋体" w:eastAsia="宋体"/>
                <w:sz w:val="16"/>
              </w:rPr>
              <w:t>63.83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CDC4">
            <w:pPr>
              <w:jc w:val="center"/>
            </w:pPr>
            <w:r>
              <w:rPr>
                <w:rFonts w:ascii="宋体" w:hAnsi="宋体" w:eastAsia="宋体"/>
                <w:sz w:val="16"/>
              </w:rPr>
              <w:t>84.06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242B">
            <w:pPr>
              <w:jc w:val="center"/>
            </w:pPr>
            <w:r>
              <w:rPr>
                <w:rFonts w:ascii="宋体" w:hAnsi="宋体" w:eastAsia="宋体"/>
                <w:sz w:val="16"/>
              </w:rPr>
              <w:t>84.06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6C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93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08F3">
            <w:pPr>
              <w:jc w:val="center"/>
            </w:pPr>
            <w:r>
              <w:rPr>
                <w:rFonts w:ascii="宋体" w:hAnsi="宋体" w:eastAsia="宋体"/>
                <w:sz w:val="16"/>
              </w:rPr>
              <w:t>—</w:t>
            </w:r>
          </w:p>
        </w:tc>
      </w:tr>
      <w:tr w14:paraId="4292D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F5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936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E3C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9A3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6C8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1E5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8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0AC6">
            <w:pPr>
              <w:jc w:val="center"/>
            </w:pPr>
            <w:r>
              <w:rPr>
                <w:rFonts w:ascii="宋体" w:hAnsi="宋体" w:eastAsia="宋体"/>
                <w:sz w:val="16"/>
              </w:rPr>
              <w:t>—</w:t>
            </w:r>
          </w:p>
        </w:tc>
      </w:tr>
      <w:tr w14:paraId="6CF5D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4AC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F48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76D0B7">
            <w:pPr>
              <w:jc w:val="center"/>
            </w:pPr>
            <w:r>
              <w:rPr>
                <w:rFonts w:ascii="宋体" w:hAnsi="宋体" w:eastAsia="宋体"/>
                <w:sz w:val="16"/>
              </w:rPr>
              <w:t>实际完成情况</w:t>
            </w:r>
          </w:p>
        </w:tc>
      </w:tr>
      <w:tr w14:paraId="7BA60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4B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4EFE8">
            <w:pPr>
              <w:jc w:val="both"/>
            </w:pPr>
            <w:r>
              <w:rPr>
                <w:rFonts w:ascii="宋体" w:hAnsi="宋体" w:eastAsia="宋体"/>
                <w:sz w:val="16"/>
              </w:rPr>
              <w:t>2024年吉木萨尔第二幼儿园特殊教育补助资金拨付84.06万元，幼儿园在园人数689人，公用经费生均补助1100元，保障幼儿园运行中的各项开支，包括水电费、维修费、设备购置、材料采购等。提高学生及家长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C08A45">
            <w:pPr>
              <w:jc w:val="both"/>
            </w:pPr>
            <w:r>
              <w:rPr>
                <w:rFonts w:hint="eastAsia" w:ascii="宋体" w:hAnsi="宋体"/>
                <w:sz w:val="16"/>
                <w:lang w:eastAsia="zh-CN"/>
              </w:rPr>
              <w:t>截至2024</w:t>
            </w:r>
            <w:r>
              <w:rPr>
                <w:rFonts w:ascii="宋体" w:hAnsi="宋体" w:eastAsia="宋体"/>
                <w:sz w:val="16"/>
              </w:rPr>
              <w:t>年12月31日，本项目实际支付84.06万元，预算执行率为100%，我校已完成【2024年新疆西藏等地区教育特殊补助资金的通知（公用经费）】项目，通过实施此项目使我校689名幼儿享受到公用经费补助，补助覆盖率达到了100%，保障了我校学前三年教育发展正常运转，学生、家长满意度达到95%。</w:t>
            </w:r>
          </w:p>
        </w:tc>
      </w:tr>
      <w:tr w14:paraId="48F8E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A7B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5F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73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38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FA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E56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ECF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7F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BF2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12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F0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39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24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3F20">
            <w:pPr>
              <w:jc w:val="center"/>
            </w:pPr>
            <w:r>
              <w:rPr>
                <w:rFonts w:ascii="宋体" w:hAnsi="宋体" w:eastAsia="宋体"/>
                <w:sz w:val="16"/>
              </w:rPr>
              <w:t>偏差原因分析及改进措施</w:t>
            </w:r>
          </w:p>
        </w:tc>
      </w:tr>
      <w:tr w14:paraId="0BE657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5CE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2D5A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71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A050">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98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62FD">
            <w:pPr>
              <w:jc w:val="center"/>
            </w:pPr>
            <w:r>
              <w:rPr>
                <w:rFonts w:ascii="宋体" w:hAnsi="宋体" w:eastAsia="宋体"/>
                <w:sz w:val="16"/>
              </w:rPr>
              <w:t>&lt;=689人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1AA1">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5861">
            <w:pPr>
              <w:jc w:val="center"/>
            </w:pPr>
            <w:r>
              <w:rPr>
                <w:rFonts w:ascii="宋体" w:hAnsi="宋体" w:eastAsia="宋体"/>
                <w:sz w:val="16"/>
              </w:rPr>
              <w:t>91.15%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3847">
            <w:pPr>
              <w:jc w:val="center"/>
            </w:pPr>
            <w:r>
              <w:rPr>
                <w:rFonts w:ascii="宋体" w:hAnsi="宋体" w:eastAsia="宋体"/>
                <w:sz w:val="16"/>
              </w:rPr>
              <w:t>15.58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D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4A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3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C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05A2">
            <w:pPr>
              <w:jc w:val="center"/>
            </w:pPr>
            <w:r>
              <w:rPr>
                <w:rFonts w:ascii="宋体" w:hAnsi="宋体" w:eastAsia="宋体"/>
                <w:sz w:val="16"/>
              </w:rPr>
              <w:t>因招生人数增加，秋季幼儿人数达到628人，经费按照实际人数进行补贴。</w:t>
            </w:r>
          </w:p>
        </w:tc>
      </w:tr>
      <w:tr w14:paraId="0E3F8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FB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D2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4F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A4F1">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8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6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4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C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5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D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A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B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E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A6D5">
            <w:pPr>
              <w:jc w:val="center"/>
            </w:pPr>
          </w:p>
        </w:tc>
      </w:tr>
      <w:tr w14:paraId="7D3EF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D1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FE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3F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1AAE">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8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5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A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B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6F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5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D8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C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E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BE9B">
            <w:pPr>
              <w:jc w:val="center"/>
            </w:pPr>
          </w:p>
        </w:tc>
      </w:tr>
      <w:tr w14:paraId="5FF52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E3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0F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0E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F52A">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3D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AE9C">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F097">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7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36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9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7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9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D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9C0D">
            <w:pPr>
              <w:jc w:val="center"/>
            </w:pPr>
          </w:p>
        </w:tc>
      </w:tr>
      <w:tr w14:paraId="1EA7A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F4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61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01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034C">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C0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0C59">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A78D">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2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26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B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A2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1A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4C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C823">
            <w:pPr>
              <w:jc w:val="center"/>
            </w:pPr>
          </w:p>
        </w:tc>
      </w:tr>
      <w:tr w14:paraId="3A0E2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324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DDAC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C1E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5140">
            <w:pPr>
              <w:jc w:val="center"/>
            </w:pPr>
            <w:r>
              <w:rPr>
                <w:rFonts w:ascii="宋体" w:hAnsi="宋体" w:eastAsia="宋体"/>
                <w:sz w:val="16"/>
              </w:rPr>
              <w:t>受益学生家长满意度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61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4E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8E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F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97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A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A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3A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A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6856">
            <w:pPr>
              <w:jc w:val="center"/>
            </w:pPr>
          </w:p>
        </w:tc>
      </w:tr>
      <w:tr w14:paraId="7818E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DD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49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1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AA12">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A7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C7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8F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4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4E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1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8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FC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1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2B5C">
            <w:pPr>
              <w:jc w:val="center"/>
            </w:pPr>
          </w:p>
        </w:tc>
      </w:tr>
      <w:tr w14:paraId="0F55C2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29D3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A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BAF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2BE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06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115E">
            <w:pPr>
              <w:jc w:val="center"/>
            </w:pPr>
            <w:r>
              <w:rPr>
                <w:rFonts w:ascii="宋体" w:hAnsi="宋体" w:eastAsia="宋体"/>
                <w:sz w:val="16"/>
              </w:rPr>
              <w:t>95.58分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BE2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15F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33D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72C4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A4077"/>
        </w:tc>
      </w:tr>
    </w:tbl>
    <w:p w14:paraId="790C89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37444F9F">
        <w:tblPrEx>
          <w:tblCellMar>
            <w:top w:w="0" w:type="dxa"/>
            <w:left w:w="108" w:type="dxa"/>
            <w:bottom w:w="0" w:type="dxa"/>
            <w:right w:w="108" w:type="dxa"/>
          </w:tblCellMar>
        </w:tblPrEx>
        <w:tc>
          <w:tcPr>
            <w:tcW w:w="8848" w:type="dxa"/>
            <w:gridSpan w:val="14"/>
            <w:vAlign w:val="center"/>
          </w:tcPr>
          <w:p w14:paraId="5DCFFE21">
            <w:pPr>
              <w:jc w:val="center"/>
            </w:pPr>
            <w:r>
              <w:rPr>
                <w:rFonts w:ascii="宋体" w:hAnsi="宋体" w:eastAsia="宋体"/>
                <w:sz w:val="24"/>
              </w:rPr>
              <w:t>项目支出绩效自评表</w:t>
            </w:r>
          </w:p>
        </w:tc>
      </w:tr>
      <w:tr w14:paraId="307F41AE">
        <w:tblPrEx>
          <w:tblCellMar>
            <w:top w:w="0" w:type="dxa"/>
            <w:left w:w="108" w:type="dxa"/>
            <w:bottom w:w="0" w:type="dxa"/>
            <w:right w:w="108" w:type="dxa"/>
          </w:tblCellMar>
        </w:tblPrEx>
        <w:tc>
          <w:tcPr>
            <w:tcW w:w="8848" w:type="dxa"/>
            <w:gridSpan w:val="14"/>
            <w:vAlign w:val="center"/>
          </w:tcPr>
          <w:p w14:paraId="1F5806C1">
            <w:pPr>
              <w:jc w:val="center"/>
            </w:pPr>
            <w:r>
              <w:rPr>
                <w:rFonts w:ascii="宋体" w:hAnsi="宋体" w:eastAsia="宋体"/>
                <w:sz w:val="24"/>
              </w:rPr>
              <w:t>(2024年度)</w:t>
            </w:r>
          </w:p>
        </w:tc>
      </w:tr>
      <w:tr w14:paraId="5BF6B2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55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2AF33C">
            <w:pPr>
              <w:jc w:val="center"/>
            </w:pPr>
            <w:r>
              <w:rPr>
                <w:rFonts w:ascii="宋体" w:hAnsi="宋体" w:eastAsia="宋体"/>
                <w:sz w:val="16"/>
              </w:rPr>
              <w:t>二幼2023年度农村学前三年免费教育保障经费预算</w:t>
            </w:r>
            <w:r>
              <w:rPr>
                <w:rFonts w:hint="eastAsia" w:ascii="宋体" w:hAnsi="宋体"/>
                <w:sz w:val="16"/>
                <w:lang w:eastAsia="zh-CN"/>
              </w:rPr>
              <w:t>－</w:t>
            </w:r>
            <w:r>
              <w:rPr>
                <w:rFonts w:ascii="宋体" w:hAnsi="宋体" w:eastAsia="宋体"/>
                <w:sz w:val="16"/>
              </w:rPr>
              <w:t>伙食补助</w:t>
            </w:r>
          </w:p>
        </w:tc>
      </w:tr>
      <w:tr w14:paraId="62486E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9E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DFE1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EC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354DDC">
            <w:pPr>
              <w:jc w:val="center"/>
            </w:pPr>
            <w:r>
              <w:rPr>
                <w:rFonts w:ascii="宋体" w:hAnsi="宋体" w:eastAsia="宋体"/>
                <w:sz w:val="16"/>
              </w:rPr>
              <w:t>吉木萨尔县第二幼儿园</w:t>
            </w:r>
          </w:p>
        </w:tc>
      </w:tr>
      <w:tr w14:paraId="604232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3F2D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89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45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C46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800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95E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31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5A87">
            <w:pPr>
              <w:jc w:val="center"/>
            </w:pPr>
            <w:r>
              <w:rPr>
                <w:rFonts w:ascii="宋体" w:hAnsi="宋体" w:eastAsia="宋体"/>
                <w:sz w:val="16"/>
              </w:rPr>
              <w:t>得分</w:t>
            </w:r>
          </w:p>
        </w:tc>
      </w:tr>
      <w:tr w14:paraId="7FA6C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426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A3A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9CE40">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3D6B">
            <w:pPr>
              <w:jc w:val="center"/>
            </w:pPr>
            <w:r>
              <w:rPr>
                <w:rFonts w:ascii="宋体" w:hAnsi="宋体" w:eastAsia="宋体"/>
                <w:sz w:val="16"/>
              </w:rPr>
              <w:t>68.14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ECB85">
            <w:pPr>
              <w:jc w:val="center"/>
            </w:pPr>
            <w:r>
              <w:rPr>
                <w:rFonts w:ascii="宋体" w:hAnsi="宋体" w:eastAsia="宋体"/>
                <w:sz w:val="16"/>
              </w:rPr>
              <w:t>68.14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F39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C2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9364">
            <w:pPr>
              <w:jc w:val="center"/>
            </w:pPr>
            <w:r>
              <w:rPr>
                <w:rFonts w:ascii="宋体" w:hAnsi="宋体" w:eastAsia="宋体"/>
                <w:sz w:val="16"/>
              </w:rPr>
              <w:t>10.00</w:t>
            </w:r>
          </w:p>
        </w:tc>
      </w:tr>
      <w:tr w14:paraId="0AAC5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42A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FA2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8F3AD">
            <w:pPr>
              <w:jc w:val="center"/>
            </w:pPr>
            <w:r>
              <w:rPr>
                <w:rFonts w:ascii="宋体" w:hAnsi="宋体" w:eastAsia="宋体"/>
                <w:sz w:val="16"/>
              </w:rPr>
              <w:t>17.04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0A168">
            <w:pPr>
              <w:jc w:val="center"/>
            </w:pPr>
            <w:r>
              <w:rPr>
                <w:rFonts w:ascii="宋体" w:hAnsi="宋体" w:eastAsia="宋体"/>
                <w:sz w:val="16"/>
              </w:rPr>
              <w:t>68.14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F65D0">
            <w:pPr>
              <w:jc w:val="center"/>
            </w:pPr>
            <w:r>
              <w:rPr>
                <w:rFonts w:ascii="宋体" w:hAnsi="宋体" w:eastAsia="宋体"/>
                <w:sz w:val="16"/>
              </w:rPr>
              <w:t>68.14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F04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93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5633">
            <w:pPr>
              <w:jc w:val="center"/>
            </w:pPr>
            <w:r>
              <w:rPr>
                <w:rFonts w:ascii="宋体" w:hAnsi="宋体" w:eastAsia="宋体"/>
                <w:sz w:val="16"/>
              </w:rPr>
              <w:t>—</w:t>
            </w:r>
          </w:p>
        </w:tc>
      </w:tr>
      <w:tr w14:paraId="33F03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0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5E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51D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C7A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CFC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3B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4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C573">
            <w:pPr>
              <w:jc w:val="center"/>
            </w:pPr>
            <w:r>
              <w:rPr>
                <w:rFonts w:ascii="宋体" w:hAnsi="宋体" w:eastAsia="宋体"/>
                <w:sz w:val="16"/>
              </w:rPr>
              <w:t>—</w:t>
            </w:r>
          </w:p>
        </w:tc>
      </w:tr>
      <w:tr w14:paraId="298866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51B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FEC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F0644E">
            <w:pPr>
              <w:jc w:val="center"/>
            </w:pPr>
            <w:r>
              <w:rPr>
                <w:rFonts w:ascii="宋体" w:hAnsi="宋体" w:eastAsia="宋体"/>
                <w:sz w:val="16"/>
              </w:rPr>
              <w:t>实际完成情况</w:t>
            </w:r>
          </w:p>
        </w:tc>
      </w:tr>
      <w:tr w14:paraId="6EFCC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313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6EE29">
            <w:pPr>
              <w:jc w:val="both"/>
            </w:pPr>
            <w:r>
              <w:rPr>
                <w:rFonts w:ascii="宋体" w:hAnsi="宋体" w:eastAsia="宋体"/>
                <w:sz w:val="16"/>
              </w:rPr>
              <w:t>2024年农村学前三年免费教育保障经费预算（伙食补助）共拨付68.14万元，保障我校幼儿在园人数689人，公用经费生均补助1100元，伙食补助生均补助1450元，保龄适龄儿童接受免费学前教育，使得受益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34C24">
            <w:pPr>
              <w:jc w:val="both"/>
            </w:pPr>
            <w:r>
              <w:rPr>
                <w:rFonts w:hint="eastAsia" w:ascii="宋体" w:hAnsi="宋体"/>
                <w:sz w:val="16"/>
                <w:lang w:eastAsia="zh-CN"/>
              </w:rPr>
              <w:t>截至2024</w:t>
            </w:r>
            <w:r>
              <w:rPr>
                <w:rFonts w:ascii="宋体" w:hAnsi="宋体" w:eastAsia="宋体"/>
                <w:sz w:val="16"/>
              </w:rPr>
              <w:t>年12月31日，本项目实际支出68.14万元，预算执行率为100%，我校已完成【二幼2023年度农村学前三年免费教育保障经费预算</w:t>
            </w:r>
            <w:r>
              <w:rPr>
                <w:rFonts w:hint="eastAsia" w:ascii="宋体" w:hAnsi="宋体"/>
                <w:sz w:val="16"/>
                <w:lang w:eastAsia="zh-CN"/>
              </w:rPr>
              <w:t>－</w:t>
            </w:r>
            <w:r>
              <w:rPr>
                <w:rFonts w:ascii="宋体" w:hAnsi="宋体" w:eastAsia="宋体"/>
                <w:sz w:val="16"/>
              </w:rPr>
              <w:t>伙食补助】项目，通过实施此项目使我校689名幼儿享受到伙食补助，补助覆盖率达到了100%，保障了我校学前三年教育发展正常运转，受益家长满意度达到95%。</w:t>
            </w:r>
          </w:p>
        </w:tc>
      </w:tr>
      <w:tr w14:paraId="25D291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B87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30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A6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C9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E8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F2D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0EB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E1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49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BD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FE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8A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91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99D3">
            <w:pPr>
              <w:jc w:val="center"/>
            </w:pPr>
            <w:r>
              <w:rPr>
                <w:rFonts w:ascii="宋体" w:hAnsi="宋体" w:eastAsia="宋体"/>
                <w:sz w:val="16"/>
              </w:rPr>
              <w:t>偏差原因分析及改进措施</w:t>
            </w:r>
          </w:p>
        </w:tc>
      </w:tr>
      <w:tr w14:paraId="0359D2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D8E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C2D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A8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A7A9">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14E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4509">
            <w:pPr>
              <w:jc w:val="center"/>
            </w:pPr>
            <w:r>
              <w:rPr>
                <w:rFonts w:ascii="宋体" w:hAnsi="宋体" w:eastAsia="宋体"/>
                <w:sz w:val="16"/>
              </w:rPr>
              <w:t>&lt;=689人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BCC2">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86ED">
            <w:pPr>
              <w:jc w:val="center"/>
            </w:pPr>
            <w:r>
              <w:rPr>
                <w:rFonts w:ascii="宋体" w:hAnsi="宋体" w:eastAsia="宋体"/>
                <w:sz w:val="16"/>
              </w:rPr>
              <w:t>91.15%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96DF">
            <w:pPr>
              <w:jc w:val="center"/>
            </w:pPr>
            <w:r>
              <w:rPr>
                <w:rFonts w:ascii="宋体" w:hAnsi="宋体" w:eastAsia="宋体"/>
                <w:sz w:val="16"/>
              </w:rPr>
              <w:t>11.68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F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22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6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7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3FBF">
            <w:pPr>
              <w:jc w:val="center"/>
            </w:pPr>
            <w:r>
              <w:rPr>
                <w:rFonts w:ascii="宋体" w:hAnsi="宋体" w:eastAsia="宋体"/>
                <w:sz w:val="16"/>
              </w:rPr>
              <w:t>因招生人数增加，秋季幼儿人数达到628人，经费按照实际人数进行补贴。</w:t>
            </w:r>
          </w:p>
        </w:tc>
      </w:tr>
      <w:tr w14:paraId="678D7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F7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BA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9C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0381">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F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7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4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5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2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1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9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3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C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518E">
            <w:pPr>
              <w:jc w:val="center"/>
            </w:pPr>
          </w:p>
        </w:tc>
      </w:tr>
      <w:tr w14:paraId="193BC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16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55A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79C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031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C4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4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9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F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89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E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1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1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A6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8591">
            <w:pPr>
              <w:jc w:val="center"/>
            </w:pPr>
          </w:p>
        </w:tc>
      </w:tr>
      <w:tr w14:paraId="4CAD8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5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D7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36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5166">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2A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B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3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6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CB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2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CA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7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6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338A">
            <w:pPr>
              <w:jc w:val="center"/>
            </w:pPr>
          </w:p>
        </w:tc>
      </w:tr>
      <w:tr w14:paraId="2E5F7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33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E9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E0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E2C5">
            <w:pPr>
              <w:jc w:val="center"/>
            </w:pPr>
            <w:r>
              <w:rPr>
                <w:rFonts w:ascii="宋体" w:hAnsi="宋体" w:eastAsia="宋体"/>
                <w:sz w:val="16"/>
              </w:rPr>
              <w:t>幼儿生均补助标准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E1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61AE">
            <w:pPr>
              <w:jc w:val="center"/>
            </w:pPr>
            <w:r>
              <w:rPr>
                <w:rFonts w:ascii="宋体" w:hAnsi="宋体" w:eastAsia="宋体"/>
                <w:sz w:val="16"/>
              </w:rPr>
              <w:t>=2800元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718F">
            <w:pPr>
              <w:jc w:val="center"/>
            </w:pPr>
            <w:r>
              <w:rPr>
                <w:rFonts w:ascii="宋体" w:hAnsi="宋体" w:eastAsia="宋体"/>
                <w:sz w:val="16"/>
              </w:rPr>
              <w:t>=2800元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7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7C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B79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6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5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BE3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2F81">
            <w:pPr>
              <w:jc w:val="center"/>
            </w:pPr>
          </w:p>
        </w:tc>
      </w:tr>
      <w:tr w14:paraId="476C0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4C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DC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91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9DB8">
            <w:pPr>
              <w:jc w:val="center"/>
            </w:pPr>
            <w:r>
              <w:rPr>
                <w:rFonts w:ascii="宋体" w:hAnsi="宋体" w:eastAsia="宋体"/>
                <w:sz w:val="16"/>
              </w:rPr>
              <w:t>保龄适龄儿童接受免费学前教育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D5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4809">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3B5B">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F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65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F47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8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ED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C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7831">
            <w:pPr>
              <w:jc w:val="center"/>
            </w:pPr>
          </w:p>
        </w:tc>
      </w:tr>
      <w:tr w14:paraId="2C36F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AB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F2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D7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1C5E">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B1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BC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57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A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C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9B3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E1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2C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5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43F0">
            <w:pPr>
              <w:jc w:val="center"/>
            </w:pPr>
          </w:p>
        </w:tc>
      </w:tr>
      <w:tr w14:paraId="58ABF5E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4A0F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B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9A9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F12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53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697A">
            <w:pPr>
              <w:jc w:val="center"/>
            </w:pPr>
            <w:r>
              <w:rPr>
                <w:rFonts w:ascii="宋体" w:hAnsi="宋体" w:eastAsia="宋体"/>
                <w:sz w:val="16"/>
              </w:rPr>
              <w:t>96.68分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600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E9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9F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29E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F2902"/>
        </w:tc>
      </w:tr>
    </w:tbl>
    <w:p w14:paraId="6E6C8D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BED5C02">
        <w:tblPrEx>
          <w:tblCellMar>
            <w:top w:w="0" w:type="dxa"/>
            <w:left w:w="108" w:type="dxa"/>
            <w:bottom w:w="0" w:type="dxa"/>
            <w:right w:w="108" w:type="dxa"/>
          </w:tblCellMar>
        </w:tblPrEx>
        <w:tc>
          <w:tcPr>
            <w:tcW w:w="8912" w:type="dxa"/>
            <w:gridSpan w:val="14"/>
            <w:vAlign w:val="center"/>
          </w:tcPr>
          <w:p w14:paraId="3BB1EE74">
            <w:pPr>
              <w:jc w:val="center"/>
            </w:pPr>
            <w:r>
              <w:rPr>
                <w:rFonts w:ascii="宋体" w:hAnsi="宋体" w:eastAsia="宋体"/>
                <w:sz w:val="24"/>
              </w:rPr>
              <w:t>项目支出绩效自评表</w:t>
            </w:r>
          </w:p>
        </w:tc>
      </w:tr>
      <w:tr w14:paraId="7257E9BC">
        <w:tblPrEx>
          <w:tblCellMar>
            <w:top w:w="0" w:type="dxa"/>
            <w:left w:w="108" w:type="dxa"/>
            <w:bottom w:w="0" w:type="dxa"/>
            <w:right w:w="108" w:type="dxa"/>
          </w:tblCellMar>
        </w:tblPrEx>
        <w:tc>
          <w:tcPr>
            <w:tcW w:w="8912" w:type="dxa"/>
            <w:gridSpan w:val="14"/>
            <w:vAlign w:val="center"/>
          </w:tcPr>
          <w:p w14:paraId="0D66A739">
            <w:pPr>
              <w:jc w:val="center"/>
            </w:pPr>
            <w:r>
              <w:rPr>
                <w:rFonts w:ascii="宋体" w:hAnsi="宋体" w:eastAsia="宋体"/>
                <w:sz w:val="24"/>
              </w:rPr>
              <w:t>(2024年度)</w:t>
            </w:r>
          </w:p>
        </w:tc>
      </w:tr>
      <w:tr w14:paraId="4924F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9EFF">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7C962C">
            <w:pPr>
              <w:jc w:val="center"/>
            </w:pPr>
            <w:r>
              <w:rPr>
                <w:rFonts w:ascii="宋体" w:hAnsi="宋体" w:eastAsia="宋体"/>
                <w:sz w:val="16"/>
              </w:rPr>
              <w:t>吉木萨尔县2023年</w:t>
            </w:r>
            <w:r>
              <w:rPr>
                <w:rFonts w:hint="eastAsia" w:ascii="宋体" w:hAnsi="宋体"/>
                <w:sz w:val="16"/>
                <w:lang w:eastAsia="zh-CN"/>
              </w:rPr>
              <w:t>—</w:t>
            </w:r>
            <w:r>
              <w:rPr>
                <w:rFonts w:ascii="宋体" w:hAnsi="宋体" w:eastAsia="宋体"/>
                <w:sz w:val="16"/>
              </w:rPr>
              <w:t>2024年教学质量“奖教奖学”资金</w:t>
            </w:r>
          </w:p>
        </w:tc>
      </w:tr>
      <w:tr w14:paraId="4B0193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AE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9EF11">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1CC9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BADD0">
            <w:pPr>
              <w:jc w:val="center"/>
            </w:pPr>
            <w:r>
              <w:rPr>
                <w:rFonts w:ascii="宋体" w:hAnsi="宋体" w:eastAsia="宋体"/>
                <w:sz w:val="16"/>
              </w:rPr>
              <w:t>吉木萨尔县第二幼儿园</w:t>
            </w:r>
          </w:p>
        </w:tc>
      </w:tr>
      <w:tr w14:paraId="5573A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A40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55F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8A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CB8B5">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4CA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AA4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16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F510">
            <w:pPr>
              <w:jc w:val="center"/>
            </w:pPr>
            <w:r>
              <w:rPr>
                <w:rFonts w:ascii="宋体" w:hAnsi="宋体" w:eastAsia="宋体"/>
                <w:sz w:val="16"/>
              </w:rPr>
              <w:t>得分</w:t>
            </w:r>
          </w:p>
        </w:tc>
      </w:tr>
      <w:tr w14:paraId="4B3D6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507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68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F53F2">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0465">
            <w:pPr>
              <w:jc w:val="center"/>
            </w:pPr>
            <w:r>
              <w:rPr>
                <w:rFonts w:ascii="宋体" w:hAnsi="宋体" w:eastAsia="宋体"/>
                <w:sz w:val="16"/>
              </w:rPr>
              <w:t>1.00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55D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F6F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D39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AC6C">
            <w:pPr>
              <w:jc w:val="center"/>
            </w:pPr>
            <w:r>
              <w:rPr>
                <w:rFonts w:ascii="宋体" w:hAnsi="宋体" w:eastAsia="宋体"/>
                <w:sz w:val="16"/>
              </w:rPr>
              <w:t>10.00</w:t>
            </w:r>
          </w:p>
        </w:tc>
      </w:tr>
      <w:tr w14:paraId="2826D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CB9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5AA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2DD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FFCC2">
            <w:pPr>
              <w:jc w:val="center"/>
            </w:pPr>
            <w:r>
              <w:rPr>
                <w:rFonts w:ascii="宋体" w:hAnsi="宋体" w:eastAsia="宋体"/>
                <w:sz w:val="16"/>
              </w:rPr>
              <w:t>1.00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3438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4CB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16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637A">
            <w:pPr>
              <w:jc w:val="center"/>
            </w:pPr>
            <w:r>
              <w:rPr>
                <w:rFonts w:ascii="宋体" w:hAnsi="宋体" w:eastAsia="宋体"/>
                <w:sz w:val="16"/>
              </w:rPr>
              <w:t>—</w:t>
            </w:r>
          </w:p>
        </w:tc>
      </w:tr>
      <w:tr w14:paraId="071B0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823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E64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1CB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F7D0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84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F79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D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1EF0">
            <w:pPr>
              <w:jc w:val="center"/>
            </w:pPr>
            <w:r>
              <w:rPr>
                <w:rFonts w:ascii="宋体" w:hAnsi="宋体" w:eastAsia="宋体"/>
                <w:sz w:val="16"/>
              </w:rPr>
              <w:t>—</w:t>
            </w:r>
          </w:p>
        </w:tc>
      </w:tr>
      <w:tr w14:paraId="4F9B42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D689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FD77C">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A8732">
            <w:pPr>
              <w:jc w:val="center"/>
            </w:pPr>
            <w:r>
              <w:rPr>
                <w:rFonts w:ascii="宋体" w:hAnsi="宋体" w:eastAsia="宋体"/>
                <w:sz w:val="16"/>
              </w:rPr>
              <w:t>实际完成情况</w:t>
            </w:r>
          </w:p>
        </w:tc>
      </w:tr>
      <w:tr w14:paraId="701EC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35B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001141">
            <w:pPr>
              <w:jc w:val="both"/>
            </w:pPr>
            <w:r>
              <w:rPr>
                <w:rFonts w:ascii="宋体" w:hAnsi="宋体" w:eastAsia="宋体"/>
                <w:sz w:val="16"/>
              </w:rPr>
              <w:t>本项目主要实施内容为：吉木萨尔县2023年</w:t>
            </w:r>
            <w:r>
              <w:rPr>
                <w:rFonts w:hint="eastAsia" w:ascii="宋体" w:hAnsi="宋体"/>
                <w:sz w:val="16"/>
                <w:lang w:eastAsia="zh-CN"/>
              </w:rPr>
              <w:t>—</w:t>
            </w:r>
            <w:r>
              <w:rPr>
                <w:rFonts w:ascii="宋体" w:hAnsi="宋体" w:eastAsia="宋体"/>
                <w:sz w:val="16"/>
              </w:rPr>
              <w:t>2024年教学质量“教奖教学”资金县</w:t>
            </w:r>
            <w:bookmarkStart w:id="0" w:name="_GoBack"/>
            <w:bookmarkEnd w:id="0"/>
            <w:r>
              <w:rPr>
                <w:rFonts w:ascii="宋体" w:hAnsi="宋体" w:eastAsia="宋体"/>
                <w:sz w:val="16"/>
              </w:rPr>
              <w:t>财政拨付1万元，用于学校购买书籍支出，保障我园幼儿多元阅读需求，为教学助力。通过本项目实施，幼儿在校人数689人；购书1250册；采购图书质量合格。待项目实施完成，争取使受益教师及家长满意度不低于90%。</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5B499">
            <w:pPr>
              <w:jc w:val="both"/>
            </w:pPr>
            <w:r>
              <w:rPr>
                <w:rFonts w:hint="eastAsia" w:ascii="宋体" w:hAnsi="宋体"/>
                <w:sz w:val="16"/>
                <w:lang w:eastAsia="zh-CN"/>
              </w:rPr>
              <w:t>截至2024</w:t>
            </w:r>
            <w:r>
              <w:rPr>
                <w:rFonts w:ascii="宋体" w:hAnsi="宋体" w:eastAsia="宋体"/>
                <w:sz w:val="16"/>
              </w:rPr>
              <w:t>年12月31日，本项目实际支出资金1万元，预算执行率为100%，通过实施【吉木萨尔县2023年</w:t>
            </w:r>
            <w:r>
              <w:rPr>
                <w:rFonts w:hint="eastAsia" w:ascii="宋体" w:hAnsi="宋体"/>
                <w:sz w:val="16"/>
                <w:lang w:eastAsia="zh-CN"/>
              </w:rPr>
              <w:t>—</w:t>
            </w:r>
            <w:r>
              <w:rPr>
                <w:rFonts w:ascii="宋体" w:hAnsi="宋体" w:eastAsia="宋体"/>
                <w:sz w:val="16"/>
              </w:rPr>
              <w:t>2024年教学质量“奖教奖学”资金】项目，我校用于学校购买书籍支出，保障我园幼儿多元阅读需求，为教学助力。通过本项目实施，幼儿在校人数689人；购书1250册；采购图书质量合格。项目实施完成，使受益教师及家长满意度达到90%。</w:t>
            </w:r>
          </w:p>
        </w:tc>
      </w:tr>
      <w:tr w14:paraId="19489E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CC5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A2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67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04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D8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573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B7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932A">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7534D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60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46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A3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50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1EDB">
            <w:pPr>
              <w:jc w:val="center"/>
            </w:pPr>
            <w:r>
              <w:rPr>
                <w:rFonts w:ascii="宋体" w:hAnsi="宋体" w:eastAsia="宋体"/>
                <w:sz w:val="16"/>
              </w:rPr>
              <w:t>偏差原因分析及改进措施</w:t>
            </w:r>
          </w:p>
        </w:tc>
      </w:tr>
      <w:tr w14:paraId="310D0F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F22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6065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29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DD93">
            <w:pPr>
              <w:jc w:val="center"/>
            </w:pPr>
            <w:r>
              <w:rPr>
                <w:rFonts w:ascii="宋体" w:hAnsi="宋体" w:eastAsia="宋体"/>
                <w:sz w:val="16"/>
              </w:rPr>
              <w:t>采购图书数量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933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6DA7">
            <w:pPr>
              <w:jc w:val="center"/>
            </w:pPr>
            <w:r>
              <w:rPr>
                <w:rFonts w:ascii="宋体" w:hAnsi="宋体" w:eastAsia="宋体"/>
                <w:sz w:val="16"/>
              </w:rPr>
              <w:t>=1250册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811E">
            <w:pPr>
              <w:jc w:val="center"/>
            </w:pPr>
            <w:r>
              <w:rPr>
                <w:rFonts w:ascii="宋体" w:hAnsi="宋体" w:eastAsia="宋体"/>
                <w:sz w:val="16"/>
              </w:rPr>
              <w:t>=1250册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1CB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8D899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4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41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64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4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5D3F">
            <w:pPr>
              <w:jc w:val="center"/>
            </w:pPr>
          </w:p>
        </w:tc>
      </w:tr>
      <w:tr w14:paraId="37AA1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D2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04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EB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F1A6">
            <w:pPr>
              <w:jc w:val="center"/>
            </w:pPr>
            <w:r>
              <w:rPr>
                <w:rFonts w:ascii="宋体" w:hAnsi="宋体" w:eastAsia="宋体"/>
                <w:sz w:val="16"/>
              </w:rPr>
              <w:t>图书验收合格率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486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8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F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73A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D4139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3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6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C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E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1319">
            <w:pPr>
              <w:jc w:val="center"/>
            </w:pPr>
          </w:p>
        </w:tc>
      </w:tr>
      <w:tr w14:paraId="33DA5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F1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83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5B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052A">
            <w:pPr>
              <w:jc w:val="center"/>
            </w:pPr>
            <w:r>
              <w:rPr>
                <w:rFonts w:ascii="宋体" w:hAnsi="宋体" w:eastAsia="宋体"/>
                <w:sz w:val="16"/>
              </w:rPr>
              <w:t>采购任务按时完成率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B79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8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2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F4B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B59A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6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4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3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2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98AE">
            <w:pPr>
              <w:jc w:val="center"/>
            </w:pPr>
          </w:p>
        </w:tc>
      </w:tr>
      <w:tr w14:paraId="37538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89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803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323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A8E4">
            <w:pPr>
              <w:jc w:val="center"/>
            </w:pPr>
            <w:r>
              <w:rPr>
                <w:rFonts w:ascii="宋体" w:hAnsi="宋体" w:eastAsia="宋体"/>
                <w:sz w:val="16"/>
              </w:rPr>
              <w:t>奖教教学资金补助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4D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FA5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A3F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DED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9FC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0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29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D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6E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6E29">
            <w:pPr>
              <w:jc w:val="center"/>
            </w:pPr>
          </w:p>
        </w:tc>
      </w:tr>
      <w:tr w14:paraId="7CC69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11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BB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21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C364">
            <w:pPr>
              <w:jc w:val="center"/>
            </w:pPr>
            <w:r>
              <w:rPr>
                <w:rFonts w:ascii="宋体" w:hAnsi="宋体" w:eastAsia="宋体"/>
                <w:sz w:val="16"/>
              </w:rPr>
              <w:t>图书采购单价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32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EE1A">
            <w:pPr>
              <w:jc w:val="center"/>
            </w:pPr>
            <w:r>
              <w:rPr>
                <w:rFonts w:ascii="宋体" w:hAnsi="宋体" w:eastAsia="宋体"/>
                <w:sz w:val="16"/>
              </w:rPr>
              <w:t>=8元/本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9819">
            <w:pPr>
              <w:jc w:val="center"/>
            </w:pPr>
            <w:r>
              <w:rPr>
                <w:rFonts w:ascii="宋体" w:hAnsi="宋体" w:eastAsia="宋体"/>
                <w:sz w:val="16"/>
              </w:rPr>
              <w:t>=8元/本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2E5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48D7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8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7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9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40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A05E">
            <w:pPr>
              <w:jc w:val="center"/>
            </w:pPr>
          </w:p>
        </w:tc>
      </w:tr>
      <w:tr w14:paraId="0752A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FA9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8A15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63E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71BE">
            <w:pPr>
              <w:jc w:val="center"/>
            </w:pPr>
            <w:r>
              <w:rPr>
                <w:rFonts w:ascii="宋体" w:hAnsi="宋体" w:eastAsia="宋体"/>
                <w:sz w:val="16"/>
              </w:rPr>
              <w:t>提升教育氛围营造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4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3C0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58E3">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2AC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2CC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9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7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2F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8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5FBC">
            <w:pPr>
              <w:jc w:val="center"/>
            </w:pPr>
          </w:p>
        </w:tc>
      </w:tr>
      <w:tr w14:paraId="009E8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A3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9E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1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8B12">
            <w:pPr>
              <w:jc w:val="center"/>
            </w:pPr>
            <w:r>
              <w:rPr>
                <w:rFonts w:ascii="宋体" w:hAnsi="宋体" w:eastAsia="宋体"/>
                <w:sz w:val="16"/>
              </w:rPr>
              <w:t>受益在园幼儿人数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7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F7E2">
            <w:pPr>
              <w:jc w:val="center"/>
            </w:pPr>
            <w:r>
              <w:rPr>
                <w:rFonts w:ascii="宋体" w:hAnsi="宋体" w:eastAsia="宋体"/>
                <w:sz w:val="16"/>
              </w:rPr>
              <w:t>&gt;=689人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C4DF">
            <w:pPr>
              <w:jc w:val="center"/>
            </w:pPr>
            <w:r>
              <w:rPr>
                <w:rFonts w:ascii="宋体" w:hAnsi="宋体" w:eastAsia="宋体"/>
                <w:sz w:val="16"/>
              </w:rPr>
              <w:t>=689人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DB6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000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8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E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1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3C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AD18">
            <w:pPr>
              <w:jc w:val="center"/>
            </w:pPr>
          </w:p>
        </w:tc>
      </w:tr>
      <w:tr w14:paraId="35650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EC1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D3E6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F82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8ED5">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8D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91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28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142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B6E5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1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4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F0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1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F510">
            <w:pPr>
              <w:jc w:val="center"/>
            </w:pPr>
          </w:p>
        </w:tc>
      </w:tr>
      <w:tr w14:paraId="760B3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C5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FB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A5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09A5">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F3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B7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859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850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2FE6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1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35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DE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D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7E89">
            <w:pPr>
              <w:jc w:val="center"/>
            </w:pPr>
          </w:p>
        </w:tc>
      </w:tr>
      <w:tr w14:paraId="359271F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BC0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8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C5E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434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57E2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BFBA5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4A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BA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DEA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F06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3A580"/>
        </w:tc>
      </w:tr>
    </w:tbl>
    <w:p w14:paraId="4B9067F6">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593"/>
        <w:gridCol w:w="936"/>
        <w:gridCol w:w="936"/>
        <w:gridCol w:w="611"/>
        <w:gridCol w:w="696"/>
        <w:gridCol w:w="576"/>
        <w:gridCol w:w="576"/>
        <w:gridCol w:w="576"/>
        <w:gridCol w:w="593"/>
        <w:gridCol w:w="628"/>
      </w:tblGrid>
      <w:tr w14:paraId="3069938E">
        <w:tblPrEx>
          <w:tblCellMar>
            <w:top w:w="0" w:type="dxa"/>
            <w:left w:w="108" w:type="dxa"/>
            <w:bottom w:w="0" w:type="dxa"/>
            <w:right w:w="108" w:type="dxa"/>
          </w:tblCellMar>
        </w:tblPrEx>
        <w:tc>
          <w:tcPr>
            <w:tcW w:w="8848" w:type="dxa"/>
            <w:gridSpan w:val="14"/>
            <w:vAlign w:val="center"/>
          </w:tcPr>
          <w:p w14:paraId="0801C062">
            <w:pPr>
              <w:jc w:val="center"/>
            </w:pPr>
            <w:r>
              <w:rPr>
                <w:rFonts w:ascii="宋体" w:hAnsi="宋体" w:eastAsia="宋体"/>
                <w:sz w:val="24"/>
              </w:rPr>
              <w:t>项目支出绩效自评表</w:t>
            </w:r>
          </w:p>
        </w:tc>
      </w:tr>
      <w:tr w14:paraId="5E818394">
        <w:tblPrEx>
          <w:tblCellMar>
            <w:top w:w="0" w:type="dxa"/>
            <w:left w:w="108" w:type="dxa"/>
            <w:bottom w:w="0" w:type="dxa"/>
            <w:right w:w="108" w:type="dxa"/>
          </w:tblCellMar>
        </w:tblPrEx>
        <w:tc>
          <w:tcPr>
            <w:tcW w:w="8848" w:type="dxa"/>
            <w:gridSpan w:val="14"/>
            <w:vAlign w:val="center"/>
          </w:tcPr>
          <w:p w14:paraId="7A49F7AE">
            <w:pPr>
              <w:jc w:val="center"/>
            </w:pPr>
            <w:r>
              <w:rPr>
                <w:rFonts w:ascii="宋体" w:hAnsi="宋体" w:eastAsia="宋体"/>
                <w:sz w:val="24"/>
              </w:rPr>
              <w:t>(2024年度)</w:t>
            </w:r>
          </w:p>
        </w:tc>
      </w:tr>
      <w:tr w14:paraId="6E3CAD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F3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5808A7">
            <w:pPr>
              <w:jc w:val="center"/>
            </w:pPr>
            <w:r>
              <w:rPr>
                <w:rFonts w:ascii="宋体" w:hAnsi="宋体" w:eastAsia="宋体"/>
                <w:sz w:val="16"/>
              </w:rPr>
              <w:t>吉木萨尔县第二幼儿园2024年度采暖费项目</w:t>
            </w:r>
          </w:p>
        </w:tc>
      </w:tr>
      <w:tr w14:paraId="43E899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A3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A1E7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3D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4CB357">
            <w:pPr>
              <w:jc w:val="center"/>
            </w:pPr>
            <w:r>
              <w:rPr>
                <w:rFonts w:ascii="宋体" w:hAnsi="宋体" w:eastAsia="宋体"/>
                <w:sz w:val="16"/>
              </w:rPr>
              <w:t>吉木萨尔县第二幼儿园</w:t>
            </w:r>
          </w:p>
        </w:tc>
      </w:tr>
      <w:tr w14:paraId="1AD25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3FE0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97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ECF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A56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564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AA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960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DB37">
            <w:pPr>
              <w:jc w:val="center"/>
            </w:pPr>
            <w:r>
              <w:rPr>
                <w:rFonts w:ascii="宋体" w:hAnsi="宋体" w:eastAsia="宋体"/>
                <w:sz w:val="16"/>
              </w:rPr>
              <w:t>得分</w:t>
            </w:r>
          </w:p>
        </w:tc>
      </w:tr>
      <w:tr w14:paraId="17AB5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352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19C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15BC0">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9A48">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7220">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660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1BF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CC0F">
            <w:pPr>
              <w:jc w:val="center"/>
            </w:pPr>
            <w:r>
              <w:rPr>
                <w:rFonts w:ascii="宋体" w:hAnsi="宋体" w:eastAsia="宋体"/>
                <w:sz w:val="16"/>
              </w:rPr>
              <w:t>10.00</w:t>
            </w:r>
          </w:p>
        </w:tc>
      </w:tr>
      <w:tr w14:paraId="5CAE2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BDD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E6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E854">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3698">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DC715">
            <w:pPr>
              <w:jc w:val="center"/>
            </w:pPr>
            <w:r>
              <w:rPr>
                <w:rFonts w:ascii="宋体" w:hAnsi="宋体" w:eastAsia="宋体"/>
                <w:sz w:val="16"/>
              </w:rPr>
              <w:t>16.48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A1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C3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7A3C">
            <w:pPr>
              <w:jc w:val="center"/>
            </w:pPr>
            <w:r>
              <w:rPr>
                <w:rFonts w:ascii="宋体" w:hAnsi="宋体" w:eastAsia="宋体"/>
                <w:sz w:val="16"/>
              </w:rPr>
              <w:t>—</w:t>
            </w:r>
          </w:p>
        </w:tc>
      </w:tr>
      <w:tr w14:paraId="25A3D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379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B66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81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574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65A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A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7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2434">
            <w:pPr>
              <w:jc w:val="center"/>
            </w:pPr>
            <w:r>
              <w:rPr>
                <w:rFonts w:ascii="宋体" w:hAnsi="宋体" w:eastAsia="宋体"/>
                <w:sz w:val="16"/>
              </w:rPr>
              <w:t>—</w:t>
            </w:r>
          </w:p>
        </w:tc>
      </w:tr>
      <w:tr w14:paraId="365D27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24D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273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71A815">
            <w:pPr>
              <w:jc w:val="center"/>
            </w:pPr>
            <w:r>
              <w:rPr>
                <w:rFonts w:ascii="宋体" w:hAnsi="宋体" w:eastAsia="宋体"/>
                <w:sz w:val="16"/>
              </w:rPr>
              <w:t>实际完成情况</w:t>
            </w:r>
          </w:p>
        </w:tc>
      </w:tr>
      <w:tr w14:paraId="10961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FC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D580C">
            <w:pPr>
              <w:jc w:val="both"/>
            </w:pPr>
            <w:r>
              <w:rPr>
                <w:rFonts w:ascii="宋体" w:hAnsi="宋体" w:eastAsia="宋体"/>
                <w:sz w:val="16"/>
              </w:rPr>
              <w:t>本项目主要实施内容为：2024年度公用采暖费拨付16.48万元，用于学校取暖必要支出，保障我园幼儿教育教学工作正常开展。通过本项目实施，幼儿在校人数689人；取暖面积10678.65平方米；取暖费覆盖率100%；取暖费保障天数不少于180天。待项目实施完成，争取使师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108AEB">
            <w:pPr>
              <w:jc w:val="both"/>
            </w:pPr>
            <w:r>
              <w:rPr>
                <w:rFonts w:hint="eastAsia" w:ascii="宋体" w:hAnsi="宋体"/>
                <w:sz w:val="16"/>
                <w:lang w:eastAsia="zh-CN"/>
              </w:rPr>
              <w:t>截至</w:t>
            </w:r>
            <w:r>
              <w:rPr>
                <w:rFonts w:ascii="宋体" w:hAnsi="宋体" w:eastAsia="宋体"/>
                <w:sz w:val="16"/>
              </w:rPr>
              <w:t>2024年12月31日，项目实际支出16.48万元，预算执行率为100%。我校已完成吉木萨尔县第二幼儿园2024年度采暖费项目，此项目的实施使我校取暖面积10678.65平方米取暖得到了保障，保障学校正常取暖，师生满意达到90%。</w:t>
            </w:r>
          </w:p>
        </w:tc>
      </w:tr>
      <w:tr w14:paraId="5697F6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205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B8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D0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66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C9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2D1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8A0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0D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135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98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95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22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CB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CB30">
            <w:pPr>
              <w:jc w:val="center"/>
            </w:pPr>
            <w:r>
              <w:rPr>
                <w:rFonts w:ascii="宋体" w:hAnsi="宋体" w:eastAsia="宋体"/>
                <w:sz w:val="16"/>
              </w:rPr>
              <w:t>偏差原因分析及改进措施</w:t>
            </w:r>
          </w:p>
        </w:tc>
      </w:tr>
      <w:tr w14:paraId="0F6F4F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74F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C05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51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8BF4">
            <w:pPr>
              <w:jc w:val="center"/>
            </w:pPr>
            <w:r>
              <w:rPr>
                <w:rFonts w:ascii="宋体" w:hAnsi="宋体" w:eastAsia="宋体"/>
                <w:sz w:val="16"/>
              </w:rPr>
              <w:t>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C9D0">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D786">
            <w:pPr>
              <w:jc w:val="center"/>
            </w:pPr>
            <w:r>
              <w:rPr>
                <w:rFonts w:ascii="宋体" w:hAnsi="宋体" w:eastAsia="宋体"/>
                <w:sz w:val="16"/>
              </w:rPr>
              <w:t>=10678.65平方米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4B2A">
            <w:pPr>
              <w:jc w:val="center"/>
            </w:pPr>
            <w:r>
              <w:rPr>
                <w:rFonts w:ascii="宋体" w:hAnsi="宋体" w:eastAsia="宋体"/>
                <w:sz w:val="16"/>
              </w:rPr>
              <w:t>=10678.65平方米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B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FE1B">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F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B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5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05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46F9">
            <w:pPr>
              <w:jc w:val="center"/>
            </w:pPr>
          </w:p>
        </w:tc>
      </w:tr>
      <w:tr w14:paraId="610F8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5E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4D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62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F705">
            <w:pPr>
              <w:jc w:val="center"/>
            </w:pPr>
            <w:r>
              <w:rPr>
                <w:rFonts w:ascii="宋体" w:hAnsi="宋体" w:eastAsia="宋体"/>
                <w:sz w:val="16"/>
              </w:rPr>
              <w:t>取暖费保障率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691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9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2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B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EE9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E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A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A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B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F8FA">
            <w:pPr>
              <w:jc w:val="center"/>
            </w:pPr>
          </w:p>
        </w:tc>
      </w:tr>
      <w:tr w14:paraId="15B15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7F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54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F1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C559">
            <w:pPr>
              <w:jc w:val="center"/>
            </w:pPr>
            <w:r>
              <w:rPr>
                <w:rFonts w:ascii="宋体" w:hAnsi="宋体" w:eastAsia="宋体"/>
                <w:sz w:val="16"/>
              </w:rPr>
              <w:t>取暖费保障天数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27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D1F4">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F8F0">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6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AF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A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96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C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D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CA9B">
            <w:pPr>
              <w:jc w:val="center"/>
            </w:pPr>
          </w:p>
        </w:tc>
      </w:tr>
      <w:tr w14:paraId="44D36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5A8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057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317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ECFA">
            <w:pPr>
              <w:jc w:val="center"/>
            </w:pPr>
            <w:r>
              <w:rPr>
                <w:rFonts w:ascii="宋体" w:hAnsi="宋体" w:eastAsia="宋体"/>
                <w:sz w:val="16"/>
              </w:rPr>
              <w:t>取暖费收费标准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219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56A6">
            <w:pPr>
              <w:jc w:val="center"/>
            </w:pPr>
            <w:r>
              <w:rPr>
                <w:rFonts w:ascii="宋体" w:hAnsi="宋体" w:eastAsia="宋体"/>
                <w:sz w:val="16"/>
              </w:rPr>
              <w:t>&lt;=23元/平方米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E4F9">
            <w:pPr>
              <w:jc w:val="center"/>
            </w:pPr>
            <w:r>
              <w:rPr>
                <w:rFonts w:ascii="宋体" w:hAnsi="宋体" w:eastAsia="宋体"/>
                <w:sz w:val="16"/>
              </w:rPr>
              <w: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F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A8B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4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7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CD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C34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30AC">
            <w:pPr>
              <w:jc w:val="center"/>
            </w:pPr>
          </w:p>
        </w:tc>
      </w:tr>
      <w:tr w14:paraId="2B0AE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75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E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9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198A">
            <w:pPr>
              <w:jc w:val="center"/>
            </w:pPr>
            <w:r>
              <w:rPr>
                <w:rFonts w:ascii="宋体" w:hAnsi="宋体" w:eastAsia="宋体"/>
                <w:sz w:val="16"/>
              </w:rPr>
              <w:t>生均取暖费补助标准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41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1699">
            <w:pPr>
              <w:jc w:val="center"/>
            </w:pPr>
            <w:r>
              <w:rPr>
                <w:rFonts w:ascii="宋体" w:hAnsi="宋体" w:eastAsia="宋体"/>
                <w:sz w:val="16"/>
              </w:rPr>
              <w:t>=120元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03CD">
            <w:pPr>
              <w:jc w:val="center"/>
            </w:pPr>
            <w:r>
              <w:rPr>
                <w:rFonts w:ascii="宋体" w:hAnsi="宋体" w:eastAsia="宋体"/>
                <w:sz w:val="16"/>
              </w:rPr>
              <w:t>=120元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E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84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D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D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8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0D8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8D77">
            <w:pPr>
              <w:jc w:val="center"/>
            </w:pPr>
          </w:p>
        </w:tc>
      </w:tr>
      <w:tr w14:paraId="12ADB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B0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2E49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2B1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0C76">
            <w:pPr>
              <w:jc w:val="center"/>
            </w:pPr>
            <w:r>
              <w:rPr>
                <w:rFonts w:ascii="宋体" w:hAnsi="宋体" w:eastAsia="宋体"/>
                <w:sz w:val="16"/>
              </w:rPr>
              <w:t>保障幼儿园工作正常开展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5F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EF1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98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9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F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0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C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FC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5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52CF">
            <w:pPr>
              <w:jc w:val="center"/>
            </w:pPr>
          </w:p>
        </w:tc>
      </w:tr>
      <w:tr w14:paraId="31145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F8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0A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2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E1F7">
            <w:pPr>
              <w:jc w:val="center"/>
            </w:pPr>
            <w:r>
              <w:rPr>
                <w:rFonts w:ascii="宋体" w:hAnsi="宋体" w:eastAsia="宋体"/>
                <w:sz w:val="16"/>
              </w:rPr>
              <w:t>幼儿在校人数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C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942B">
            <w:pPr>
              <w:jc w:val="center"/>
            </w:pPr>
            <w:r>
              <w:rPr>
                <w:rFonts w:ascii="宋体" w:hAnsi="宋体" w:eastAsia="宋体"/>
                <w:sz w:val="16"/>
              </w:rPr>
              <w:t>&gt;=689人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131C">
            <w:pPr>
              <w:jc w:val="center"/>
            </w:pPr>
            <w:r>
              <w:rPr>
                <w:rFonts w:ascii="宋体" w:hAnsi="宋体" w:eastAsia="宋体"/>
                <w:sz w:val="16"/>
              </w:rPr>
              <w:t>=689人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6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62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0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9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A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2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6419">
            <w:pPr>
              <w:jc w:val="center"/>
            </w:pPr>
          </w:p>
        </w:tc>
      </w:tr>
      <w:tr w14:paraId="0078E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F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C7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CD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D07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1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38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98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3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5F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2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6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91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6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AB93">
            <w:pPr>
              <w:jc w:val="center"/>
            </w:pPr>
          </w:p>
        </w:tc>
      </w:tr>
      <w:tr w14:paraId="5D0EC0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4FCD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7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D641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10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77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C54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264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828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2BB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D472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E0CAE1"/>
        </w:tc>
      </w:tr>
    </w:tbl>
    <w:p w14:paraId="27C35E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C825C18">
        <w:tblPrEx>
          <w:tblCellMar>
            <w:top w:w="0" w:type="dxa"/>
            <w:left w:w="108" w:type="dxa"/>
            <w:bottom w:w="0" w:type="dxa"/>
            <w:right w:w="108" w:type="dxa"/>
          </w:tblCellMar>
        </w:tblPrEx>
        <w:tc>
          <w:tcPr>
            <w:tcW w:w="8848" w:type="dxa"/>
            <w:gridSpan w:val="14"/>
            <w:vAlign w:val="center"/>
          </w:tcPr>
          <w:p w14:paraId="71945BBC">
            <w:pPr>
              <w:jc w:val="center"/>
            </w:pPr>
            <w:r>
              <w:rPr>
                <w:rFonts w:ascii="宋体" w:hAnsi="宋体" w:eastAsia="宋体"/>
                <w:sz w:val="24"/>
              </w:rPr>
              <w:t>项目支出绩效自评表</w:t>
            </w:r>
          </w:p>
        </w:tc>
      </w:tr>
      <w:tr w14:paraId="3C890FB7">
        <w:tblPrEx>
          <w:tblCellMar>
            <w:top w:w="0" w:type="dxa"/>
            <w:left w:w="108" w:type="dxa"/>
            <w:bottom w:w="0" w:type="dxa"/>
            <w:right w:w="108" w:type="dxa"/>
          </w:tblCellMar>
        </w:tblPrEx>
        <w:tc>
          <w:tcPr>
            <w:tcW w:w="8848" w:type="dxa"/>
            <w:gridSpan w:val="14"/>
            <w:vAlign w:val="center"/>
          </w:tcPr>
          <w:p w14:paraId="7A55CF61">
            <w:pPr>
              <w:jc w:val="center"/>
            </w:pPr>
            <w:r>
              <w:rPr>
                <w:rFonts w:ascii="宋体" w:hAnsi="宋体" w:eastAsia="宋体"/>
                <w:sz w:val="24"/>
              </w:rPr>
              <w:t>(2024年度)</w:t>
            </w:r>
          </w:p>
        </w:tc>
      </w:tr>
      <w:tr w14:paraId="09D016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8B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3CEB35">
            <w:pPr>
              <w:jc w:val="center"/>
            </w:pPr>
            <w:r>
              <w:rPr>
                <w:rFonts w:ascii="宋体" w:hAnsi="宋体" w:eastAsia="宋体"/>
                <w:sz w:val="16"/>
              </w:rPr>
              <w:t>吉木萨尔县第二幼儿园教师体检补助</w:t>
            </w:r>
          </w:p>
        </w:tc>
      </w:tr>
      <w:tr w14:paraId="03A3B2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E8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B113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27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238072">
            <w:pPr>
              <w:jc w:val="center"/>
            </w:pPr>
            <w:r>
              <w:rPr>
                <w:rFonts w:ascii="宋体" w:hAnsi="宋体" w:eastAsia="宋体"/>
                <w:sz w:val="16"/>
              </w:rPr>
              <w:t>吉木萨尔县第二幼儿园</w:t>
            </w:r>
          </w:p>
        </w:tc>
      </w:tr>
      <w:tr w14:paraId="3C63BB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9DBE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7A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E04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CE5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164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F44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C8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AC81">
            <w:pPr>
              <w:jc w:val="center"/>
            </w:pPr>
            <w:r>
              <w:rPr>
                <w:rFonts w:ascii="宋体" w:hAnsi="宋体" w:eastAsia="宋体"/>
                <w:sz w:val="16"/>
              </w:rPr>
              <w:t>得分</w:t>
            </w:r>
          </w:p>
        </w:tc>
      </w:tr>
      <w:tr w14:paraId="06A3C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56A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EE6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A608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546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0215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BB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957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ED60">
            <w:pPr>
              <w:jc w:val="center"/>
            </w:pPr>
            <w:r>
              <w:rPr>
                <w:rFonts w:ascii="宋体" w:hAnsi="宋体" w:eastAsia="宋体"/>
                <w:sz w:val="16"/>
              </w:rPr>
              <w:t>10.00</w:t>
            </w:r>
          </w:p>
        </w:tc>
      </w:tr>
      <w:tr w14:paraId="4A75D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11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340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887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984E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DD8E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B9C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20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EE4C">
            <w:pPr>
              <w:jc w:val="center"/>
            </w:pPr>
            <w:r>
              <w:rPr>
                <w:rFonts w:ascii="宋体" w:hAnsi="宋体" w:eastAsia="宋体"/>
                <w:sz w:val="16"/>
              </w:rPr>
              <w:t>—</w:t>
            </w:r>
          </w:p>
        </w:tc>
      </w:tr>
      <w:tr w14:paraId="36875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7E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DD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A39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D6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D5B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1A7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E79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AD20">
            <w:pPr>
              <w:jc w:val="center"/>
            </w:pPr>
            <w:r>
              <w:rPr>
                <w:rFonts w:ascii="宋体" w:hAnsi="宋体" w:eastAsia="宋体"/>
                <w:sz w:val="16"/>
              </w:rPr>
              <w:t>—</w:t>
            </w:r>
          </w:p>
        </w:tc>
      </w:tr>
      <w:tr w14:paraId="6B1469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102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9792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6E656">
            <w:pPr>
              <w:jc w:val="center"/>
            </w:pPr>
            <w:r>
              <w:rPr>
                <w:rFonts w:ascii="宋体" w:hAnsi="宋体" w:eastAsia="宋体"/>
                <w:sz w:val="16"/>
              </w:rPr>
              <w:t>实际完成情况</w:t>
            </w:r>
          </w:p>
        </w:tc>
      </w:tr>
      <w:tr w14:paraId="65268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78B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9E213">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测算，共计拨付4万元，对我校教职员工开展健康体检，有效改善教师身体健康状况，定期体检能及时发现教师潜在病症，预防传染病在园传播。待项目实施完成，争取使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F4C49">
            <w:pPr>
              <w:jc w:val="both"/>
            </w:pPr>
            <w:r>
              <w:rPr>
                <w:rFonts w:hint="eastAsia" w:ascii="宋体" w:hAnsi="宋体"/>
                <w:sz w:val="16"/>
                <w:lang w:eastAsia="zh-CN"/>
              </w:rPr>
              <w:t>截至</w:t>
            </w:r>
            <w:r>
              <w:rPr>
                <w:rFonts w:ascii="宋体" w:hAnsi="宋体" w:eastAsia="宋体"/>
                <w:sz w:val="16"/>
              </w:rPr>
              <w:t>2024年12月31日，本项目实际支出资金4万元，预算执行率为100%，通过实施【吉木萨尔县第五幼儿园教师体检补助】项目使我校80名教师得到体检，实现教师体检全覆盖目标，在有效的体检检查下预防疾病，提升教师的健康水平。</w:t>
            </w:r>
          </w:p>
        </w:tc>
      </w:tr>
      <w:tr w14:paraId="72057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AED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08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C7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57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B0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9C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FA5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6A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380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88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72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06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4C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8721">
            <w:pPr>
              <w:jc w:val="center"/>
            </w:pPr>
            <w:r>
              <w:rPr>
                <w:rFonts w:ascii="宋体" w:hAnsi="宋体" w:eastAsia="宋体"/>
                <w:sz w:val="16"/>
              </w:rPr>
              <w:t>偏差原因分析及改进措施</w:t>
            </w:r>
          </w:p>
        </w:tc>
      </w:tr>
      <w:tr w14:paraId="5CD5DD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2C6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E7E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88D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7C1D">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418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82CA">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2896">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4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3EA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E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B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1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6D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845E">
            <w:pPr>
              <w:jc w:val="center"/>
            </w:pPr>
            <w:r>
              <w:rPr>
                <w:rFonts w:ascii="宋体" w:hAnsi="宋体" w:eastAsia="宋体"/>
                <w:sz w:val="16"/>
              </w:rPr>
              <w:t>因人员增加，较年初增加一人。</w:t>
            </w:r>
          </w:p>
        </w:tc>
      </w:tr>
      <w:tr w14:paraId="57543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08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F0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40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1586">
            <w:pPr>
              <w:jc w:val="center"/>
            </w:pPr>
            <w:r>
              <w:rPr>
                <w:rFonts w:ascii="宋体" w:hAnsi="宋体" w:eastAsia="宋体"/>
                <w:sz w:val="16"/>
              </w:rPr>
              <w:t>教师体检补助次数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4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DAB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C3A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4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91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3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5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5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3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6D90">
            <w:pPr>
              <w:jc w:val="center"/>
            </w:pPr>
          </w:p>
        </w:tc>
      </w:tr>
      <w:tr w14:paraId="385B4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F9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68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7F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A813">
            <w:pPr>
              <w:jc w:val="center"/>
            </w:pPr>
            <w:r>
              <w:rPr>
                <w:rFonts w:ascii="宋体" w:hAnsi="宋体" w:eastAsia="宋体"/>
                <w:sz w:val="16"/>
              </w:rPr>
              <w:t>教职工体检补助覆盖率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D0C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5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D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B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225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C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F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7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1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E629">
            <w:pPr>
              <w:jc w:val="center"/>
            </w:pPr>
          </w:p>
        </w:tc>
      </w:tr>
      <w:tr w14:paraId="4764E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E8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31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39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C9DC">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1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C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A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E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D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2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5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8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4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C522">
            <w:pPr>
              <w:jc w:val="center"/>
            </w:pPr>
          </w:p>
        </w:tc>
      </w:tr>
      <w:tr w14:paraId="569554B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376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596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48D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9E48">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21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48E2">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778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C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947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B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D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D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CFC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FD6A">
            <w:pPr>
              <w:jc w:val="center"/>
            </w:pPr>
          </w:p>
        </w:tc>
      </w:tr>
      <w:tr w14:paraId="7B35C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B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07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AA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1779">
            <w:pPr>
              <w:jc w:val="center"/>
            </w:pPr>
            <w:r>
              <w:rPr>
                <w:rFonts w:ascii="宋体" w:hAnsi="宋体" w:eastAsia="宋体"/>
                <w:sz w:val="16"/>
              </w:rPr>
              <w:t>教师体检补助标准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65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FDE7">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8C76">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6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FD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3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7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5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74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B1FF">
            <w:pPr>
              <w:jc w:val="center"/>
            </w:pPr>
          </w:p>
        </w:tc>
      </w:tr>
      <w:tr w14:paraId="20F0A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B9C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0A2C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257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1DB4">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08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8E0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6D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5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0B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4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6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3C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D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96BA">
            <w:pPr>
              <w:jc w:val="center"/>
            </w:pPr>
          </w:p>
        </w:tc>
      </w:tr>
      <w:tr w14:paraId="19170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2E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24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9E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EC02">
            <w:pPr>
              <w:jc w:val="center"/>
            </w:pPr>
            <w:r>
              <w:rPr>
                <w:rFonts w:ascii="宋体" w:hAnsi="宋体" w:eastAsia="宋体"/>
                <w:sz w:val="16"/>
              </w:rPr>
              <w:t>及时发现教师潜在病症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88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80F1">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3C4B">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D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1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9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1C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88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D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ABAC">
            <w:pPr>
              <w:jc w:val="center"/>
            </w:pPr>
          </w:p>
        </w:tc>
      </w:tr>
      <w:tr w14:paraId="77BEA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E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7D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D8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384E">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A0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F0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61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6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0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E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C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29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8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37F3">
            <w:pPr>
              <w:jc w:val="center"/>
            </w:pPr>
          </w:p>
        </w:tc>
      </w:tr>
      <w:tr w14:paraId="6DE0B5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2AAD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5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AB7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81B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3A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EF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544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B44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33B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20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3D8F2"/>
        </w:tc>
      </w:tr>
    </w:tbl>
    <w:p w14:paraId="7A175C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774939CC">
        <w:tblPrEx>
          <w:tblCellMar>
            <w:top w:w="0" w:type="dxa"/>
            <w:left w:w="108" w:type="dxa"/>
            <w:bottom w:w="0" w:type="dxa"/>
            <w:right w:w="108" w:type="dxa"/>
          </w:tblCellMar>
        </w:tblPrEx>
        <w:tc>
          <w:tcPr>
            <w:tcW w:w="8848" w:type="dxa"/>
            <w:gridSpan w:val="14"/>
            <w:vAlign w:val="center"/>
          </w:tcPr>
          <w:p w14:paraId="5EC4809A">
            <w:pPr>
              <w:jc w:val="center"/>
            </w:pPr>
            <w:r>
              <w:rPr>
                <w:rFonts w:ascii="宋体" w:hAnsi="宋体" w:eastAsia="宋体"/>
                <w:sz w:val="24"/>
              </w:rPr>
              <w:t>项目支出绩效自评表</w:t>
            </w:r>
          </w:p>
        </w:tc>
      </w:tr>
      <w:tr w14:paraId="3B956C3E">
        <w:tblPrEx>
          <w:tblCellMar>
            <w:top w:w="0" w:type="dxa"/>
            <w:left w:w="108" w:type="dxa"/>
            <w:bottom w:w="0" w:type="dxa"/>
            <w:right w:w="108" w:type="dxa"/>
          </w:tblCellMar>
        </w:tblPrEx>
        <w:tc>
          <w:tcPr>
            <w:tcW w:w="8848" w:type="dxa"/>
            <w:gridSpan w:val="14"/>
            <w:vAlign w:val="center"/>
          </w:tcPr>
          <w:p w14:paraId="4260A6AE">
            <w:pPr>
              <w:jc w:val="center"/>
            </w:pPr>
            <w:r>
              <w:rPr>
                <w:rFonts w:ascii="宋体" w:hAnsi="宋体" w:eastAsia="宋体"/>
                <w:sz w:val="24"/>
              </w:rPr>
              <w:t>(2024年度)</w:t>
            </w:r>
          </w:p>
        </w:tc>
      </w:tr>
      <w:tr w14:paraId="4D155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CE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C13EE8">
            <w:pPr>
              <w:jc w:val="center"/>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w:t>
            </w:r>
            <w:r>
              <w:rPr>
                <w:rFonts w:hint="eastAsia" w:ascii="宋体" w:hAnsi="宋体"/>
                <w:sz w:val="16"/>
                <w:lang w:eastAsia="zh-CN"/>
              </w:rPr>
              <w:t>的</w:t>
            </w:r>
            <w:r>
              <w:rPr>
                <w:rFonts w:ascii="宋体" w:hAnsi="宋体" w:eastAsia="宋体"/>
                <w:sz w:val="16"/>
              </w:rPr>
              <w:t>通知（自聘教师工资补助）</w:t>
            </w:r>
          </w:p>
        </w:tc>
      </w:tr>
      <w:tr w14:paraId="637865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AC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1AFB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17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81754">
            <w:pPr>
              <w:jc w:val="center"/>
            </w:pPr>
            <w:r>
              <w:rPr>
                <w:rFonts w:ascii="宋体" w:hAnsi="宋体" w:eastAsia="宋体"/>
                <w:sz w:val="16"/>
              </w:rPr>
              <w:t>吉木萨尔县第二幼儿园</w:t>
            </w:r>
          </w:p>
        </w:tc>
      </w:tr>
      <w:tr w14:paraId="0E3E92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FEDD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95D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C9A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5EE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6DE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210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848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FAA6">
            <w:pPr>
              <w:jc w:val="center"/>
            </w:pPr>
            <w:r>
              <w:rPr>
                <w:rFonts w:ascii="宋体" w:hAnsi="宋体" w:eastAsia="宋体"/>
                <w:sz w:val="16"/>
              </w:rPr>
              <w:t>得分</w:t>
            </w:r>
          </w:p>
        </w:tc>
      </w:tr>
      <w:tr w14:paraId="5719F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A9D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24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2799D">
            <w:pPr>
              <w:jc w:val="center"/>
            </w:pPr>
            <w:r>
              <w:rPr>
                <w:rFonts w:ascii="宋体" w:hAnsi="宋体" w:eastAsia="宋体"/>
                <w:sz w:val="16"/>
              </w:rPr>
              <w:t>11.76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2C60">
            <w:pPr>
              <w:jc w:val="center"/>
            </w:pPr>
            <w:r>
              <w:rPr>
                <w:rFonts w:ascii="宋体" w:hAnsi="宋体" w:eastAsia="宋体"/>
                <w:sz w:val="16"/>
              </w:rPr>
              <w:t>43.76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08FE">
            <w:pPr>
              <w:jc w:val="center"/>
            </w:pPr>
            <w:r>
              <w:rPr>
                <w:rFonts w:ascii="宋体" w:hAnsi="宋体" w:eastAsia="宋体"/>
                <w:sz w:val="16"/>
              </w:rPr>
              <w:t>43.76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A24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184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BFB4">
            <w:pPr>
              <w:jc w:val="center"/>
            </w:pPr>
            <w:r>
              <w:rPr>
                <w:rFonts w:ascii="宋体" w:hAnsi="宋体" w:eastAsia="宋体"/>
                <w:sz w:val="16"/>
              </w:rPr>
              <w:t>10.00</w:t>
            </w:r>
          </w:p>
        </w:tc>
      </w:tr>
      <w:tr w14:paraId="7B993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88F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197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DA790">
            <w:pPr>
              <w:jc w:val="center"/>
            </w:pPr>
            <w:r>
              <w:rPr>
                <w:rFonts w:ascii="宋体" w:hAnsi="宋体" w:eastAsia="宋体"/>
                <w:sz w:val="16"/>
              </w:rPr>
              <w:t>11.76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1C25">
            <w:pPr>
              <w:jc w:val="center"/>
            </w:pPr>
            <w:r>
              <w:rPr>
                <w:rFonts w:ascii="宋体" w:hAnsi="宋体" w:eastAsia="宋体"/>
                <w:sz w:val="16"/>
              </w:rPr>
              <w:t>43.76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43FA">
            <w:pPr>
              <w:jc w:val="center"/>
            </w:pPr>
            <w:r>
              <w:rPr>
                <w:rFonts w:ascii="宋体" w:hAnsi="宋体" w:eastAsia="宋体"/>
                <w:sz w:val="16"/>
              </w:rPr>
              <w:t>43.76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647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4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3DD7">
            <w:pPr>
              <w:jc w:val="center"/>
            </w:pPr>
            <w:r>
              <w:rPr>
                <w:rFonts w:ascii="宋体" w:hAnsi="宋体" w:eastAsia="宋体"/>
                <w:sz w:val="16"/>
              </w:rPr>
              <w:t>—</w:t>
            </w:r>
          </w:p>
        </w:tc>
      </w:tr>
      <w:tr w14:paraId="0AFBB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BF9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588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0B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86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65F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1A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6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A469">
            <w:pPr>
              <w:jc w:val="center"/>
            </w:pPr>
            <w:r>
              <w:rPr>
                <w:rFonts w:ascii="宋体" w:hAnsi="宋体" w:eastAsia="宋体"/>
                <w:sz w:val="16"/>
              </w:rPr>
              <w:t>—</w:t>
            </w:r>
          </w:p>
        </w:tc>
      </w:tr>
      <w:tr w14:paraId="56107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88D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2AA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4DFADA">
            <w:pPr>
              <w:jc w:val="center"/>
            </w:pPr>
            <w:r>
              <w:rPr>
                <w:rFonts w:ascii="宋体" w:hAnsi="宋体" w:eastAsia="宋体"/>
                <w:sz w:val="16"/>
              </w:rPr>
              <w:t>实际完成情况</w:t>
            </w:r>
          </w:p>
        </w:tc>
      </w:tr>
      <w:tr w14:paraId="3D634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B0A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B94BF">
            <w:pPr>
              <w:jc w:val="both"/>
            </w:pPr>
            <w:r>
              <w:rPr>
                <w:rFonts w:ascii="宋体" w:hAnsi="宋体" w:eastAsia="宋体"/>
                <w:sz w:val="16"/>
              </w:rPr>
              <w:t>2024年自治区教育项目经费自聘教师工资补助43.76万元，切实保障自聘教师工资待遇，确保工资及时足额发放到位，保障学校正常的教育教学秩序。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A7F18">
            <w:pPr>
              <w:jc w:val="both"/>
            </w:pPr>
            <w:r>
              <w:rPr>
                <w:rFonts w:hint="eastAsia" w:ascii="宋体" w:hAnsi="宋体"/>
                <w:sz w:val="16"/>
                <w:lang w:eastAsia="zh-CN"/>
              </w:rPr>
              <w:t>截至2024</w:t>
            </w:r>
            <w:r>
              <w:rPr>
                <w:rFonts w:ascii="宋体" w:hAnsi="宋体" w:eastAsia="宋体"/>
                <w:sz w:val="16"/>
              </w:rPr>
              <w:t>年12月31日，本项目实际支付4.3万元，预算执行率为100%，我校已完成【昌州财教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（自聘教师工资补助）】项目，保障了我校41名自聘教师工资及时足额发放到位，保</w:t>
            </w:r>
            <w:r>
              <w:rPr>
                <w:rFonts w:hint="eastAsia" w:ascii="宋体" w:hAnsi="宋体"/>
                <w:sz w:val="16"/>
                <w:lang w:eastAsia="zh-CN"/>
              </w:rPr>
              <w:t>障了</w:t>
            </w:r>
            <w:r>
              <w:rPr>
                <w:rFonts w:ascii="宋体" w:hAnsi="宋体" w:eastAsia="宋体"/>
                <w:sz w:val="16"/>
              </w:rPr>
              <w:t>学校正常的教育教学秩序，受益教师及受益学生满</w:t>
            </w:r>
            <w:r>
              <w:rPr>
                <w:rFonts w:hint="eastAsia" w:ascii="宋体" w:hAnsi="宋体"/>
                <w:sz w:val="16"/>
                <w:lang w:eastAsia="zh-CN"/>
              </w:rPr>
              <w:t>意度</w:t>
            </w:r>
            <w:r>
              <w:rPr>
                <w:rFonts w:ascii="宋体" w:hAnsi="宋体" w:eastAsia="宋体"/>
                <w:sz w:val="16"/>
              </w:rPr>
              <w:t>达到95%。</w:t>
            </w:r>
          </w:p>
        </w:tc>
      </w:tr>
      <w:tr w14:paraId="4BA928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A6B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34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69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82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B5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38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268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DB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C3A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0D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55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DC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55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C46F">
            <w:pPr>
              <w:jc w:val="center"/>
            </w:pPr>
            <w:r>
              <w:rPr>
                <w:rFonts w:ascii="宋体" w:hAnsi="宋体" w:eastAsia="宋体"/>
                <w:sz w:val="16"/>
              </w:rPr>
              <w:t>偏差原因分析及改进措施</w:t>
            </w:r>
          </w:p>
        </w:tc>
      </w:tr>
      <w:tr w14:paraId="43940F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CC3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BC9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E7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2D04">
            <w:pPr>
              <w:jc w:val="center"/>
            </w:pPr>
            <w:r>
              <w:rPr>
                <w:rFonts w:ascii="宋体" w:hAnsi="宋体" w:eastAsia="宋体"/>
                <w:sz w:val="16"/>
              </w:rPr>
              <w:t>受益教职工人数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54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440A">
            <w:pPr>
              <w:jc w:val="center"/>
            </w:pPr>
            <w:r>
              <w:rPr>
                <w:rFonts w:ascii="宋体" w:hAnsi="宋体" w:eastAsia="宋体"/>
                <w:sz w:val="16"/>
              </w:rPr>
              <w:t>&lt;=41人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AB79">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4567">
            <w:pPr>
              <w:jc w:val="center"/>
            </w:pPr>
            <w:r>
              <w:rPr>
                <w:rFonts w:ascii="宋体" w:hAnsi="宋体" w:eastAsia="宋体"/>
                <w:sz w:val="16"/>
              </w:rPr>
              <w:t>97.56%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1A66">
            <w:pPr>
              <w:jc w:val="center"/>
            </w:pPr>
            <w:r>
              <w:rPr>
                <w:rFonts w:ascii="宋体" w:hAnsi="宋体" w:eastAsia="宋体"/>
                <w:sz w:val="16"/>
              </w:rPr>
              <w:t>18.78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3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1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4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A0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4FE3">
            <w:pPr>
              <w:jc w:val="center"/>
            </w:pPr>
            <w:r>
              <w:rPr>
                <w:rFonts w:ascii="宋体" w:hAnsi="宋体" w:eastAsia="宋体"/>
                <w:sz w:val="16"/>
              </w:rPr>
              <w:t>因有1人离职，实际只有40人。</w:t>
            </w:r>
          </w:p>
        </w:tc>
      </w:tr>
      <w:tr w14:paraId="67FBB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9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DF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43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2C59">
            <w:pPr>
              <w:jc w:val="center"/>
            </w:pPr>
            <w:r>
              <w:rPr>
                <w:rFonts w:ascii="宋体" w:hAnsi="宋体" w:eastAsia="宋体"/>
                <w:sz w:val="16"/>
              </w:rPr>
              <w:t>保障自聘教师考核合格率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D7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2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C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D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E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C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7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D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9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9898">
            <w:pPr>
              <w:jc w:val="center"/>
            </w:pPr>
          </w:p>
        </w:tc>
      </w:tr>
      <w:tr w14:paraId="671A2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B7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E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0C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EA34">
            <w:pPr>
              <w:jc w:val="center"/>
            </w:pPr>
            <w:r>
              <w:rPr>
                <w:rFonts w:ascii="宋体" w:hAnsi="宋体" w:eastAsia="宋体"/>
                <w:sz w:val="16"/>
              </w:rPr>
              <w:t>自聘教师工资按时发放率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7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D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8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3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1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A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B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09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E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E813">
            <w:pPr>
              <w:jc w:val="center"/>
            </w:pPr>
          </w:p>
        </w:tc>
      </w:tr>
      <w:tr w14:paraId="31717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22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B1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7C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56FF">
            <w:pPr>
              <w:jc w:val="center"/>
            </w:pPr>
            <w:r>
              <w:rPr>
                <w:rFonts w:ascii="宋体" w:hAnsi="宋体" w:eastAsia="宋体"/>
                <w:sz w:val="16"/>
              </w:rPr>
              <w:t>教职工专项补助经费标准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D1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9479">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BD5D">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7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6F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D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4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76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E1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04F6">
            <w:pPr>
              <w:jc w:val="center"/>
            </w:pPr>
          </w:p>
        </w:tc>
      </w:tr>
      <w:tr w14:paraId="44ADC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4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13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B9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9626">
            <w:pPr>
              <w:jc w:val="center"/>
            </w:pPr>
            <w:r>
              <w:rPr>
                <w:rFonts w:ascii="宋体" w:hAnsi="宋体" w:eastAsia="宋体"/>
                <w:sz w:val="16"/>
              </w:rPr>
              <w:t>补充教师队伍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68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6561">
            <w:pPr>
              <w:jc w:val="center"/>
            </w:pPr>
            <w:r>
              <w:rPr>
                <w:rFonts w:ascii="宋体" w:hAnsi="宋体" w:eastAsia="宋体"/>
                <w:sz w:val="16"/>
              </w:rPr>
              <w:t>不断提高完善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0882">
            <w:pPr>
              <w:jc w:val="center"/>
            </w:pPr>
            <w:r>
              <w:rPr>
                <w:rFonts w:ascii="宋体" w:hAnsi="宋体" w:eastAsia="宋体"/>
                <w:sz w:val="16"/>
              </w:rPr>
              <w:t>不断提高完善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8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B4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6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7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4B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0A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DC8E">
            <w:pPr>
              <w:jc w:val="center"/>
            </w:pPr>
          </w:p>
        </w:tc>
      </w:tr>
      <w:tr w14:paraId="581B4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163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6BDE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21F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E2F4">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DD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76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DD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B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F3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C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C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BF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E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97EE">
            <w:pPr>
              <w:jc w:val="center"/>
            </w:pPr>
          </w:p>
        </w:tc>
      </w:tr>
      <w:tr w14:paraId="4D038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78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E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02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7E8D">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3E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C8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64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4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E5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4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E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2E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1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B369">
            <w:pPr>
              <w:jc w:val="center"/>
            </w:pPr>
          </w:p>
        </w:tc>
      </w:tr>
      <w:tr w14:paraId="23A829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424A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A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6BE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4F0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46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AE1A">
            <w:pPr>
              <w:jc w:val="center"/>
            </w:pPr>
            <w:r>
              <w:rPr>
                <w:rFonts w:ascii="宋体" w:hAnsi="宋体" w:eastAsia="宋体"/>
                <w:sz w:val="16"/>
              </w:rPr>
              <w:t>98.78分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87E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5FF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5E9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F5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EBABB"/>
        </w:tc>
      </w:tr>
    </w:tbl>
    <w:p w14:paraId="019DC5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264E0BB">
        <w:tblPrEx>
          <w:tblCellMar>
            <w:top w:w="0" w:type="dxa"/>
            <w:left w:w="108" w:type="dxa"/>
            <w:bottom w:w="0" w:type="dxa"/>
            <w:right w:w="108" w:type="dxa"/>
          </w:tblCellMar>
        </w:tblPrEx>
        <w:tc>
          <w:tcPr>
            <w:tcW w:w="8848" w:type="dxa"/>
            <w:gridSpan w:val="14"/>
            <w:vAlign w:val="center"/>
          </w:tcPr>
          <w:p w14:paraId="349452CD">
            <w:pPr>
              <w:jc w:val="center"/>
            </w:pPr>
            <w:r>
              <w:rPr>
                <w:rFonts w:ascii="宋体" w:hAnsi="宋体" w:eastAsia="宋体"/>
                <w:sz w:val="24"/>
              </w:rPr>
              <w:t>项目支出绩效自评表</w:t>
            </w:r>
          </w:p>
        </w:tc>
      </w:tr>
      <w:tr w14:paraId="0B9AAC93">
        <w:tblPrEx>
          <w:tblCellMar>
            <w:top w:w="0" w:type="dxa"/>
            <w:left w:w="108" w:type="dxa"/>
            <w:bottom w:w="0" w:type="dxa"/>
            <w:right w:w="108" w:type="dxa"/>
          </w:tblCellMar>
        </w:tblPrEx>
        <w:tc>
          <w:tcPr>
            <w:tcW w:w="8848" w:type="dxa"/>
            <w:gridSpan w:val="14"/>
            <w:vAlign w:val="center"/>
          </w:tcPr>
          <w:p w14:paraId="33E90992">
            <w:pPr>
              <w:jc w:val="center"/>
            </w:pPr>
            <w:r>
              <w:rPr>
                <w:rFonts w:ascii="宋体" w:hAnsi="宋体" w:eastAsia="宋体"/>
                <w:sz w:val="24"/>
              </w:rPr>
              <w:t>(2024年度)</w:t>
            </w:r>
          </w:p>
        </w:tc>
      </w:tr>
      <w:tr w14:paraId="7EF205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29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CD5B5D">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w:t>
            </w:r>
          </w:p>
        </w:tc>
      </w:tr>
      <w:tr w14:paraId="251CF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79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D94086">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91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B9E9BB">
            <w:pPr>
              <w:jc w:val="center"/>
            </w:pPr>
            <w:r>
              <w:rPr>
                <w:rFonts w:ascii="宋体" w:hAnsi="宋体" w:eastAsia="宋体"/>
                <w:sz w:val="16"/>
              </w:rPr>
              <w:t>吉木萨尔县第二幼儿园</w:t>
            </w:r>
          </w:p>
        </w:tc>
      </w:tr>
      <w:tr w14:paraId="51AD50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905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F3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251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FB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31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890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A2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ED8B">
            <w:pPr>
              <w:jc w:val="center"/>
            </w:pPr>
            <w:r>
              <w:rPr>
                <w:rFonts w:ascii="宋体" w:hAnsi="宋体" w:eastAsia="宋体"/>
                <w:sz w:val="16"/>
              </w:rPr>
              <w:t>得分</w:t>
            </w:r>
          </w:p>
        </w:tc>
      </w:tr>
      <w:tr w14:paraId="05E70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81F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11C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B285">
            <w:pPr>
              <w:jc w:val="center"/>
            </w:pPr>
            <w:r>
              <w:rPr>
                <w:rFonts w:ascii="宋体" w:hAnsi="宋体" w:eastAsia="宋体"/>
                <w:sz w:val="16"/>
              </w:rPr>
              <w:t>19.31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084F">
            <w:pPr>
              <w:jc w:val="center"/>
            </w:pPr>
            <w:r>
              <w:rPr>
                <w:rFonts w:ascii="宋体" w:hAnsi="宋体" w:eastAsia="宋体"/>
                <w:sz w:val="16"/>
              </w:rPr>
              <w:t>19.31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C3950">
            <w:pPr>
              <w:jc w:val="center"/>
            </w:pPr>
            <w:r>
              <w:rPr>
                <w:rFonts w:ascii="宋体" w:hAnsi="宋体" w:eastAsia="宋体"/>
                <w:sz w:val="16"/>
              </w:rPr>
              <w:t>19.31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DBC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F57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39BC">
            <w:pPr>
              <w:jc w:val="center"/>
            </w:pPr>
            <w:r>
              <w:rPr>
                <w:rFonts w:ascii="宋体" w:hAnsi="宋体" w:eastAsia="宋体"/>
                <w:sz w:val="16"/>
              </w:rPr>
              <w:t>10.00</w:t>
            </w:r>
          </w:p>
        </w:tc>
      </w:tr>
      <w:tr w14:paraId="10F77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526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70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AE5CB">
            <w:pPr>
              <w:jc w:val="center"/>
            </w:pPr>
            <w:r>
              <w:rPr>
                <w:rFonts w:ascii="宋体" w:hAnsi="宋体" w:eastAsia="宋体"/>
                <w:sz w:val="16"/>
              </w:rPr>
              <w:t>19.31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8E3E5">
            <w:pPr>
              <w:jc w:val="center"/>
            </w:pPr>
            <w:r>
              <w:rPr>
                <w:rFonts w:ascii="宋体" w:hAnsi="宋体" w:eastAsia="宋体"/>
                <w:sz w:val="16"/>
              </w:rPr>
              <w:t>19.31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DBC2">
            <w:pPr>
              <w:jc w:val="center"/>
            </w:pPr>
            <w:r>
              <w:rPr>
                <w:rFonts w:ascii="宋体" w:hAnsi="宋体" w:eastAsia="宋体"/>
                <w:sz w:val="16"/>
              </w:rPr>
              <w:t>19.31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B1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B5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CFAE">
            <w:pPr>
              <w:jc w:val="center"/>
            </w:pPr>
            <w:r>
              <w:rPr>
                <w:rFonts w:ascii="宋体" w:hAnsi="宋体" w:eastAsia="宋体"/>
                <w:sz w:val="16"/>
              </w:rPr>
              <w:t>—</w:t>
            </w:r>
          </w:p>
        </w:tc>
      </w:tr>
      <w:tr w14:paraId="7ABDF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A3A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22D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01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D0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B60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7A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5F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7051">
            <w:pPr>
              <w:jc w:val="center"/>
            </w:pPr>
            <w:r>
              <w:rPr>
                <w:rFonts w:ascii="宋体" w:hAnsi="宋体" w:eastAsia="宋体"/>
                <w:sz w:val="16"/>
              </w:rPr>
              <w:t>—</w:t>
            </w:r>
          </w:p>
        </w:tc>
      </w:tr>
      <w:tr w14:paraId="457133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672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811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59217">
            <w:pPr>
              <w:jc w:val="center"/>
            </w:pPr>
            <w:r>
              <w:rPr>
                <w:rFonts w:ascii="宋体" w:hAnsi="宋体" w:eastAsia="宋体"/>
                <w:sz w:val="16"/>
              </w:rPr>
              <w:t>实际完成情况</w:t>
            </w:r>
          </w:p>
        </w:tc>
      </w:tr>
      <w:tr w14:paraId="6E6E7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98C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7AF96">
            <w:pPr>
              <w:jc w:val="both"/>
            </w:pPr>
            <w:r>
              <w:rPr>
                <w:rFonts w:ascii="宋体" w:hAnsi="宋体" w:eastAsia="宋体"/>
                <w:sz w:val="16"/>
              </w:rPr>
              <w:t>2024年幼儿园总园彩钢顶漏水维修更换600㎡，园舍维修完成率100%，喇嘛昭分园教师屋顶漏水维修总面积636㎡，资金及时支付率100%，有效改善师生生活环境，提高师生满意度。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C36A4E">
            <w:pPr>
              <w:jc w:val="both"/>
            </w:pPr>
            <w:r>
              <w:rPr>
                <w:rFonts w:hint="eastAsia" w:ascii="宋体" w:hAnsi="宋体"/>
                <w:sz w:val="16"/>
                <w:lang w:eastAsia="zh-CN"/>
              </w:rPr>
              <w:t>截至2024</w:t>
            </w:r>
            <w:r>
              <w:rPr>
                <w:rFonts w:ascii="宋体" w:hAnsi="宋体" w:eastAsia="宋体"/>
                <w:sz w:val="16"/>
              </w:rPr>
              <w:t>年12月31日，本项目实际支出资金19.31万元，预算执行率为100%，通过实施【</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关于提前下达2024年新疆西藏等地区教育特殊补助资金的通知（园舍维修资金）】项目使总园彩钢顶漏水维修更换600㎡，园舍维修完成率100%，喇嘛昭分园</w:t>
            </w:r>
            <w:r>
              <w:rPr>
                <w:rFonts w:hint="eastAsia" w:ascii="宋体" w:hAnsi="宋体"/>
                <w:sz w:val="16"/>
                <w:lang w:eastAsia="zh-CN"/>
              </w:rPr>
              <w:t>教室</w:t>
            </w:r>
            <w:r>
              <w:rPr>
                <w:rFonts w:ascii="宋体" w:hAnsi="宋体" w:eastAsia="宋体"/>
                <w:sz w:val="16"/>
              </w:rPr>
              <w:t>屋顶漏水维修总面积636㎡，资金及时支付率100%，有效改善师生生活环境，提高师生满意度。</w:t>
            </w:r>
          </w:p>
        </w:tc>
      </w:tr>
      <w:tr w14:paraId="418234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E7D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79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3B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F4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4D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CA8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36B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30D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4D2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C5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16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70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9F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170B">
            <w:pPr>
              <w:jc w:val="center"/>
            </w:pPr>
            <w:r>
              <w:rPr>
                <w:rFonts w:ascii="宋体" w:hAnsi="宋体" w:eastAsia="宋体"/>
                <w:sz w:val="16"/>
              </w:rPr>
              <w:t>偏差原因分析及改进措施</w:t>
            </w:r>
          </w:p>
        </w:tc>
      </w:tr>
      <w:tr w14:paraId="500842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519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412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917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3C72">
            <w:pPr>
              <w:jc w:val="center"/>
            </w:pPr>
            <w:r>
              <w:rPr>
                <w:rFonts w:ascii="宋体" w:hAnsi="宋体" w:eastAsia="宋体"/>
                <w:sz w:val="16"/>
              </w:rPr>
              <w:t>总园彩钢顶漏水维修更换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3AA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BECA">
            <w:pPr>
              <w:jc w:val="center"/>
            </w:pPr>
            <w:r>
              <w:rPr>
                <w:rFonts w:ascii="宋体" w:hAnsi="宋体" w:eastAsia="宋体"/>
                <w:sz w:val="16"/>
              </w:rPr>
              <w:t>&lt;=600平方米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BC86">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A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2EE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1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E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4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4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D86A">
            <w:pPr>
              <w:jc w:val="center"/>
            </w:pPr>
          </w:p>
        </w:tc>
      </w:tr>
      <w:tr w14:paraId="18EF9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2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81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EA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9B77">
            <w:pPr>
              <w:jc w:val="center"/>
            </w:pPr>
            <w:r>
              <w:rPr>
                <w:rFonts w:ascii="宋体" w:hAnsi="宋体" w:eastAsia="宋体"/>
                <w:sz w:val="16"/>
              </w:rPr>
              <w:t>喇嘛昭分园教室屋顶漏水维修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057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DA74">
            <w:pPr>
              <w:jc w:val="center"/>
            </w:pPr>
            <w:r>
              <w:rPr>
                <w:rFonts w:ascii="宋体" w:hAnsi="宋体" w:eastAsia="宋体"/>
                <w:sz w:val="16"/>
              </w:rPr>
              <w:t>&lt;=636平方米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E6AA">
            <w:pPr>
              <w:jc w:val="center"/>
            </w:pPr>
            <w:r>
              <w:rPr>
                <w:rFonts w:ascii="宋体" w:hAnsi="宋体" w:eastAsia="宋体"/>
                <w:sz w:val="16"/>
              </w:rPr>
              <w:t>=636平方米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3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132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B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7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9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6D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8631">
            <w:pPr>
              <w:jc w:val="center"/>
            </w:pPr>
          </w:p>
        </w:tc>
      </w:tr>
      <w:tr w14:paraId="7DA29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A7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A7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F8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45A2">
            <w:pPr>
              <w:jc w:val="center"/>
            </w:pPr>
            <w:r>
              <w:rPr>
                <w:rFonts w:ascii="宋体" w:hAnsi="宋体" w:eastAsia="宋体"/>
                <w:sz w:val="16"/>
              </w:rPr>
              <w:t>园舍维修完成率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CEB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0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2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6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284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6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4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F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8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CF0D">
            <w:pPr>
              <w:jc w:val="center"/>
            </w:pPr>
          </w:p>
        </w:tc>
      </w:tr>
      <w:tr w14:paraId="4D6BA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76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A2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A2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ABA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7B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A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6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8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0C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A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7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F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57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1BA0">
            <w:pPr>
              <w:jc w:val="center"/>
            </w:pPr>
          </w:p>
        </w:tc>
      </w:tr>
      <w:tr w14:paraId="3D835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B3D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E04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C86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D844">
            <w:pPr>
              <w:jc w:val="center"/>
            </w:pPr>
            <w:r>
              <w:rPr>
                <w:rFonts w:ascii="宋体" w:hAnsi="宋体" w:eastAsia="宋体"/>
                <w:sz w:val="16"/>
              </w:rPr>
              <w:t>总园彩钢顶漏水维修改造成本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499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BE28">
            <w:pPr>
              <w:jc w:val="center"/>
            </w:pPr>
            <w:r>
              <w:rPr>
                <w:rFonts w:ascii="宋体" w:hAnsi="宋体" w:eastAsia="宋体"/>
                <w:sz w:val="16"/>
              </w:rPr>
              <w:t>&lt;=9.37万元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1F60">
            <w:pPr>
              <w:jc w:val="center"/>
            </w:pPr>
            <w:r>
              <w:rPr>
                <w:rFonts w:ascii="宋体" w:hAnsi="宋体" w:eastAsia="宋体"/>
                <w:sz w:val="16"/>
              </w:rPr>
              <w:t>=9.37万元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B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F2C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8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A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E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B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2DBB">
            <w:pPr>
              <w:jc w:val="center"/>
            </w:pPr>
          </w:p>
        </w:tc>
      </w:tr>
      <w:tr w14:paraId="39581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6C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E7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6D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472A">
            <w:pPr>
              <w:jc w:val="center"/>
            </w:pPr>
            <w:r>
              <w:rPr>
                <w:rFonts w:ascii="宋体" w:hAnsi="宋体" w:eastAsia="宋体"/>
                <w:sz w:val="16"/>
              </w:rPr>
              <w:t>喇嘛昭分园</w:t>
            </w:r>
            <w:r>
              <w:rPr>
                <w:rFonts w:hint="eastAsia" w:ascii="宋体" w:hAnsi="宋体"/>
                <w:sz w:val="16"/>
                <w:lang w:eastAsia="zh-CN"/>
              </w:rPr>
              <w:t>教室</w:t>
            </w:r>
            <w:r>
              <w:rPr>
                <w:rFonts w:ascii="宋体" w:hAnsi="宋体" w:eastAsia="宋体"/>
                <w:sz w:val="16"/>
              </w:rPr>
              <w:t>屋顶维修成本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6CA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370E">
            <w:pPr>
              <w:jc w:val="center"/>
            </w:pPr>
            <w:r>
              <w:rPr>
                <w:rFonts w:ascii="宋体" w:hAnsi="宋体" w:eastAsia="宋体"/>
                <w:sz w:val="16"/>
              </w:rPr>
              <w:t>&lt;=9.94万元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B1BE">
            <w:pPr>
              <w:jc w:val="center"/>
            </w:pPr>
            <w:r>
              <w:rPr>
                <w:rFonts w:ascii="宋体" w:hAnsi="宋体" w:eastAsia="宋体"/>
                <w:sz w:val="16"/>
              </w:rPr>
              <w:t>=9.94万元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BB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7F2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7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B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D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94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AA8C">
            <w:pPr>
              <w:jc w:val="center"/>
            </w:pPr>
          </w:p>
        </w:tc>
      </w:tr>
      <w:tr w14:paraId="25FD1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07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30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1A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8127">
            <w:pPr>
              <w:jc w:val="center"/>
            </w:pPr>
            <w:r>
              <w:rPr>
                <w:rFonts w:ascii="宋体" w:hAnsi="宋体" w:eastAsia="宋体"/>
                <w:sz w:val="16"/>
              </w:rPr>
              <w:t>改善师生的生活环境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F2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7F2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EC6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1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18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D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F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0B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F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4812">
            <w:pPr>
              <w:jc w:val="center"/>
            </w:pPr>
          </w:p>
        </w:tc>
      </w:tr>
      <w:tr w14:paraId="48529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C2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6B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64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CD62">
            <w:pPr>
              <w:jc w:val="center"/>
            </w:pPr>
            <w:r>
              <w:rPr>
                <w:rFonts w:ascii="宋体" w:hAnsi="宋体" w:eastAsia="宋体"/>
                <w:sz w:val="16"/>
              </w:rPr>
              <w:t>受益学校师生满意度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91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F5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FC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0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DD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E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9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71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1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576B">
            <w:pPr>
              <w:jc w:val="center"/>
            </w:pPr>
          </w:p>
        </w:tc>
      </w:tr>
      <w:tr w14:paraId="478929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2751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E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F23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947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34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E95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103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F9C4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E14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DD3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EE9CF"/>
        </w:tc>
      </w:tr>
    </w:tbl>
    <w:p w14:paraId="6ED76B31">
      <w:r>
        <w:br w:type="page"/>
      </w:r>
    </w:p>
    <w:p w14:paraId="6AF44409">
      <w:pPr>
        <w:spacing w:line="640" w:lineRule="exact"/>
        <w:ind w:firstLine="640"/>
        <w:jc w:val="both"/>
        <w:outlineLvl w:val="2"/>
      </w:pPr>
      <w:r>
        <w:rPr>
          <w:rFonts w:ascii="黑体" w:hAnsi="黑体" w:eastAsia="黑体"/>
          <w:sz w:val="32"/>
        </w:rPr>
        <w:t>十二、其他需说明的事项</w:t>
      </w:r>
    </w:p>
    <w:p w14:paraId="62E64C3D">
      <w:pPr>
        <w:spacing w:line="580" w:lineRule="exact"/>
        <w:ind w:firstLine="640"/>
        <w:jc w:val="both"/>
      </w:pPr>
      <w:r>
        <w:rPr>
          <w:rFonts w:ascii="仿宋_GB2312" w:hAnsi="仿宋_GB2312" w:eastAsia="仿宋_GB2312"/>
          <w:b w:val="0"/>
          <w:sz w:val="32"/>
        </w:rPr>
        <w:t>本单位无其他需说明的事项。</w:t>
      </w:r>
    </w:p>
    <w:p w14:paraId="5CFD63D5">
      <w:r>
        <w:br w:type="page"/>
      </w:r>
    </w:p>
    <w:p w14:paraId="54333D00">
      <w:pPr>
        <w:spacing w:line="240" w:lineRule="auto"/>
        <w:jc w:val="center"/>
        <w:outlineLvl w:val="1"/>
      </w:pPr>
      <w:r>
        <w:rPr>
          <w:rFonts w:ascii="黑体" w:hAnsi="黑体" w:eastAsia="黑体"/>
          <w:sz w:val="32"/>
        </w:rPr>
        <w:t>第三部分 专业名词解释</w:t>
      </w:r>
    </w:p>
    <w:p w14:paraId="2B86B9C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96833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2314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3566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4CF0B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6848DE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B56B8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21F7C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356F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8E3BD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B58B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C207D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FCE0E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1AA0E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E1967AF">
      <w:r>
        <w:br w:type="page"/>
      </w:r>
    </w:p>
    <w:p w14:paraId="0EA3F5E2">
      <w:pPr>
        <w:spacing w:line="240" w:lineRule="auto"/>
        <w:jc w:val="center"/>
        <w:outlineLvl w:val="1"/>
      </w:pPr>
      <w:r>
        <w:rPr>
          <w:rFonts w:ascii="黑体" w:hAnsi="黑体" w:eastAsia="黑体"/>
          <w:sz w:val="32"/>
        </w:rPr>
        <w:t>第四部分 部门决算报表（见附表）</w:t>
      </w:r>
    </w:p>
    <w:p w14:paraId="39FD4CE6">
      <w:pPr>
        <w:spacing w:line="240" w:lineRule="auto"/>
        <w:ind w:firstLine="640"/>
        <w:jc w:val="both"/>
      </w:pPr>
      <w:r>
        <w:rPr>
          <w:rFonts w:ascii="仿宋_GB2312" w:hAnsi="仿宋_GB2312" w:eastAsia="仿宋_GB2312"/>
          <w:b w:val="0"/>
          <w:sz w:val="32"/>
        </w:rPr>
        <w:t>一、《收入支出决算总表》</w:t>
      </w:r>
    </w:p>
    <w:p w14:paraId="311D694C">
      <w:pPr>
        <w:spacing w:line="240" w:lineRule="auto"/>
        <w:ind w:firstLine="640"/>
        <w:jc w:val="both"/>
      </w:pPr>
      <w:r>
        <w:rPr>
          <w:rFonts w:ascii="仿宋_GB2312" w:hAnsi="仿宋_GB2312" w:eastAsia="仿宋_GB2312"/>
          <w:b w:val="0"/>
          <w:sz w:val="32"/>
        </w:rPr>
        <w:t>二、《收入决算表》</w:t>
      </w:r>
    </w:p>
    <w:p w14:paraId="0D9289C8">
      <w:pPr>
        <w:spacing w:line="240" w:lineRule="auto"/>
        <w:ind w:firstLine="640"/>
        <w:jc w:val="both"/>
      </w:pPr>
      <w:r>
        <w:rPr>
          <w:rFonts w:ascii="仿宋_GB2312" w:hAnsi="仿宋_GB2312" w:eastAsia="仿宋_GB2312"/>
          <w:b w:val="0"/>
          <w:sz w:val="32"/>
        </w:rPr>
        <w:t>三、《支出决算表》</w:t>
      </w:r>
    </w:p>
    <w:p w14:paraId="2592AF4C">
      <w:pPr>
        <w:spacing w:line="240" w:lineRule="auto"/>
        <w:ind w:firstLine="640"/>
        <w:jc w:val="both"/>
      </w:pPr>
      <w:r>
        <w:rPr>
          <w:rFonts w:ascii="仿宋_GB2312" w:hAnsi="仿宋_GB2312" w:eastAsia="仿宋_GB2312"/>
          <w:b w:val="0"/>
          <w:sz w:val="32"/>
        </w:rPr>
        <w:t>四、《财政拨款收入支出决算总表》</w:t>
      </w:r>
    </w:p>
    <w:p w14:paraId="119812EB">
      <w:pPr>
        <w:spacing w:line="240" w:lineRule="auto"/>
        <w:ind w:firstLine="640"/>
        <w:jc w:val="both"/>
      </w:pPr>
      <w:r>
        <w:rPr>
          <w:rFonts w:ascii="仿宋_GB2312" w:hAnsi="仿宋_GB2312" w:eastAsia="仿宋_GB2312"/>
          <w:b w:val="0"/>
          <w:sz w:val="32"/>
        </w:rPr>
        <w:t>五、《一般公共预算财政拨款支出决算表》</w:t>
      </w:r>
    </w:p>
    <w:p w14:paraId="78E49C1B">
      <w:pPr>
        <w:spacing w:line="240" w:lineRule="auto"/>
        <w:ind w:firstLine="640"/>
        <w:jc w:val="both"/>
      </w:pPr>
      <w:r>
        <w:rPr>
          <w:rFonts w:ascii="仿宋_GB2312" w:hAnsi="仿宋_GB2312" w:eastAsia="仿宋_GB2312"/>
          <w:b w:val="0"/>
          <w:sz w:val="32"/>
        </w:rPr>
        <w:t>六、《一般公共预算财政拨款基本支出决算表》</w:t>
      </w:r>
    </w:p>
    <w:p w14:paraId="656B97FC">
      <w:pPr>
        <w:spacing w:line="240" w:lineRule="auto"/>
        <w:ind w:firstLine="640"/>
        <w:jc w:val="both"/>
      </w:pPr>
      <w:r>
        <w:rPr>
          <w:rFonts w:ascii="仿宋_GB2312" w:hAnsi="仿宋_GB2312" w:eastAsia="仿宋_GB2312"/>
          <w:b w:val="0"/>
          <w:sz w:val="32"/>
        </w:rPr>
        <w:t>七、《政府性基金预算财政拨款收入支出决算表》</w:t>
      </w:r>
    </w:p>
    <w:p w14:paraId="0947EA18">
      <w:pPr>
        <w:spacing w:line="240" w:lineRule="auto"/>
        <w:ind w:firstLine="640"/>
        <w:jc w:val="both"/>
      </w:pPr>
      <w:r>
        <w:rPr>
          <w:rFonts w:ascii="仿宋_GB2312" w:hAnsi="仿宋_GB2312" w:eastAsia="仿宋_GB2312"/>
          <w:b w:val="0"/>
          <w:sz w:val="32"/>
        </w:rPr>
        <w:t>八、《国有资本经营预算财政拨款收入支出决算表》</w:t>
      </w:r>
    </w:p>
    <w:p w14:paraId="39C0849D">
      <w:pPr>
        <w:spacing w:line="240" w:lineRule="auto"/>
        <w:ind w:firstLine="640"/>
        <w:jc w:val="both"/>
      </w:pPr>
      <w:r>
        <w:rPr>
          <w:rFonts w:ascii="仿宋_GB2312" w:hAnsi="仿宋_GB2312" w:eastAsia="仿宋_GB2312"/>
          <w:b w:val="0"/>
          <w:sz w:val="32"/>
        </w:rPr>
        <w:t>九、《财政拨款“三公”经费支出决算表》</w:t>
      </w:r>
    </w:p>
    <w:p w14:paraId="13CBF743">
      <w:pPr>
        <w:spacing w:line="240" w:lineRule="auto"/>
        <w:ind w:firstLine="640"/>
        <w:jc w:val="both"/>
      </w:pPr>
    </w:p>
    <w:p w14:paraId="31BF4624">
      <w:pPr>
        <w:spacing w:line="240" w:lineRule="auto"/>
        <w:ind w:firstLine="640"/>
        <w:jc w:val="both"/>
      </w:pPr>
    </w:p>
    <w:p w14:paraId="59A4B4D8">
      <w:pPr>
        <w:spacing w:line="240" w:lineRule="auto"/>
        <w:ind w:firstLine="640"/>
        <w:jc w:val="both"/>
      </w:pPr>
    </w:p>
    <w:p w14:paraId="1AA0D37E">
      <w:pPr>
        <w:spacing w:line="240" w:lineRule="auto"/>
        <w:ind w:firstLine="640"/>
        <w:jc w:val="both"/>
      </w:pPr>
    </w:p>
    <w:p w14:paraId="29517CA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170F7D-795A-466B-8A7F-7B96378DDB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26327BC-5E23-4F4C-826A-1B5FE0AA9ED9}"/>
  </w:font>
  <w:font w:name="仿宋_GB2312">
    <w:panose1 w:val="02010609030101010101"/>
    <w:charset w:val="86"/>
    <w:family w:val="modern"/>
    <w:pitch w:val="default"/>
    <w:sig w:usb0="00000001" w:usb1="080E0000" w:usb2="00000000" w:usb3="00000000" w:csb0="00040000" w:csb1="00000000"/>
    <w:embedRegular r:id="rId3" w:fontKey="{570D10D6-A797-4A2A-AEE2-13EA9CA952BF}"/>
  </w:font>
  <w:font w:name="楷体_GB2312">
    <w:panose1 w:val="02010609030101010101"/>
    <w:charset w:val="86"/>
    <w:family w:val="auto"/>
    <w:pitch w:val="default"/>
    <w:sig w:usb0="00000001" w:usb1="080E0000" w:usb2="00000000" w:usb3="00000000" w:csb0="00040000" w:csb1="00000000"/>
    <w:embedRegular r:id="rId4" w:fontKey="{8F9F280B-578A-4279-975C-A93ADC7228B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544D32"/>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7C6BE4"/>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3593</Words>
  <Characters>4173</Characters>
  <Lines>0</Lines>
  <Paragraphs>0</Paragraphs>
  <TotalTime>16</TotalTime>
  <ScaleCrop>false</ScaleCrop>
  <LinksUpToDate>false</LinksUpToDate>
  <CharactersWithSpaces>4181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2025-10-13T10:19:05Z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